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E9F813" w14:textId="77777777" w:rsidR="00C61801" w:rsidRPr="00866A71" w:rsidRDefault="00C61801" w:rsidP="0052682D">
      <w:pPr>
        <w:pStyle w:val="DBCDElogo"/>
        <w:spacing w:before="0"/>
        <w:jc w:val="left"/>
      </w:pPr>
      <w:bookmarkStart w:id="0" w:name="_GoBack"/>
      <w:bookmarkEnd w:id="0"/>
    </w:p>
    <w:p w14:paraId="03DEC041" w14:textId="77777777" w:rsidR="009C1549" w:rsidRPr="00866A71" w:rsidRDefault="009C1549" w:rsidP="0052682D">
      <w:pPr>
        <w:pStyle w:val="BodyText"/>
        <w:jc w:val="left"/>
      </w:pPr>
    </w:p>
    <w:p w14:paraId="13823ECE" w14:textId="77777777" w:rsidR="0000674C" w:rsidRPr="009C69CC" w:rsidRDefault="0000674C" w:rsidP="0052682D">
      <w:pPr>
        <w:spacing w:before="0"/>
      </w:pPr>
    </w:p>
    <w:p w14:paraId="06B0195D" w14:textId="77777777" w:rsidR="0000674C" w:rsidRPr="009C69CC" w:rsidRDefault="0000674C" w:rsidP="0052682D">
      <w:pPr>
        <w:spacing w:before="0"/>
      </w:pPr>
    </w:p>
    <w:p w14:paraId="2CC9C4ED" w14:textId="77777777" w:rsidR="0000674C" w:rsidRPr="009C69CC" w:rsidRDefault="0000674C" w:rsidP="0052682D">
      <w:pPr>
        <w:spacing w:before="0"/>
      </w:pPr>
    </w:p>
    <w:p w14:paraId="53947E28" w14:textId="77777777" w:rsidR="000D3A1C" w:rsidRPr="00CD2E11" w:rsidRDefault="0052682D" w:rsidP="00CD2E11">
      <w:pPr>
        <w:pStyle w:val="H1"/>
        <w:tabs>
          <w:tab w:val="center" w:pos="4513"/>
        </w:tabs>
        <w:spacing w:before="0" w:after="0"/>
        <w:rPr>
          <w:b/>
          <w:sz w:val="72"/>
        </w:rPr>
      </w:pPr>
      <w:bookmarkStart w:id="1" w:name="_Toc495915943"/>
      <w:r w:rsidRPr="00CD2E11">
        <w:rPr>
          <w:b/>
          <w:sz w:val="72"/>
        </w:rPr>
        <w:t>Hidden</w:t>
      </w:r>
      <w:r w:rsidR="000D3A1C" w:rsidRPr="00CD2E11">
        <w:rPr>
          <w:b/>
          <w:sz w:val="72"/>
        </w:rPr>
        <w:t xml:space="preserve"> in Plain Sight:</w:t>
      </w:r>
      <w:bookmarkEnd w:id="1"/>
      <w:r w:rsidR="000D3A1C" w:rsidRPr="00CD2E11">
        <w:rPr>
          <w:b/>
          <w:sz w:val="72"/>
        </w:rPr>
        <w:t xml:space="preserve"> </w:t>
      </w:r>
    </w:p>
    <w:p w14:paraId="02B89801" w14:textId="77777777" w:rsidR="00FC61CE" w:rsidRPr="00AE2172" w:rsidRDefault="009B3FF1" w:rsidP="00CD2E11">
      <w:pPr>
        <w:pStyle w:val="H1"/>
        <w:tabs>
          <w:tab w:val="center" w:pos="4513"/>
        </w:tabs>
        <w:spacing w:before="0" w:after="0"/>
        <w:rPr>
          <w:sz w:val="42"/>
        </w:rPr>
      </w:pPr>
      <w:bookmarkStart w:id="2" w:name="_Toc495915944"/>
      <w:r>
        <w:rPr>
          <w:sz w:val="42"/>
        </w:rPr>
        <w:t>Building an understanding of how</w:t>
      </w:r>
      <w:r w:rsidR="000D3A1C" w:rsidRPr="00AE2172">
        <w:rPr>
          <w:sz w:val="42"/>
        </w:rPr>
        <w:t xml:space="preserve"> the APS</w:t>
      </w:r>
      <w:r w:rsidR="00AE2172" w:rsidRPr="00AE2172">
        <w:rPr>
          <w:sz w:val="42"/>
        </w:rPr>
        <w:t xml:space="preserve"> can unlock community expertise to </w:t>
      </w:r>
      <w:r w:rsidR="000D3A1C" w:rsidRPr="00AE2172">
        <w:rPr>
          <w:sz w:val="42"/>
        </w:rPr>
        <w:t>improve policy, programme</w:t>
      </w:r>
      <w:r w:rsidR="00AE2172" w:rsidRPr="00AE2172">
        <w:rPr>
          <w:sz w:val="42"/>
        </w:rPr>
        <w:t>s</w:t>
      </w:r>
      <w:r w:rsidR="000D3A1C" w:rsidRPr="00AE2172">
        <w:rPr>
          <w:sz w:val="42"/>
        </w:rPr>
        <w:t xml:space="preserve"> and service delivery</w:t>
      </w:r>
      <w:bookmarkEnd w:id="2"/>
    </w:p>
    <w:p w14:paraId="7EAC1F2C" w14:textId="77777777" w:rsidR="00124457" w:rsidRDefault="00124457" w:rsidP="0052682D">
      <w:pPr>
        <w:pStyle w:val="BodyText"/>
        <w:jc w:val="left"/>
      </w:pPr>
    </w:p>
    <w:p w14:paraId="2C34DFC3" w14:textId="77777777" w:rsidR="00116CBE" w:rsidRDefault="00116CBE" w:rsidP="0052682D">
      <w:pPr>
        <w:pStyle w:val="BodyText"/>
        <w:jc w:val="left"/>
      </w:pPr>
    </w:p>
    <w:p w14:paraId="0379014D" w14:textId="77777777" w:rsidR="00116CBE" w:rsidRDefault="00116CBE" w:rsidP="0052682D">
      <w:pPr>
        <w:pStyle w:val="BodyText"/>
        <w:jc w:val="left"/>
      </w:pPr>
    </w:p>
    <w:p w14:paraId="5433A90F" w14:textId="77777777" w:rsidR="00116CBE" w:rsidRDefault="00116CBE" w:rsidP="0052682D">
      <w:pPr>
        <w:pStyle w:val="BodyText"/>
        <w:jc w:val="left"/>
      </w:pPr>
    </w:p>
    <w:p w14:paraId="5CE9863B" w14:textId="77777777" w:rsidR="00116CBE" w:rsidRDefault="00116CBE" w:rsidP="0052682D">
      <w:pPr>
        <w:pStyle w:val="BodyText"/>
        <w:jc w:val="left"/>
      </w:pPr>
    </w:p>
    <w:p w14:paraId="05CF60DA" w14:textId="77777777" w:rsidR="00116CBE" w:rsidRDefault="00116CBE" w:rsidP="0052682D">
      <w:pPr>
        <w:pStyle w:val="BodyText"/>
        <w:jc w:val="left"/>
      </w:pPr>
    </w:p>
    <w:p w14:paraId="7FC32F62" w14:textId="77777777" w:rsidR="00116CBE" w:rsidRDefault="00116CBE" w:rsidP="0052682D">
      <w:pPr>
        <w:pStyle w:val="BodyText"/>
        <w:jc w:val="left"/>
      </w:pPr>
    </w:p>
    <w:p w14:paraId="7DFDB889" w14:textId="77777777" w:rsidR="00116CBE" w:rsidRDefault="00116CBE" w:rsidP="0052682D">
      <w:pPr>
        <w:pStyle w:val="BodyText"/>
        <w:jc w:val="left"/>
      </w:pPr>
    </w:p>
    <w:p w14:paraId="099D5C61" w14:textId="77777777" w:rsidR="00116CBE" w:rsidRDefault="00116CBE" w:rsidP="0052682D">
      <w:pPr>
        <w:pStyle w:val="BodyText"/>
        <w:jc w:val="left"/>
      </w:pPr>
    </w:p>
    <w:p w14:paraId="74EDAB69" w14:textId="77777777" w:rsidR="00116CBE" w:rsidRDefault="00116CBE" w:rsidP="0052682D">
      <w:pPr>
        <w:pStyle w:val="BodyText"/>
        <w:jc w:val="left"/>
      </w:pPr>
    </w:p>
    <w:p w14:paraId="5CD5C17F" w14:textId="77777777" w:rsidR="00116CBE" w:rsidRDefault="00116CBE" w:rsidP="0052682D">
      <w:pPr>
        <w:pStyle w:val="BodyText"/>
        <w:jc w:val="left"/>
      </w:pPr>
    </w:p>
    <w:p w14:paraId="0F6D03C6" w14:textId="77777777" w:rsidR="00116CBE" w:rsidRDefault="00116CBE" w:rsidP="0052682D">
      <w:pPr>
        <w:pStyle w:val="BodyText"/>
        <w:jc w:val="left"/>
      </w:pPr>
    </w:p>
    <w:p w14:paraId="64368637" w14:textId="77777777" w:rsidR="00116CBE" w:rsidRDefault="00116CBE" w:rsidP="0052682D">
      <w:pPr>
        <w:pStyle w:val="BodyText"/>
        <w:jc w:val="left"/>
      </w:pPr>
    </w:p>
    <w:p w14:paraId="1AC7CA2B" w14:textId="77777777" w:rsidR="00116CBE" w:rsidRDefault="00116CBE" w:rsidP="0052682D">
      <w:pPr>
        <w:pStyle w:val="BodyText"/>
        <w:jc w:val="left"/>
      </w:pPr>
    </w:p>
    <w:p w14:paraId="7DA39375" w14:textId="77777777" w:rsidR="00116CBE" w:rsidRDefault="00116CBE" w:rsidP="0052682D">
      <w:pPr>
        <w:pStyle w:val="BodyText"/>
        <w:jc w:val="left"/>
      </w:pPr>
    </w:p>
    <w:p w14:paraId="075CE66B" w14:textId="77777777" w:rsidR="00116CBE" w:rsidRDefault="00116CBE" w:rsidP="0052682D">
      <w:pPr>
        <w:pStyle w:val="BodyText"/>
        <w:jc w:val="left"/>
      </w:pPr>
    </w:p>
    <w:p w14:paraId="1200548A" w14:textId="77777777" w:rsidR="00E63D60" w:rsidRDefault="00E63D60" w:rsidP="0052682D">
      <w:pPr>
        <w:pStyle w:val="BodyText"/>
        <w:jc w:val="left"/>
      </w:pPr>
    </w:p>
    <w:p w14:paraId="31B7F86B" w14:textId="77777777" w:rsidR="00E63D60" w:rsidRDefault="00E63D60" w:rsidP="0052682D">
      <w:pPr>
        <w:pStyle w:val="BodyText"/>
        <w:jc w:val="left"/>
      </w:pPr>
    </w:p>
    <w:p w14:paraId="79C1E2E1" w14:textId="77777777" w:rsidR="00E63D60" w:rsidRDefault="00E63D60" w:rsidP="0052682D">
      <w:pPr>
        <w:pStyle w:val="BodyText"/>
        <w:jc w:val="left"/>
      </w:pPr>
    </w:p>
    <w:p w14:paraId="1E29D2EB" w14:textId="77777777" w:rsidR="00E63D60" w:rsidRDefault="00E63D60" w:rsidP="0052682D">
      <w:pPr>
        <w:pStyle w:val="BodyText"/>
        <w:jc w:val="left"/>
      </w:pPr>
    </w:p>
    <w:p w14:paraId="458D3A8B" w14:textId="77777777" w:rsidR="00E63D60" w:rsidRDefault="00E63D60" w:rsidP="0052682D">
      <w:pPr>
        <w:pStyle w:val="BodyText"/>
        <w:jc w:val="left"/>
      </w:pPr>
    </w:p>
    <w:p w14:paraId="560BB0AD" w14:textId="77777777" w:rsidR="00E63D60" w:rsidRDefault="00E63D60" w:rsidP="0052682D">
      <w:pPr>
        <w:pStyle w:val="BodyText"/>
        <w:jc w:val="left"/>
      </w:pPr>
    </w:p>
    <w:p w14:paraId="1985AFF2" w14:textId="77777777" w:rsidR="00E63D60" w:rsidRDefault="00E63D60" w:rsidP="0052682D">
      <w:pPr>
        <w:pStyle w:val="BodyText"/>
        <w:jc w:val="left"/>
      </w:pPr>
    </w:p>
    <w:p w14:paraId="38BB9B40" w14:textId="77777777" w:rsidR="00E63D60" w:rsidRDefault="00E63D60" w:rsidP="0052682D">
      <w:pPr>
        <w:pStyle w:val="BodyText"/>
        <w:jc w:val="left"/>
      </w:pPr>
    </w:p>
    <w:p w14:paraId="103FB2E8" w14:textId="77777777" w:rsidR="00E63D60" w:rsidRDefault="00E63D60" w:rsidP="0052682D">
      <w:pPr>
        <w:pStyle w:val="BodyText"/>
        <w:jc w:val="left"/>
      </w:pPr>
    </w:p>
    <w:p w14:paraId="76BF1AC9" w14:textId="77777777" w:rsidR="00E63D60" w:rsidRPr="00124457" w:rsidRDefault="00E63D60" w:rsidP="0052682D">
      <w:pPr>
        <w:pStyle w:val="BodyText"/>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6"/>
        <w:gridCol w:w="1368"/>
        <w:gridCol w:w="6322"/>
      </w:tblGrid>
      <w:tr w:rsidR="00E63D60" w14:paraId="09BD4162" w14:textId="77777777" w:rsidTr="00173F77">
        <w:tc>
          <w:tcPr>
            <w:tcW w:w="1326" w:type="dxa"/>
          </w:tcPr>
          <w:p w14:paraId="1C738D2E" w14:textId="77777777" w:rsidR="00E63D60" w:rsidRDefault="00E63D60" w:rsidP="00FC3D34">
            <w:pPr>
              <w:pStyle w:val="BodyText"/>
              <w:jc w:val="left"/>
            </w:pPr>
            <w:r w:rsidRPr="00554281">
              <w:rPr>
                <w:noProof/>
                <w:lang w:eastAsia="en-AU"/>
              </w:rPr>
              <w:drawing>
                <wp:inline distT="0" distB="0" distL="0" distR="0" wp14:anchorId="661F2754" wp14:editId="5434B3EE">
                  <wp:extent cx="704850" cy="70485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12378" cy="712378"/>
                          </a:xfrm>
                          <a:prstGeom prst="rect">
                            <a:avLst/>
                          </a:prstGeom>
                        </pic:spPr>
                      </pic:pic>
                    </a:graphicData>
                  </a:graphic>
                </wp:inline>
              </w:drawing>
            </w:r>
          </w:p>
        </w:tc>
        <w:tc>
          <w:tcPr>
            <w:tcW w:w="1368" w:type="dxa"/>
          </w:tcPr>
          <w:p w14:paraId="17FBD071" w14:textId="77777777" w:rsidR="00E63D60" w:rsidRDefault="00E63D60" w:rsidP="00FC3D34">
            <w:pPr>
              <w:pStyle w:val="BodyText"/>
              <w:jc w:val="left"/>
            </w:pPr>
            <w:r w:rsidRPr="00554281">
              <w:rPr>
                <w:noProof/>
                <w:lang w:eastAsia="en-AU"/>
              </w:rPr>
              <w:drawing>
                <wp:inline distT="0" distB="0" distL="0" distR="0" wp14:anchorId="04E79951" wp14:editId="43F16276">
                  <wp:extent cx="725463" cy="714375"/>
                  <wp:effectExtent l="0" t="0" r="0" b="0"/>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2"/>
                          <a:srcRect l="34879"/>
                          <a:stretch/>
                        </pic:blipFill>
                        <pic:spPr>
                          <a:xfrm>
                            <a:off x="0" y="0"/>
                            <a:ext cx="742327" cy="730981"/>
                          </a:xfrm>
                          <a:prstGeom prst="rect">
                            <a:avLst/>
                          </a:prstGeom>
                        </pic:spPr>
                      </pic:pic>
                    </a:graphicData>
                  </a:graphic>
                </wp:inline>
              </w:drawing>
            </w:r>
          </w:p>
        </w:tc>
        <w:tc>
          <w:tcPr>
            <w:tcW w:w="6322" w:type="dxa"/>
          </w:tcPr>
          <w:p w14:paraId="32783167" w14:textId="77777777" w:rsidR="00E63D60" w:rsidRPr="00FC3D34" w:rsidRDefault="00E63D60" w:rsidP="00FC3D34">
            <w:pPr>
              <w:spacing w:before="0"/>
              <w:rPr>
                <w:rFonts w:ascii="Calibri Light" w:eastAsia="MS Gothic" w:hAnsi="Calibri Light"/>
                <w:b/>
                <w:bCs/>
                <w:color w:val="276C6C"/>
                <w:sz w:val="26"/>
                <w:szCs w:val="28"/>
              </w:rPr>
            </w:pPr>
            <w:r w:rsidRPr="00FC3D34">
              <w:rPr>
                <w:rFonts w:ascii="Calibri Light" w:eastAsia="MS Gothic" w:hAnsi="Calibri Light"/>
                <w:b/>
                <w:bCs/>
                <w:color w:val="276C6C"/>
                <w:sz w:val="26"/>
                <w:szCs w:val="28"/>
              </w:rPr>
              <w:t xml:space="preserve">Discover phase report </w:t>
            </w:r>
          </w:p>
          <w:p w14:paraId="480C18A8" w14:textId="77777777" w:rsidR="00E63D60" w:rsidRPr="00FC3D34" w:rsidRDefault="00E63D60" w:rsidP="00FC3D34">
            <w:pPr>
              <w:spacing w:before="0"/>
              <w:rPr>
                <w:rFonts w:ascii="Calibri Light" w:eastAsia="MS Gothic" w:hAnsi="Calibri Light"/>
                <w:bCs/>
                <w:color w:val="276C6C"/>
                <w:sz w:val="26"/>
                <w:szCs w:val="28"/>
              </w:rPr>
            </w:pPr>
            <w:r w:rsidRPr="00FC3D34">
              <w:rPr>
                <w:rFonts w:ascii="Calibri Light" w:eastAsia="MS Gothic" w:hAnsi="Calibri Light"/>
                <w:bCs/>
                <w:color w:val="276C6C"/>
                <w:sz w:val="26"/>
                <w:szCs w:val="28"/>
              </w:rPr>
              <w:t xml:space="preserve">Commitment 5.2 of Australia’s first </w:t>
            </w:r>
          </w:p>
          <w:p w14:paraId="131AAF83" w14:textId="77777777" w:rsidR="00E63D60" w:rsidRPr="00FC3D34" w:rsidRDefault="00E63D60" w:rsidP="00FC3D34">
            <w:pPr>
              <w:spacing w:before="0"/>
              <w:rPr>
                <w:rFonts w:ascii="Calibri Light" w:eastAsia="MS Gothic" w:hAnsi="Calibri Light"/>
                <w:bCs/>
                <w:color w:val="276C6C"/>
                <w:sz w:val="26"/>
                <w:szCs w:val="28"/>
              </w:rPr>
            </w:pPr>
            <w:r w:rsidRPr="00FC3D34">
              <w:rPr>
                <w:rFonts w:ascii="Calibri Light" w:eastAsia="MS Gothic" w:hAnsi="Calibri Light"/>
                <w:bCs/>
                <w:color w:val="276C6C"/>
                <w:sz w:val="26"/>
                <w:szCs w:val="28"/>
              </w:rPr>
              <w:t>Open Government National Action Plan</w:t>
            </w:r>
          </w:p>
          <w:p w14:paraId="01CBFD33" w14:textId="77777777" w:rsidR="00E63D60" w:rsidRPr="00FC3D34" w:rsidRDefault="00E63D60" w:rsidP="00FC3D34">
            <w:pPr>
              <w:pStyle w:val="BodyText"/>
              <w:jc w:val="left"/>
              <w:rPr>
                <w:sz w:val="26"/>
              </w:rPr>
            </w:pPr>
          </w:p>
        </w:tc>
      </w:tr>
    </w:tbl>
    <w:p w14:paraId="3C81F464" w14:textId="77777777" w:rsidR="0001542B" w:rsidRDefault="0001542B" w:rsidP="0052682D">
      <w:pPr>
        <w:spacing w:before="0"/>
        <w:rPr>
          <w:color w:val="2F2F2F"/>
          <w:sz w:val="20"/>
        </w:rPr>
      </w:pPr>
    </w:p>
    <w:p w14:paraId="60897C1B" w14:textId="77777777" w:rsidR="0000674C" w:rsidRDefault="0000674C" w:rsidP="0052682D">
      <w:pPr>
        <w:pStyle w:val="copyrightHeading2Styles"/>
        <w:spacing w:before="0"/>
      </w:pPr>
    </w:p>
    <w:p w14:paraId="156AF5EC" w14:textId="77777777" w:rsidR="00282DEE" w:rsidRDefault="00BA12E1" w:rsidP="00BA12E1">
      <w:pPr>
        <w:pStyle w:val="copyrightHeading2Styles"/>
        <w:tabs>
          <w:tab w:val="left" w:pos="3819"/>
        </w:tabs>
        <w:spacing w:before="0"/>
      </w:pPr>
      <w:r>
        <w:tab/>
      </w:r>
    </w:p>
    <w:p w14:paraId="4369179B" w14:textId="77777777" w:rsidR="00282DEE" w:rsidRDefault="00282DEE">
      <w:pPr>
        <w:spacing w:before="0"/>
        <w:rPr>
          <w:rFonts w:ascii="Calibri Light" w:eastAsia="Times New Roman" w:hAnsi="Calibri Light" w:cs="Geogrotesque-Light"/>
          <w:caps/>
          <w:color w:val="3F3F3F"/>
          <w:sz w:val="33"/>
          <w:szCs w:val="33"/>
        </w:rPr>
      </w:pPr>
      <w:r>
        <w:br w:type="page"/>
      </w:r>
    </w:p>
    <w:p w14:paraId="31BB69FB" w14:textId="77777777" w:rsidR="00F818F8" w:rsidRDefault="00F818F8" w:rsidP="0052682D">
      <w:pPr>
        <w:pStyle w:val="copyrightHeading2Styles"/>
        <w:spacing w:before="0"/>
      </w:pPr>
      <w:r>
        <w:lastRenderedPageBreak/>
        <w:t>Disclaimer</w:t>
      </w:r>
    </w:p>
    <w:p w14:paraId="7DDD7F66" w14:textId="77777777" w:rsidR="001C5FDD" w:rsidRDefault="001C5FDD" w:rsidP="0052682D">
      <w:pPr>
        <w:pStyle w:val="copyrighttextStyles"/>
        <w:spacing w:before="0" w:after="0" w:afterAutospacing="0"/>
      </w:pPr>
      <w:r w:rsidRPr="001C5FDD">
        <w:t>The material in this discussion paper is of a general nature and should not be regarded as legal advice or relied on for assistance in any particular circumstance or emergency situation. In any important matter, you should seek appropriate independent professional advice in relation to your own circumstances.</w:t>
      </w:r>
    </w:p>
    <w:p w14:paraId="356D5541" w14:textId="77777777" w:rsidR="00C50E25" w:rsidRDefault="00C50E25" w:rsidP="0052682D">
      <w:pPr>
        <w:pStyle w:val="copyrighttextStyles"/>
        <w:spacing w:before="0" w:after="0" w:afterAutospacing="0"/>
      </w:pPr>
    </w:p>
    <w:p w14:paraId="3E6C795A" w14:textId="77777777" w:rsidR="001C5FDD" w:rsidRPr="001C5FDD" w:rsidRDefault="001C5FDD" w:rsidP="0052682D">
      <w:pPr>
        <w:pStyle w:val="copyrighttextStyles"/>
        <w:spacing w:before="0" w:after="0" w:afterAutospacing="0"/>
      </w:pPr>
      <w:r w:rsidRPr="001C5FDD">
        <w:t>The Commonwealth accepts no responsibility or liability for any damage, loss or expense incurred as a result of the reliance on information contained in this discussion paper.</w:t>
      </w:r>
    </w:p>
    <w:p w14:paraId="62784A42" w14:textId="77777777" w:rsidR="00C50E25" w:rsidRDefault="00C50E25" w:rsidP="0052682D">
      <w:pPr>
        <w:pStyle w:val="copyrighttextStyles"/>
        <w:spacing w:before="0" w:after="0" w:afterAutospacing="0"/>
      </w:pPr>
    </w:p>
    <w:p w14:paraId="3BC5BAA4" w14:textId="77777777" w:rsidR="00F818F8" w:rsidRPr="00F818F8" w:rsidRDefault="001C5FDD" w:rsidP="0052682D">
      <w:pPr>
        <w:pStyle w:val="copyrighttextStyles"/>
        <w:spacing w:before="0" w:after="0" w:afterAutospacing="0"/>
      </w:pPr>
      <w:r w:rsidRPr="001C5FDD">
        <w:t>This discussion paper has been prepared for consultation purposes only and does not indicate the Commonwealth’s commitment to a particular course of action. Additionally, any third party views or recommendations included in this discussion paper do not reflect the views of the Commonwealth, or indicate its commitment to a particular course of action.</w:t>
      </w:r>
    </w:p>
    <w:p w14:paraId="2B95F84D" w14:textId="77777777" w:rsidR="00C50E25" w:rsidRDefault="00C50E25" w:rsidP="0052682D">
      <w:pPr>
        <w:pStyle w:val="copyrightHeading2Styles"/>
        <w:spacing w:before="0"/>
        <w:rPr>
          <w:lang w:eastAsia="en-AU"/>
        </w:rPr>
      </w:pPr>
    </w:p>
    <w:p w14:paraId="336369D4" w14:textId="77777777" w:rsidR="00F41987" w:rsidRDefault="00F41987" w:rsidP="0052682D">
      <w:pPr>
        <w:pStyle w:val="copyrightHeading2Styles"/>
        <w:spacing w:before="0"/>
        <w:rPr>
          <w:lang w:eastAsia="en-AU"/>
        </w:rPr>
      </w:pPr>
      <w:r>
        <w:rPr>
          <w:lang w:eastAsia="en-AU"/>
        </w:rPr>
        <w:t>Copyright</w:t>
      </w:r>
    </w:p>
    <w:p w14:paraId="07DFCB47" w14:textId="77777777" w:rsidR="00F41987" w:rsidRDefault="00F41987" w:rsidP="0052682D">
      <w:pPr>
        <w:pStyle w:val="BodyText"/>
        <w:jc w:val="left"/>
        <w:rPr>
          <w:rFonts w:cs="Calibri"/>
          <w:color w:val="auto"/>
          <w:lang w:eastAsia="en-AU"/>
        </w:rPr>
      </w:pPr>
      <w:bookmarkStart w:id="3" w:name="_Toc356292516"/>
      <w:r>
        <w:rPr>
          <w:lang w:eastAsia="en-AU"/>
        </w:rPr>
        <w:t>© Commonwealth of Australia 201</w:t>
      </w:r>
      <w:bookmarkEnd w:id="3"/>
      <w:r w:rsidR="000A7E72">
        <w:rPr>
          <w:lang w:eastAsia="en-AU"/>
        </w:rPr>
        <w:t>7</w:t>
      </w:r>
      <w:r>
        <w:rPr>
          <w:lang w:eastAsia="en-AU"/>
        </w:rPr>
        <w:t xml:space="preserve"> </w:t>
      </w:r>
    </w:p>
    <w:p w14:paraId="2F860D6E" w14:textId="77777777" w:rsidR="00C50E25" w:rsidRDefault="00867E09" w:rsidP="0052682D">
      <w:pPr>
        <w:pStyle w:val="copyrighttextStyles"/>
        <w:spacing w:before="0" w:after="0" w:afterAutospacing="0"/>
        <w:rPr>
          <w:lang w:eastAsia="en-AU"/>
        </w:rPr>
      </w:pPr>
      <w:bookmarkStart w:id="4" w:name="_Toc356292517"/>
      <w:r w:rsidRPr="00AC419A">
        <w:rPr>
          <w:noProof/>
          <w:lang w:eastAsia="en-AU"/>
        </w:rPr>
        <w:drawing>
          <wp:inline distT="0" distB="0" distL="0" distR="0" wp14:anchorId="1E5B1EE3" wp14:editId="28BCB206">
            <wp:extent cx="838200" cy="295275"/>
            <wp:effectExtent l="0" t="0" r="0" b="9525"/>
            <wp:docPr id="4" name="Picture 1" title="Creative Commons Attribution 3.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title="Creative Commons Attribution 3.0 logo"/>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bookmarkEnd w:id="4"/>
      <w:r w:rsidR="00CB387B">
        <w:rPr>
          <w:lang w:eastAsia="en-AU"/>
        </w:rPr>
        <w:t xml:space="preserve"> </w:t>
      </w:r>
    </w:p>
    <w:p w14:paraId="44BDF600" w14:textId="77777777" w:rsidR="00C50E25" w:rsidRDefault="00C50E25" w:rsidP="0052682D">
      <w:pPr>
        <w:pStyle w:val="copyrighttextStyles"/>
        <w:spacing w:before="0" w:after="0" w:afterAutospacing="0"/>
        <w:rPr>
          <w:lang w:eastAsia="en-AU"/>
        </w:rPr>
      </w:pPr>
    </w:p>
    <w:p w14:paraId="46932AF4" w14:textId="77777777" w:rsidR="00F41987" w:rsidRDefault="00F41987" w:rsidP="0052682D">
      <w:pPr>
        <w:pStyle w:val="copyrighttextStyles"/>
        <w:spacing w:before="0" w:after="0" w:afterAutospacing="0"/>
        <w:rPr>
          <w:lang w:eastAsia="en-AU"/>
        </w:rPr>
      </w:pPr>
      <w:r>
        <w:rPr>
          <w:lang w:eastAsia="en-AU"/>
        </w:rPr>
        <w:t>The material in this discussion paper is licensed under a Creative Commons Attribution—3.0 Australia license, with the exception of:</w:t>
      </w:r>
    </w:p>
    <w:p w14:paraId="16E39B06" w14:textId="77777777" w:rsidR="00F41987" w:rsidRDefault="00F41987" w:rsidP="0052682D">
      <w:pPr>
        <w:pStyle w:val="copyrighttextStyles"/>
        <w:numPr>
          <w:ilvl w:val="0"/>
          <w:numId w:val="27"/>
        </w:numPr>
        <w:spacing w:before="0" w:after="0" w:afterAutospacing="0"/>
        <w:rPr>
          <w:lang w:eastAsia="en-AU"/>
        </w:rPr>
      </w:pPr>
      <w:bookmarkStart w:id="5" w:name="_Toc356292518"/>
      <w:r>
        <w:rPr>
          <w:lang w:eastAsia="en-AU"/>
        </w:rPr>
        <w:t>the Commonwealth Coat of Arms</w:t>
      </w:r>
      <w:bookmarkEnd w:id="5"/>
      <w:r>
        <w:rPr>
          <w:lang w:eastAsia="en-AU"/>
        </w:rPr>
        <w:t>;</w:t>
      </w:r>
    </w:p>
    <w:p w14:paraId="34BEFA7D" w14:textId="77777777" w:rsidR="00F41987" w:rsidRDefault="00F41987" w:rsidP="0052682D">
      <w:pPr>
        <w:pStyle w:val="copyrighttextStyles"/>
        <w:numPr>
          <w:ilvl w:val="0"/>
          <w:numId w:val="27"/>
        </w:numPr>
        <w:spacing w:before="0" w:after="0" w:afterAutospacing="0"/>
        <w:rPr>
          <w:lang w:eastAsia="en-AU"/>
        </w:rPr>
      </w:pPr>
      <w:bookmarkStart w:id="6" w:name="_Toc356292519"/>
      <w:r>
        <w:rPr>
          <w:lang w:eastAsia="en-AU"/>
        </w:rPr>
        <w:t>this Department’s logo</w:t>
      </w:r>
      <w:bookmarkEnd w:id="6"/>
      <w:r>
        <w:rPr>
          <w:lang w:eastAsia="en-AU"/>
        </w:rPr>
        <w:t>;</w:t>
      </w:r>
    </w:p>
    <w:p w14:paraId="1D9C67ED" w14:textId="77777777" w:rsidR="00F41987" w:rsidRDefault="00F41987" w:rsidP="0052682D">
      <w:pPr>
        <w:pStyle w:val="copyrighttextStyles"/>
        <w:numPr>
          <w:ilvl w:val="0"/>
          <w:numId w:val="27"/>
        </w:numPr>
        <w:spacing w:before="0" w:after="0" w:afterAutospacing="0"/>
        <w:rPr>
          <w:lang w:eastAsia="en-AU"/>
        </w:rPr>
      </w:pPr>
      <w:r>
        <w:rPr>
          <w:lang w:eastAsia="en-AU"/>
        </w:rPr>
        <w:t>any third party material;</w:t>
      </w:r>
    </w:p>
    <w:p w14:paraId="144BB2C3" w14:textId="77777777" w:rsidR="00F41987" w:rsidRDefault="00F41987" w:rsidP="0052682D">
      <w:pPr>
        <w:pStyle w:val="copyrighttextStyles"/>
        <w:numPr>
          <w:ilvl w:val="0"/>
          <w:numId w:val="27"/>
        </w:numPr>
        <w:spacing w:before="0" w:after="0" w:afterAutospacing="0"/>
        <w:rPr>
          <w:lang w:eastAsia="en-AU"/>
        </w:rPr>
      </w:pPr>
      <w:r>
        <w:rPr>
          <w:lang w:eastAsia="en-AU"/>
        </w:rPr>
        <w:t>any material protected by a trademark; and</w:t>
      </w:r>
    </w:p>
    <w:p w14:paraId="37159724" w14:textId="77777777" w:rsidR="00F41987" w:rsidRDefault="00F41987" w:rsidP="0052682D">
      <w:pPr>
        <w:pStyle w:val="copyrighttextStyles"/>
        <w:numPr>
          <w:ilvl w:val="0"/>
          <w:numId w:val="27"/>
        </w:numPr>
        <w:spacing w:before="0" w:after="0" w:afterAutospacing="0"/>
        <w:rPr>
          <w:lang w:eastAsia="en-AU"/>
        </w:rPr>
      </w:pPr>
      <w:r>
        <w:rPr>
          <w:lang w:eastAsia="en-AU"/>
        </w:rPr>
        <w:t>any images and/or photographs.</w:t>
      </w:r>
    </w:p>
    <w:p w14:paraId="525411AD" w14:textId="77777777" w:rsidR="00C50E25" w:rsidRDefault="00C50E25" w:rsidP="0052682D">
      <w:pPr>
        <w:pStyle w:val="copyrighttextStyles"/>
        <w:spacing w:before="0" w:after="0" w:afterAutospacing="0"/>
      </w:pPr>
      <w:bookmarkStart w:id="7" w:name="_Toc356292520"/>
    </w:p>
    <w:p w14:paraId="7E36EC44" w14:textId="77777777" w:rsidR="001F4F16" w:rsidRDefault="00F41987" w:rsidP="0052682D">
      <w:pPr>
        <w:pStyle w:val="copyrighttextStyles"/>
        <w:spacing w:before="0" w:after="0" w:afterAutospacing="0"/>
        <w:rPr>
          <w:sz w:val="22"/>
          <w:szCs w:val="22"/>
        </w:rPr>
      </w:pPr>
      <w:r w:rsidRPr="006241BB">
        <w:t>More information on this CC BY license is set out at</w:t>
      </w:r>
      <w:r w:rsidR="00533634">
        <w:t xml:space="preserve"> the creative commons website:</w:t>
      </w:r>
      <w:r w:rsidRPr="006241BB">
        <w:t xml:space="preserve"> </w:t>
      </w:r>
      <w:bookmarkEnd w:id="7"/>
      <w:r w:rsidR="00235F66">
        <w:fldChar w:fldCharType="begin"/>
      </w:r>
      <w:r w:rsidR="00235F66">
        <w:instrText xml:space="preserve"> HYPERLINK "http://www.creativecommons.org/licenses/by/3.0/au/" </w:instrText>
      </w:r>
      <w:r w:rsidR="00235F66">
        <w:fldChar w:fldCharType="separate"/>
      </w:r>
      <w:r w:rsidRPr="006241BB">
        <w:rPr>
          <w:rStyle w:val="Hyperlink"/>
        </w:rPr>
        <w:t>www.creativecommons.org/licenses/by/3.0/au/</w:t>
      </w:r>
      <w:r w:rsidR="00235F66">
        <w:fldChar w:fldCharType="end"/>
      </w:r>
      <w:r w:rsidR="00533634">
        <w:t>.</w:t>
      </w:r>
      <w:r w:rsidR="00235F66">
        <w:t xml:space="preserve"> </w:t>
      </w:r>
      <w:r w:rsidRPr="006241BB">
        <w:t xml:space="preserve">Enquiries about this license and any use of this discussion paper can be sent to: </w:t>
      </w:r>
      <w:r w:rsidR="001F4F16">
        <w:t>BizLab, Department of Industry, Innovation and Science</w:t>
      </w:r>
      <w:r w:rsidRPr="001F4F16">
        <w:t xml:space="preserve">, </w:t>
      </w:r>
      <w:r w:rsidR="001F4F16" w:rsidRPr="001F4F16">
        <w:t>GPO Box 9839 | Canberra ACT 2601</w:t>
      </w:r>
      <w:r w:rsidR="001F4F16">
        <w:t>.</w:t>
      </w:r>
    </w:p>
    <w:p w14:paraId="1C12E56A" w14:textId="77777777" w:rsidR="00F41987" w:rsidRPr="006241BB" w:rsidRDefault="00F41987" w:rsidP="0052682D">
      <w:pPr>
        <w:pStyle w:val="copyrighttextStyles"/>
        <w:spacing w:before="0" w:after="0" w:afterAutospacing="0"/>
      </w:pPr>
    </w:p>
    <w:p w14:paraId="1BF7DEF7" w14:textId="77777777" w:rsidR="00F41987" w:rsidRDefault="00F41987" w:rsidP="0052682D">
      <w:pPr>
        <w:pStyle w:val="copyrightHeading2Styles"/>
        <w:spacing w:before="0"/>
        <w:rPr>
          <w:lang w:eastAsia="en-AU"/>
        </w:rPr>
      </w:pPr>
      <w:bookmarkStart w:id="8" w:name="_Toc356292521"/>
      <w:r>
        <w:rPr>
          <w:lang w:eastAsia="en-AU"/>
        </w:rPr>
        <w:t>Attribution</w:t>
      </w:r>
      <w:bookmarkEnd w:id="8"/>
    </w:p>
    <w:p w14:paraId="0F3159D6" w14:textId="77777777" w:rsidR="00F41987" w:rsidRDefault="00F41987" w:rsidP="0052682D">
      <w:pPr>
        <w:pStyle w:val="copyrighttextStyles"/>
        <w:spacing w:before="0" w:after="0" w:afterAutospacing="0"/>
        <w:rPr>
          <w:lang w:eastAsia="en-AU"/>
        </w:rPr>
      </w:pPr>
      <w:bookmarkStart w:id="9" w:name="_Toc356292522"/>
      <w:r>
        <w:rPr>
          <w:lang w:eastAsia="en-AU"/>
        </w:rPr>
        <w:t>Use of all or part of this discussion paper must include the following attribution:</w:t>
      </w:r>
      <w:bookmarkEnd w:id="9"/>
    </w:p>
    <w:p w14:paraId="735031BE" w14:textId="77777777" w:rsidR="00F41987" w:rsidRDefault="00F41987" w:rsidP="0052682D">
      <w:pPr>
        <w:pStyle w:val="copyrighttextStyles"/>
        <w:spacing w:before="0" w:after="0" w:afterAutospacing="0"/>
        <w:rPr>
          <w:lang w:eastAsia="en-AU"/>
        </w:rPr>
      </w:pPr>
      <w:bookmarkStart w:id="10" w:name="_Toc356292523"/>
      <w:r>
        <w:rPr>
          <w:lang w:eastAsia="en-AU"/>
        </w:rPr>
        <w:t>© Commonwealth of Australia 201</w:t>
      </w:r>
      <w:bookmarkEnd w:id="10"/>
      <w:r w:rsidR="001F4F16">
        <w:rPr>
          <w:lang w:eastAsia="en-AU"/>
        </w:rPr>
        <w:t>6</w:t>
      </w:r>
    </w:p>
    <w:p w14:paraId="66913F68" w14:textId="77777777" w:rsidR="00C50E25" w:rsidRDefault="00C50E25" w:rsidP="0052682D">
      <w:pPr>
        <w:pStyle w:val="copyrightHeading2Styles"/>
        <w:spacing w:before="0"/>
        <w:rPr>
          <w:lang w:eastAsia="en-AU"/>
        </w:rPr>
      </w:pPr>
      <w:bookmarkStart w:id="11" w:name="_Toc356292524"/>
    </w:p>
    <w:p w14:paraId="6D3A5C82" w14:textId="77777777" w:rsidR="00F41987" w:rsidRDefault="00F41987" w:rsidP="0052682D">
      <w:pPr>
        <w:pStyle w:val="copyrightHeading2Styles"/>
        <w:spacing w:before="0"/>
        <w:rPr>
          <w:lang w:eastAsia="en-AU"/>
        </w:rPr>
      </w:pPr>
      <w:r>
        <w:rPr>
          <w:lang w:eastAsia="en-AU"/>
        </w:rPr>
        <w:t>Using the Commonwealth Coat of Arms</w:t>
      </w:r>
      <w:bookmarkEnd w:id="11"/>
    </w:p>
    <w:p w14:paraId="72FBDE5C" w14:textId="77777777" w:rsidR="006241BB" w:rsidRDefault="00F41987" w:rsidP="0052682D">
      <w:pPr>
        <w:pStyle w:val="copyrighttextStyles"/>
        <w:spacing w:before="0" w:after="0" w:afterAutospacing="0"/>
      </w:pPr>
      <w:bookmarkStart w:id="12" w:name="_Toc356292525"/>
      <w:r w:rsidRPr="006241BB">
        <w:t xml:space="preserve">The terms of use for the Coat of Arms are available from the </w:t>
      </w:r>
      <w:r w:rsidRPr="006241BB">
        <w:rPr>
          <w:i/>
        </w:rPr>
        <w:t xml:space="preserve">It’s an Honour </w:t>
      </w:r>
      <w:r w:rsidRPr="006241BB">
        <w:t xml:space="preserve">website </w:t>
      </w:r>
      <w:r w:rsidRPr="006241BB">
        <w:br/>
        <w:t xml:space="preserve">(see </w:t>
      </w:r>
      <w:bookmarkEnd w:id="12"/>
      <w:r w:rsidR="00235F66">
        <w:fldChar w:fldCharType="begin"/>
      </w:r>
      <w:r w:rsidR="00235F66">
        <w:instrText xml:space="preserve"> HYPERLINK "http://www.itsanhonour.gov.au/" </w:instrText>
      </w:r>
      <w:r w:rsidR="00235F66">
        <w:fldChar w:fldCharType="separate"/>
      </w:r>
      <w:r w:rsidRPr="006241BB">
        <w:rPr>
          <w:rStyle w:val="Hyperlink"/>
        </w:rPr>
        <w:t>www.itsanhonour.gov.au</w:t>
      </w:r>
      <w:r w:rsidR="00235F66">
        <w:fldChar w:fldCharType="end"/>
      </w:r>
      <w:r w:rsidRPr="006241BB">
        <w:t xml:space="preserve"> and click ‘Commonwealth Coat of Arms’).</w:t>
      </w:r>
    </w:p>
    <w:p w14:paraId="438E686E" w14:textId="77777777" w:rsidR="0011216A" w:rsidRDefault="0011216A" w:rsidP="0052682D">
      <w:pPr>
        <w:spacing w:before="0"/>
      </w:pPr>
    </w:p>
    <w:p w14:paraId="49492B49" w14:textId="77777777" w:rsidR="0011216A" w:rsidRDefault="0011216A" w:rsidP="0052682D">
      <w:pPr>
        <w:spacing w:before="0"/>
      </w:pPr>
    </w:p>
    <w:p w14:paraId="170E7BDE" w14:textId="77777777" w:rsidR="00C50E25" w:rsidRDefault="00C50E25" w:rsidP="0052682D">
      <w:pPr>
        <w:spacing w:before="0"/>
        <w:rPr>
          <w:rFonts w:ascii="Calibri Light" w:eastAsia="Times New Roman" w:hAnsi="Calibri Light" w:cs="Geogrotesque-Light"/>
          <w:caps/>
          <w:color w:val="3F3F3F"/>
          <w:sz w:val="33"/>
          <w:szCs w:val="33"/>
        </w:rPr>
      </w:pPr>
      <w:r>
        <w:br w:type="page"/>
      </w:r>
    </w:p>
    <w:p w14:paraId="4078E794" w14:textId="77777777" w:rsidR="00182B29" w:rsidRDefault="00182B29" w:rsidP="00182B29">
      <w:pPr>
        <w:pStyle w:val="copyrightHeading2Styles"/>
        <w:spacing w:before="0"/>
      </w:pPr>
      <w:r>
        <w:lastRenderedPageBreak/>
        <w:t>ACKNOWLEDGEMENTS – the friends of the framework</w:t>
      </w:r>
    </w:p>
    <w:p w14:paraId="7958E8B6" w14:textId="77777777" w:rsidR="00182B29" w:rsidRDefault="00182B29" w:rsidP="00182B29">
      <w:r>
        <w:t>The Open Government Partnership project team and the Australian Public Service would like to thank members of its ‘Friends of the Framework’ reference group. The Friends include 24 people from the public and 37 public servants.</w:t>
      </w:r>
    </w:p>
    <w:p w14:paraId="62E4870D" w14:textId="77777777" w:rsidR="00182B29" w:rsidRDefault="00182B29" w:rsidP="00182B29">
      <w:r>
        <w:t>The Friends made valued contributions both to this Report and to our project more broadly, providing helpful advice; recommending sources and stakeholders to consult; and providing feedback on our work. Their feedback about their experiences engaging with the public service, in particular, was crucial in shaping the direction of our project. We sincerely thank you for giving up your valuable time – our work is far better for it.</w:t>
      </w:r>
    </w:p>
    <w:p w14:paraId="741DDE27" w14:textId="77777777" w:rsidR="00182B29" w:rsidRPr="00295E02" w:rsidRDefault="00182B29" w:rsidP="00182B29">
      <w:pPr>
        <w:rPr>
          <w:b/>
        </w:rPr>
      </w:pPr>
      <w:r>
        <w:rPr>
          <w:b/>
        </w:rPr>
        <w:t xml:space="preserve">The </w:t>
      </w:r>
      <w:r w:rsidRPr="00295E02">
        <w:rPr>
          <w:b/>
        </w:rPr>
        <w:t xml:space="preserve">Friends of the Framework </w:t>
      </w:r>
      <w:r>
        <w:rPr>
          <w:b/>
        </w:rPr>
        <w:t>are</w:t>
      </w:r>
      <w:r w:rsidRPr="00295E02">
        <w:rPr>
          <w: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6759"/>
      </w:tblGrid>
      <w:tr w:rsidR="00182B29" w:rsidRPr="00FF68AB" w14:paraId="791C42FF" w14:textId="77777777" w:rsidTr="008371E2">
        <w:tc>
          <w:tcPr>
            <w:tcW w:w="1256" w:type="pct"/>
            <w:tcBorders>
              <w:right w:val="single" w:sz="4" w:space="0" w:color="auto"/>
            </w:tcBorders>
          </w:tcPr>
          <w:p w14:paraId="38E0759B" w14:textId="77777777" w:rsidR="00182B29" w:rsidRDefault="00182B29" w:rsidP="00182B29">
            <w:pPr>
              <w:spacing w:before="0"/>
            </w:pPr>
            <w:r>
              <w:t>Amelia Loye</w:t>
            </w:r>
          </w:p>
        </w:tc>
        <w:tc>
          <w:tcPr>
            <w:tcW w:w="3744" w:type="pct"/>
            <w:tcBorders>
              <w:left w:val="single" w:sz="4" w:space="0" w:color="auto"/>
            </w:tcBorders>
          </w:tcPr>
          <w:p w14:paraId="160C8378" w14:textId="77777777" w:rsidR="00182B29" w:rsidRPr="00295E02" w:rsidRDefault="00182B29" w:rsidP="00182B29">
            <w:pPr>
              <w:spacing w:before="0"/>
            </w:pPr>
            <w:r w:rsidRPr="00295E02">
              <w:t>Engage2</w:t>
            </w:r>
          </w:p>
        </w:tc>
      </w:tr>
      <w:tr w:rsidR="00182B29" w14:paraId="5C18B182" w14:textId="77777777" w:rsidTr="008371E2">
        <w:tc>
          <w:tcPr>
            <w:tcW w:w="1256" w:type="pct"/>
            <w:tcBorders>
              <w:right w:val="single" w:sz="4" w:space="0" w:color="auto"/>
            </w:tcBorders>
          </w:tcPr>
          <w:p w14:paraId="4C431783" w14:textId="77777777" w:rsidR="00182B29" w:rsidRDefault="00182B29" w:rsidP="00182B29">
            <w:pPr>
              <w:spacing w:before="0"/>
            </w:pPr>
            <w:r>
              <w:t>Anne Bainbridge</w:t>
            </w:r>
          </w:p>
        </w:tc>
        <w:tc>
          <w:tcPr>
            <w:tcW w:w="3744" w:type="pct"/>
            <w:tcBorders>
              <w:left w:val="single" w:sz="4" w:space="0" w:color="auto"/>
            </w:tcBorders>
          </w:tcPr>
          <w:p w14:paraId="44E9E590" w14:textId="77777777" w:rsidR="00182B29" w:rsidRDefault="00182B29" w:rsidP="00182B29">
            <w:pPr>
              <w:spacing w:before="0"/>
            </w:pPr>
            <w:r>
              <w:t>YACSA Youth Affairs Council of South Australia</w:t>
            </w:r>
          </w:p>
        </w:tc>
      </w:tr>
      <w:tr w:rsidR="00182B29" w:rsidRPr="00662C06" w14:paraId="082C910B" w14:textId="77777777" w:rsidTr="008371E2">
        <w:tc>
          <w:tcPr>
            <w:tcW w:w="1256" w:type="pct"/>
            <w:tcBorders>
              <w:right w:val="single" w:sz="4" w:space="0" w:color="auto"/>
            </w:tcBorders>
          </w:tcPr>
          <w:p w14:paraId="3A5EAD28" w14:textId="77777777" w:rsidR="00182B29" w:rsidRDefault="00182B29" w:rsidP="00182B29">
            <w:pPr>
              <w:spacing w:before="0"/>
            </w:pPr>
            <w:r>
              <w:t>Beth Slatyer</w:t>
            </w:r>
          </w:p>
        </w:tc>
        <w:tc>
          <w:tcPr>
            <w:tcW w:w="3744" w:type="pct"/>
            <w:tcBorders>
              <w:left w:val="single" w:sz="4" w:space="0" w:color="auto"/>
            </w:tcBorders>
          </w:tcPr>
          <w:p w14:paraId="5D25A4B5" w14:textId="77777777" w:rsidR="00182B29" w:rsidRPr="00662C06" w:rsidRDefault="00182B29" w:rsidP="00182B29">
            <w:pPr>
              <w:spacing w:before="0"/>
            </w:pPr>
            <w:r w:rsidRPr="00662C06">
              <w:t>Canberra Alliance</w:t>
            </w:r>
          </w:p>
        </w:tc>
      </w:tr>
      <w:tr w:rsidR="00182B29" w:rsidRPr="00662C06" w14:paraId="39A928E6" w14:textId="77777777" w:rsidTr="008371E2">
        <w:tc>
          <w:tcPr>
            <w:tcW w:w="1256" w:type="pct"/>
            <w:tcBorders>
              <w:right w:val="single" w:sz="4" w:space="0" w:color="auto"/>
            </w:tcBorders>
          </w:tcPr>
          <w:p w14:paraId="30C50BF1" w14:textId="77777777" w:rsidR="00182B29" w:rsidRDefault="00182B29" w:rsidP="00182B29">
            <w:pPr>
              <w:spacing w:before="0"/>
            </w:pPr>
            <w:r>
              <w:t>Bob Douglas</w:t>
            </w:r>
          </w:p>
        </w:tc>
        <w:tc>
          <w:tcPr>
            <w:tcW w:w="3744" w:type="pct"/>
            <w:tcBorders>
              <w:left w:val="single" w:sz="4" w:space="0" w:color="auto"/>
            </w:tcBorders>
          </w:tcPr>
          <w:p w14:paraId="1267F831" w14:textId="77777777" w:rsidR="00182B29" w:rsidRPr="00662C06" w:rsidRDefault="00182B29" w:rsidP="00182B29">
            <w:pPr>
              <w:spacing w:before="0"/>
            </w:pPr>
            <w:r w:rsidRPr="00662C06">
              <w:t>Canberra Alliance</w:t>
            </w:r>
          </w:p>
        </w:tc>
      </w:tr>
      <w:tr w:rsidR="00182B29" w14:paraId="78EAE331" w14:textId="77777777" w:rsidTr="008371E2">
        <w:tc>
          <w:tcPr>
            <w:tcW w:w="1256" w:type="pct"/>
            <w:tcBorders>
              <w:right w:val="single" w:sz="4" w:space="0" w:color="auto"/>
            </w:tcBorders>
          </w:tcPr>
          <w:p w14:paraId="2992C2C4" w14:textId="77777777" w:rsidR="00182B29" w:rsidRDefault="00182B29" w:rsidP="00182B29">
            <w:pPr>
              <w:spacing w:before="0"/>
            </w:pPr>
            <w:r>
              <w:t>Bob Phelps</w:t>
            </w:r>
          </w:p>
        </w:tc>
        <w:tc>
          <w:tcPr>
            <w:tcW w:w="3744" w:type="pct"/>
            <w:tcBorders>
              <w:left w:val="single" w:sz="4" w:space="0" w:color="auto"/>
            </w:tcBorders>
          </w:tcPr>
          <w:p w14:paraId="7E46B06B" w14:textId="77777777" w:rsidR="00182B29" w:rsidRDefault="00182B29" w:rsidP="00182B29">
            <w:pPr>
              <w:spacing w:before="0"/>
            </w:pPr>
            <w:r>
              <w:t>Gene Ethics</w:t>
            </w:r>
          </w:p>
        </w:tc>
      </w:tr>
      <w:tr w:rsidR="00182B29" w:rsidRPr="00FF68AB" w14:paraId="1F41BF87" w14:textId="77777777" w:rsidTr="008371E2">
        <w:tc>
          <w:tcPr>
            <w:tcW w:w="1256" w:type="pct"/>
            <w:tcBorders>
              <w:right w:val="single" w:sz="4" w:space="0" w:color="auto"/>
            </w:tcBorders>
          </w:tcPr>
          <w:p w14:paraId="661AC569" w14:textId="77777777" w:rsidR="00182B29" w:rsidRDefault="00182B29" w:rsidP="00182B29">
            <w:pPr>
              <w:spacing w:before="0"/>
            </w:pPr>
            <w:r>
              <w:t>Carolyn Hendriks</w:t>
            </w:r>
          </w:p>
        </w:tc>
        <w:tc>
          <w:tcPr>
            <w:tcW w:w="3744" w:type="pct"/>
            <w:tcBorders>
              <w:left w:val="single" w:sz="4" w:space="0" w:color="auto"/>
            </w:tcBorders>
          </w:tcPr>
          <w:p w14:paraId="2C143BAA" w14:textId="77777777" w:rsidR="00182B29" w:rsidRPr="00295E02" w:rsidRDefault="00182B29" w:rsidP="00182B29">
            <w:pPr>
              <w:spacing w:before="0"/>
            </w:pPr>
            <w:r w:rsidRPr="00295E02">
              <w:t>New Democracy</w:t>
            </w:r>
          </w:p>
        </w:tc>
      </w:tr>
      <w:tr w:rsidR="00182B29" w14:paraId="5B5FB846" w14:textId="77777777" w:rsidTr="008371E2">
        <w:tc>
          <w:tcPr>
            <w:tcW w:w="1256" w:type="pct"/>
            <w:tcBorders>
              <w:right w:val="single" w:sz="4" w:space="0" w:color="auto"/>
            </w:tcBorders>
          </w:tcPr>
          <w:p w14:paraId="385D5E8F" w14:textId="77777777" w:rsidR="00182B29" w:rsidRDefault="00182B29" w:rsidP="00182B29">
            <w:pPr>
              <w:spacing w:before="0"/>
            </w:pPr>
            <w:r>
              <w:t>Daniel Thorpe</w:t>
            </w:r>
          </w:p>
        </w:tc>
        <w:tc>
          <w:tcPr>
            <w:tcW w:w="3744" w:type="pct"/>
            <w:tcBorders>
              <w:left w:val="single" w:sz="4" w:space="0" w:color="auto"/>
            </w:tcBorders>
          </w:tcPr>
          <w:p w14:paraId="7101567C" w14:textId="77777777" w:rsidR="00182B29" w:rsidRDefault="00182B29" w:rsidP="00182B29">
            <w:pPr>
              <w:spacing w:before="0"/>
            </w:pPr>
            <w:r>
              <w:t>Gould Thorpe Planning</w:t>
            </w:r>
          </w:p>
        </w:tc>
      </w:tr>
      <w:tr w:rsidR="00182B29" w14:paraId="64CBFCBF" w14:textId="77777777" w:rsidTr="008371E2">
        <w:tc>
          <w:tcPr>
            <w:tcW w:w="1256" w:type="pct"/>
            <w:tcBorders>
              <w:right w:val="single" w:sz="4" w:space="0" w:color="auto"/>
            </w:tcBorders>
          </w:tcPr>
          <w:p w14:paraId="022D3E8F" w14:textId="77777777" w:rsidR="00182B29" w:rsidRDefault="00182B29" w:rsidP="00182B29">
            <w:pPr>
              <w:spacing w:before="0"/>
            </w:pPr>
            <w:r>
              <w:t>Dilan Rajasingham</w:t>
            </w:r>
          </w:p>
        </w:tc>
        <w:tc>
          <w:tcPr>
            <w:tcW w:w="3744" w:type="pct"/>
            <w:tcBorders>
              <w:left w:val="single" w:sz="4" w:space="0" w:color="auto"/>
            </w:tcBorders>
          </w:tcPr>
          <w:p w14:paraId="1CC5A15C" w14:textId="77777777" w:rsidR="00182B29" w:rsidRDefault="00182B29" w:rsidP="00182B29">
            <w:pPr>
              <w:spacing w:before="0"/>
            </w:pPr>
            <w:r w:rsidRPr="00662C06">
              <w:t>Executive Manager Government Industry &amp; International Affairs</w:t>
            </w:r>
          </w:p>
        </w:tc>
      </w:tr>
      <w:tr w:rsidR="00182B29" w14:paraId="25BBB13C" w14:textId="77777777" w:rsidTr="008371E2">
        <w:tc>
          <w:tcPr>
            <w:tcW w:w="1256" w:type="pct"/>
            <w:tcBorders>
              <w:right w:val="single" w:sz="4" w:space="0" w:color="auto"/>
            </w:tcBorders>
          </w:tcPr>
          <w:p w14:paraId="00AC1052" w14:textId="77777777" w:rsidR="00182B29" w:rsidRDefault="00182B29" w:rsidP="00182B29">
            <w:pPr>
              <w:spacing w:before="0"/>
            </w:pPr>
            <w:r>
              <w:t>Don Lenihan</w:t>
            </w:r>
          </w:p>
        </w:tc>
        <w:tc>
          <w:tcPr>
            <w:tcW w:w="3744" w:type="pct"/>
            <w:tcBorders>
              <w:left w:val="single" w:sz="4" w:space="0" w:color="auto"/>
            </w:tcBorders>
          </w:tcPr>
          <w:p w14:paraId="63FAC09A" w14:textId="77777777" w:rsidR="00182B29" w:rsidRDefault="00182B29" w:rsidP="00182B29">
            <w:pPr>
              <w:spacing w:before="0"/>
            </w:pPr>
            <w:r>
              <w:t>Canada 20/20, Ontario Government</w:t>
            </w:r>
          </w:p>
        </w:tc>
      </w:tr>
      <w:tr w:rsidR="00182B29" w14:paraId="5B135B20" w14:textId="77777777" w:rsidTr="008371E2">
        <w:tc>
          <w:tcPr>
            <w:tcW w:w="1256" w:type="pct"/>
            <w:tcBorders>
              <w:right w:val="single" w:sz="4" w:space="0" w:color="auto"/>
            </w:tcBorders>
          </w:tcPr>
          <w:p w14:paraId="2C8B0F35" w14:textId="77777777" w:rsidR="00182B29" w:rsidRDefault="00182B29" w:rsidP="00182B29">
            <w:pPr>
              <w:spacing w:before="0"/>
            </w:pPr>
            <w:r>
              <w:t>Emma Blomkamp</w:t>
            </w:r>
          </w:p>
        </w:tc>
        <w:tc>
          <w:tcPr>
            <w:tcW w:w="3744" w:type="pct"/>
            <w:tcBorders>
              <w:left w:val="single" w:sz="4" w:space="0" w:color="auto"/>
            </w:tcBorders>
          </w:tcPr>
          <w:p w14:paraId="6DD337DF" w14:textId="77777777" w:rsidR="00182B29" w:rsidRDefault="00182B29" w:rsidP="00182B29">
            <w:pPr>
              <w:spacing w:before="0"/>
            </w:pPr>
            <w:r>
              <w:t>University of Melbourne, Policy Lab</w:t>
            </w:r>
          </w:p>
        </w:tc>
      </w:tr>
      <w:tr w:rsidR="00182B29" w14:paraId="1EE63E8F" w14:textId="77777777" w:rsidTr="008371E2">
        <w:tc>
          <w:tcPr>
            <w:tcW w:w="1256" w:type="pct"/>
            <w:tcBorders>
              <w:right w:val="single" w:sz="4" w:space="0" w:color="auto"/>
            </w:tcBorders>
          </w:tcPr>
          <w:p w14:paraId="109BB0DF" w14:textId="77777777" w:rsidR="00182B29" w:rsidRDefault="00182B29" w:rsidP="00182B29">
            <w:pPr>
              <w:spacing w:before="0"/>
            </w:pPr>
            <w:r>
              <w:t>Emma Lawson</w:t>
            </w:r>
          </w:p>
        </w:tc>
        <w:tc>
          <w:tcPr>
            <w:tcW w:w="3744" w:type="pct"/>
            <w:tcBorders>
              <w:left w:val="single" w:sz="4" w:space="0" w:color="auto"/>
            </w:tcBorders>
          </w:tcPr>
          <w:p w14:paraId="3FDD111C" w14:textId="77777777" w:rsidR="00182B29" w:rsidRDefault="00182B29" w:rsidP="00182B29">
            <w:pPr>
              <w:spacing w:before="0"/>
            </w:pPr>
            <w:r>
              <w:t>DemocracyCo</w:t>
            </w:r>
          </w:p>
        </w:tc>
      </w:tr>
      <w:tr w:rsidR="00182B29" w14:paraId="62BEDFAA" w14:textId="77777777" w:rsidTr="008371E2">
        <w:tc>
          <w:tcPr>
            <w:tcW w:w="1256" w:type="pct"/>
            <w:tcBorders>
              <w:right w:val="single" w:sz="4" w:space="0" w:color="auto"/>
            </w:tcBorders>
          </w:tcPr>
          <w:p w14:paraId="01FAB032" w14:textId="77777777" w:rsidR="00182B29" w:rsidRDefault="00182B29" w:rsidP="00182B29">
            <w:pPr>
              <w:spacing w:before="0"/>
            </w:pPr>
            <w:r>
              <w:t>Frederick Douglas Michna</w:t>
            </w:r>
          </w:p>
        </w:tc>
        <w:tc>
          <w:tcPr>
            <w:tcW w:w="3744" w:type="pct"/>
            <w:tcBorders>
              <w:left w:val="single" w:sz="4" w:space="0" w:color="auto"/>
            </w:tcBorders>
          </w:tcPr>
          <w:p w14:paraId="09462324" w14:textId="77777777" w:rsidR="00182B29" w:rsidRDefault="00182B29" w:rsidP="00182B29">
            <w:pPr>
              <w:spacing w:before="0"/>
            </w:pPr>
            <w:r>
              <w:t>Mimic works</w:t>
            </w:r>
          </w:p>
        </w:tc>
      </w:tr>
      <w:tr w:rsidR="00182B29" w:rsidRPr="00FF68AB" w14:paraId="05D6B038" w14:textId="77777777" w:rsidTr="008371E2">
        <w:trPr>
          <w:trHeight w:val="335"/>
        </w:trPr>
        <w:tc>
          <w:tcPr>
            <w:tcW w:w="1256" w:type="pct"/>
            <w:tcBorders>
              <w:right w:val="single" w:sz="4" w:space="0" w:color="auto"/>
            </w:tcBorders>
          </w:tcPr>
          <w:p w14:paraId="4F976772" w14:textId="77777777" w:rsidR="00182B29" w:rsidRDefault="00182B29" w:rsidP="00182B29">
            <w:pPr>
              <w:spacing w:before="0"/>
            </w:pPr>
            <w:r>
              <w:t>Katherine Szuminska</w:t>
            </w:r>
          </w:p>
        </w:tc>
        <w:tc>
          <w:tcPr>
            <w:tcW w:w="3744" w:type="pct"/>
            <w:tcBorders>
              <w:left w:val="single" w:sz="4" w:space="0" w:color="auto"/>
            </w:tcBorders>
          </w:tcPr>
          <w:p w14:paraId="7E686424" w14:textId="77777777" w:rsidR="00182B29" w:rsidRPr="00295E02" w:rsidRDefault="00182B29" w:rsidP="00182B29">
            <w:pPr>
              <w:spacing w:before="0"/>
            </w:pPr>
            <w:r>
              <w:t>Open</w:t>
            </w:r>
            <w:r w:rsidRPr="00295E02">
              <w:t xml:space="preserve">Australia Foundation, </w:t>
            </w:r>
            <w:r>
              <w:t xml:space="preserve">OGP Australia </w:t>
            </w:r>
            <w:r w:rsidRPr="00295E02">
              <w:t>Interim Working Group member</w:t>
            </w:r>
            <w:r>
              <w:t>, Open Government Partnership Forum, Australian Open Government Civil Society Network</w:t>
            </w:r>
          </w:p>
        </w:tc>
      </w:tr>
      <w:tr w:rsidR="00182B29" w14:paraId="17F20541" w14:textId="77777777" w:rsidTr="008371E2">
        <w:tc>
          <w:tcPr>
            <w:tcW w:w="1256" w:type="pct"/>
            <w:tcBorders>
              <w:right w:val="single" w:sz="4" w:space="0" w:color="auto"/>
            </w:tcBorders>
          </w:tcPr>
          <w:p w14:paraId="183300A1" w14:textId="77777777" w:rsidR="00182B29" w:rsidRDefault="00182B29" w:rsidP="00182B29">
            <w:pPr>
              <w:spacing w:before="0"/>
            </w:pPr>
            <w:r>
              <w:t>Ken Coghill</w:t>
            </w:r>
          </w:p>
        </w:tc>
        <w:tc>
          <w:tcPr>
            <w:tcW w:w="3744" w:type="pct"/>
            <w:tcBorders>
              <w:left w:val="single" w:sz="4" w:space="0" w:color="auto"/>
            </w:tcBorders>
          </w:tcPr>
          <w:p w14:paraId="77ABE160" w14:textId="77777777" w:rsidR="00182B29" w:rsidRDefault="00182B29" w:rsidP="00182B29">
            <w:pPr>
              <w:spacing w:before="0"/>
            </w:pPr>
            <w:r>
              <w:t xml:space="preserve">OGP Australia </w:t>
            </w:r>
            <w:r w:rsidRPr="00295E02">
              <w:t>Interim Working Group member</w:t>
            </w:r>
            <w:r>
              <w:t>, Open Government Partnership Forum, Australian Open Government Civil Society Network</w:t>
            </w:r>
          </w:p>
        </w:tc>
      </w:tr>
      <w:tr w:rsidR="00182B29" w:rsidRPr="00FF68AB" w14:paraId="2901BD4B" w14:textId="77777777" w:rsidTr="008371E2">
        <w:tc>
          <w:tcPr>
            <w:tcW w:w="1256" w:type="pct"/>
            <w:tcBorders>
              <w:right w:val="single" w:sz="4" w:space="0" w:color="auto"/>
            </w:tcBorders>
          </w:tcPr>
          <w:p w14:paraId="3AC05F50" w14:textId="77777777" w:rsidR="00182B29" w:rsidRDefault="00182B29" w:rsidP="00182B29">
            <w:pPr>
              <w:spacing w:before="0"/>
            </w:pPr>
            <w:r>
              <w:t>Marion Short</w:t>
            </w:r>
          </w:p>
        </w:tc>
        <w:tc>
          <w:tcPr>
            <w:tcW w:w="3744" w:type="pct"/>
            <w:tcBorders>
              <w:left w:val="single" w:sz="4" w:space="0" w:color="auto"/>
            </w:tcBorders>
          </w:tcPr>
          <w:p w14:paraId="01154B98" w14:textId="77777777" w:rsidR="00182B29" w:rsidRPr="00295E02" w:rsidRDefault="00182B29" w:rsidP="00182B29">
            <w:pPr>
              <w:spacing w:before="0"/>
            </w:pPr>
            <w:r w:rsidRPr="00295E02">
              <w:t>IAP2 Australasia</w:t>
            </w:r>
          </w:p>
        </w:tc>
      </w:tr>
      <w:tr w:rsidR="00182B29" w14:paraId="02073200" w14:textId="77777777" w:rsidTr="008371E2">
        <w:trPr>
          <w:trHeight w:val="212"/>
        </w:trPr>
        <w:tc>
          <w:tcPr>
            <w:tcW w:w="1256" w:type="pct"/>
            <w:tcBorders>
              <w:right w:val="single" w:sz="4" w:space="0" w:color="auto"/>
            </w:tcBorders>
          </w:tcPr>
          <w:p w14:paraId="42C7AD21" w14:textId="77777777" w:rsidR="00182B29" w:rsidRDefault="00182B29" w:rsidP="00182B29">
            <w:pPr>
              <w:spacing w:before="0"/>
            </w:pPr>
            <w:r>
              <w:t>Liz Skelton</w:t>
            </w:r>
          </w:p>
        </w:tc>
        <w:tc>
          <w:tcPr>
            <w:tcW w:w="3744" w:type="pct"/>
            <w:tcBorders>
              <w:left w:val="single" w:sz="4" w:space="0" w:color="auto"/>
            </w:tcBorders>
          </w:tcPr>
          <w:p w14:paraId="0149A9E4" w14:textId="77777777" w:rsidR="00182B29" w:rsidRDefault="00182B29" w:rsidP="00182B29">
            <w:pPr>
              <w:spacing w:before="0"/>
            </w:pPr>
            <w:r>
              <w:t>Collaboration for Impact</w:t>
            </w:r>
          </w:p>
        </w:tc>
      </w:tr>
      <w:tr w:rsidR="00182B29" w:rsidRPr="00FF68AB" w14:paraId="360D4278" w14:textId="77777777" w:rsidTr="008371E2">
        <w:trPr>
          <w:trHeight w:val="323"/>
        </w:trPr>
        <w:tc>
          <w:tcPr>
            <w:tcW w:w="1256" w:type="pct"/>
            <w:tcBorders>
              <w:right w:val="single" w:sz="4" w:space="0" w:color="auto"/>
            </w:tcBorders>
          </w:tcPr>
          <w:p w14:paraId="6915D6E2" w14:textId="77777777" w:rsidR="00182B29" w:rsidRDefault="00182B29" w:rsidP="00182B29">
            <w:pPr>
              <w:spacing w:before="0"/>
            </w:pPr>
            <w:r>
              <w:t>Lucy Parry</w:t>
            </w:r>
          </w:p>
        </w:tc>
        <w:tc>
          <w:tcPr>
            <w:tcW w:w="3744" w:type="pct"/>
            <w:tcBorders>
              <w:left w:val="single" w:sz="4" w:space="0" w:color="auto"/>
            </w:tcBorders>
          </w:tcPr>
          <w:p w14:paraId="05E179E0" w14:textId="77777777" w:rsidR="00182B29" w:rsidRPr="00295E02" w:rsidRDefault="00182B29" w:rsidP="00182B29">
            <w:pPr>
              <w:spacing w:before="0"/>
            </w:pPr>
            <w:r w:rsidRPr="00295E02">
              <w:t>The Centre for Deliberative Democracy and Governance University of Canberra; Research Assistant</w:t>
            </w:r>
          </w:p>
        </w:tc>
      </w:tr>
      <w:tr w:rsidR="00182B29" w14:paraId="1B97B42E" w14:textId="77777777" w:rsidTr="008371E2">
        <w:tc>
          <w:tcPr>
            <w:tcW w:w="1256" w:type="pct"/>
            <w:tcBorders>
              <w:right w:val="single" w:sz="4" w:space="0" w:color="auto"/>
            </w:tcBorders>
          </w:tcPr>
          <w:p w14:paraId="35BBC2FF" w14:textId="77777777" w:rsidR="00182B29" w:rsidRDefault="00182B29" w:rsidP="00182B29">
            <w:pPr>
              <w:spacing w:before="0"/>
            </w:pPr>
            <w:r>
              <w:t>Mel Flanagan</w:t>
            </w:r>
          </w:p>
        </w:tc>
        <w:tc>
          <w:tcPr>
            <w:tcW w:w="3744" w:type="pct"/>
            <w:tcBorders>
              <w:left w:val="single" w:sz="4" w:space="0" w:color="auto"/>
            </w:tcBorders>
          </w:tcPr>
          <w:p w14:paraId="7F347C76" w14:textId="77777777" w:rsidR="00182B29" w:rsidRDefault="00182B29" w:rsidP="00182B29">
            <w:pPr>
              <w:spacing w:before="0"/>
            </w:pPr>
            <w:r>
              <w:t>Nook Studios</w:t>
            </w:r>
          </w:p>
        </w:tc>
      </w:tr>
      <w:tr w:rsidR="00182B29" w14:paraId="30F98A30" w14:textId="77777777" w:rsidTr="008371E2">
        <w:tc>
          <w:tcPr>
            <w:tcW w:w="1256" w:type="pct"/>
            <w:tcBorders>
              <w:right w:val="single" w:sz="4" w:space="0" w:color="auto"/>
            </w:tcBorders>
          </w:tcPr>
          <w:p w14:paraId="25E7FF30" w14:textId="77777777" w:rsidR="00182B29" w:rsidRDefault="00182B29" w:rsidP="00182B29">
            <w:pPr>
              <w:spacing w:before="0"/>
            </w:pPr>
            <w:r>
              <w:t>Nick Rose</w:t>
            </w:r>
          </w:p>
        </w:tc>
        <w:tc>
          <w:tcPr>
            <w:tcW w:w="3744" w:type="pct"/>
            <w:tcBorders>
              <w:left w:val="single" w:sz="4" w:space="0" w:color="auto"/>
            </w:tcBorders>
          </w:tcPr>
          <w:p w14:paraId="503589F0" w14:textId="77777777" w:rsidR="00182B29" w:rsidRDefault="00182B29" w:rsidP="00182B29">
            <w:pPr>
              <w:spacing w:before="0"/>
            </w:pPr>
            <w:r>
              <w:t>Angliss</w:t>
            </w:r>
          </w:p>
        </w:tc>
      </w:tr>
      <w:tr w:rsidR="00182B29" w:rsidRPr="00662C06" w14:paraId="3AEE21C6" w14:textId="77777777" w:rsidTr="008371E2">
        <w:trPr>
          <w:trHeight w:val="299"/>
        </w:trPr>
        <w:tc>
          <w:tcPr>
            <w:tcW w:w="1256" w:type="pct"/>
            <w:tcBorders>
              <w:right w:val="single" w:sz="4" w:space="0" w:color="auto"/>
            </w:tcBorders>
          </w:tcPr>
          <w:p w14:paraId="703730A5" w14:textId="77777777" w:rsidR="00182B29" w:rsidRDefault="00182B29" w:rsidP="00182B29">
            <w:pPr>
              <w:spacing w:before="0"/>
            </w:pPr>
            <w:r>
              <w:t>Peter Timmins</w:t>
            </w:r>
          </w:p>
        </w:tc>
        <w:tc>
          <w:tcPr>
            <w:tcW w:w="3744" w:type="pct"/>
            <w:tcBorders>
              <w:left w:val="single" w:sz="4" w:space="0" w:color="auto"/>
            </w:tcBorders>
          </w:tcPr>
          <w:p w14:paraId="105228A6" w14:textId="77777777" w:rsidR="00182B29" w:rsidRPr="00295E02" w:rsidRDefault="00182B29" w:rsidP="00182B29">
            <w:pPr>
              <w:spacing w:before="0"/>
            </w:pPr>
            <w:r>
              <w:t xml:space="preserve">OGP Australia </w:t>
            </w:r>
            <w:r w:rsidRPr="00295E02">
              <w:t>Interim Working Group member</w:t>
            </w:r>
            <w:r>
              <w:t>, Open Government Partnership Forum, Australian Open Government Civil Society Network</w:t>
            </w:r>
          </w:p>
        </w:tc>
      </w:tr>
      <w:tr w:rsidR="00182B29" w14:paraId="503916BA" w14:textId="77777777" w:rsidTr="008371E2">
        <w:tc>
          <w:tcPr>
            <w:tcW w:w="1256" w:type="pct"/>
            <w:tcBorders>
              <w:right w:val="single" w:sz="4" w:space="0" w:color="auto"/>
            </w:tcBorders>
          </w:tcPr>
          <w:p w14:paraId="5C928EFB" w14:textId="77777777" w:rsidR="00182B29" w:rsidRDefault="00182B29" w:rsidP="00182B29">
            <w:pPr>
              <w:spacing w:before="0"/>
            </w:pPr>
            <w:r>
              <w:t>Robbi Williams</w:t>
            </w:r>
          </w:p>
        </w:tc>
        <w:tc>
          <w:tcPr>
            <w:tcW w:w="3744" w:type="pct"/>
            <w:tcBorders>
              <w:left w:val="single" w:sz="4" w:space="0" w:color="auto"/>
            </w:tcBorders>
          </w:tcPr>
          <w:p w14:paraId="7D841C28" w14:textId="77777777" w:rsidR="00182B29" w:rsidRDefault="00182B29" w:rsidP="00182B29">
            <w:pPr>
              <w:spacing w:before="0"/>
            </w:pPr>
            <w:r>
              <w:t>Purple Orange</w:t>
            </w:r>
          </w:p>
        </w:tc>
      </w:tr>
      <w:tr w:rsidR="00182B29" w14:paraId="290A4B23" w14:textId="77777777" w:rsidTr="008371E2">
        <w:tc>
          <w:tcPr>
            <w:tcW w:w="1256" w:type="pct"/>
            <w:tcBorders>
              <w:right w:val="single" w:sz="4" w:space="0" w:color="auto"/>
            </w:tcBorders>
          </w:tcPr>
          <w:p w14:paraId="3929C280" w14:textId="77777777" w:rsidR="00182B29" w:rsidRDefault="00182B29" w:rsidP="00182B29">
            <w:pPr>
              <w:spacing w:before="0"/>
            </w:pPr>
            <w:r>
              <w:t>Sandra Murray</w:t>
            </w:r>
          </w:p>
        </w:tc>
        <w:tc>
          <w:tcPr>
            <w:tcW w:w="3744" w:type="pct"/>
            <w:tcBorders>
              <w:left w:val="single" w:sz="4" w:space="0" w:color="auto"/>
            </w:tcBorders>
          </w:tcPr>
          <w:p w14:paraId="121775AE" w14:textId="77777777" w:rsidR="00182B29" w:rsidRDefault="00182B29" w:rsidP="00182B29">
            <w:pPr>
              <w:spacing w:before="0"/>
            </w:pPr>
            <w:r w:rsidRPr="00662C06">
              <w:t>UTas, Peoples Food Plan</w:t>
            </w:r>
          </w:p>
        </w:tc>
      </w:tr>
      <w:tr w:rsidR="00182B29" w14:paraId="19288B5E" w14:textId="77777777" w:rsidTr="008371E2">
        <w:tc>
          <w:tcPr>
            <w:tcW w:w="1256" w:type="pct"/>
            <w:tcBorders>
              <w:right w:val="single" w:sz="4" w:space="0" w:color="auto"/>
            </w:tcBorders>
          </w:tcPr>
          <w:p w14:paraId="0AF136AA" w14:textId="77777777" w:rsidR="00182B29" w:rsidRDefault="00182B29" w:rsidP="00182B29">
            <w:pPr>
              <w:spacing w:before="0"/>
            </w:pPr>
            <w:r>
              <w:t>Steve Macmillan</w:t>
            </w:r>
          </w:p>
        </w:tc>
        <w:tc>
          <w:tcPr>
            <w:tcW w:w="3744" w:type="pct"/>
            <w:tcBorders>
              <w:left w:val="single" w:sz="4" w:space="0" w:color="auto"/>
            </w:tcBorders>
          </w:tcPr>
          <w:p w14:paraId="62CACD08" w14:textId="77777777" w:rsidR="00182B29" w:rsidRDefault="00182B29" w:rsidP="00182B29">
            <w:pPr>
              <w:spacing w:before="0"/>
            </w:pPr>
            <w:r>
              <w:t>Commonwealth Bank</w:t>
            </w:r>
          </w:p>
        </w:tc>
      </w:tr>
      <w:tr w:rsidR="00182B29" w:rsidRPr="00FF68AB" w14:paraId="243D8F8A" w14:textId="77777777" w:rsidTr="008371E2">
        <w:tc>
          <w:tcPr>
            <w:tcW w:w="1256" w:type="pct"/>
            <w:tcBorders>
              <w:right w:val="single" w:sz="4" w:space="0" w:color="auto"/>
            </w:tcBorders>
          </w:tcPr>
          <w:p w14:paraId="4377585C" w14:textId="77777777" w:rsidR="00182B29" w:rsidRDefault="00182B29" w:rsidP="00182B29">
            <w:pPr>
              <w:spacing w:before="0"/>
            </w:pPr>
            <w:r>
              <w:t>Wendy Russell</w:t>
            </w:r>
          </w:p>
        </w:tc>
        <w:tc>
          <w:tcPr>
            <w:tcW w:w="3744" w:type="pct"/>
            <w:tcBorders>
              <w:left w:val="single" w:sz="4" w:space="0" w:color="auto"/>
            </w:tcBorders>
          </w:tcPr>
          <w:p w14:paraId="548598A3" w14:textId="77777777" w:rsidR="00182B29" w:rsidRPr="00295E02" w:rsidRDefault="00182B29" w:rsidP="00182B29">
            <w:pPr>
              <w:spacing w:before="0"/>
            </w:pPr>
            <w:r w:rsidRPr="00295E02">
              <w:t>Centre for Deliberative Democracy, University of Canberra + Double Arrow Consulting</w:t>
            </w:r>
          </w:p>
        </w:tc>
      </w:tr>
    </w:tbl>
    <w:p w14:paraId="7F1E0809" w14:textId="77777777" w:rsidR="00236A00" w:rsidRPr="0011216A" w:rsidRDefault="00236A00" w:rsidP="0052682D">
      <w:pPr>
        <w:spacing w:before="0"/>
      </w:pPr>
    </w:p>
    <w:p w14:paraId="3E272C44" w14:textId="77777777" w:rsidR="0011216A" w:rsidRPr="0011216A" w:rsidRDefault="0011216A" w:rsidP="0052682D">
      <w:pPr>
        <w:spacing w:before="0"/>
      </w:pPr>
    </w:p>
    <w:p w14:paraId="7FDA1539" w14:textId="77777777" w:rsidR="00531841" w:rsidRDefault="00531841" w:rsidP="0052682D">
      <w:pPr>
        <w:spacing w:before="0"/>
        <w:rPr>
          <w:rFonts w:ascii="Arial" w:eastAsia="Times New Roman" w:hAnsi="Arial" w:cs="TradeGothicLTStd-Light"/>
          <w:color w:val="000000"/>
          <w:sz w:val="16"/>
          <w:szCs w:val="16"/>
        </w:rPr>
      </w:pPr>
      <w:r>
        <w:rPr>
          <w:rFonts w:ascii="Arial" w:eastAsia="Times New Roman" w:hAnsi="Arial" w:cs="TradeGothicLTStd-Light"/>
          <w:color w:val="000000"/>
          <w:sz w:val="16"/>
          <w:szCs w:val="16"/>
        </w:rPr>
        <w:br w:type="page"/>
      </w:r>
    </w:p>
    <w:p w14:paraId="6C6D3AD1" w14:textId="77777777" w:rsidR="009462B0" w:rsidRPr="00BB3A0A" w:rsidRDefault="009462B0" w:rsidP="0052682D">
      <w:pPr>
        <w:spacing w:before="0"/>
        <w:rPr>
          <w:rFonts w:ascii="Arial" w:eastAsia="Times New Roman" w:hAnsi="Arial" w:cs="TradeGothicLTStd-Light"/>
          <w:color w:val="000000"/>
          <w:sz w:val="16"/>
          <w:szCs w:val="16"/>
        </w:rPr>
        <w:sectPr w:rsidR="009462B0" w:rsidRPr="00BB3A0A" w:rsidSect="00D33388">
          <w:headerReference w:type="default" r:id="rId15"/>
          <w:footerReference w:type="even" r:id="rId16"/>
          <w:footerReference w:type="default" r:id="rId17"/>
          <w:headerReference w:type="first" r:id="rId18"/>
          <w:footerReference w:type="first" r:id="rId19"/>
          <w:endnotePr>
            <w:numFmt w:val="decimal"/>
          </w:endnotePr>
          <w:pgSz w:w="11906" w:h="16838" w:code="9"/>
          <w:pgMar w:top="1701" w:right="1440" w:bottom="1276" w:left="1440" w:header="510" w:footer="454" w:gutter="0"/>
          <w:pgNumType w:fmt="lowerRoman" w:start="1"/>
          <w:cols w:space="708"/>
          <w:titlePg/>
          <w:docGrid w:linePitch="360"/>
        </w:sectPr>
      </w:pPr>
    </w:p>
    <w:bookmarkStart w:id="13" w:name="_Toc382493211" w:displacedByCustomXml="next"/>
    <w:sdt>
      <w:sdtPr>
        <w:rPr>
          <w:rFonts w:ascii="Calibri" w:eastAsia="Microsoft New Tai Lue" w:hAnsi="Calibri"/>
          <w:bCs w:val="0"/>
          <w:caps w:val="0"/>
          <w:color w:val="auto"/>
          <w:sz w:val="22"/>
          <w:szCs w:val="22"/>
        </w:rPr>
        <w:id w:val="-1858334480"/>
        <w:docPartObj>
          <w:docPartGallery w:val="Table of Contents"/>
          <w:docPartUnique/>
        </w:docPartObj>
      </w:sdtPr>
      <w:sdtEndPr>
        <w:rPr>
          <w:b/>
          <w:noProof/>
        </w:rPr>
      </w:sdtEndPr>
      <w:sdtContent>
        <w:p w14:paraId="357661BB" w14:textId="77777777" w:rsidR="001D5C57" w:rsidRDefault="001D5C57" w:rsidP="0052682D">
          <w:pPr>
            <w:pStyle w:val="TOCHeading"/>
            <w:spacing w:before="0" w:after="0"/>
          </w:pPr>
          <w:r>
            <w:t>Contents</w:t>
          </w:r>
        </w:p>
        <w:p w14:paraId="19901BE0" w14:textId="77777777" w:rsidR="008A275E" w:rsidRDefault="001D5C57">
          <w:pPr>
            <w:pStyle w:val="TOC1"/>
            <w:rPr>
              <w:rFonts w:asciiTheme="minorHAnsi" w:eastAsiaTheme="minorEastAsia" w:hAnsiTheme="minorHAnsi" w:cstheme="minorBidi"/>
              <w:color w:val="auto"/>
              <w:sz w:val="22"/>
              <w:lang w:eastAsia="en-AU"/>
            </w:rPr>
          </w:pPr>
          <w:r>
            <w:fldChar w:fldCharType="begin"/>
          </w:r>
          <w:r>
            <w:instrText xml:space="preserve"> TOC \o "1-3" \h \z \u </w:instrText>
          </w:r>
          <w:r>
            <w:fldChar w:fldCharType="separate"/>
          </w:r>
          <w:hyperlink w:anchor="_Toc495915943" w:history="1">
            <w:r w:rsidR="008A275E" w:rsidRPr="00980BC3">
              <w:rPr>
                <w:rStyle w:val="Hyperlink"/>
                <w:b/>
              </w:rPr>
              <w:t>Hidden in Plain Sight:</w:t>
            </w:r>
            <w:r w:rsidR="008A275E">
              <w:rPr>
                <w:webHidden/>
              </w:rPr>
              <w:tab/>
            </w:r>
            <w:r w:rsidR="008A275E">
              <w:rPr>
                <w:webHidden/>
              </w:rPr>
              <w:fldChar w:fldCharType="begin"/>
            </w:r>
            <w:r w:rsidR="008A275E">
              <w:rPr>
                <w:webHidden/>
              </w:rPr>
              <w:instrText xml:space="preserve"> PAGEREF _Toc495915943 \h </w:instrText>
            </w:r>
            <w:r w:rsidR="008A275E">
              <w:rPr>
                <w:webHidden/>
              </w:rPr>
            </w:r>
            <w:r w:rsidR="008A275E">
              <w:rPr>
                <w:webHidden/>
              </w:rPr>
              <w:fldChar w:fldCharType="separate"/>
            </w:r>
            <w:r w:rsidR="008A275E">
              <w:rPr>
                <w:webHidden/>
              </w:rPr>
              <w:t>i</w:t>
            </w:r>
            <w:r w:rsidR="008A275E">
              <w:rPr>
                <w:webHidden/>
              </w:rPr>
              <w:fldChar w:fldCharType="end"/>
            </w:r>
          </w:hyperlink>
        </w:p>
        <w:p w14:paraId="488A2B27" w14:textId="77777777" w:rsidR="008A275E" w:rsidRDefault="00B2619D">
          <w:pPr>
            <w:pStyle w:val="TOC1"/>
            <w:rPr>
              <w:rFonts w:asciiTheme="minorHAnsi" w:eastAsiaTheme="minorEastAsia" w:hAnsiTheme="minorHAnsi" w:cstheme="minorBidi"/>
              <w:color w:val="auto"/>
              <w:sz w:val="22"/>
              <w:lang w:eastAsia="en-AU"/>
            </w:rPr>
          </w:pPr>
          <w:hyperlink w:anchor="_Toc495915944" w:history="1">
            <w:r w:rsidR="008A275E" w:rsidRPr="00980BC3">
              <w:rPr>
                <w:rStyle w:val="Hyperlink"/>
              </w:rPr>
              <w:t>Building an understanding of how the APS can unlock community expertise to improve policy, programmes and service delivery</w:t>
            </w:r>
            <w:r w:rsidR="008A275E">
              <w:rPr>
                <w:webHidden/>
              </w:rPr>
              <w:tab/>
            </w:r>
            <w:r w:rsidR="008A275E">
              <w:rPr>
                <w:webHidden/>
              </w:rPr>
              <w:fldChar w:fldCharType="begin"/>
            </w:r>
            <w:r w:rsidR="008A275E">
              <w:rPr>
                <w:webHidden/>
              </w:rPr>
              <w:instrText xml:space="preserve"> PAGEREF _Toc495915944 \h </w:instrText>
            </w:r>
            <w:r w:rsidR="008A275E">
              <w:rPr>
                <w:webHidden/>
              </w:rPr>
            </w:r>
            <w:r w:rsidR="008A275E">
              <w:rPr>
                <w:webHidden/>
              </w:rPr>
              <w:fldChar w:fldCharType="separate"/>
            </w:r>
            <w:r w:rsidR="008A275E">
              <w:rPr>
                <w:webHidden/>
              </w:rPr>
              <w:t>i</w:t>
            </w:r>
            <w:r w:rsidR="008A275E">
              <w:rPr>
                <w:webHidden/>
              </w:rPr>
              <w:fldChar w:fldCharType="end"/>
            </w:r>
          </w:hyperlink>
        </w:p>
        <w:p w14:paraId="77A65BA5" w14:textId="77777777" w:rsidR="008A275E" w:rsidRDefault="00B2619D">
          <w:pPr>
            <w:pStyle w:val="TOC1"/>
            <w:rPr>
              <w:rFonts w:asciiTheme="minorHAnsi" w:eastAsiaTheme="minorEastAsia" w:hAnsiTheme="minorHAnsi" w:cstheme="minorBidi"/>
              <w:color w:val="auto"/>
              <w:sz w:val="22"/>
              <w:lang w:eastAsia="en-AU"/>
            </w:rPr>
          </w:pPr>
          <w:hyperlink w:anchor="_Toc495915945" w:history="1">
            <w:r w:rsidR="008A275E" w:rsidRPr="00980BC3">
              <w:rPr>
                <w:rStyle w:val="Hyperlink"/>
              </w:rPr>
              <w:t>Executive Summary</w:t>
            </w:r>
            <w:r w:rsidR="008A275E">
              <w:rPr>
                <w:webHidden/>
              </w:rPr>
              <w:tab/>
            </w:r>
            <w:r w:rsidR="008A275E">
              <w:rPr>
                <w:webHidden/>
              </w:rPr>
              <w:fldChar w:fldCharType="begin"/>
            </w:r>
            <w:r w:rsidR="008A275E">
              <w:rPr>
                <w:webHidden/>
              </w:rPr>
              <w:instrText xml:space="preserve"> PAGEREF _Toc495915945 \h </w:instrText>
            </w:r>
            <w:r w:rsidR="008A275E">
              <w:rPr>
                <w:webHidden/>
              </w:rPr>
            </w:r>
            <w:r w:rsidR="008A275E">
              <w:rPr>
                <w:webHidden/>
              </w:rPr>
              <w:fldChar w:fldCharType="separate"/>
            </w:r>
            <w:r w:rsidR="008A275E">
              <w:rPr>
                <w:webHidden/>
              </w:rPr>
              <w:t>4</w:t>
            </w:r>
            <w:r w:rsidR="008A275E">
              <w:rPr>
                <w:webHidden/>
              </w:rPr>
              <w:fldChar w:fldCharType="end"/>
            </w:r>
          </w:hyperlink>
        </w:p>
        <w:p w14:paraId="4416B909" w14:textId="77777777" w:rsidR="008A275E" w:rsidRDefault="00B2619D">
          <w:pPr>
            <w:pStyle w:val="TOC1"/>
            <w:rPr>
              <w:rFonts w:asciiTheme="minorHAnsi" w:eastAsiaTheme="minorEastAsia" w:hAnsiTheme="minorHAnsi" w:cstheme="minorBidi"/>
              <w:color w:val="auto"/>
              <w:sz w:val="22"/>
              <w:lang w:eastAsia="en-AU"/>
            </w:rPr>
          </w:pPr>
          <w:hyperlink w:anchor="_Toc495915946" w:history="1">
            <w:r w:rsidR="008A275E" w:rsidRPr="00980BC3">
              <w:rPr>
                <w:rStyle w:val="Hyperlink"/>
              </w:rPr>
              <w:t>Introduction to project and this report</w:t>
            </w:r>
            <w:r w:rsidR="008A275E">
              <w:rPr>
                <w:webHidden/>
              </w:rPr>
              <w:tab/>
            </w:r>
            <w:r w:rsidR="008A275E">
              <w:rPr>
                <w:webHidden/>
              </w:rPr>
              <w:fldChar w:fldCharType="begin"/>
            </w:r>
            <w:r w:rsidR="008A275E">
              <w:rPr>
                <w:webHidden/>
              </w:rPr>
              <w:instrText xml:space="preserve"> PAGEREF _Toc495915946 \h </w:instrText>
            </w:r>
            <w:r w:rsidR="008A275E">
              <w:rPr>
                <w:webHidden/>
              </w:rPr>
            </w:r>
            <w:r w:rsidR="008A275E">
              <w:rPr>
                <w:webHidden/>
              </w:rPr>
              <w:fldChar w:fldCharType="separate"/>
            </w:r>
            <w:r w:rsidR="008A275E">
              <w:rPr>
                <w:webHidden/>
              </w:rPr>
              <w:t>6</w:t>
            </w:r>
            <w:r w:rsidR="008A275E">
              <w:rPr>
                <w:webHidden/>
              </w:rPr>
              <w:fldChar w:fldCharType="end"/>
            </w:r>
          </w:hyperlink>
        </w:p>
        <w:p w14:paraId="36C55DEB" w14:textId="77777777" w:rsidR="008A275E" w:rsidRDefault="00B2619D">
          <w:pPr>
            <w:pStyle w:val="TOC1"/>
            <w:rPr>
              <w:rFonts w:asciiTheme="minorHAnsi" w:eastAsiaTheme="minorEastAsia" w:hAnsiTheme="minorHAnsi" w:cstheme="minorBidi"/>
              <w:color w:val="auto"/>
              <w:sz w:val="22"/>
              <w:lang w:eastAsia="en-AU"/>
            </w:rPr>
          </w:pPr>
          <w:hyperlink w:anchor="_Toc495915947" w:history="1">
            <w:r w:rsidR="008A275E" w:rsidRPr="00980BC3">
              <w:rPr>
                <w:rStyle w:val="Hyperlink"/>
                <w:b/>
              </w:rPr>
              <w:t>Chapter one:</w:t>
            </w:r>
            <w:r w:rsidR="008A275E">
              <w:rPr>
                <w:webHidden/>
              </w:rPr>
              <w:tab/>
            </w:r>
            <w:r w:rsidR="008A275E">
              <w:rPr>
                <w:webHidden/>
              </w:rPr>
              <w:fldChar w:fldCharType="begin"/>
            </w:r>
            <w:r w:rsidR="008A275E">
              <w:rPr>
                <w:webHidden/>
              </w:rPr>
              <w:instrText xml:space="preserve"> PAGEREF _Toc495915947 \h </w:instrText>
            </w:r>
            <w:r w:rsidR="008A275E">
              <w:rPr>
                <w:webHidden/>
              </w:rPr>
            </w:r>
            <w:r w:rsidR="008A275E">
              <w:rPr>
                <w:webHidden/>
              </w:rPr>
              <w:fldChar w:fldCharType="separate"/>
            </w:r>
            <w:r w:rsidR="008A275E">
              <w:rPr>
                <w:webHidden/>
              </w:rPr>
              <w:t>8</w:t>
            </w:r>
            <w:r w:rsidR="008A275E">
              <w:rPr>
                <w:webHidden/>
              </w:rPr>
              <w:fldChar w:fldCharType="end"/>
            </w:r>
          </w:hyperlink>
        </w:p>
        <w:p w14:paraId="4CB0DD6E" w14:textId="77777777" w:rsidR="008A275E" w:rsidRDefault="00B2619D">
          <w:pPr>
            <w:pStyle w:val="TOC1"/>
            <w:rPr>
              <w:rFonts w:asciiTheme="minorHAnsi" w:eastAsiaTheme="minorEastAsia" w:hAnsiTheme="minorHAnsi" w:cstheme="minorBidi"/>
              <w:color w:val="auto"/>
              <w:sz w:val="22"/>
              <w:lang w:eastAsia="en-AU"/>
            </w:rPr>
          </w:pPr>
          <w:hyperlink w:anchor="_Toc495915948" w:history="1">
            <w:r w:rsidR="008A275E" w:rsidRPr="00980BC3">
              <w:rPr>
                <w:rStyle w:val="Hyperlink"/>
              </w:rPr>
              <w:t>What is the problem we’re trying to solve?</w:t>
            </w:r>
            <w:r w:rsidR="008A275E">
              <w:rPr>
                <w:webHidden/>
              </w:rPr>
              <w:tab/>
            </w:r>
            <w:r w:rsidR="008A275E">
              <w:rPr>
                <w:webHidden/>
              </w:rPr>
              <w:fldChar w:fldCharType="begin"/>
            </w:r>
            <w:r w:rsidR="008A275E">
              <w:rPr>
                <w:webHidden/>
              </w:rPr>
              <w:instrText xml:space="preserve"> PAGEREF _Toc495915948 \h </w:instrText>
            </w:r>
            <w:r w:rsidR="008A275E">
              <w:rPr>
                <w:webHidden/>
              </w:rPr>
            </w:r>
            <w:r w:rsidR="008A275E">
              <w:rPr>
                <w:webHidden/>
              </w:rPr>
              <w:fldChar w:fldCharType="separate"/>
            </w:r>
            <w:r w:rsidR="008A275E">
              <w:rPr>
                <w:webHidden/>
              </w:rPr>
              <w:t>8</w:t>
            </w:r>
            <w:r w:rsidR="008A275E">
              <w:rPr>
                <w:webHidden/>
              </w:rPr>
              <w:fldChar w:fldCharType="end"/>
            </w:r>
          </w:hyperlink>
        </w:p>
        <w:p w14:paraId="382BB5BB" w14:textId="77777777" w:rsidR="008A275E" w:rsidRDefault="00B2619D">
          <w:pPr>
            <w:pStyle w:val="TOC2"/>
            <w:rPr>
              <w:rFonts w:asciiTheme="minorHAnsi" w:eastAsiaTheme="minorEastAsia" w:hAnsiTheme="minorHAnsi" w:cstheme="minorBidi"/>
              <w:noProof/>
              <w:color w:val="auto"/>
              <w:lang w:eastAsia="en-AU"/>
            </w:rPr>
          </w:pPr>
          <w:hyperlink w:anchor="_Toc495915949" w:history="1">
            <w:r w:rsidR="008A275E" w:rsidRPr="00980BC3">
              <w:rPr>
                <w:rStyle w:val="Hyperlink"/>
                <w:noProof/>
              </w:rPr>
              <w:t>The problems public servants have to solve are daunting</w:t>
            </w:r>
            <w:r w:rsidR="008A275E">
              <w:rPr>
                <w:noProof/>
                <w:webHidden/>
              </w:rPr>
              <w:tab/>
            </w:r>
            <w:r w:rsidR="008A275E">
              <w:rPr>
                <w:noProof/>
                <w:webHidden/>
              </w:rPr>
              <w:fldChar w:fldCharType="begin"/>
            </w:r>
            <w:r w:rsidR="008A275E">
              <w:rPr>
                <w:noProof/>
                <w:webHidden/>
              </w:rPr>
              <w:instrText xml:space="preserve"> PAGEREF _Toc495915949 \h </w:instrText>
            </w:r>
            <w:r w:rsidR="008A275E">
              <w:rPr>
                <w:noProof/>
                <w:webHidden/>
              </w:rPr>
            </w:r>
            <w:r w:rsidR="008A275E">
              <w:rPr>
                <w:noProof/>
                <w:webHidden/>
              </w:rPr>
              <w:fldChar w:fldCharType="separate"/>
            </w:r>
            <w:r w:rsidR="008A275E">
              <w:rPr>
                <w:noProof/>
                <w:webHidden/>
              </w:rPr>
              <w:t>9</w:t>
            </w:r>
            <w:r w:rsidR="008A275E">
              <w:rPr>
                <w:noProof/>
                <w:webHidden/>
              </w:rPr>
              <w:fldChar w:fldCharType="end"/>
            </w:r>
          </w:hyperlink>
        </w:p>
        <w:p w14:paraId="7FE78891" w14:textId="77777777" w:rsidR="008A275E" w:rsidRDefault="00B2619D">
          <w:pPr>
            <w:pStyle w:val="TOC2"/>
            <w:rPr>
              <w:rFonts w:asciiTheme="minorHAnsi" w:eastAsiaTheme="minorEastAsia" w:hAnsiTheme="minorHAnsi" w:cstheme="minorBidi"/>
              <w:noProof/>
              <w:color w:val="auto"/>
              <w:lang w:eastAsia="en-AU"/>
            </w:rPr>
          </w:pPr>
          <w:hyperlink w:anchor="_Toc495915950" w:history="1">
            <w:r w:rsidR="008A275E" w:rsidRPr="00980BC3">
              <w:rPr>
                <w:rStyle w:val="Hyperlink"/>
                <w:noProof/>
              </w:rPr>
              <w:t>Bringing the public into our work can help</w:t>
            </w:r>
            <w:r w:rsidR="008A275E">
              <w:rPr>
                <w:noProof/>
                <w:webHidden/>
              </w:rPr>
              <w:tab/>
            </w:r>
            <w:r w:rsidR="008A275E">
              <w:rPr>
                <w:noProof/>
                <w:webHidden/>
              </w:rPr>
              <w:fldChar w:fldCharType="begin"/>
            </w:r>
            <w:r w:rsidR="008A275E">
              <w:rPr>
                <w:noProof/>
                <w:webHidden/>
              </w:rPr>
              <w:instrText xml:space="preserve"> PAGEREF _Toc495915950 \h </w:instrText>
            </w:r>
            <w:r w:rsidR="008A275E">
              <w:rPr>
                <w:noProof/>
                <w:webHidden/>
              </w:rPr>
            </w:r>
            <w:r w:rsidR="008A275E">
              <w:rPr>
                <w:noProof/>
                <w:webHidden/>
              </w:rPr>
              <w:fldChar w:fldCharType="separate"/>
            </w:r>
            <w:r w:rsidR="008A275E">
              <w:rPr>
                <w:noProof/>
                <w:webHidden/>
              </w:rPr>
              <w:t>11</w:t>
            </w:r>
            <w:r w:rsidR="008A275E">
              <w:rPr>
                <w:noProof/>
                <w:webHidden/>
              </w:rPr>
              <w:fldChar w:fldCharType="end"/>
            </w:r>
          </w:hyperlink>
        </w:p>
        <w:p w14:paraId="706F275F" w14:textId="77777777" w:rsidR="008A275E" w:rsidRDefault="00B2619D">
          <w:pPr>
            <w:pStyle w:val="TOC2"/>
            <w:rPr>
              <w:rFonts w:asciiTheme="minorHAnsi" w:eastAsiaTheme="minorEastAsia" w:hAnsiTheme="minorHAnsi" w:cstheme="minorBidi"/>
              <w:noProof/>
              <w:color w:val="auto"/>
              <w:lang w:eastAsia="en-AU"/>
            </w:rPr>
          </w:pPr>
          <w:hyperlink w:anchor="_Toc495915951" w:history="1">
            <w:r w:rsidR="008A275E" w:rsidRPr="00980BC3">
              <w:rPr>
                <w:rStyle w:val="Hyperlink"/>
                <w:noProof/>
              </w:rPr>
              <w:t>Technology makes involving the public easier than ever</w:t>
            </w:r>
            <w:r w:rsidR="008A275E">
              <w:rPr>
                <w:noProof/>
                <w:webHidden/>
              </w:rPr>
              <w:tab/>
            </w:r>
            <w:r w:rsidR="008A275E">
              <w:rPr>
                <w:noProof/>
                <w:webHidden/>
              </w:rPr>
              <w:fldChar w:fldCharType="begin"/>
            </w:r>
            <w:r w:rsidR="008A275E">
              <w:rPr>
                <w:noProof/>
                <w:webHidden/>
              </w:rPr>
              <w:instrText xml:space="preserve"> PAGEREF _Toc495915951 \h </w:instrText>
            </w:r>
            <w:r w:rsidR="008A275E">
              <w:rPr>
                <w:noProof/>
                <w:webHidden/>
              </w:rPr>
            </w:r>
            <w:r w:rsidR="008A275E">
              <w:rPr>
                <w:noProof/>
                <w:webHidden/>
              </w:rPr>
              <w:fldChar w:fldCharType="separate"/>
            </w:r>
            <w:r w:rsidR="008A275E">
              <w:rPr>
                <w:noProof/>
                <w:webHidden/>
              </w:rPr>
              <w:t>14</w:t>
            </w:r>
            <w:r w:rsidR="008A275E">
              <w:rPr>
                <w:noProof/>
                <w:webHidden/>
              </w:rPr>
              <w:fldChar w:fldCharType="end"/>
            </w:r>
          </w:hyperlink>
        </w:p>
        <w:p w14:paraId="73465BB9" w14:textId="77777777" w:rsidR="008A275E" w:rsidRDefault="00B2619D">
          <w:pPr>
            <w:pStyle w:val="TOC2"/>
            <w:rPr>
              <w:rFonts w:asciiTheme="minorHAnsi" w:eastAsiaTheme="minorEastAsia" w:hAnsiTheme="minorHAnsi" w:cstheme="minorBidi"/>
              <w:noProof/>
              <w:color w:val="auto"/>
              <w:lang w:eastAsia="en-AU"/>
            </w:rPr>
          </w:pPr>
          <w:hyperlink w:anchor="_Toc495915952" w:history="1">
            <w:r w:rsidR="008A275E" w:rsidRPr="00980BC3">
              <w:rPr>
                <w:rStyle w:val="Hyperlink"/>
                <w:noProof/>
              </w:rPr>
              <w:t>The National Innovation and Science Agenda’s BRII Challenge is helping develop technology to tap the public’s expertise</w:t>
            </w:r>
            <w:r w:rsidR="008A275E">
              <w:rPr>
                <w:noProof/>
                <w:webHidden/>
              </w:rPr>
              <w:tab/>
            </w:r>
            <w:r w:rsidR="008A275E">
              <w:rPr>
                <w:noProof/>
                <w:webHidden/>
              </w:rPr>
              <w:fldChar w:fldCharType="begin"/>
            </w:r>
            <w:r w:rsidR="008A275E">
              <w:rPr>
                <w:noProof/>
                <w:webHidden/>
              </w:rPr>
              <w:instrText xml:space="preserve"> PAGEREF _Toc495915952 \h </w:instrText>
            </w:r>
            <w:r w:rsidR="008A275E">
              <w:rPr>
                <w:noProof/>
                <w:webHidden/>
              </w:rPr>
            </w:r>
            <w:r w:rsidR="008A275E">
              <w:rPr>
                <w:noProof/>
                <w:webHidden/>
              </w:rPr>
              <w:fldChar w:fldCharType="separate"/>
            </w:r>
            <w:r w:rsidR="008A275E">
              <w:rPr>
                <w:noProof/>
                <w:webHidden/>
              </w:rPr>
              <w:t>16</w:t>
            </w:r>
            <w:r w:rsidR="008A275E">
              <w:rPr>
                <w:noProof/>
                <w:webHidden/>
              </w:rPr>
              <w:fldChar w:fldCharType="end"/>
            </w:r>
          </w:hyperlink>
        </w:p>
        <w:p w14:paraId="6D39BDEB" w14:textId="77777777" w:rsidR="008A275E" w:rsidRDefault="00B2619D">
          <w:pPr>
            <w:pStyle w:val="TOC2"/>
            <w:rPr>
              <w:rFonts w:asciiTheme="minorHAnsi" w:eastAsiaTheme="minorEastAsia" w:hAnsiTheme="minorHAnsi" w:cstheme="minorBidi"/>
              <w:noProof/>
              <w:color w:val="auto"/>
              <w:lang w:eastAsia="en-AU"/>
            </w:rPr>
          </w:pPr>
          <w:hyperlink w:anchor="_Toc495915953" w:history="1">
            <w:r w:rsidR="008A275E" w:rsidRPr="00980BC3">
              <w:rPr>
                <w:rStyle w:val="Hyperlink"/>
                <w:noProof/>
              </w:rPr>
              <w:t>User Centred Design has a role to play</w:t>
            </w:r>
            <w:r w:rsidR="008A275E">
              <w:rPr>
                <w:noProof/>
                <w:webHidden/>
              </w:rPr>
              <w:tab/>
            </w:r>
            <w:r w:rsidR="008A275E">
              <w:rPr>
                <w:noProof/>
                <w:webHidden/>
              </w:rPr>
              <w:fldChar w:fldCharType="begin"/>
            </w:r>
            <w:r w:rsidR="008A275E">
              <w:rPr>
                <w:noProof/>
                <w:webHidden/>
              </w:rPr>
              <w:instrText xml:space="preserve"> PAGEREF _Toc495915953 \h </w:instrText>
            </w:r>
            <w:r w:rsidR="008A275E">
              <w:rPr>
                <w:noProof/>
                <w:webHidden/>
              </w:rPr>
            </w:r>
            <w:r w:rsidR="008A275E">
              <w:rPr>
                <w:noProof/>
                <w:webHidden/>
              </w:rPr>
              <w:fldChar w:fldCharType="separate"/>
            </w:r>
            <w:r w:rsidR="008A275E">
              <w:rPr>
                <w:noProof/>
                <w:webHidden/>
              </w:rPr>
              <w:t>17</w:t>
            </w:r>
            <w:r w:rsidR="008A275E">
              <w:rPr>
                <w:noProof/>
                <w:webHidden/>
              </w:rPr>
              <w:fldChar w:fldCharType="end"/>
            </w:r>
          </w:hyperlink>
        </w:p>
        <w:p w14:paraId="5B37C7FF" w14:textId="77777777" w:rsidR="008A275E" w:rsidRDefault="00B2619D">
          <w:pPr>
            <w:pStyle w:val="TOC2"/>
            <w:rPr>
              <w:rFonts w:asciiTheme="minorHAnsi" w:eastAsiaTheme="minorEastAsia" w:hAnsiTheme="minorHAnsi" w:cstheme="minorBidi"/>
              <w:noProof/>
              <w:color w:val="auto"/>
              <w:lang w:eastAsia="en-AU"/>
            </w:rPr>
          </w:pPr>
          <w:hyperlink w:anchor="_Toc495915954" w:history="1">
            <w:r w:rsidR="008A275E" w:rsidRPr="00980BC3">
              <w:rPr>
                <w:rStyle w:val="Hyperlink"/>
                <w:noProof/>
              </w:rPr>
              <w:t>So what is public participation, and why can it help?</w:t>
            </w:r>
            <w:r w:rsidR="008A275E">
              <w:rPr>
                <w:noProof/>
                <w:webHidden/>
              </w:rPr>
              <w:tab/>
            </w:r>
            <w:r w:rsidR="008A275E">
              <w:rPr>
                <w:noProof/>
                <w:webHidden/>
              </w:rPr>
              <w:fldChar w:fldCharType="begin"/>
            </w:r>
            <w:r w:rsidR="008A275E">
              <w:rPr>
                <w:noProof/>
                <w:webHidden/>
              </w:rPr>
              <w:instrText xml:space="preserve"> PAGEREF _Toc495915954 \h </w:instrText>
            </w:r>
            <w:r w:rsidR="008A275E">
              <w:rPr>
                <w:noProof/>
                <w:webHidden/>
              </w:rPr>
            </w:r>
            <w:r w:rsidR="008A275E">
              <w:rPr>
                <w:noProof/>
                <w:webHidden/>
              </w:rPr>
              <w:fldChar w:fldCharType="separate"/>
            </w:r>
            <w:r w:rsidR="008A275E">
              <w:rPr>
                <w:noProof/>
                <w:webHidden/>
              </w:rPr>
              <w:t>18</w:t>
            </w:r>
            <w:r w:rsidR="008A275E">
              <w:rPr>
                <w:noProof/>
                <w:webHidden/>
              </w:rPr>
              <w:fldChar w:fldCharType="end"/>
            </w:r>
          </w:hyperlink>
        </w:p>
        <w:p w14:paraId="06006392" w14:textId="77777777" w:rsidR="008A275E" w:rsidRDefault="00B2619D">
          <w:pPr>
            <w:pStyle w:val="TOC2"/>
            <w:rPr>
              <w:rFonts w:asciiTheme="minorHAnsi" w:eastAsiaTheme="minorEastAsia" w:hAnsiTheme="minorHAnsi" w:cstheme="minorBidi"/>
              <w:noProof/>
              <w:color w:val="auto"/>
              <w:lang w:eastAsia="en-AU"/>
            </w:rPr>
          </w:pPr>
          <w:hyperlink w:anchor="_Toc495915955" w:history="1">
            <w:r w:rsidR="008A275E" w:rsidRPr="00980BC3">
              <w:rPr>
                <w:rStyle w:val="Hyperlink"/>
                <w:noProof/>
              </w:rPr>
              <w:t>Our initial ‘working’ public participation framework</w:t>
            </w:r>
            <w:r w:rsidR="008A275E">
              <w:rPr>
                <w:noProof/>
                <w:webHidden/>
              </w:rPr>
              <w:tab/>
            </w:r>
            <w:r w:rsidR="008A275E">
              <w:rPr>
                <w:noProof/>
                <w:webHidden/>
              </w:rPr>
              <w:fldChar w:fldCharType="begin"/>
            </w:r>
            <w:r w:rsidR="008A275E">
              <w:rPr>
                <w:noProof/>
                <w:webHidden/>
              </w:rPr>
              <w:instrText xml:space="preserve"> PAGEREF _Toc495915955 \h </w:instrText>
            </w:r>
            <w:r w:rsidR="008A275E">
              <w:rPr>
                <w:noProof/>
                <w:webHidden/>
              </w:rPr>
            </w:r>
            <w:r w:rsidR="008A275E">
              <w:rPr>
                <w:noProof/>
                <w:webHidden/>
              </w:rPr>
              <w:fldChar w:fldCharType="separate"/>
            </w:r>
            <w:r w:rsidR="008A275E">
              <w:rPr>
                <w:noProof/>
                <w:webHidden/>
              </w:rPr>
              <w:t>24</w:t>
            </w:r>
            <w:r w:rsidR="008A275E">
              <w:rPr>
                <w:noProof/>
                <w:webHidden/>
              </w:rPr>
              <w:fldChar w:fldCharType="end"/>
            </w:r>
          </w:hyperlink>
        </w:p>
        <w:p w14:paraId="57F89B06" w14:textId="77777777" w:rsidR="008A275E" w:rsidRDefault="00B2619D">
          <w:pPr>
            <w:pStyle w:val="TOC2"/>
            <w:rPr>
              <w:rFonts w:asciiTheme="minorHAnsi" w:eastAsiaTheme="minorEastAsia" w:hAnsiTheme="minorHAnsi" w:cstheme="minorBidi"/>
              <w:noProof/>
              <w:color w:val="auto"/>
              <w:lang w:eastAsia="en-AU"/>
            </w:rPr>
          </w:pPr>
          <w:hyperlink w:anchor="_Toc495915956" w:history="1">
            <w:r w:rsidR="008A275E" w:rsidRPr="00980BC3">
              <w:rPr>
                <w:rStyle w:val="Hyperlink"/>
                <w:noProof/>
              </w:rPr>
              <w:t>Public participation is gaining a foothold in our states and territories and worldwide</w:t>
            </w:r>
            <w:r w:rsidR="008A275E">
              <w:rPr>
                <w:noProof/>
                <w:webHidden/>
              </w:rPr>
              <w:tab/>
            </w:r>
            <w:r w:rsidR="008A275E">
              <w:rPr>
                <w:noProof/>
                <w:webHidden/>
              </w:rPr>
              <w:fldChar w:fldCharType="begin"/>
            </w:r>
            <w:r w:rsidR="008A275E">
              <w:rPr>
                <w:noProof/>
                <w:webHidden/>
              </w:rPr>
              <w:instrText xml:space="preserve"> PAGEREF _Toc495915956 \h </w:instrText>
            </w:r>
            <w:r w:rsidR="008A275E">
              <w:rPr>
                <w:noProof/>
                <w:webHidden/>
              </w:rPr>
            </w:r>
            <w:r w:rsidR="008A275E">
              <w:rPr>
                <w:noProof/>
                <w:webHidden/>
              </w:rPr>
              <w:fldChar w:fldCharType="separate"/>
            </w:r>
            <w:r w:rsidR="008A275E">
              <w:rPr>
                <w:noProof/>
                <w:webHidden/>
              </w:rPr>
              <w:t>26</w:t>
            </w:r>
            <w:r w:rsidR="008A275E">
              <w:rPr>
                <w:noProof/>
                <w:webHidden/>
              </w:rPr>
              <w:fldChar w:fldCharType="end"/>
            </w:r>
          </w:hyperlink>
        </w:p>
        <w:p w14:paraId="77601DDA" w14:textId="77777777" w:rsidR="008A275E" w:rsidRDefault="00B2619D">
          <w:pPr>
            <w:pStyle w:val="TOC2"/>
            <w:rPr>
              <w:rFonts w:asciiTheme="minorHAnsi" w:eastAsiaTheme="minorEastAsia" w:hAnsiTheme="minorHAnsi" w:cstheme="minorBidi"/>
              <w:noProof/>
              <w:color w:val="auto"/>
              <w:lang w:eastAsia="en-AU"/>
            </w:rPr>
          </w:pPr>
          <w:hyperlink w:anchor="_Toc495915957" w:history="1">
            <w:r w:rsidR="008A275E" w:rsidRPr="00980BC3">
              <w:rPr>
                <w:rStyle w:val="Hyperlink"/>
                <w:noProof/>
              </w:rPr>
              <w:t>Case studies: Examples of good practice public participation in Australia</w:t>
            </w:r>
            <w:r w:rsidR="008A275E">
              <w:rPr>
                <w:noProof/>
                <w:webHidden/>
              </w:rPr>
              <w:tab/>
            </w:r>
            <w:r w:rsidR="008A275E">
              <w:rPr>
                <w:noProof/>
                <w:webHidden/>
              </w:rPr>
              <w:fldChar w:fldCharType="begin"/>
            </w:r>
            <w:r w:rsidR="008A275E">
              <w:rPr>
                <w:noProof/>
                <w:webHidden/>
              </w:rPr>
              <w:instrText xml:space="preserve"> PAGEREF _Toc495915957 \h </w:instrText>
            </w:r>
            <w:r w:rsidR="008A275E">
              <w:rPr>
                <w:noProof/>
                <w:webHidden/>
              </w:rPr>
            </w:r>
            <w:r w:rsidR="008A275E">
              <w:rPr>
                <w:noProof/>
                <w:webHidden/>
              </w:rPr>
              <w:fldChar w:fldCharType="separate"/>
            </w:r>
            <w:r w:rsidR="008A275E">
              <w:rPr>
                <w:noProof/>
                <w:webHidden/>
              </w:rPr>
              <w:t>28</w:t>
            </w:r>
            <w:r w:rsidR="008A275E">
              <w:rPr>
                <w:noProof/>
                <w:webHidden/>
              </w:rPr>
              <w:fldChar w:fldCharType="end"/>
            </w:r>
          </w:hyperlink>
        </w:p>
        <w:p w14:paraId="3D662AE2" w14:textId="77777777" w:rsidR="008A275E" w:rsidRDefault="00B2619D">
          <w:pPr>
            <w:pStyle w:val="TOC2"/>
            <w:rPr>
              <w:rFonts w:asciiTheme="minorHAnsi" w:eastAsiaTheme="minorEastAsia" w:hAnsiTheme="minorHAnsi" w:cstheme="minorBidi"/>
              <w:noProof/>
              <w:color w:val="auto"/>
              <w:lang w:eastAsia="en-AU"/>
            </w:rPr>
          </w:pPr>
          <w:hyperlink w:anchor="_Toc495915958" w:history="1">
            <w:r w:rsidR="008A275E" w:rsidRPr="00980BC3">
              <w:rPr>
                <w:rStyle w:val="Hyperlink"/>
                <w:noProof/>
              </w:rPr>
              <w:t>So what is the problem?</w:t>
            </w:r>
            <w:r w:rsidR="008A275E">
              <w:rPr>
                <w:noProof/>
                <w:webHidden/>
              </w:rPr>
              <w:tab/>
            </w:r>
            <w:r w:rsidR="008A275E">
              <w:rPr>
                <w:noProof/>
                <w:webHidden/>
              </w:rPr>
              <w:fldChar w:fldCharType="begin"/>
            </w:r>
            <w:r w:rsidR="008A275E">
              <w:rPr>
                <w:noProof/>
                <w:webHidden/>
              </w:rPr>
              <w:instrText xml:space="preserve"> PAGEREF _Toc495915958 \h </w:instrText>
            </w:r>
            <w:r w:rsidR="008A275E">
              <w:rPr>
                <w:noProof/>
                <w:webHidden/>
              </w:rPr>
            </w:r>
            <w:r w:rsidR="008A275E">
              <w:rPr>
                <w:noProof/>
                <w:webHidden/>
              </w:rPr>
              <w:fldChar w:fldCharType="separate"/>
            </w:r>
            <w:r w:rsidR="008A275E">
              <w:rPr>
                <w:noProof/>
                <w:webHidden/>
              </w:rPr>
              <w:t>33</w:t>
            </w:r>
            <w:r w:rsidR="008A275E">
              <w:rPr>
                <w:noProof/>
                <w:webHidden/>
              </w:rPr>
              <w:fldChar w:fldCharType="end"/>
            </w:r>
          </w:hyperlink>
        </w:p>
        <w:p w14:paraId="1387EF27" w14:textId="77777777" w:rsidR="008A275E" w:rsidRDefault="00B2619D">
          <w:pPr>
            <w:pStyle w:val="TOC1"/>
            <w:rPr>
              <w:rFonts w:asciiTheme="minorHAnsi" w:eastAsiaTheme="minorEastAsia" w:hAnsiTheme="minorHAnsi" w:cstheme="minorBidi"/>
              <w:color w:val="auto"/>
              <w:sz w:val="22"/>
              <w:lang w:eastAsia="en-AU"/>
            </w:rPr>
          </w:pPr>
          <w:hyperlink w:anchor="_Toc495915959" w:history="1">
            <w:r w:rsidR="008A275E" w:rsidRPr="00980BC3">
              <w:rPr>
                <w:rStyle w:val="Hyperlink"/>
                <w:b/>
              </w:rPr>
              <w:t>Chapter two:</w:t>
            </w:r>
            <w:r w:rsidR="008A275E">
              <w:rPr>
                <w:webHidden/>
              </w:rPr>
              <w:tab/>
            </w:r>
            <w:r w:rsidR="008A275E">
              <w:rPr>
                <w:webHidden/>
              </w:rPr>
              <w:fldChar w:fldCharType="begin"/>
            </w:r>
            <w:r w:rsidR="008A275E">
              <w:rPr>
                <w:webHidden/>
              </w:rPr>
              <w:instrText xml:space="preserve"> PAGEREF _Toc495915959 \h </w:instrText>
            </w:r>
            <w:r w:rsidR="008A275E">
              <w:rPr>
                <w:webHidden/>
              </w:rPr>
            </w:r>
            <w:r w:rsidR="008A275E">
              <w:rPr>
                <w:webHidden/>
              </w:rPr>
              <w:fldChar w:fldCharType="separate"/>
            </w:r>
            <w:r w:rsidR="008A275E">
              <w:rPr>
                <w:webHidden/>
              </w:rPr>
              <w:t>35</w:t>
            </w:r>
            <w:r w:rsidR="008A275E">
              <w:rPr>
                <w:webHidden/>
              </w:rPr>
              <w:fldChar w:fldCharType="end"/>
            </w:r>
          </w:hyperlink>
        </w:p>
        <w:p w14:paraId="60EE76D8" w14:textId="77777777" w:rsidR="008A275E" w:rsidRDefault="00B2619D">
          <w:pPr>
            <w:pStyle w:val="TOC1"/>
            <w:rPr>
              <w:rFonts w:asciiTheme="minorHAnsi" w:eastAsiaTheme="minorEastAsia" w:hAnsiTheme="minorHAnsi" w:cstheme="minorBidi"/>
              <w:color w:val="auto"/>
              <w:sz w:val="22"/>
              <w:lang w:eastAsia="en-AU"/>
            </w:rPr>
          </w:pPr>
          <w:hyperlink w:anchor="_Toc495915960" w:history="1">
            <w:r w:rsidR="008A275E" w:rsidRPr="00980BC3">
              <w:rPr>
                <w:rStyle w:val="Hyperlink"/>
              </w:rPr>
              <w:t>Why does the problem occur?</w:t>
            </w:r>
            <w:r w:rsidR="008A275E">
              <w:rPr>
                <w:webHidden/>
              </w:rPr>
              <w:tab/>
            </w:r>
            <w:r w:rsidR="008A275E">
              <w:rPr>
                <w:webHidden/>
              </w:rPr>
              <w:fldChar w:fldCharType="begin"/>
            </w:r>
            <w:r w:rsidR="008A275E">
              <w:rPr>
                <w:webHidden/>
              </w:rPr>
              <w:instrText xml:space="preserve"> PAGEREF _Toc495915960 \h </w:instrText>
            </w:r>
            <w:r w:rsidR="008A275E">
              <w:rPr>
                <w:webHidden/>
              </w:rPr>
            </w:r>
            <w:r w:rsidR="008A275E">
              <w:rPr>
                <w:webHidden/>
              </w:rPr>
              <w:fldChar w:fldCharType="separate"/>
            </w:r>
            <w:r w:rsidR="008A275E">
              <w:rPr>
                <w:webHidden/>
              </w:rPr>
              <w:t>35</w:t>
            </w:r>
            <w:r w:rsidR="008A275E">
              <w:rPr>
                <w:webHidden/>
              </w:rPr>
              <w:fldChar w:fldCharType="end"/>
            </w:r>
          </w:hyperlink>
        </w:p>
        <w:p w14:paraId="375227D8" w14:textId="77777777" w:rsidR="008A275E" w:rsidRDefault="00B2619D">
          <w:pPr>
            <w:pStyle w:val="TOC2"/>
            <w:rPr>
              <w:rFonts w:asciiTheme="minorHAnsi" w:eastAsiaTheme="minorEastAsia" w:hAnsiTheme="minorHAnsi" w:cstheme="minorBidi"/>
              <w:noProof/>
              <w:color w:val="auto"/>
              <w:lang w:eastAsia="en-AU"/>
            </w:rPr>
          </w:pPr>
          <w:hyperlink w:anchor="_Toc495915961" w:history="1">
            <w:r w:rsidR="008A275E" w:rsidRPr="00980BC3">
              <w:rPr>
                <w:rStyle w:val="Hyperlink"/>
                <w:noProof/>
              </w:rPr>
              <w:t>User research methodology</w:t>
            </w:r>
            <w:r w:rsidR="008A275E">
              <w:rPr>
                <w:noProof/>
                <w:webHidden/>
              </w:rPr>
              <w:tab/>
            </w:r>
            <w:r w:rsidR="008A275E">
              <w:rPr>
                <w:noProof/>
                <w:webHidden/>
              </w:rPr>
              <w:fldChar w:fldCharType="begin"/>
            </w:r>
            <w:r w:rsidR="008A275E">
              <w:rPr>
                <w:noProof/>
                <w:webHidden/>
              </w:rPr>
              <w:instrText xml:space="preserve"> PAGEREF _Toc495915961 \h </w:instrText>
            </w:r>
            <w:r w:rsidR="008A275E">
              <w:rPr>
                <w:noProof/>
                <w:webHidden/>
              </w:rPr>
            </w:r>
            <w:r w:rsidR="008A275E">
              <w:rPr>
                <w:noProof/>
                <w:webHidden/>
              </w:rPr>
              <w:fldChar w:fldCharType="separate"/>
            </w:r>
            <w:r w:rsidR="008A275E">
              <w:rPr>
                <w:noProof/>
                <w:webHidden/>
              </w:rPr>
              <w:t>37</w:t>
            </w:r>
            <w:r w:rsidR="008A275E">
              <w:rPr>
                <w:noProof/>
                <w:webHidden/>
              </w:rPr>
              <w:fldChar w:fldCharType="end"/>
            </w:r>
          </w:hyperlink>
        </w:p>
        <w:p w14:paraId="65CF481B" w14:textId="77777777" w:rsidR="008A275E" w:rsidRDefault="00B2619D">
          <w:pPr>
            <w:pStyle w:val="TOC2"/>
            <w:rPr>
              <w:rFonts w:asciiTheme="minorHAnsi" w:eastAsiaTheme="minorEastAsia" w:hAnsiTheme="minorHAnsi" w:cstheme="minorBidi"/>
              <w:noProof/>
              <w:color w:val="auto"/>
              <w:lang w:eastAsia="en-AU"/>
            </w:rPr>
          </w:pPr>
          <w:hyperlink w:anchor="_Toc495915962" w:history="1">
            <w:r w:rsidR="008A275E" w:rsidRPr="00980BC3">
              <w:rPr>
                <w:rStyle w:val="Hyperlink"/>
                <w:noProof/>
              </w:rPr>
              <w:t>Themes and implications from user interviews with APS staff</w:t>
            </w:r>
            <w:r w:rsidR="008A275E">
              <w:rPr>
                <w:noProof/>
                <w:webHidden/>
              </w:rPr>
              <w:tab/>
            </w:r>
            <w:r w:rsidR="008A275E">
              <w:rPr>
                <w:noProof/>
                <w:webHidden/>
              </w:rPr>
              <w:fldChar w:fldCharType="begin"/>
            </w:r>
            <w:r w:rsidR="008A275E">
              <w:rPr>
                <w:noProof/>
                <w:webHidden/>
              </w:rPr>
              <w:instrText xml:space="preserve"> PAGEREF _Toc495915962 \h </w:instrText>
            </w:r>
            <w:r w:rsidR="008A275E">
              <w:rPr>
                <w:noProof/>
                <w:webHidden/>
              </w:rPr>
            </w:r>
            <w:r w:rsidR="008A275E">
              <w:rPr>
                <w:noProof/>
                <w:webHidden/>
              </w:rPr>
              <w:fldChar w:fldCharType="separate"/>
            </w:r>
            <w:r w:rsidR="008A275E">
              <w:rPr>
                <w:noProof/>
                <w:webHidden/>
              </w:rPr>
              <w:t>38</w:t>
            </w:r>
            <w:r w:rsidR="008A275E">
              <w:rPr>
                <w:noProof/>
                <w:webHidden/>
              </w:rPr>
              <w:fldChar w:fldCharType="end"/>
            </w:r>
          </w:hyperlink>
        </w:p>
        <w:p w14:paraId="5C0E2E51" w14:textId="77777777" w:rsidR="008A275E" w:rsidRDefault="00B2619D">
          <w:pPr>
            <w:pStyle w:val="TOC2"/>
            <w:rPr>
              <w:rFonts w:asciiTheme="minorHAnsi" w:eastAsiaTheme="minorEastAsia" w:hAnsiTheme="minorHAnsi" w:cstheme="minorBidi"/>
              <w:noProof/>
              <w:color w:val="auto"/>
              <w:lang w:eastAsia="en-AU"/>
            </w:rPr>
          </w:pPr>
          <w:hyperlink w:anchor="_Toc495915963" w:history="1">
            <w:r w:rsidR="008A275E" w:rsidRPr="00980BC3">
              <w:rPr>
                <w:rStyle w:val="Hyperlink"/>
                <w:noProof/>
              </w:rPr>
              <w:t>APS Theme 1:</w:t>
            </w:r>
            <w:r w:rsidR="008A275E">
              <w:rPr>
                <w:noProof/>
                <w:webHidden/>
              </w:rPr>
              <w:tab/>
            </w:r>
            <w:r w:rsidR="008A275E">
              <w:rPr>
                <w:noProof/>
                <w:webHidden/>
              </w:rPr>
              <w:fldChar w:fldCharType="begin"/>
            </w:r>
            <w:r w:rsidR="008A275E">
              <w:rPr>
                <w:noProof/>
                <w:webHidden/>
              </w:rPr>
              <w:instrText xml:space="preserve"> PAGEREF _Toc495915963 \h </w:instrText>
            </w:r>
            <w:r w:rsidR="008A275E">
              <w:rPr>
                <w:noProof/>
                <w:webHidden/>
              </w:rPr>
            </w:r>
            <w:r w:rsidR="008A275E">
              <w:rPr>
                <w:noProof/>
                <w:webHidden/>
              </w:rPr>
              <w:fldChar w:fldCharType="separate"/>
            </w:r>
            <w:r w:rsidR="008A275E">
              <w:rPr>
                <w:noProof/>
                <w:webHidden/>
              </w:rPr>
              <w:t>39</w:t>
            </w:r>
            <w:r w:rsidR="008A275E">
              <w:rPr>
                <w:noProof/>
                <w:webHidden/>
              </w:rPr>
              <w:fldChar w:fldCharType="end"/>
            </w:r>
          </w:hyperlink>
        </w:p>
        <w:p w14:paraId="2713B298" w14:textId="77777777" w:rsidR="008A275E" w:rsidRDefault="00B2619D">
          <w:pPr>
            <w:pStyle w:val="TOC2"/>
            <w:rPr>
              <w:rFonts w:asciiTheme="minorHAnsi" w:eastAsiaTheme="minorEastAsia" w:hAnsiTheme="minorHAnsi" w:cstheme="minorBidi"/>
              <w:noProof/>
              <w:color w:val="auto"/>
              <w:lang w:eastAsia="en-AU"/>
            </w:rPr>
          </w:pPr>
          <w:hyperlink w:anchor="_Toc495915964" w:history="1">
            <w:r w:rsidR="008A275E" w:rsidRPr="00980BC3">
              <w:rPr>
                <w:rStyle w:val="Hyperlink"/>
                <w:noProof/>
              </w:rPr>
              <w:t>Awareness and practical experience of how to engage the community beyond traditional information sharing and consultation is patchy. There are good examples of more collaborative approaches, but this is not the norm.</w:t>
            </w:r>
            <w:r w:rsidR="008A275E">
              <w:rPr>
                <w:noProof/>
                <w:webHidden/>
              </w:rPr>
              <w:tab/>
            </w:r>
            <w:r w:rsidR="008A275E">
              <w:rPr>
                <w:noProof/>
                <w:webHidden/>
              </w:rPr>
              <w:fldChar w:fldCharType="begin"/>
            </w:r>
            <w:r w:rsidR="008A275E">
              <w:rPr>
                <w:noProof/>
                <w:webHidden/>
              </w:rPr>
              <w:instrText xml:space="preserve"> PAGEREF _Toc495915964 \h </w:instrText>
            </w:r>
            <w:r w:rsidR="008A275E">
              <w:rPr>
                <w:noProof/>
                <w:webHidden/>
              </w:rPr>
            </w:r>
            <w:r w:rsidR="008A275E">
              <w:rPr>
                <w:noProof/>
                <w:webHidden/>
              </w:rPr>
              <w:fldChar w:fldCharType="separate"/>
            </w:r>
            <w:r w:rsidR="008A275E">
              <w:rPr>
                <w:noProof/>
                <w:webHidden/>
              </w:rPr>
              <w:t>39</w:t>
            </w:r>
            <w:r w:rsidR="008A275E">
              <w:rPr>
                <w:noProof/>
                <w:webHidden/>
              </w:rPr>
              <w:fldChar w:fldCharType="end"/>
            </w:r>
          </w:hyperlink>
        </w:p>
        <w:p w14:paraId="39B72A8A" w14:textId="77777777" w:rsidR="008A275E" w:rsidRDefault="00B2619D">
          <w:pPr>
            <w:pStyle w:val="TOC2"/>
            <w:rPr>
              <w:rFonts w:asciiTheme="minorHAnsi" w:eastAsiaTheme="minorEastAsia" w:hAnsiTheme="minorHAnsi" w:cstheme="minorBidi"/>
              <w:noProof/>
              <w:color w:val="auto"/>
              <w:lang w:eastAsia="en-AU"/>
            </w:rPr>
          </w:pPr>
          <w:hyperlink w:anchor="_Toc495915965" w:history="1">
            <w:r w:rsidR="008A275E" w:rsidRPr="00980BC3">
              <w:rPr>
                <w:rStyle w:val="Hyperlink"/>
                <w:noProof/>
              </w:rPr>
              <w:t>APS Theme 2:</w:t>
            </w:r>
            <w:r w:rsidR="008A275E">
              <w:rPr>
                <w:noProof/>
                <w:webHidden/>
              </w:rPr>
              <w:tab/>
            </w:r>
            <w:r w:rsidR="008A275E">
              <w:rPr>
                <w:noProof/>
                <w:webHidden/>
              </w:rPr>
              <w:fldChar w:fldCharType="begin"/>
            </w:r>
            <w:r w:rsidR="008A275E">
              <w:rPr>
                <w:noProof/>
                <w:webHidden/>
              </w:rPr>
              <w:instrText xml:space="preserve"> PAGEREF _Toc495915965 \h </w:instrText>
            </w:r>
            <w:r w:rsidR="008A275E">
              <w:rPr>
                <w:noProof/>
                <w:webHidden/>
              </w:rPr>
            </w:r>
            <w:r w:rsidR="008A275E">
              <w:rPr>
                <w:noProof/>
                <w:webHidden/>
              </w:rPr>
              <w:fldChar w:fldCharType="separate"/>
            </w:r>
            <w:r w:rsidR="008A275E">
              <w:rPr>
                <w:noProof/>
                <w:webHidden/>
              </w:rPr>
              <w:t>40</w:t>
            </w:r>
            <w:r w:rsidR="008A275E">
              <w:rPr>
                <w:noProof/>
                <w:webHidden/>
              </w:rPr>
              <w:fldChar w:fldCharType="end"/>
            </w:r>
          </w:hyperlink>
        </w:p>
        <w:p w14:paraId="42E7C840" w14:textId="77777777" w:rsidR="008A275E" w:rsidRDefault="00B2619D">
          <w:pPr>
            <w:pStyle w:val="TOC2"/>
            <w:rPr>
              <w:rFonts w:asciiTheme="minorHAnsi" w:eastAsiaTheme="minorEastAsia" w:hAnsiTheme="minorHAnsi" w:cstheme="minorBidi"/>
              <w:noProof/>
              <w:color w:val="auto"/>
              <w:lang w:eastAsia="en-AU"/>
            </w:rPr>
          </w:pPr>
          <w:hyperlink w:anchor="_Toc495915966" w:history="1">
            <w:r w:rsidR="008A275E" w:rsidRPr="00980BC3">
              <w:rPr>
                <w:rStyle w:val="Hyperlink"/>
                <w:noProof/>
              </w:rPr>
              <w:t>Consultation often has an emphasis on obtaining buy in rather than accessing expertise.</w:t>
            </w:r>
            <w:r w:rsidR="008A275E">
              <w:rPr>
                <w:noProof/>
                <w:webHidden/>
              </w:rPr>
              <w:tab/>
            </w:r>
            <w:r w:rsidR="008A275E">
              <w:rPr>
                <w:noProof/>
                <w:webHidden/>
              </w:rPr>
              <w:fldChar w:fldCharType="begin"/>
            </w:r>
            <w:r w:rsidR="008A275E">
              <w:rPr>
                <w:noProof/>
                <w:webHidden/>
              </w:rPr>
              <w:instrText xml:space="preserve"> PAGEREF _Toc495915966 \h </w:instrText>
            </w:r>
            <w:r w:rsidR="008A275E">
              <w:rPr>
                <w:noProof/>
                <w:webHidden/>
              </w:rPr>
            </w:r>
            <w:r w:rsidR="008A275E">
              <w:rPr>
                <w:noProof/>
                <w:webHidden/>
              </w:rPr>
              <w:fldChar w:fldCharType="separate"/>
            </w:r>
            <w:r w:rsidR="008A275E">
              <w:rPr>
                <w:noProof/>
                <w:webHidden/>
              </w:rPr>
              <w:t>40</w:t>
            </w:r>
            <w:r w:rsidR="008A275E">
              <w:rPr>
                <w:noProof/>
                <w:webHidden/>
              </w:rPr>
              <w:fldChar w:fldCharType="end"/>
            </w:r>
          </w:hyperlink>
        </w:p>
        <w:p w14:paraId="50FA0A1A" w14:textId="77777777" w:rsidR="008A275E" w:rsidRDefault="00B2619D">
          <w:pPr>
            <w:pStyle w:val="TOC2"/>
            <w:rPr>
              <w:rFonts w:asciiTheme="minorHAnsi" w:eastAsiaTheme="minorEastAsia" w:hAnsiTheme="minorHAnsi" w:cstheme="minorBidi"/>
              <w:noProof/>
              <w:color w:val="auto"/>
              <w:lang w:eastAsia="en-AU"/>
            </w:rPr>
          </w:pPr>
          <w:hyperlink w:anchor="_Toc495915967" w:history="1">
            <w:r w:rsidR="008A275E" w:rsidRPr="00980BC3">
              <w:rPr>
                <w:rStyle w:val="Hyperlink"/>
                <w:noProof/>
              </w:rPr>
              <w:t>APS Theme 3:</w:t>
            </w:r>
            <w:r w:rsidR="008A275E">
              <w:rPr>
                <w:noProof/>
                <w:webHidden/>
              </w:rPr>
              <w:tab/>
            </w:r>
            <w:r w:rsidR="008A275E">
              <w:rPr>
                <w:noProof/>
                <w:webHidden/>
              </w:rPr>
              <w:fldChar w:fldCharType="begin"/>
            </w:r>
            <w:r w:rsidR="008A275E">
              <w:rPr>
                <w:noProof/>
                <w:webHidden/>
              </w:rPr>
              <w:instrText xml:space="preserve"> PAGEREF _Toc495915967 \h </w:instrText>
            </w:r>
            <w:r w:rsidR="008A275E">
              <w:rPr>
                <w:noProof/>
                <w:webHidden/>
              </w:rPr>
            </w:r>
            <w:r w:rsidR="008A275E">
              <w:rPr>
                <w:noProof/>
                <w:webHidden/>
              </w:rPr>
              <w:fldChar w:fldCharType="separate"/>
            </w:r>
            <w:r w:rsidR="008A275E">
              <w:rPr>
                <w:noProof/>
                <w:webHidden/>
              </w:rPr>
              <w:t>41</w:t>
            </w:r>
            <w:r w:rsidR="008A275E">
              <w:rPr>
                <w:noProof/>
                <w:webHidden/>
              </w:rPr>
              <w:fldChar w:fldCharType="end"/>
            </w:r>
          </w:hyperlink>
        </w:p>
        <w:p w14:paraId="236272E5" w14:textId="77777777" w:rsidR="008A275E" w:rsidRDefault="00B2619D">
          <w:pPr>
            <w:pStyle w:val="TOC2"/>
            <w:rPr>
              <w:rFonts w:asciiTheme="minorHAnsi" w:eastAsiaTheme="minorEastAsia" w:hAnsiTheme="minorHAnsi" w:cstheme="minorBidi"/>
              <w:noProof/>
              <w:color w:val="auto"/>
              <w:lang w:eastAsia="en-AU"/>
            </w:rPr>
          </w:pPr>
          <w:hyperlink w:anchor="_Toc495915968" w:history="1">
            <w:r w:rsidR="008A275E" w:rsidRPr="00980BC3">
              <w:rPr>
                <w:rStyle w:val="Hyperlink"/>
                <w:noProof/>
              </w:rPr>
              <w:t>There’s a knowing/doing gap between what the participants know about best practice information sharing and consultation, and what often occurs. This is in part due to a perception that best practice approaches can carry risk, take too long and add little value.</w:t>
            </w:r>
            <w:r w:rsidR="008A275E">
              <w:rPr>
                <w:noProof/>
                <w:webHidden/>
              </w:rPr>
              <w:tab/>
            </w:r>
            <w:r w:rsidR="008A275E">
              <w:rPr>
                <w:noProof/>
                <w:webHidden/>
              </w:rPr>
              <w:fldChar w:fldCharType="begin"/>
            </w:r>
            <w:r w:rsidR="008A275E">
              <w:rPr>
                <w:noProof/>
                <w:webHidden/>
              </w:rPr>
              <w:instrText xml:space="preserve"> PAGEREF _Toc495915968 \h </w:instrText>
            </w:r>
            <w:r w:rsidR="008A275E">
              <w:rPr>
                <w:noProof/>
                <w:webHidden/>
              </w:rPr>
            </w:r>
            <w:r w:rsidR="008A275E">
              <w:rPr>
                <w:noProof/>
                <w:webHidden/>
              </w:rPr>
              <w:fldChar w:fldCharType="separate"/>
            </w:r>
            <w:r w:rsidR="008A275E">
              <w:rPr>
                <w:noProof/>
                <w:webHidden/>
              </w:rPr>
              <w:t>41</w:t>
            </w:r>
            <w:r w:rsidR="008A275E">
              <w:rPr>
                <w:noProof/>
                <w:webHidden/>
              </w:rPr>
              <w:fldChar w:fldCharType="end"/>
            </w:r>
          </w:hyperlink>
        </w:p>
        <w:p w14:paraId="12DE80CE" w14:textId="77777777" w:rsidR="008A275E" w:rsidRDefault="00B2619D">
          <w:pPr>
            <w:pStyle w:val="TOC2"/>
            <w:rPr>
              <w:rFonts w:asciiTheme="minorHAnsi" w:eastAsiaTheme="minorEastAsia" w:hAnsiTheme="minorHAnsi" w:cstheme="minorBidi"/>
              <w:noProof/>
              <w:color w:val="auto"/>
              <w:lang w:eastAsia="en-AU"/>
            </w:rPr>
          </w:pPr>
          <w:hyperlink w:anchor="_Toc495915969" w:history="1">
            <w:r w:rsidR="008A275E" w:rsidRPr="00980BC3">
              <w:rPr>
                <w:rStyle w:val="Hyperlink"/>
                <w:noProof/>
              </w:rPr>
              <w:t>APS Theme 4:</w:t>
            </w:r>
            <w:r w:rsidR="008A275E">
              <w:rPr>
                <w:noProof/>
                <w:webHidden/>
              </w:rPr>
              <w:tab/>
            </w:r>
            <w:r w:rsidR="008A275E">
              <w:rPr>
                <w:noProof/>
                <w:webHidden/>
              </w:rPr>
              <w:fldChar w:fldCharType="begin"/>
            </w:r>
            <w:r w:rsidR="008A275E">
              <w:rPr>
                <w:noProof/>
                <w:webHidden/>
              </w:rPr>
              <w:instrText xml:space="preserve"> PAGEREF _Toc495915969 \h </w:instrText>
            </w:r>
            <w:r w:rsidR="008A275E">
              <w:rPr>
                <w:noProof/>
                <w:webHidden/>
              </w:rPr>
            </w:r>
            <w:r w:rsidR="008A275E">
              <w:rPr>
                <w:noProof/>
                <w:webHidden/>
              </w:rPr>
              <w:fldChar w:fldCharType="separate"/>
            </w:r>
            <w:r w:rsidR="008A275E">
              <w:rPr>
                <w:noProof/>
                <w:webHidden/>
              </w:rPr>
              <w:t>42</w:t>
            </w:r>
            <w:r w:rsidR="008A275E">
              <w:rPr>
                <w:noProof/>
                <w:webHidden/>
              </w:rPr>
              <w:fldChar w:fldCharType="end"/>
            </w:r>
          </w:hyperlink>
        </w:p>
        <w:p w14:paraId="7D00087E" w14:textId="77777777" w:rsidR="008A275E" w:rsidRDefault="00B2619D">
          <w:pPr>
            <w:pStyle w:val="TOC2"/>
            <w:rPr>
              <w:rFonts w:asciiTheme="minorHAnsi" w:eastAsiaTheme="minorEastAsia" w:hAnsiTheme="minorHAnsi" w:cstheme="minorBidi"/>
              <w:noProof/>
              <w:color w:val="auto"/>
              <w:lang w:eastAsia="en-AU"/>
            </w:rPr>
          </w:pPr>
          <w:hyperlink w:anchor="_Toc495915970" w:history="1">
            <w:r w:rsidR="008A275E" w:rsidRPr="00980BC3">
              <w:rPr>
                <w:rStyle w:val="Hyperlink"/>
                <w:noProof/>
              </w:rPr>
              <w:t>In many instances our internal processes, including parliamentary and legal, can act as a barrier/constraint to achieving best practice engagement.</w:t>
            </w:r>
            <w:r w:rsidR="008A275E">
              <w:rPr>
                <w:noProof/>
                <w:webHidden/>
              </w:rPr>
              <w:tab/>
            </w:r>
            <w:r w:rsidR="008A275E">
              <w:rPr>
                <w:noProof/>
                <w:webHidden/>
              </w:rPr>
              <w:fldChar w:fldCharType="begin"/>
            </w:r>
            <w:r w:rsidR="008A275E">
              <w:rPr>
                <w:noProof/>
                <w:webHidden/>
              </w:rPr>
              <w:instrText xml:space="preserve"> PAGEREF _Toc495915970 \h </w:instrText>
            </w:r>
            <w:r w:rsidR="008A275E">
              <w:rPr>
                <w:noProof/>
                <w:webHidden/>
              </w:rPr>
            </w:r>
            <w:r w:rsidR="008A275E">
              <w:rPr>
                <w:noProof/>
                <w:webHidden/>
              </w:rPr>
              <w:fldChar w:fldCharType="separate"/>
            </w:r>
            <w:r w:rsidR="008A275E">
              <w:rPr>
                <w:noProof/>
                <w:webHidden/>
              </w:rPr>
              <w:t>42</w:t>
            </w:r>
            <w:r w:rsidR="008A275E">
              <w:rPr>
                <w:noProof/>
                <w:webHidden/>
              </w:rPr>
              <w:fldChar w:fldCharType="end"/>
            </w:r>
          </w:hyperlink>
        </w:p>
        <w:p w14:paraId="0552C9AE"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1" w:history="1">
            <w:r w:rsidR="008A275E" w:rsidRPr="00A61C5B">
              <w:rPr>
                <w:rStyle w:val="Hyperlink"/>
                <w:noProof/>
              </w:rPr>
              <w:t>APS Theme 5:</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_Toc495915971 \h </w:instrText>
            </w:r>
            <w:r w:rsidR="008A275E" w:rsidRPr="00A61C5B">
              <w:rPr>
                <w:noProof/>
                <w:webHidden/>
              </w:rPr>
            </w:r>
            <w:r w:rsidR="008A275E" w:rsidRPr="00A61C5B">
              <w:rPr>
                <w:noProof/>
                <w:webHidden/>
              </w:rPr>
              <w:fldChar w:fldCharType="separate"/>
            </w:r>
            <w:r w:rsidR="008A275E" w:rsidRPr="00A61C5B">
              <w:rPr>
                <w:noProof/>
                <w:webHidden/>
              </w:rPr>
              <w:t>42</w:t>
            </w:r>
            <w:r w:rsidR="008A275E" w:rsidRPr="00A61C5B">
              <w:rPr>
                <w:noProof/>
                <w:webHidden/>
              </w:rPr>
              <w:fldChar w:fldCharType="end"/>
            </w:r>
          </w:hyperlink>
        </w:p>
        <w:p w14:paraId="540FCE15"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2" w:history="1">
            <w:r w:rsidR="008A275E" w:rsidRPr="00A61C5B">
              <w:rPr>
                <w:rStyle w:val="Hyperlink"/>
                <w:noProof/>
              </w:rPr>
              <w:t>Traditional consultation processes have helped develop the base skills needed to engage in more deliberative or collaborative processes</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_Toc495915972 \h </w:instrText>
            </w:r>
            <w:r w:rsidR="008A275E" w:rsidRPr="00A61C5B">
              <w:rPr>
                <w:noProof/>
                <w:webHidden/>
              </w:rPr>
            </w:r>
            <w:r w:rsidR="008A275E" w:rsidRPr="00A61C5B">
              <w:rPr>
                <w:noProof/>
                <w:webHidden/>
              </w:rPr>
              <w:fldChar w:fldCharType="separate"/>
            </w:r>
            <w:r w:rsidR="008A275E" w:rsidRPr="00A61C5B">
              <w:rPr>
                <w:noProof/>
                <w:webHidden/>
              </w:rPr>
              <w:t>42</w:t>
            </w:r>
            <w:r w:rsidR="008A275E" w:rsidRPr="00A61C5B">
              <w:rPr>
                <w:noProof/>
                <w:webHidden/>
              </w:rPr>
              <w:fldChar w:fldCharType="end"/>
            </w:r>
          </w:hyperlink>
        </w:p>
        <w:p w14:paraId="7D61EC78"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3" w:history="1">
            <w:r w:rsidR="008A275E" w:rsidRPr="00A61C5B">
              <w:rPr>
                <w:rStyle w:val="Hyperlink"/>
                <w:noProof/>
              </w:rPr>
              <w:t>Themes and implications from non-APS user interviews</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_Toc495915973 \h </w:instrText>
            </w:r>
            <w:r w:rsidR="008A275E" w:rsidRPr="00A61C5B">
              <w:rPr>
                <w:noProof/>
                <w:webHidden/>
              </w:rPr>
            </w:r>
            <w:r w:rsidR="008A275E" w:rsidRPr="00A61C5B">
              <w:rPr>
                <w:noProof/>
                <w:webHidden/>
              </w:rPr>
              <w:fldChar w:fldCharType="separate"/>
            </w:r>
            <w:r w:rsidR="008A275E" w:rsidRPr="00A61C5B">
              <w:rPr>
                <w:noProof/>
                <w:webHidden/>
              </w:rPr>
              <w:t>43</w:t>
            </w:r>
            <w:r w:rsidR="008A275E" w:rsidRPr="00A61C5B">
              <w:rPr>
                <w:noProof/>
                <w:webHidden/>
              </w:rPr>
              <w:fldChar w:fldCharType="end"/>
            </w:r>
          </w:hyperlink>
        </w:p>
        <w:p w14:paraId="30B9A690"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4" w:history="1">
            <w:r w:rsidR="008A275E" w:rsidRPr="00A61C5B">
              <w:rPr>
                <w:rStyle w:val="Hyperlink"/>
                <w:noProof/>
              </w:rPr>
              <w:t>Non-APS Theme 1:</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_Toc495915974 \h </w:instrText>
            </w:r>
            <w:r w:rsidR="008A275E" w:rsidRPr="00A61C5B">
              <w:rPr>
                <w:noProof/>
                <w:webHidden/>
              </w:rPr>
            </w:r>
            <w:r w:rsidR="008A275E" w:rsidRPr="00A61C5B">
              <w:rPr>
                <w:noProof/>
                <w:webHidden/>
              </w:rPr>
              <w:fldChar w:fldCharType="separate"/>
            </w:r>
            <w:r w:rsidR="008A275E" w:rsidRPr="00A61C5B">
              <w:rPr>
                <w:noProof/>
                <w:webHidden/>
              </w:rPr>
              <w:t>43</w:t>
            </w:r>
            <w:r w:rsidR="008A275E" w:rsidRPr="00A61C5B">
              <w:rPr>
                <w:noProof/>
                <w:webHidden/>
              </w:rPr>
              <w:fldChar w:fldCharType="end"/>
            </w:r>
          </w:hyperlink>
        </w:p>
        <w:p w14:paraId="5D37BC9A"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5" w:history="1">
            <w:r w:rsidR="008A275E" w:rsidRPr="00A61C5B">
              <w:rPr>
                <w:rStyle w:val="Hyperlink"/>
                <w:noProof/>
              </w:rPr>
              <w:t>Participants are often subject matter experts. They also have unique and useful perspectives and resources. They influence the opinions of the community. They believe that it’s in the public interest for public servants to engage with them.</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_Toc495915975 \h </w:instrText>
            </w:r>
            <w:r w:rsidR="008A275E" w:rsidRPr="00A61C5B">
              <w:rPr>
                <w:noProof/>
                <w:webHidden/>
              </w:rPr>
            </w:r>
            <w:r w:rsidR="008A275E" w:rsidRPr="00A61C5B">
              <w:rPr>
                <w:noProof/>
                <w:webHidden/>
              </w:rPr>
              <w:fldChar w:fldCharType="separate"/>
            </w:r>
            <w:r w:rsidR="008A275E" w:rsidRPr="00A61C5B">
              <w:rPr>
                <w:noProof/>
                <w:webHidden/>
              </w:rPr>
              <w:t>43</w:t>
            </w:r>
            <w:r w:rsidR="008A275E" w:rsidRPr="00A61C5B">
              <w:rPr>
                <w:noProof/>
                <w:webHidden/>
              </w:rPr>
              <w:fldChar w:fldCharType="end"/>
            </w:r>
          </w:hyperlink>
        </w:p>
        <w:p w14:paraId="3E4B3510" w14:textId="77777777" w:rsidR="008A275E" w:rsidRPr="00A61C5B" w:rsidRDefault="00B2619D">
          <w:pPr>
            <w:pStyle w:val="TOC2"/>
            <w:rPr>
              <w:rFonts w:asciiTheme="minorHAnsi" w:eastAsiaTheme="minorEastAsia" w:hAnsiTheme="minorHAnsi" w:cstheme="minorBidi"/>
              <w:noProof/>
              <w:color w:val="auto"/>
              <w:lang w:eastAsia="en-AU"/>
            </w:rPr>
          </w:pPr>
          <w:hyperlink w:anchor="_Toc495915976" w:history="1">
            <w:r w:rsidR="008A275E" w:rsidRPr="00A61C5B">
              <w:rPr>
                <w:rStyle w:val="Hyperlink"/>
                <w:noProof/>
              </w:rPr>
              <w:t>Non-APS Theme 2:</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_Toc495915976 \h </w:instrText>
            </w:r>
            <w:r w:rsidR="008A275E" w:rsidRPr="00A61C5B">
              <w:rPr>
                <w:noProof/>
                <w:webHidden/>
              </w:rPr>
            </w:r>
            <w:r w:rsidR="008A275E" w:rsidRPr="00A61C5B">
              <w:rPr>
                <w:noProof/>
                <w:webHidden/>
              </w:rPr>
              <w:fldChar w:fldCharType="separate"/>
            </w:r>
            <w:r w:rsidR="008A275E" w:rsidRPr="00A61C5B">
              <w:rPr>
                <w:noProof/>
                <w:webHidden/>
              </w:rPr>
              <w:t>44</w:t>
            </w:r>
            <w:r w:rsidR="008A275E" w:rsidRPr="00A61C5B">
              <w:rPr>
                <w:noProof/>
                <w:webHidden/>
              </w:rPr>
              <w:fldChar w:fldCharType="end"/>
            </w:r>
          </w:hyperlink>
        </w:p>
        <w:p w14:paraId="663F8DD6" w14:textId="77777777" w:rsidR="008A275E" w:rsidRDefault="00B2619D">
          <w:pPr>
            <w:pStyle w:val="TOC2"/>
            <w:rPr>
              <w:rFonts w:asciiTheme="minorHAnsi" w:eastAsiaTheme="minorEastAsia" w:hAnsiTheme="minorHAnsi" w:cstheme="minorBidi"/>
              <w:noProof/>
              <w:color w:val="auto"/>
              <w:lang w:eastAsia="en-AU"/>
            </w:rPr>
          </w:pPr>
          <w:hyperlink w:anchor="_Toc495915977" w:history="1">
            <w:r w:rsidR="008A275E" w:rsidRPr="00A61C5B">
              <w:rPr>
                <w:rStyle w:val="Hyperlink"/>
                <w:noProof/>
              </w:rPr>
              <w:t>In the main, participants are sceptical about government engagement. They often doubt its quality, and wonder if it is genuine. This can leave them frustrated and more adversarial.</w:t>
            </w:r>
            <w:r w:rsidR="008A275E" w:rsidRPr="00A61C5B">
              <w:rPr>
                <w:noProof/>
                <w:webHidden/>
              </w:rPr>
              <w:tab/>
            </w:r>
            <w:r w:rsidR="008A275E" w:rsidRPr="00A61C5B">
              <w:rPr>
                <w:noProof/>
                <w:webHidden/>
              </w:rPr>
              <w:fldChar w:fldCharType="begin"/>
            </w:r>
            <w:r w:rsidR="008A275E" w:rsidRPr="00A61C5B">
              <w:rPr>
                <w:noProof/>
                <w:webHidden/>
              </w:rPr>
              <w:instrText xml:space="preserve"> PAGEREF _Toc495915977 \h </w:instrText>
            </w:r>
            <w:r w:rsidR="008A275E" w:rsidRPr="00A61C5B">
              <w:rPr>
                <w:noProof/>
                <w:webHidden/>
              </w:rPr>
            </w:r>
            <w:r w:rsidR="008A275E" w:rsidRPr="00A61C5B">
              <w:rPr>
                <w:noProof/>
                <w:webHidden/>
              </w:rPr>
              <w:fldChar w:fldCharType="separate"/>
            </w:r>
            <w:r w:rsidR="008A275E" w:rsidRPr="00A61C5B">
              <w:rPr>
                <w:noProof/>
                <w:webHidden/>
              </w:rPr>
              <w:t>44</w:t>
            </w:r>
            <w:r w:rsidR="008A275E" w:rsidRPr="00A61C5B">
              <w:rPr>
                <w:noProof/>
                <w:webHidden/>
              </w:rPr>
              <w:fldChar w:fldCharType="end"/>
            </w:r>
          </w:hyperlink>
        </w:p>
        <w:p w14:paraId="2F314194" w14:textId="77777777" w:rsidR="008A275E" w:rsidRDefault="00B2619D">
          <w:pPr>
            <w:pStyle w:val="TOC2"/>
            <w:rPr>
              <w:rFonts w:asciiTheme="minorHAnsi" w:eastAsiaTheme="minorEastAsia" w:hAnsiTheme="minorHAnsi" w:cstheme="minorBidi"/>
              <w:noProof/>
              <w:color w:val="auto"/>
              <w:lang w:eastAsia="en-AU"/>
            </w:rPr>
          </w:pPr>
          <w:hyperlink w:anchor="_Toc495915978" w:history="1">
            <w:r w:rsidR="008A275E" w:rsidRPr="00980BC3">
              <w:rPr>
                <w:rStyle w:val="Hyperlink"/>
                <w:noProof/>
              </w:rPr>
              <w:t>Non-APS Theme 3:</w:t>
            </w:r>
            <w:r w:rsidR="008A275E">
              <w:rPr>
                <w:noProof/>
                <w:webHidden/>
              </w:rPr>
              <w:tab/>
            </w:r>
            <w:r w:rsidR="008A275E">
              <w:rPr>
                <w:noProof/>
                <w:webHidden/>
              </w:rPr>
              <w:fldChar w:fldCharType="begin"/>
            </w:r>
            <w:r w:rsidR="008A275E">
              <w:rPr>
                <w:noProof/>
                <w:webHidden/>
              </w:rPr>
              <w:instrText xml:space="preserve"> PAGEREF _Toc495915978 \h </w:instrText>
            </w:r>
            <w:r w:rsidR="008A275E">
              <w:rPr>
                <w:noProof/>
                <w:webHidden/>
              </w:rPr>
            </w:r>
            <w:r w:rsidR="008A275E">
              <w:rPr>
                <w:noProof/>
                <w:webHidden/>
              </w:rPr>
              <w:fldChar w:fldCharType="separate"/>
            </w:r>
            <w:r w:rsidR="008A275E">
              <w:rPr>
                <w:noProof/>
                <w:webHidden/>
              </w:rPr>
              <w:t>45</w:t>
            </w:r>
            <w:r w:rsidR="008A275E">
              <w:rPr>
                <w:noProof/>
                <w:webHidden/>
              </w:rPr>
              <w:fldChar w:fldCharType="end"/>
            </w:r>
          </w:hyperlink>
        </w:p>
        <w:p w14:paraId="0FADA7C1" w14:textId="77777777" w:rsidR="008A275E" w:rsidRDefault="00B2619D">
          <w:pPr>
            <w:pStyle w:val="TOC2"/>
            <w:rPr>
              <w:rFonts w:asciiTheme="minorHAnsi" w:eastAsiaTheme="minorEastAsia" w:hAnsiTheme="minorHAnsi" w:cstheme="minorBidi"/>
              <w:noProof/>
              <w:color w:val="auto"/>
              <w:lang w:eastAsia="en-AU"/>
            </w:rPr>
          </w:pPr>
          <w:hyperlink w:anchor="_Toc495915979" w:history="1">
            <w:r w:rsidR="008A275E" w:rsidRPr="00980BC3">
              <w:rPr>
                <w:rStyle w:val="Hyperlink"/>
                <w:noProof/>
              </w:rPr>
              <w:t>Participants are pragmatic and realistic. They understand that the APS has legitimate constraints on its engagement, and can’t always do best practice.</w:t>
            </w:r>
            <w:r w:rsidR="008A275E">
              <w:rPr>
                <w:noProof/>
                <w:webHidden/>
              </w:rPr>
              <w:tab/>
            </w:r>
            <w:r w:rsidR="008A275E">
              <w:rPr>
                <w:noProof/>
                <w:webHidden/>
              </w:rPr>
              <w:fldChar w:fldCharType="begin"/>
            </w:r>
            <w:r w:rsidR="008A275E">
              <w:rPr>
                <w:noProof/>
                <w:webHidden/>
              </w:rPr>
              <w:instrText xml:space="preserve"> PAGEREF _Toc495915979 \h </w:instrText>
            </w:r>
            <w:r w:rsidR="008A275E">
              <w:rPr>
                <w:noProof/>
                <w:webHidden/>
              </w:rPr>
            </w:r>
            <w:r w:rsidR="008A275E">
              <w:rPr>
                <w:noProof/>
                <w:webHidden/>
              </w:rPr>
              <w:fldChar w:fldCharType="separate"/>
            </w:r>
            <w:r w:rsidR="008A275E">
              <w:rPr>
                <w:noProof/>
                <w:webHidden/>
              </w:rPr>
              <w:t>45</w:t>
            </w:r>
            <w:r w:rsidR="008A275E">
              <w:rPr>
                <w:noProof/>
                <w:webHidden/>
              </w:rPr>
              <w:fldChar w:fldCharType="end"/>
            </w:r>
          </w:hyperlink>
        </w:p>
        <w:p w14:paraId="14095A8D" w14:textId="77777777" w:rsidR="008A275E" w:rsidRDefault="00B2619D">
          <w:pPr>
            <w:pStyle w:val="TOC2"/>
            <w:rPr>
              <w:rFonts w:asciiTheme="minorHAnsi" w:eastAsiaTheme="minorEastAsia" w:hAnsiTheme="minorHAnsi" w:cstheme="minorBidi"/>
              <w:noProof/>
              <w:color w:val="auto"/>
              <w:lang w:eastAsia="en-AU"/>
            </w:rPr>
          </w:pPr>
          <w:hyperlink w:anchor="_Toc495915980" w:history="1">
            <w:r w:rsidR="008A275E" w:rsidRPr="00980BC3">
              <w:rPr>
                <w:rStyle w:val="Hyperlink"/>
                <w:noProof/>
              </w:rPr>
              <w:t>Non-APS Theme 4:</w:t>
            </w:r>
            <w:r w:rsidR="008A275E">
              <w:rPr>
                <w:noProof/>
                <w:webHidden/>
              </w:rPr>
              <w:tab/>
            </w:r>
            <w:r w:rsidR="008A275E">
              <w:rPr>
                <w:noProof/>
                <w:webHidden/>
              </w:rPr>
              <w:fldChar w:fldCharType="begin"/>
            </w:r>
            <w:r w:rsidR="008A275E">
              <w:rPr>
                <w:noProof/>
                <w:webHidden/>
              </w:rPr>
              <w:instrText xml:space="preserve"> PAGEREF _Toc495915980 \h </w:instrText>
            </w:r>
            <w:r w:rsidR="008A275E">
              <w:rPr>
                <w:noProof/>
                <w:webHidden/>
              </w:rPr>
            </w:r>
            <w:r w:rsidR="008A275E">
              <w:rPr>
                <w:noProof/>
                <w:webHidden/>
              </w:rPr>
              <w:fldChar w:fldCharType="separate"/>
            </w:r>
            <w:r w:rsidR="008A275E">
              <w:rPr>
                <w:noProof/>
                <w:webHidden/>
              </w:rPr>
              <w:t>46</w:t>
            </w:r>
            <w:r w:rsidR="008A275E">
              <w:rPr>
                <w:noProof/>
                <w:webHidden/>
              </w:rPr>
              <w:fldChar w:fldCharType="end"/>
            </w:r>
          </w:hyperlink>
        </w:p>
        <w:p w14:paraId="45E398FB" w14:textId="77777777" w:rsidR="008A275E" w:rsidRDefault="00B2619D">
          <w:pPr>
            <w:pStyle w:val="TOC2"/>
            <w:rPr>
              <w:rFonts w:asciiTheme="minorHAnsi" w:eastAsiaTheme="minorEastAsia" w:hAnsiTheme="minorHAnsi" w:cstheme="minorBidi"/>
              <w:noProof/>
              <w:color w:val="auto"/>
              <w:lang w:eastAsia="en-AU"/>
            </w:rPr>
          </w:pPr>
          <w:hyperlink w:anchor="_Toc495915981" w:history="1">
            <w:r w:rsidR="008A275E" w:rsidRPr="00980BC3">
              <w:rPr>
                <w:rStyle w:val="Hyperlink"/>
                <w:noProof/>
              </w:rPr>
              <w:t>Participants are interested in more advanced collaborative and deliberative engagements. They are also hopeful of building ongoing relationships with the APS.</w:t>
            </w:r>
            <w:r w:rsidR="008A275E">
              <w:rPr>
                <w:noProof/>
                <w:webHidden/>
              </w:rPr>
              <w:tab/>
            </w:r>
            <w:r w:rsidR="008A275E">
              <w:rPr>
                <w:noProof/>
                <w:webHidden/>
              </w:rPr>
              <w:fldChar w:fldCharType="begin"/>
            </w:r>
            <w:r w:rsidR="008A275E">
              <w:rPr>
                <w:noProof/>
                <w:webHidden/>
              </w:rPr>
              <w:instrText xml:space="preserve"> PAGEREF _Toc495915981 \h </w:instrText>
            </w:r>
            <w:r w:rsidR="008A275E">
              <w:rPr>
                <w:noProof/>
                <w:webHidden/>
              </w:rPr>
            </w:r>
            <w:r w:rsidR="008A275E">
              <w:rPr>
                <w:noProof/>
                <w:webHidden/>
              </w:rPr>
              <w:fldChar w:fldCharType="separate"/>
            </w:r>
            <w:r w:rsidR="008A275E">
              <w:rPr>
                <w:noProof/>
                <w:webHidden/>
              </w:rPr>
              <w:t>46</w:t>
            </w:r>
            <w:r w:rsidR="008A275E">
              <w:rPr>
                <w:noProof/>
                <w:webHidden/>
              </w:rPr>
              <w:fldChar w:fldCharType="end"/>
            </w:r>
          </w:hyperlink>
        </w:p>
        <w:p w14:paraId="4770B325" w14:textId="77777777" w:rsidR="008A275E" w:rsidRDefault="00B2619D">
          <w:pPr>
            <w:pStyle w:val="TOC2"/>
            <w:rPr>
              <w:rFonts w:asciiTheme="minorHAnsi" w:eastAsiaTheme="minorEastAsia" w:hAnsiTheme="minorHAnsi" w:cstheme="minorBidi"/>
              <w:noProof/>
              <w:color w:val="auto"/>
              <w:lang w:eastAsia="en-AU"/>
            </w:rPr>
          </w:pPr>
          <w:hyperlink w:anchor="_Toc495915982" w:history="1">
            <w:r w:rsidR="008A275E" w:rsidRPr="00980BC3">
              <w:rPr>
                <w:rStyle w:val="Hyperlink"/>
                <w:noProof/>
              </w:rPr>
              <w:t>Non-APS Theme 5:</w:t>
            </w:r>
            <w:r w:rsidR="008A275E">
              <w:rPr>
                <w:noProof/>
                <w:webHidden/>
              </w:rPr>
              <w:tab/>
            </w:r>
            <w:r w:rsidR="008A275E">
              <w:rPr>
                <w:noProof/>
                <w:webHidden/>
              </w:rPr>
              <w:fldChar w:fldCharType="begin"/>
            </w:r>
            <w:r w:rsidR="008A275E">
              <w:rPr>
                <w:noProof/>
                <w:webHidden/>
              </w:rPr>
              <w:instrText xml:space="preserve"> PAGEREF _Toc495915982 \h </w:instrText>
            </w:r>
            <w:r w:rsidR="008A275E">
              <w:rPr>
                <w:noProof/>
                <w:webHidden/>
              </w:rPr>
            </w:r>
            <w:r w:rsidR="008A275E">
              <w:rPr>
                <w:noProof/>
                <w:webHidden/>
              </w:rPr>
              <w:fldChar w:fldCharType="separate"/>
            </w:r>
            <w:r w:rsidR="008A275E">
              <w:rPr>
                <w:noProof/>
                <w:webHidden/>
              </w:rPr>
              <w:t>47</w:t>
            </w:r>
            <w:r w:rsidR="008A275E">
              <w:rPr>
                <w:noProof/>
                <w:webHidden/>
              </w:rPr>
              <w:fldChar w:fldCharType="end"/>
            </w:r>
          </w:hyperlink>
        </w:p>
        <w:p w14:paraId="499563BD" w14:textId="77777777" w:rsidR="008A275E" w:rsidRDefault="00B2619D">
          <w:pPr>
            <w:pStyle w:val="TOC2"/>
            <w:rPr>
              <w:rFonts w:asciiTheme="minorHAnsi" w:eastAsiaTheme="minorEastAsia" w:hAnsiTheme="minorHAnsi" w:cstheme="minorBidi"/>
              <w:noProof/>
              <w:color w:val="auto"/>
              <w:lang w:eastAsia="en-AU"/>
            </w:rPr>
          </w:pPr>
          <w:hyperlink w:anchor="_Toc495915983" w:history="1">
            <w:r w:rsidR="008A275E" w:rsidRPr="00980BC3">
              <w:rPr>
                <w:rStyle w:val="Hyperlink"/>
                <w:noProof/>
              </w:rPr>
              <w:t>There are some universal basics that help make an engagement effective and genuine. Participants made useful suggestions on how to get them right.</w:t>
            </w:r>
            <w:r w:rsidR="008A275E">
              <w:rPr>
                <w:noProof/>
                <w:webHidden/>
              </w:rPr>
              <w:tab/>
            </w:r>
            <w:r w:rsidR="008A275E">
              <w:rPr>
                <w:noProof/>
                <w:webHidden/>
              </w:rPr>
              <w:fldChar w:fldCharType="begin"/>
            </w:r>
            <w:r w:rsidR="008A275E">
              <w:rPr>
                <w:noProof/>
                <w:webHidden/>
              </w:rPr>
              <w:instrText xml:space="preserve"> PAGEREF _Toc495915983 \h </w:instrText>
            </w:r>
            <w:r w:rsidR="008A275E">
              <w:rPr>
                <w:noProof/>
                <w:webHidden/>
              </w:rPr>
            </w:r>
            <w:r w:rsidR="008A275E">
              <w:rPr>
                <w:noProof/>
                <w:webHidden/>
              </w:rPr>
              <w:fldChar w:fldCharType="separate"/>
            </w:r>
            <w:r w:rsidR="008A275E">
              <w:rPr>
                <w:noProof/>
                <w:webHidden/>
              </w:rPr>
              <w:t>47</w:t>
            </w:r>
            <w:r w:rsidR="008A275E">
              <w:rPr>
                <w:noProof/>
                <w:webHidden/>
              </w:rPr>
              <w:fldChar w:fldCharType="end"/>
            </w:r>
          </w:hyperlink>
        </w:p>
        <w:p w14:paraId="03202693" w14:textId="77777777" w:rsidR="008A275E" w:rsidRDefault="00B2619D">
          <w:pPr>
            <w:pStyle w:val="TOC2"/>
            <w:rPr>
              <w:rFonts w:asciiTheme="minorHAnsi" w:eastAsiaTheme="minorEastAsia" w:hAnsiTheme="minorHAnsi" w:cstheme="minorBidi"/>
              <w:noProof/>
              <w:color w:val="auto"/>
              <w:lang w:eastAsia="en-AU"/>
            </w:rPr>
          </w:pPr>
          <w:hyperlink w:anchor="_Toc495915984" w:history="1">
            <w:r w:rsidR="008A275E" w:rsidRPr="00980BC3">
              <w:rPr>
                <w:rStyle w:val="Hyperlink"/>
                <w:noProof/>
              </w:rPr>
              <w:t>Personas of typical public participation users in the APS and the public</w:t>
            </w:r>
            <w:r w:rsidR="008A275E">
              <w:rPr>
                <w:noProof/>
                <w:webHidden/>
              </w:rPr>
              <w:tab/>
            </w:r>
            <w:r w:rsidR="008A275E">
              <w:rPr>
                <w:noProof/>
                <w:webHidden/>
              </w:rPr>
              <w:fldChar w:fldCharType="begin"/>
            </w:r>
            <w:r w:rsidR="008A275E">
              <w:rPr>
                <w:noProof/>
                <w:webHidden/>
              </w:rPr>
              <w:instrText xml:space="preserve"> PAGEREF _Toc495915984 \h </w:instrText>
            </w:r>
            <w:r w:rsidR="008A275E">
              <w:rPr>
                <w:noProof/>
                <w:webHidden/>
              </w:rPr>
            </w:r>
            <w:r w:rsidR="008A275E">
              <w:rPr>
                <w:noProof/>
                <w:webHidden/>
              </w:rPr>
              <w:fldChar w:fldCharType="separate"/>
            </w:r>
            <w:r w:rsidR="008A275E">
              <w:rPr>
                <w:noProof/>
                <w:webHidden/>
              </w:rPr>
              <w:t>48</w:t>
            </w:r>
            <w:r w:rsidR="008A275E">
              <w:rPr>
                <w:noProof/>
                <w:webHidden/>
              </w:rPr>
              <w:fldChar w:fldCharType="end"/>
            </w:r>
          </w:hyperlink>
        </w:p>
        <w:p w14:paraId="037491E0" w14:textId="77777777" w:rsidR="008A275E" w:rsidRDefault="00B2619D">
          <w:pPr>
            <w:pStyle w:val="TOC2"/>
            <w:rPr>
              <w:rFonts w:asciiTheme="minorHAnsi" w:eastAsiaTheme="minorEastAsia" w:hAnsiTheme="minorHAnsi" w:cstheme="minorBidi"/>
              <w:noProof/>
              <w:color w:val="auto"/>
              <w:lang w:eastAsia="en-AU"/>
            </w:rPr>
          </w:pPr>
          <w:hyperlink w:anchor="_Toc495915985" w:history="1">
            <w:r w:rsidR="008A275E" w:rsidRPr="00980BC3">
              <w:rPr>
                <w:rStyle w:val="Hyperlink"/>
                <w:noProof/>
              </w:rPr>
              <w:t>Personas - Members of the public</w:t>
            </w:r>
            <w:r w:rsidR="008A275E">
              <w:rPr>
                <w:noProof/>
                <w:webHidden/>
              </w:rPr>
              <w:tab/>
            </w:r>
            <w:r w:rsidR="008A275E">
              <w:rPr>
                <w:noProof/>
                <w:webHidden/>
              </w:rPr>
              <w:fldChar w:fldCharType="begin"/>
            </w:r>
            <w:r w:rsidR="008A275E">
              <w:rPr>
                <w:noProof/>
                <w:webHidden/>
              </w:rPr>
              <w:instrText xml:space="preserve"> PAGEREF _Toc495915985 \h </w:instrText>
            </w:r>
            <w:r w:rsidR="008A275E">
              <w:rPr>
                <w:noProof/>
                <w:webHidden/>
              </w:rPr>
            </w:r>
            <w:r w:rsidR="008A275E">
              <w:rPr>
                <w:noProof/>
                <w:webHidden/>
              </w:rPr>
              <w:fldChar w:fldCharType="separate"/>
            </w:r>
            <w:r w:rsidR="008A275E">
              <w:rPr>
                <w:noProof/>
                <w:webHidden/>
              </w:rPr>
              <w:t>48</w:t>
            </w:r>
            <w:r w:rsidR="008A275E">
              <w:rPr>
                <w:noProof/>
                <w:webHidden/>
              </w:rPr>
              <w:fldChar w:fldCharType="end"/>
            </w:r>
          </w:hyperlink>
        </w:p>
        <w:p w14:paraId="2A0CE1E5" w14:textId="77777777" w:rsidR="008A275E" w:rsidRDefault="00B2619D">
          <w:pPr>
            <w:pStyle w:val="TOC2"/>
            <w:rPr>
              <w:rFonts w:asciiTheme="minorHAnsi" w:eastAsiaTheme="minorEastAsia" w:hAnsiTheme="minorHAnsi" w:cstheme="minorBidi"/>
              <w:noProof/>
              <w:color w:val="auto"/>
              <w:lang w:eastAsia="en-AU"/>
            </w:rPr>
          </w:pPr>
          <w:hyperlink w:anchor="_Toc495915986" w:history="1">
            <w:r w:rsidR="008A275E" w:rsidRPr="00980BC3">
              <w:rPr>
                <w:rStyle w:val="Hyperlink"/>
                <w:noProof/>
              </w:rPr>
              <w:t>Analysis of public personas</w:t>
            </w:r>
            <w:r w:rsidR="008A275E">
              <w:rPr>
                <w:noProof/>
                <w:webHidden/>
              </w:rPr>
              <w:tab/>
            </w:r>
            <w:r w:rsidR="008A275E">
              <w:rPr>
                <w:noProof/>
                <w:webHidden/>
              </w:rPr>
              <w:fldChar w:fldCharType="begin"/>
            </w:r>
            <w:r w:rsidR="008A275E">
              <w:rPr>
                <w:noProof/>
                <w:webHidden/>
              </w:rPr>
              <w:instrText xml:space="preserve"> PAGEREF _Toc495915986 \h </w:instrText>
            </w:r>
            <w:r w:rsidR="008A275E">
              <w:rPr>
                <w:noProof/>
                <w:webHidden/>
              </w:rPr>
            </w:r>
            <w:r w:rsidR="008A275E">
              <w:rPr>
                <w:noProof/>
                <w:webHidden/>
              </w:rPr>
              <w:fldChar w:fldCharType="separate"/>
            </w:r>
            <w:r w:rsidR="008A275E">
              <w:rPr>
                <w:noProof/>
                <w:webHidden/>
              </w:rPr>
              <w:t>52</w:t>
            </w:r>
            <w:r w:rsidR="008A275E">
              <w:rPr>
                <w:noProof/>
                <w:webHidden/>
              </w:rPr>
              <w:fldChar w:fldCharType="end"/>
            </w:r>
          </w:hyperlink>
        </w:p>
        <w:p w14:paraId="4B42DC68" w14:textId="77777777" w:rsidR="008A275E" w:rsidRDefault="00B2619D">
          <w:pPr>
            <w:pStyle w:val="TOC2"/>
            <w:rPr>
              <w:rFonts w:asciiTheme="minorHAnsi" w:eastAsiaTheme="minorEastAsia" w:hAnsiTheme="minorHAnsi" w:cstheme="minorBidi"/>
              <w:noProof/>
              <w:color w:val="auto"/>
              <w:lang w:eastAsia="en-AU"/>
            </w:rPr>
          </w:pPr>
          <w:hyperlink w:anchor="_Toc495915987" w:history="1">
            <w:r w:rsidR="008A275E" w:rsidRPr="00980BC3">
              <w:rPr>
                <w:rStyle w:val="Hyperlink"/>
                <w:noProof/>
              </w:rPr>
              <w:t>Personas – APS staff</w:t>
            </w:r>
            <w:r w:rsidR="008A275E">
              <w:rPr>
                <w:noProof/>
                <w:webHidden/>
              </w:rPr>
              <w:tab/>
            </w:r>
            <w:r w:rsidR="008A275E">
              <w:rPr>
                <w:noProof/>
                <w:webHidden/>
              </w:rPr>
              <w:fldChar w:fldCharType="begin"/>
            </w:r>
            <w:r w:rsidR="008A275E">
              <w:rPr>
                <w:noProof/>
                <w:webHidden/>
              </w:rPr>
              <w:instrText xml:space="preserve"> PAGEREF _Toc495915987 \h </w:instrText>
            </w:r>
            <w:r w:rsidR="008A275E">
              <w:rPr>
                <w:noProof/>
                <w:webHidden/>
              </w:rPr>
            </w:r>
            <w:r w:rsidR="008A275E">
              <w:rPr>
                <w:noProof/>
                <w:webHidden/>
              </w:rPr>
              <w:fldChar w:fldCharType="separate"/>
            </w:r>
            <w:r w:rsidR="008A275E">
              <w:rPr>
                <w:noProof/>
                <w:webHidden/>
              </w:rPr>
              <w:t>53</w:t>
            </w:r>
            <w:r w:rsidR="008A275E">
              <w:rPr>
                <w:noProof/>
                <w:webHidden/>
              </w:rPr>
              <w:fldChar w:fldCharType="end"/>
            </w:r>
          </w:hyperlink>
        </w:p>
        <w:p w14:paraId="5F0E64A6" w14:textId="77777777" w:rsidR="008A275E" w:rsidRDefault="00B2619D">
          <w:pPr>
            <w:pStyle w:val="TOC2"/>
            <w:rPr>
              <w:rFonts w:asciiTheme="minorHAnsi" w:eastAsiaTheme="minorEastAsia" w:hAnsiTheme="minorHAnsi" w:cstheme="minorBidi"/>
              <w:noProof/>
              <w:color w:val="auto"/>
              <w:lang w:eastAsia="en-AU"/>
            </w:rPr>
          </w:pPr>
          <w:hyperlink w:anchor="_Toc495915988" w:history="1">
            <w:r w:rsidR="008A275E" w:rsidRPr="00980BC3">
              <w:rPr>
                <w:rStyle w:val="Hyperlink"/>
                <w:noProof/>
              </w:rPr>
              <w:t>Analysis of APS personas</w:t>
            </w:r>
            <w:r w:rsidR="008A275E">
              <w:rPr>
                <w:noProof/>
                <w:webHidden/>
              </w:rPr>
              <w:tab/>
            </w:r>
            <w:r w:rsidR="008A275E">
              <w:rPr>
                <w:noProof/>
                <w:webHidden/>
              </w:rPr>
              <w:fldChar w:fldCharType="begin"/>
            </w:r>
            <w:r w:rsidR="008A275E">
              <w:rPr>
                <w:noProof/>
                <w:webHidden/>
              </w:rPr>
              <w:instrText xml:space="preserve"> PAGEREF _Toc495915988 \h </w:instrText>
            </w:r>
            <w:r w:rsidR="008A275E">
              <w:rPr>
                <w:noProof/>
                <w:webHidden/>
              </w:rPr>
            </w:r>
            <w:r w:rsidR="008A275E">
              <w:rPr>
                <w:noProof/>
                <w:webHidden/>
              </w:rPr>
              <w:fldChar w:fldCharType="separate"/>
            </w:r>
            <w:r w:rsidR="008A275E">
              <w:rPr>
                <w:noProof/>
                <w:webHidden/>
              </w:rPr>
              <w:t>56</w:t>
            </w:r>
            <w:r w:rsidR="008A275E">
              <w:rPr>
                <w:noProof/>
                <w:webHidden/>
              </w:rPr>
              <w:fldChar w:fldCharType="end"/>
            </w:r>
          </w:hyperlink>
        </w:p>
        <w:p w14:paraId="463814D0" w14:textId="77777777" w:rsidR="008A275E" w:rsidRDefault="00B2619D">
          <w:pPr>
            <w:pStyle w:val="TOC2"/>
            <w:rPr>
              <w:rFonts w:asciiTheme="minorHAnsi" w:eastAsiaTheme="minorEastAsia" w:hAnsiTheme="minorHAnsi" w:cstheme="minorBidi"/>
              <w:noProof/>
              <w:color w:val="auto"/>
              <w:lang w:eastAsia="en-AU"/>
            </w:rPr>
          </w:pPr>
          <w:hyperlink w:anchor="_Toc495915989" w:history="1">
            <w:r w:rsidR="008A275E" w:rsidRPr="00980BC3">
              <w:rPr>
                <w:rStyle w:val="Hyperlink"/>
                <w:noProof/>
              </w:rPr>
              <w:t>How does the APS engage the community?</w:t>
            </w:r>
            <w:r w:rsidR="008A275E">
              <w:rPr>
                <w:noProof/>
                <w:webHidden/>
              </w:rPr>
              <w:tab/>
            </w:r>
            <w:r w:rsidR="008A275E">
              <w:rPr>
                <w:noProof/>
                <w:webHidden/>
              </w:rPr>
              <w:fldChar w:fldCharType="begin"/>
            </w:r>
            <w:r w:rsidR="008A275E">
              <w:rPr>
                <w:noProof/>
                <w:webHidden/>
              </w:rPr>
              <w:instrText xml:space="preserve"> PAGEREF _Toc495915989 \h </w:instrText>
            </w:r>
            <w:r w:rsidR="008A275E">
              <w:rPr>
                <w:noProof/>
                <w:webHidden/>
              </w:rPr>
            </w:r>
            <w:r w:rsidR="008A275E">
              <w:rPr>
                <w:noProof/>
                <w:webHidden/>
              </w:rPr>
              <w:fldChar w:fldCharType="separate"/>
            </w:r>
            <w:r w:rsidR="008A275E">
              <w:rPr>
                <w:noProof/>
                <w:webHidden/>
              </w:rPr>
              <w:t>58</w:t>
            </w:r>
            <w:r w:rsidR="008A275E">
              <w:rPr>
                <w:noProof/>
                <w:webHidden/>
              </w:rPr>
              <w:fldChar w:fldCharType="end"/>
            </w:r>
          </w:hyperlink>
        </w:p>
        <w:p w14:paraId="7083479A" w14:textId="77777777" w:rsidR="008A275E" w:rsidRDefault="00B2619D">
          <w:pPr>
            <w:pStyle w:val="TOC1"/>
            <w:rPr>
              <w:rFonts w:asciiTheme="minorHAnsi" w:eastAsiaTheme="minorEastAsia" w:hAnsiTheme="minorHAnsi" w:cstheme="minorBidi"/>
              <w:color w:val="auto"/>
              <w:sz w:val="22"/>
              <w:lang w:eastAsia="en-AU"/>
            </w:rPr>
          </w:pPr>
          <w:hyperlink w:anchor="_Toc495915990" w:history="1">
            <w:r w:rsidR="008A275E" w:rsidRPr="00980BC3">
              <w:rPr>
                <w:rStyle w:val="Hyperlink"/>
                <w:b/>
              </w:rPr>
              <w:t>Chapter three: Define</w:t>
            </w:r>
            <w:r w:rsidR="008A275E">
              <w:rPr>
                <w:webHidden/>
              </w:rPr>
              <w:tab/>
            </w:r>
            <w:r w:rsidR="008A275E">
              <w:rPr>
                <w:webHidden/>
              </w:rPr>
              <w:fldChar w:fldCharType="begin"/>
            </w:r>
            <w:r w:rsidR="008A275E">
              <w:rPr>
                <w:webHidden/>
              </w:rPr>
              <w:instrText xml:space="preserve"> PAGEREF _Toc495915990 \h </w:instrText>
            </w:r>
            <w:r w:rsidR="008A275E">
              <w:rPr>
                <w:webHidden/>
              </w:rPr>
            </w:r>
            <w:r w:rsidR="008A275E">
              <w:rPr>
                <w:webHidden/>
              </w:rPr>
              <w:fldChar w:fldCharType="separate"/>
            </w:r>
            <w:r w:rsidR="008A275E">
              <w:rPr>
                <w:webHidden/>
              </w:rPr>
              <w:t>66</w:t>
            </w:r>
            <w:r w:rsidR="008A275E">
              <w:rPr>
                <w:webHidden/>
              </w:rPr>
              <w:fldChar w:fldCharType="end"/>
            </w:r>
          </w:hyperlink>
        </w:p>
        <w:p w14:paraId="775EC931" w14:textId="77777777" w:rsidR="008A275E" w:rsidRDefault="00B2619D">
          <w:pPr>
            <w:pStyle w:val="TOC1"/>
            <w:rPr>
              <w:rFonts w:asciiTheme="minorHAnsi" w:eastAsiaTheme="minorEastAsia" w:hAnsiTheme="minorHAnsi" w:cstheme="minorBidi"/>
              <w:color w:val="auto"/>
              <w:sz w:val="22"/>
              <w:lang w:eastAsia="en-AU"/>
            </w:rPr>
          </w:pPr>
          <w:hyperlink w:anchor="_Toc495915991" w:history="1">
            <w:r w:rsidR="008A275E" w:rsidRPr="00980BC3">
              <w:rPr>
                <w:rStyle w:val="Hyperlink"/>
              </w:rPr>
              <w:t>What are the opportunities for solutions in the Create phase?</w:t>
            </w:r>
            <w:r w:rsidR="008A275E">
              <w:rPr>
                <w:webHidden/>
              </w:rPr>
              <w:tab/>
            </w:r>
            <w:r w:rsidR="008A275E">
              <w:rPr>
                <w:webHidden/>
              </w:rPr>
              <w:fldChar w:fldCharType="begin"/>
            </w:r>
            <w:r w:rsidR="008A275E">
              <w:rPr>
                <w:webHidden/>
              </w:rPr>
              <w:instrText xml:space="preserve"> PAGEREF _Toc495915991 \h </w:instrText>
            </w:r>
            <w:r w:rsidR="008A275E">
              <w:rPr>
                <w:webHidden/>
              </w:rPr>
            </w:r>
            <w:r w:rsidR="008A275E">
              <w:rPr>
                <w:webHidden/>
              </w:rPr>
              <w:fldChar w:fldCharType="separate"/>
            </w:r>
            <w:r w:rsidR="008A275E">
              <w:rPr>
                <w:webHidden/>
              </w:rPr>
              <w:t>66</w:t>
            </w:r>
            <w:r w:rsidR="008A275E">
              <w:rPr>
                <w:webHidden/>
              </w:rPr>
              <w:fldChar w:fldCharType="end"/>
            </w:r>
          </w:hyperlink>
        </w:p>
        <w:p w14:paraId="0A594C86" w14:textId="77777777" w:rsidR="008A275E" w:rsidRDefault="00B2619D">
          <w:pPr>
            <w:pStyle w:val="TOC2"/>
            <w:rPr>
              <w:rFonts w:asciiTheme="minorHAnsi" w:eastAsiaTheme="minorEastAsia" w:hAnsiTheme="minorHAnsi" w:cstheme="minorBidi"/>
              <w:noProof/>
              <w:color w:val="auto"/>
              <w:lang w:eastAsia="en-AU"/>
            </w:rPr>
          </w:pPr>
          <w:hyperlink w:anchor="_Toc495915992" w:history="1">
            <w:r w:rsidR="008A275E" w:rsidRPr="00980BC3">
              <w:rPr>
                <w:rStyle w:val="Hyperlink"/>
                <w:noProof/>
              </w:rPr>
              <w:t>Analysing the problem identification and empathise stages (chapters 1 and 2)</w:t>
            </w:r>
            <w:r w:rsidR="008A275E">
              <w:rPr>
                <w:noProof/>
                <w:webHidden/>
              </w:rPr>
              <w:tab/>
            </w:r>
            <w:r w:rsidR="008A275E">
              <w:rPr>
                <w:noProof/>
                <w:webHidden/>
              </w:rPr>
              <w:fldChar w:fldCharType="begin"/>
            </w:r>
            <w:r w:rsidR="008A275E">
              <w:rPr>
                <w:noProof/>
                <w:webHidden/>
              </w:rPr>
              <w:instrText xml:space="preserve"> PAGEREF _Toc495915992 \h </w:instrText>
            </w:r>
            <w:r w:rsidR="008A275E">
              <w:rPr>
                <w:noProof/>
                <w:webHidden/>
              </w:rPr>
            </w:r>
            <w:r w:rsidR="008A275E">
              <w:rPr>
                <w:noProof/>
                <w:webHidden/>
              </w:rPr>
              <w:fldChar w:fldCharType="separate"/>
            </w:r>
            <w:r w:rsidR="008A275E">
              <w:rPr>
                <w:noProof/>
                <w:webHidden/>
              </w:rPr>
              <w:t>67</w:t>
            </w:r>
            <w:r w:rsidR="008A275E">
              <w:rPr>
                <w:noProof/>
                <w:webHidden/>
              </w:rPr>
              <w:fldChar w:fldCharType="end"/>
            </w:r>
          </w:hyperlink>
        </w:p>
        <w:p w14:paraId="1ED95D90" w14:textId="77777777" w:rsidR="008A275E" w:rsidRDefault="00B2619D">
          <w:pPr>
            <w:pStyle w:val="TOC2"/>
            <w:rPr>
              <w:rFonts w:asciiTheme="minorHAnsi" w:eastAsiaTheme="minorEastAsia" w:hAnsiTheme="minorHAnsi" w:cstheme="minorBidi"/>
              <w:noProof/>
              <w:color w:val="auto"/>
              <w:lang w:eastAsia="en-AU"/>
            </w:rPr>
          </w:pPr>
          <w:hyperlink w:anchor="_Toc495915993" w:history="1">
            <w:r w:rsidR="008A275E" w:rsidRPr="00980BC3">
              <w:rPr>
                <w:rStyle w:val="Hyperlink"/>
                <w:noProof/>
              </w:rPr>
              <w:t>Design Questions – Ideation Platforms</w:t>
            </w:r>
            <w:r w:rsidR="008A275E">
              <w:rPr>
                <w:noProof/>
                <w:webHidden/>
              </w:rPr>
              <w:tab/>
            </w:r>
            <w:r w:rsidR="008A275E">
              <w:rPr>
                <w:noProof/>
                <w:webHidden/>
              </w:rPr>
              <w:fldChar w:fldCharType="begin"/>
            </w:r>
            <w:r w:rsidR="008A275E">
              <w:rPr>
                <w:noProof/>
                <w:webHidden/>
              </w:rPr>
              <w:instrText xml:space="preserve"> PAGEREF _Toc495915993 \h </w:instrText>
            </w:r>
            <w:r w:rsidR="008A275E">
              <w:rPr>
                <w:noProof/>
                <w:webHidden/>
              </w:rPr>
            </w:r>
            <w:r w:rsidR="008A275E">
              <w:rPr>
                <w:noProof/>
                <w:webHidden/>
              </w:rPr>
              <w:fldChar w:fldCharType="separate"/>
            </w:r>
            <w:r w:rsidR="008A275E">
              <w:rPr>
                <w:noProof/>
                <w:webHidden/>
              </w:rPr>
              <w:t>69</w:t>
            </w:r>
            <w:r w:rsidR="008A275E">
              <w:rPr>
                <w:noProof/>
                <w:webHidden/>
              </w:rPr>
              <w:fldChar w:fldCharType="end"/>
            </w:r>
          </w:hyperlink>
        </w:p>
        <w:p w14:paraId="13E72F96" w14:textId="77777777" w:rsidR="008A275E" w:rsidRDefault="00B2619D">
          <w:pPr>
            <w:pStyle w:val="TOC1"/>
            <w:rPr>
              <w:rFonts w:asciiTheme="minorHAnsi" w:eastAsiaTheme="minorEastAsia" w:hAnsiTheme="minorHAnsi" w:cstheme="minorBidi"/>
              <w:color w:val="auto"/>
              <w:sz w:val="22"/>
              <w:lang w:eastAsia="en-AU"/>
            </w:rPr>
          </w:pPr>
          <w:hyperlink w:anchor="_Toc495915994" w:history="1">
            <w:r w:rsidR="008A275E" w:rsidRPr="00980BC3">
              <w:rPr>
                <w:rStyle w:val="Hyperlink"/>
              </w:rPr>
              <w:t>References</w:t>
            </w:r>
            <w:r w:rsidR="008A275E">
              <w:rPr>
                <w:webHidden/>
              </w:rPr>
              <w:tab/>
            </w:r>
            <w:r w:rsidR="008A275E">
              <w:rPr>
                <w:webHidden/>
              </w:rPr>
              <w:fldChar w:fldCharType="begin"/>
            </w:r>
            <w:r w:rsidR="008A275E">
              <w:rPr>
                <w:webHidden/>
              </w:rPr>
              <w:instrText xml:space="preserve"> PAGEREF _Toc495915994 \h </w:instrText>
            </w:r>
            <w:r w:rsidR="008A275E">
              <w:rPr>
                <w:webHidden/>
              </w:rPr>
            </w:r>
            <w:r w:rsidR="008A275E">
              <w:rPr>
                <w:webHidden/>
              </w:rPr>
              <w:fldChar w:fldCharType="separate"/>
            </w:r>
            <w:r w:rsidR="008A275E">
              <w:rPr>
                <w:webHidden/>
              </w:rPr>
              <w:t>72</w:t>
            </w:r>
            <w:r w:rsidR="008A275E">
              <w:rPr>
                <w:webHidden/>
              </w:rPr>
              <w:fldChar w:fldCharType="end"/>
            </w:r>
          </w:hyperlink>
        </w:p>
        <w:p w14:paraId="271951E7" w14:textId="77777777" w:rsidR="008A275E" w:rsidRDefault="00B2619D">
          <w:pPr>
            <w:pStyle w:val="TOC1"/>
            <w:rPr>
              <w:rFonts w:asciiTheme="minorHAnsi" w:eastAsiaTheme="minorEastAsia" w:hAnsiTheme="minorHAnsi" w:cstheme="minorBidi"/>
              <w:color w:val="auto"/>
              <w:sz w:val="22"/>
              <w:lang w:eastAsia="en-AU"/>
            </w:rPr>
          </w:pPr>
          <w:hyperlink w:anchor="_Toc495915995" w:history="1">
            <w:r w:rsidR="008A275E" w:rsidRPr="00980BC3">
              <w:rPr>
                <w:rStyle w:val="Hyperlink"/>
                <w:b/>
              </w:rPr>
              <w:t>Appendices</w:t>
            </w:r>
            <w:r w:rsidR="008A275E">
              <w:rPr>
                <w:webHidden/>
              </w:rPr>
              <w:tab/>
            </w:r>
            <w:r w:rsidR="008A275E">
              <w:rPr>
                <w:webHidden/>
              </w:rPr>
              <w:fldChar w:fldCharType="begin"/>
            </w:r>
            <w:r w:rsidR="008A275E">
              <w:rPr>
                <w:webHidden/>
              </w:rPr>
              <w:instrText xml:space="preserve"> PAGEREF _Toc495915995 \h </w:instrText>
            </w:r>
            <w:r w:rsidR="008A275E">
              <w:rPr>
                <w:webHidden/>
              </w:rPr>
            </w:r>
            <w:r w:rsidR="008A275E">
              <w:rPr>
                <w:webHidden/>
              </w:rPr>
              <w:fldChar w:fldCharType="separate"/>
            </w:r>
            <w:r w:rsidR="008A275E">
              <w:rPr>
                <w:webHidden/>
              </w:rPr>
              <w:t>77</w:t>
            </w:r>
            <w:r w:rsidR="008A275E">
              <w:rPr>
                <w:webHidden/>
              </w:rPr>
              <w:fldChar w:fldCharType="end"/>
            </w:r>
          </w:hyperlink>
        </w:p>
        <w:p w14:paraId="1167DE8B" w14:textId="77777777" w:rsidR="008A275E" w:rsidRDefault="00B2619D">
          <w:pPr>
            <w:pStyle w:val="TOC1"/>
            <w:rPr>
              <w:rFonts w:asciiTheme="minorHAnsi" w:eastAsiaTheme="minorEastAsia" w:hAnsiTheme="minorHAnsi" w:cstheme="minorBidi"/>
              <w:color w:val="auto"/>
              <w:sz w:val="22"/>
              <w:lang w:eastAsia="en-AU"/>
            </w:rPr>
          </w:pPr>
          <w:hyperlink w:anchor="_Toc495915996" w:history="1">
            <w:r w:rsidR="008A275E" w:rsidRPr="00980BC3">
              <w:rPr>
                <w:rStyle w:val="Hyperlink"/>
              </w:rPr>
              <w:t>Appendix A – Project context</w:t>
            </w:r>
            <w:r w:rsidR="008A275E">
              <w:rPr>
                <w:webHidden/>
              </w:rPr>
              <w:tab/>
            </w:r>
            <w:r w:rsidR="008A275E">
              <w:rPr>
                <w:webHidden/>
              </w:rPr>
              <w:fldChar w:fldCharType="begin"/>
            </w:r>
            <w:r w:rsidR="008A275E">
              <w:rPr>
                <w:webHidden/>
              </w:rPr>
              <w:instrText xml:space="preserve"> PAGEREF _Toc495915996 \h </w:instrText>
            </w:r>
            <w:r w:rsidR="008A275E">
              <w:rPr>
                <w:webHidden/>
              </w:rPr>
            </w:r>
            <w:r w:rsidR="008A275E">
              <w:rPr>
                <w:webHidden/>
              </w:rPr>
              <w:fldChar w:fldCharType="separate"/>
            </w:r>
            <w:r w:rsidR="008A275E">
              <w:rPr>
                <w:webHidden/>
              </w:rPr>
              <w:t>78</w:t>
            </w:r>
            <w:r w:rsidR="008A275E">
              <w:rPr>
                <w:webHidden/>
              </w:rPr>
              <w:fldChar w:fldCharType="end"/>
            </w:r>
          </w:hyperlink>
        </w:p>
        <w:p w14:paraId="58D122E2" w14:textId="77777777" w:rsidR="008A275E" w:rsidRDefault="00B2619D">
          <w:pPr>
            <w:pStyle w:val="TOC2"/>
            <w:rPr>
              <w:rFonts w:asciiTheme="minorHAnsi" w:eastAsiaTheme="minorEastAsia" w:hAnsiTheme="minorHAnsi" w:cstheme="minorBidi"/>
              <w:noProof/>
              <w:color w:val="auto"/>
              <w:lang w:eastAsia="en-AU"/>
            </w:rPr>
          </w:pPr>
          <w:hyperlink w:anchor="_Toc495915997" w:history="1">
            <w:r w:rsidR="008A275E" w:rsidRPr="00980BC3">
              <w:rPr>
                <w:rStyle w:val="Hyperlink"/>
                <w:noProof/>
              </w:rPr>
              <w:t>Background: The Open Government Partnership and Australia’s Open Government National Action Plan</w:t>
            </w:r>
            <w:r w:rsidR="008A275E">
              <w:rPr>
                <w:noProof/>
                <w:webHidden/>
              </w:rPr>
              <w:tab/>
            </w:r>
            <w:r w:rsidR="008A275E">
              <w:rPr>
                <w:noProof/>
                <w:webHidden/>
              </w:rPr>
              <w:fldChar w:fldCharType="begin"/>
            </w:r>
            <w:r w:rsidR="008A275E">
              <w:rPr>
                <w:noProof/>
                <w:webHidden/>
              </w:rPr>
              <w:instrText xml:space="preserve"> PAGEREF _Toc495915997 \h </w:instrText>
            </w:r>
            <w:r w:rsidR="008A275E">
              <w:rPr>
                <w:noProof/>
                <w:webHidden/>
              </w:rPr>
            </w:r>
            <w:r w:rsidR="008A275E">
              <w:rPr>
                <w:noProof/>
                <w:webHidden/>
              </w:rPr>
              <w:fldChar w:fldCharType="separate"/>
            </w:r>
            <w:r w:rsidR="008A275E">
              <w:rPr>
                <w:noProof/>
                <w:webHidden/>
              </w:rPr>
              <w:t>78</w:t>
            </w:r>
            <w:r w:rsidR="008A275E">
              <w:rPr>
                <w:noProof/>
                <w:webHidden/>
              </w:rPr>
              <w:fldChar w:fldCharType="end"/>
            </w:r>
          </w:hyperlink>
        </w:p>
        <w:p w14:paraId="6A340E44" w14:textId="77777777" w:rsidR="008A275E" w:rsidRDefault="00B2619D">
          <w:pPr>
            <w:pStyle w:val="TOC2"/>
            <w:rPr>
              <w:rFonts w:asciiTheme="minorHAnsi" w:eastAsiaTheme="minorEastAsia" w:hAnsiTheme="minorHAnsi" w:cstheme="minorBidi"/>
              <w:noProof/>
              <w:color w:val="auto"/>
              <w:lang w:eastAsia="en-AU"/>
            </w:rPr>
          </w:pPr>
          <w:hyperlink w:anchor="_Toc495915998" w:history="1">
            <w:r w:rsidR="008A275E" w:rsidRPr="00980BC3">
              <w:rPr>
                <w:rStyle w:val="Hyperlink"/>
                <w:noProof/>
              </w:rPr>
              <w:t>Objective: Implement Commitment 5.2 of Australia’s Open Government National Action Plan – Enhancing public participation</w:t>
            </w:r>
            <w:r w:rsidR="008A275E">
              <w:rPr>
                <w:noProof/>
                <w:webHidden/>
              </w:rPr>
              <w:tab/>
            </w:r>
            <w:r w:rsidR="008A275E">
              <w:rPr>
                <w:noProof/>
                <w:webHidden/>
              </w:rPr>
              <w:fldChar w:fldCharType="begin"/>
            </w:r>
            <w:r w:rsidR="008A275E">
              <w:rPr>
                <w:noProof/>
                <w:webHidden/>
              </w:rPr>
              <w:instrText xml:space="preserve"> PAGEREF _Toc495915998 \h </w:instrText>
            </w:r>
            <w:r w:rsidR="008A275E">
              <w:rPr>
                <w:noProof/>
                <w:webHidden/>
              </w:rPr>
            </w:r>
            <w:r w:rsidR="008A275E">
              <w:rPr>
                <w:noProof/>
                <w:webHidden/>
              </w:rPr>
              <w:fldChar w:fldCharType="separate"/>
            </w:r>
            <w:r w:rsidR="008A275E">
              <w:rPr>
                <w:noProof/>
                <w:webHidden/>
              </w:rPr>
              <w:t>79</w:t>
            </w:r>
            <w:r w:rsidR="008A275E">
              <w:rPr>
                <w:noProof/>
                <w:webHidden/>
              </w:rPr>
              <w:fldChar w:fldCharType="end"/>
            </w:r>
          </w:hyperlink>
        </w:p>
        <w:p w14:paraId="6A14428F" w14:textId="77777777" w:rsidR="008A275E" w:rsidRDefault="00B2619D">
          <w:pPr>
            <w:pStyle w:val="TOC2"/>
            <w:rPr>
              <w:rFonts w:asciiTheme="minorHAnsi" w:eastAsiaTheme="minorEastAsia" w:hAnsiTheme="minorHAnsi" w:cstheme="minorBidi"/>
              <w:noProof/>
              <w:color w:val="auto"/>
              <w:lang w:eastAsia="en-AU"/>
            </w:rPr>
          </w:pPr>
          <w:hyperlink w:anchor="_Toc495915999" w:history="1">
            <w:r w:rsidR="008A275E" w:rsidRPr="00980BC3">
              <w:rPr>
                <w:rStyle w:val="Hyperlink"/>
                <w:noProof/>
              </w:rPr>
              <w:t>Commitment 5.2 - Milestones and outputs</w:t>
            </w:r>
            <w:r w:rsidR="008A275E">
              <w:rPr>
                <w:noProof/>
                <w:webHidden/>
              </w:rPr>
              <w:tab/>
            </w:r>
            <w:r w:rsidR="008A275E">
              <w:rPr>
                <w:noProof/>
                <w:webHidden/>
              </w:rPr>
              <w:fldChar w:fldCharType="begin"/>
            </w:r>
            <w:r w:rsidR="008A275E">
              <w:rPr>
                <w:noProof/>
                <w:webHidden/>
              </w:rPr>
              <w:instrText xml:space="preserve"> PAGEREF _Toc495915999 \h </w:instrText>
            </w:r>
            <w:r w:rsidR="008A275E">
              <w:rPr>
                <w:noProof/>
                <w:webHidden/>
              </w:rPr>
            </w:r>
            <w:r w:rsidR="008A275E">
              <w:rPr>
                <w:noProof/>
                <w:webHidden/>
              </w:rPr>
              <w:fldChar w:fldCharType="separate"/>
            </w:r>
            <w:r w:rsidR="008A275E">
              <w:rPr>
                <w:noProof/>
                <w:webHidden/>
              </w:rPr>
              <w:t>79</w:t>
            </w:r>
            <w:r w:rsidR="008A275E">
              <w:rPr>
                <w:noProof/>
                <w:webHidden/>
              </w:rPr>
              <w:fldChar w:fldCharType="end"/>
            </w:r>
          </w:hyperlink>
        </w:p>
        <w:p w14:paraId="264A4B75" w14:textId="77777777" w:rsidR="008A275E" w:rsidRDefault="00B2619D">
          <w:pPr>
            <w:pStyle w:val="TOC2"/>
            <w:rPr>
              <w:rFonts w:asciiTheme="minorHAnsi" w:eastAsiaTheme="minorEastAsia" w:hAnsiTheme="minorHAnsi" w:cstheme="minorBidi"/>
              <w:noProof/>
              <w:color w:val="auto"/>
              <w:lang w:eastAsia="en-AU"/>
            </w:rPr>
          </w:pPr>
          <w:hyperlink w:anchor="_Toc495916000" w:history="1">
            <w:r w:rsidR="008A275E" w:rsidRPr="00980BC3">
              <w:rPr>
                <w:rStyle w:val="Hyperlink"/>
                <w:noProof/>
              </w:rPr>
              <w:t>Methodology: User centred design, with three phases – Discover; Create; and Deliver</w:t>
            </w:r>
            <w:r w:rsidR="008A275E">
              <w:rPr>
                <w:noProof/>
                <w:webHidden/>
              </w:rPr>
              <w:tab/>
            </w:r>
            <w:r w:rsidR="008A275E">
              <w:rPr>
                <w:noProof/>
                <w:webHidden/>
              </w:rPr>
              <w:fldChar w:fldCharType="begin"/>
            </w:r>
            <w:r w:rsidR="008A275E">
              <w:rPr>
                <w:noProof/>
                <w:webHidden/>
              </w:rPr>
              <w:instrText xml:space="preserve"> PAGEREF _Toc495916000 \h </w:instrText>
            </w:r>
            <w:r w:rsidR="008A275E">
              <w:rPr>
                <w:noProof/>
                <w:webHidden/>
              </w:rPr>
            </w:r>
            <w:r w:rsidR="008A275E">
              <w:rPr>
                <w:noProof/>
                <w:webHidden/>
              </w:rPr>
              <w:fldChar w:fldCharType="separate"/>
            </w:r>
            <w:r w:rsidR="008A275E">
              <w:rPr>
                <w:noProof/>
                <w:webHidden/>
              </w:rPr>
              <w:t>80</w:t>
            </w:r>
            <w:r w:rsidR="008A275E">
              <w:rPr>
                <w:noProof/>
                <w:webHidden/>
              </w:rPr>
              <w:fldChar w:fldCharType="end"/>
            </w:r>
          </w:hyperlink>
        </w:p>
        <w:p w14:paraId="0B3D8360" w14:textId="77777777" w:rsidR="008A275E" w:rsidRDefault="00B2619D">
          <w:pPr>
            <w:pStyle w:val="TOC2"/>
            <w:rPr>
              <w:rFonts w:asciiTheme="minorHAnsi" w:eastAsiaTheme="minorEastAsia" w:hAnsiTheme="minorHAnsi" w:cstheme="minorBidi"/>
              <w:noProof/>
              <w:color w:val="auto"/>
              <w:lang w:eastAsia="en-AU"/>
            </w:rPr>
          </w:pPr>
          <w:hyperlink w:anchor="_Toc495916001" w:history="1">
            <w:r w:rsidR="008A275E" w:rsidRPr="00980BC3">
              <w:rPr>
                <w:rStyle w:val="Hyperlink"/>
                <w:noProof/>
                <w:lang w:val="en-US"/>
              </w:rPr>
              <w:t>Purpose of this report: Show the findings from the Discover phase, including its three stages: Problem identification; Empathise; and Define</w:t>
            </w:r>
            <w:r w:rsidR="008A275E">
              <w:rPr>
                <w:noProof/>
                <w:webHidden/>
              </w:rPr>
              <w:tab/>
            </w:r>
            <w:r w:rsidR="008A275E">
              <w:rPr>
                <w:noProof/>
                <w:webHidden/>
              </w:rPr>
              <w:fldChar w:fldCharType="begin"/>
            </w:r>
            <w:r w:rsidR="008A275E">
              <w:rPr>
                <w:noProof/>
                <w:webHidden/>
              </w:rPr>
              <w:instrText xml:space="preserve"> PAGEREF _Toc495916001 \h </w:instrText>
            </w:r>
            <w:r w:rsidR="008A275E">
              <w:rPr>
                <w:noProof/>
                <w:webHidden/>
              </w:rPr>
            </w:r>
            <w:r w:rsidR="008A275E">
              <w:rPr>
                <w:noProof/>
                <w:webHidden/>
              </w:rPr>
              <w:fldChar w:fldCharType="separate"/>
            </w:r>
            <w:r w:rsidR="008A275E">
              <w:rPr>
                <w:noProof/>
                <w:webHidden/>
              </w:rPr>
              <w:t>81</w:t>
            </w:r>
            <w:r w:rsidR="008A275E">
              <w:rPr>
                <w:noProof/>
                <w:webHidden/>
              </w:rPr>
              <w:fldChar w:fldCharType="end"/>
            </w:r>
          </w:hyperlink>
        </w:p>
        <w:p w14:paraId="51E5B25F" w14:textId="77777777" w:rsidR="008A275E" w:rsidRDefault="00B2619D">
          <w:pPr>
            <w:pStyle w:val="TOC1"/>
            <w:rPr>
              <w:rFonts w:asciiTheme="minorHAnsi" w:eastAsiaTheme="minorEastAsia" w:hAnsiTheme="minorHAnsi" w:cstheme="minorBidi"/>
              <w:color w:val="auto"/>
              <w:sz w:val="22"/>
              <w:lang w:eastAsia="en-AU"/>
            </w:rPr>
          </w:pPr>
          <w:hyperlink w:anchor="_Toc495916002" w:history="1">
            <w:r w:rsidR="008A275E" w:rsidRPr="00980BC3">
              <w:rPr>
                <w:rStyle w:val="Hyperlink"/>
              </w:rPr>
              <w:t>Appendix B – User Interview Guides for interviews with APS staff and the public</w:t>
            </w:r>
            <w:r w:rsidR="008A275E">
              <w:rPr>
                <w:webHidden/>
              </w:rPr>
              <w:tab/>
            </w:r>
            <w:r w:rsidR="008A275E">
              <w:rPr>
                <w:webHidden/>
              </w:rPr>
              <w:fldChar w:fldCharType="begin"/>
            </w:r>
            <w:r w:rsidR="008A275E">
              <w:rPr>
                <w:webHidden/>
              </w:rPr>
              <w:instrText xml:space="preserve"> PAGEREF _Toc495916002 \h </w:instrText>
            </w:r>
            <w:r w:rsidR="008A275E">
              <w:rPr>
                <w:webHidden/>
              </w:rPr>
            </w:r>
            <w:r w:rsidR="008A275E">
              <w:rPr>
                <w:webHidden/>
              </w:rPr>
              <w:fldChar w:fldCharType="separate"/>
            </w:r>
            <w:r w:rsidR="008A275E">
              <w:rPr>
                <w:webHidden/>
              </w:rPr>
              <w:t>82</w:t>
            </w:r>
            <w:r w:rsidR="008A275E">
              <w:rPr>
                <w:webHidden/>
              </w:rPr>
              <w:fldChar w:fldCharType="end"/>
            </w:r>
          </w:hyperlink>
        </w:p>
        <w:p w14:paraId="73F8BEB3" w14:textId="77777777" w:rsidR="008A275E" w:rsidRDefault="00B2619D">
          <w:pPr>
            <w:pStyle w:val="TOC1"/>
            <w:rPr>
              <w:rFonts w:asciiTheme="minorHAnsi" w:eastAsiaTheme="minorEastAsia" w:hAnsiTheme="minorHAnsi" w:cstheme="minorBidi"/>
              <w:color w:val="auto"/>
              <w:sz w:val="22"/>
              <w:lang w:eastAsia="en-AU"/>
            </w:rPr>
          </w:pPr>
          <w:hyperlink w:anchor="_Toc495916003" w:history="1">
            <w:r w:rsidR="008A275E" w:rsidRPr="00980BC3">
              <w:rPr>
                <w:rStyle w:val="Hyperlink"/>
              </w:rPr>
              <w:t>Appendix C – Public participation survey questions</w:t>
            </w:r>
            <w:r w:rsidR="008A275E">
              <w:rPr>
                <w:webHidden/>
              </w:rPr>
              <w:tab/>
            </w:r>
            <w:r w:rsidR="008A275E">
              <w:rPr>
                <w:webHidden/>
              </w:rPr>
              <w:fldChar w:fldCharType="begin"/>
            </w:r>
            <w:r w:rsidR="008A275E">
              <w:rPr>
                <w:webHidden/>
              </w:rPr>
              <w:instrText xml:space="preserve"> PAGEREF _Toc495916003 \h </w:instrText>
            </w:r>
            <w:r w:rsidR="008A275E">
              <w:rPr>
                <w:webHidden/>
              </w:rPr>
            </w:r>
            <w:r w:rsidR="008A275E">
              <w:rPr>
                <w:webHidden/>
              </w:rPr>
              <w:fldChar w:fldCharType="separate"/>
            </w:r>
            <w:r w:rsidR="008A275E">
              <w:rPr>
                <w:webHidden/>
              </w:rPr>
              <w:t>89</w:t>
            </w:r>
            <w:r w:rsidR="008A275E">
              <w:rPr>
                <w:webHidden/>
              </w:rPr>
              <w:fldChar w:fldCharType="end"/>
            </w:r>
          </w:hyperlink>
        </w:p>
        <w:p w14:paraId="28B8D137" w14:textId="77777777" w:rsidR="008A275E" w:rsidRDefault="00B2619D">
          <w:pPr>
            <w:pStyle w:val="TOC1"/>
            <w:rPr>
              <w:rFonts w:asciiTheme="minorHAnsi" w:eastAsiaTheme="minorEastAsia" w:hAnsiTheme="minorHAnsi" w:cstheme="minorBidi"/>
              <w:color w:val="auto"/>
              <w:sz w:val="22"/>
              <w:lang w:eastAsia="en-AU"/>
            </w:rPr>
          </w:pPr>
          <w:hyperlink w:anchor="_Toc495916004" w:history="1">
            <w:r w:rsidR="008A275E" w:rsidRPr="00980BC3">
              <w:rPr>
                <w:rStyle w:val="Hyperlink"/>
              </w:rPr>
              <w:t>Appendix D – Design questions mapped against the user research themes systems map</w:t>
            </w:r>
            <w:r w:rsidR="008A275E">
              <w:rPr>
                <w:webHidden/>
              </w:rPr>
              <w:tab/>
            </w:r>
            <w:r w:rsidR="008A275E">
              <w:rPr>
                <w:webHidden/>
              </w:rPr>
              <w:fldChar w:fldCharType="begin"/>
            </w:r>
            <w:r w:rsidR="008A275E">
              <w:rPr>
                <w:webHidden/>
              </w:rPr>
              <w:instrText xml:space="preserve"> PAGEREF _Toc495916004 \h </w:instrText>
            </w:r>
            <w:r w:rsidR="008A275E">
              <w:rPr>
                <w:webHidden/>
              </w:rPr>
            </w:r>
            <w:r w:rsidR="008A275E">
              <w:rPr>
                <w:webHidden/>
              </w:rPr>
              <w:fldChar w:fldCharType="separate"/>
            </w:r>
            <w:r w:rsidR="008A275E">
              <w:rPr>
                <w:webHidden/>
              </w:rPr>
              <w:t>92</w:t>
            </w:r>
            <w:r w:rsidR="008A275E">
              <w:rPr>
                <w:webHidden/>
              </w:rPr>
              <w:fldChar w:fldCharType="end"/>
            </w:r>
          </w:hyperlink>
        </w:p>
        <w:p w14:paraId="553EEBF1" w14:textId="77777777" w:rsidR="001D5C57" w:rsidRDefault="001D5C57" w:rsidP="0052682D">
          <w:pPr>
            <w:spacing w:before="0"/>
          </w:pPr>
          <w:r>
            <w:rPr>
              <w:b/>
              <w:bCs/>
              <w:noProof/>
            </w:rPr>
            <w:fldChar w:fldCharType="end"/>
          </w:r>
        </w:p>
      </w:sdtContent>
    </w:sdt>
    <w:p w14:paraId="69EE68E5" w14:textId="77777777" w:rsidR="00D93995" w:rsidRDefault="00D93995" w:rsidP="0052682D">
      <w:pPr>
        <w:spacing w:before="0"/>
        <w:rPr>
          <w:rFonts w:ascii="Calibri Light" w:eastAsia="MS Gothic" w:hAnsi="Calibri Light"/>
          <w:bCs/>
          <w:color w:val="276C6C"/>
          <w:sz w:val="40"/>
          <w:szCs w:val="28"/>
        </w:rPr>
      </w:pPr>
      <w:bookmarkStart w:id="14" w:name="_Toc492983315"/>
      <w:r>
        <w:br w:type="page"/>
      </w:r>
    </w:p>
    <w:p w14:paraId="7A3B0C0E" w14:textId="77777777" w:rsidR="00D91048" w:rsidRDefault="00D91048" w:rsidP="0052682D">
      <w:pPr>
        <w:pStyle w:val="H1"/>
        <w:tabs>
          <w:tab w:val="center" w:pos="4513"/>
        </w:tabs>
        <w:spacing w:before="0" w:after="0"/>
      </w:pPr>
      <w:bookmarkStart w:id="15" w:name="_Toc495915945"/>
      <w:r>
        <w:lastRenderedPageBreak/>
        <w:t>Executive Summary</w:t>
      </w:r>
      <w:bookmarkEnd w:id="14"/>
      <w:bookmarkEnd w:id="15"/>
    </w:p>
    <w:p w14:paraId="464A6062" w14:textId="77777777" w:rsidR="007A6929" w:rsidRDefault="007A6929" w:rsidP="0052682D">
      <w:pPr>
        <w:spacing w:before="0"/>
        <w:rPr>
          <w:rFonts w:asciiTheme="majorHAnsi" w:hAnsiTheme="majorHAnsi"/>
          <w:i/>
          <w:sz w:val="30"/>
        </w:rPr>
      </w:pPr>
      <w:bookmarkStart w:id="16" w:name="_Toc382493212"/>
      <w:bookmarkEnd w:id="13"/>
    </w:p>
    <w:p w14:paraId="2E606DA3" w14:textId="77777777" w:rsidR="007A6929" w:rsidRDefault="007A6929" w:rsidP="007A6929">
      <w:pPr>
        <w:spacing w:before="0"/>
        <w:rPr>
          <w:rFonts w:asciiTheme="majorHAnsi" w:hAnsiTheme="majorHAnsi"/>
          <w:i/>
          <w:sz w:val="30"/>
        </w:rPr>
      </w:pPr>
      <w:r w:rsidRPr="009A7DB5">
        <w:rPr>
          <w:rFonts w:asciiTheme="majorHAnsi" w:hAnsiTheme="majorHAnsi"/>
          <w:i/>
          <w:sz w:val="30"/>
        </w:rPr>
        <w:t>Better use of the expertise in the broader community can help address complexity in public policy and enhance confidence in government. The expertise is there and the holders want to contribute.</w:t>
      </w:r>
      <w:r>
        <w:rPr>
          <w:rFonts w:asciiTheme="majorHAnsi" w:hAnsiTheme="majorHAnsi"/>
          <w:i/>
          <w:sz w:val="30"/>
        </w:rPr>
        <w:t xml:space="preserve"> T</w:t>
      </w:r>
      <w:r w:rsidRPr="009A7DB5">
        <w:rPr>
          <w:rFonts w:asciiTheme="majorHAnsi" w:hAnsiTheme="majorHAnsi"/>
          <w:i/>
          <w:sz w:val="30"/>
        </w:rPr>
        <w:t xml:space="preserve">here is </w:t>
      </w:r>
      <w:r>
        <w:rPr>
          <w:rFonts w:asciiTheme="majorHAnsi" w:hAnsiTheme="majorHAnsi"/>
          <w:i/>
          <w:sz w:val="30"/>
        </w:rPr>
        <w:t xml:space="preserve">a </w:t>
      </w:r>
      <w:r w:rsidRPr="009A7DB5">
        <w:rPr>
          <w:rFonts w:asciiTheme="majorHAnsi" w:hAnsiTheme="majorHAnsi"/>
          <w:i/>
          <w:sz w:val="30"/>
        </w:rPr>
        <w:t>real opportunity to develop more creative and innovative solutions which is not being grasped.</w:t>
      </w:r>
      <w:r>
        <w:rPr>
          <w:rFonts w:asciiTheme="majorHAnsi" w:hAnsiTheme="majorHAnsi"/>
          <w:i/>
          <w:sz w:val="30"/>
        </w:rPr>
        <w:t xml:space="preserve"> </w:t>
      </w:r>
      <w:r w:rsidRPr="009A7DB5">
        <w:rPr>
          <w:rFonts w:asciiTheme="majorHAnsi" w:hAnsiTheme="majorHAnsi"/>
          <w:i/>
          <w:sz w:val="30"/>
        </w:rPr>
        <w:t>It is as if it is right in front of us – hidden in plain sight.</w:t>
      </w:r>
    </w:p>
    <w:p w14:paraId="445ADE7B" w14:textId="77777777" w:rsidR="007A6929" w:rsidRDefault="007A6929" w:rsidP="007A6929">
      <w:pPr>
        <w:spacing w:before="0"/>
      </w:pPr>
    </w:p>
    <w:p w14:paraId="6D15ED79" w14:textId="77777777" w:rsidR="007A6929" w:rsidRDefault="007A6929" w:rsidP="007A6929">
      <w:pPr>
        <w:spacing w:before="0"/>
      </w:pPr>
      <w:r>
        <w:t xml:space="preserve">The Australian Public Service (APS) is missing opportunities to develop more innovative and valued solutions to complex public policy problems due to a lack of effective engagement with the expertise available in business, academia and the general community. </w:t>
      </w:r>
    </w:p>
    <w:p w14:paraId="7D441E29" w14:textId="77777777" w:rsidR="007A6929" w:rsidRDefault="007A6929" w:rsidP="007A6929">
      <w:pPr>
        <w:spacing w:before="0"/>
      </w:pPr>
    </w:p>
    <w:p w14:paraId="3945F79E" w14:textId="77777777" w:rsidR="007A6929" w:rsidRDefault="007A6929" w:rsidP="007A6929">
      <w:pPr>
        <w:spacing w:before="0"/>
      </w:pPr>
      <w:r>
        <w:t xml:space="preserve">For the APS to seize the opportunity, it will require a significant shift in its current thinking and a willingness on the behalf of civil society to set outside some of their scepticism. The building of greater trust and confidence in the relationships between the APS and civil society will be essential. The implementation of an APS wide framework for engagement and participation can raise the awareness of the methods and benefits of engagement, support the fundamentals, and help the APS to think differently. </w:t>
      </w:r>
    </w:p>
    <w:p w14:paraId="4C393174" w14:textId="77777777" w:rsidR="007A6929" w:rsidRDefault="007A6929" w:rsidP="007A6929">
      <w:pPr>
        <w:spacing w:before="0"/>
      </w:pPr>
    </w:p>
    <w:p w14:paraId="492B0CCD" w14:textId="77777777" w:rsidR="007A6929" w:rsidRDefault="007A6929" w:rsidP="007A6929">
      <w:pPr>
        <w:spacing w:before="0"/>
      </w:pPr>
      <w:r>
        <w:t>While there are innovative approaches to public participation being adopted at local and state government level and internationally, t</w:t>
      </w:r>
      <w:r w:rsidRPr="00ED3B24">
        <w:t>here are no universal public participation definitions and approaches, nor any universal framework that could be taken ‘off the shelf’ and applied in the APS.</w:t>
      </w:r>
      <w:r>
        <w:t xml:space="preserve"> To help provide a frame for the analysis the report uses the Ontario Provincial government’s definitions of engagement and participation:</w:t>
      </w:r>
    </w:p>
    <w:p w14:paraId="1396F043" w14:textId="77777777" w:rsidR="007A6929" w:rsidRPr="00ED3B24" w:rsidRDefault="007A6929" w:rsidP="007A6929">
      <w:pPr>
        <w:spacing w:before="0"/>
      </w:pPr>
    </w:p>
    <w:p w14:paraId="208C0160" w14:textId="77777777" w:rsidR="007A6929" w:rsidRPr="00ED3B24" w:rsidRDefault="007A6929" w:rsidP="007A6929">
      <w:pPr>
        <w:numPr>
          <w:ilvl w:val="0"/>
          <w:numId w:val="30"/>
        </w:numPr>
        <w:spacing w:before="0"/>
      </w:pPr>
      <w:r w:rsidRPr="00ED3B24">
        <w:rPr>
          <w:b/>
          <w:bCs/>
        </w:rPr>
        <w:t>Share -</w:t>
      </w:r>
      <w:r w:rsidRPr="00ED3B24">
        <w:t> </w:t>
      </w:r>
      <w:r w:rsidRPr="00ED3B24">
        <w:rPr>
          <w:lang w:val="en"/>
        </w:rPr>
        <w:t xml:space="preserve">Does government need to tell the public about a government initiative? </w:t>
      </w:r>
      <w:r w:rsidRPr="00ED3B24">
        <w:t>People receive information about a government program or decision in an accessible way. Communication is one-way from the government to the public.</w:t>
      </w:r>
    </w:p>
    <w:p w14:paraId="361D7AD8" w14:textId="77777777" w:rsidR="007A6929" w:rsidRPr="00ED3B24" w:rsidRDefault="007A6929" w:rsidP="007A6929">
      <w:pPr>
        <w:numPr>
          <w:ilvl w:val="0"/>
          <w:numId w:val="30"/>
        </w:numPr>
        <w:spacing w:before="0"/>
      </w:pPr>
      <w:r w:rsidRPr="00ED3B24">
        <w:rPr>
          <w:b/>
          <w:bCs/>
        </w:rPr>
        <w:t>Consult</w:t>
      </w:r>
      <w:r w:rsidRPr="00ED3B24">
        <w:t xml:space="preserve"> - Does government need to gather feedback from the public about a problem? People have an opportunity to weigh-in and provide their input. Participants advocate for their views on a subject.</w:t>
      </w:r>
    </w:p>
    <w:p w14:paraId="23FE8870" w14:textId="77777777" w:rsidR="007A6929" w:rsidRPr="00ED3B24" w:rsidRDefault="007A6929" w:rsidP="007A6929">
      <w:pPr>
        <w:numPr>
          <w:ilvl w:val="0"/>
          <w:numId w:val="30"/>
        </w:numPr>
        <w:spacing w:before="0"/>
      </w:pPr>
      <w:r w:rsidRPr="00ED3B24">
        <w:rPr>
          <w:b/>
          <w:bCs/>
          <w:lang w:val="en"/>
        </w:rPr>
        <w:t>Deliberate</w:t>
      </w:r>
      <w:r w:rsidRPr="00ED3B24">
        <w:rPr>
          <w:lang w:val="en"/>
        </w:rPr>
        <w:t xml:space="preserve"> - </w:t>
      </w:r>
      <w:r w:rsidRPr="00ED3B24">
        <w:t xml:space="preserve">Does government need help‎ from the public to frame or solve a problem? </w:t>
      </w:r>
      <w:r w:rsidRPr="00ED3B24">
        <w:rPr>
          <w:lang w:val="en"/>
        </w:rPr>
        <w:t>People help identify the issue and/or develop a strategy that the government commits to deliver. Participants take part in varying degrees to find common ground and collectively arrive at an agreement.</w:t>
      </w:r>
    </w:p>
    <w:p w14:paraId="76C4ED9A" w14:textId="77777777" w:rsidR="007A6929" w:rsidRPr="00ED3B24" w:rsidRDefault="007A6929" w:rsidP="007A6929">
      <w:pPr>
        <w:numPr>
          <w:ilvl w:val="0"/>
          <w:numId w:val="30"/>
        </w:numPr>
        <w:spacing w:before="0"/>
      </w:pPr>
      <w:r w:rsidRPr="00ED3B24">
        <w:rPr>
          <w:b/>
          <w:bCs/>
          <w:lang w:val="en"/>
        </w:rPr>
        <w:t>Collaborate</w:t>
      </w:r>
      <w:r w:rsidRPr="00ED3B24">
        <w:rPr>
          <w:lang w:val="en"/>
        </w:rPr>
        <w:t xml:space="preserve"> - Does government ‎need help from the public to find and implement a solution? People work with government to define an issue, develop and deliver solutions. Participants share decision-making and implementation of solutions.</w:t>
      </w:r>
    </w:p>
    <w:p w14:paraId="7BDC20A2" w14:textId="77777777" w:rsidR="007A6929" w:rsidRDefault="007A6929" w:rsidP="007A6929">
      <w:pPr>
        <w:spacing w:before="0"/>
      </w:pPr>
    </w:p>
    <w:p w14:paraId="46DCD213" w14:textId="77777777" w:rsidR="007A6929" w:rsidRDefault="007A6929" w:rsidP="007A6929">
      <w:pPr>
        <w:spacing w:before="0"/>
      </w:pPr>
      <w:r>
        <w:t xml:space="preserve">To understand why the APS does not engage the expertise in the community more readily, the project team conducted user research. We undertook ethnographic user interviews with 38 APS employees from 13 agencies and 37 people from the community from 29 organisations, including business, industry associations/peak bodies, engagement practitioners, not for profits and academia. </w:t>
      </w:r>
    </w:p>
    <w:p w14:paraId="2073FA0C" w14:textId="77777777" w:rsidR="007A6929" w:rsidRDefault="007A6929" w:rsidP="007A6929">
      <w:pPr>
        <w:spacing w:before="0"/>
      </w:pPr>
    </w:p>
    <w:p w14:paraId="1C4C5B5A" w14:textId="77777777" w:rsidR="007A6929" w:rsidRDefault="007A6929" w:rsidP="007A6929">
      <w:pPr>
        <w:spacing w:before="0"/>
      </w:pPr>
      <w:r>
        <w:t xml:space="preserve">The APS interviews showed that awareness and practical experience of how to engage the community beyond traditional information sharing and consultation approaches is patchy across the </w:t>
      </w:r>
      <w:r>
        <w:lastRenderedPageBreak/>
        <w:t xml:space="preserve">APS. Consultation often has an emphasis on obtaining buy in rather than accessing expertise. There is hesitation in applying more deliberative and collaborative approaches, in part due to a perception of risk and a lack of value for the effort required. Sometimes external constraints such as legal or parliamentary processes exclude more open dialogue. </w:t>
      </w:r>
    </w:p>
    <w:p w14:paraId="38595FFE" w14:textId="77777777" w:rsidR="007A6929" w:rsidRDefault="007A6929" w:rsidP="007A6929">
      <w:pPr>
        <w:spacing w:before="0"/>
      </w:pPr>
    </w:p>
    <w:p w14:paraId="57C45403" w14:textId="77777777" w:rsidR="007A6929" w:rsidRDefault="007A6929" w:rsidP="007A6929">
      <w:pPr>
        <w:spacing w:before="0"/>
      </w:pPr>
      <w:r>
        <w:t xml:space="preserve">The non APS interviews showed that those in civil society see themselves as having specific expertise with unique and useful perspectives to bring to the table on matters of public policy and that it is in the public interest for them to do so. There is a level of scepticism with the motivations of government engagement. The community is pragmatic and realistic, they are aware of and appreciate some of the constraints that public servants face. </w:t>
      </w:r>
    </w:p>
    <w:p w14:paraId="21D7CE89" w14:textId="77777777" w:rsidR="007A6929" w:rsidRDefault="007A6929" w:rsidP="007A6929">
      <w:pPr>
        <w:spacing w:before="0"/>
      </w:pPr>
    </w:p>
    <w:p w14:paraId="6F1B1045" w14:textId="77777777" w:rsidR="007A6929" w:rsidRDefault="007A6929" w:rsidP="007A6929">
      <w:pPr>
        <w:spacing w:before="0"/>
        <w:rPr>
          <w:color w:val="1F497D"/>
        </w:rPr>
      </w:pPr>
      <w:r>
        <w:t>The insights from the user research were supported by the findings of a stocktake of current engagement practices across thirteen APS departments. While the APS engages the public in a wide variety of ways, the majority of engagement practices focus on information sharing and consultation. Many of the practices, such as submissions processes and feedback mechanisms, were transactional in nature and did not engender a sense of valuing an ongoing relationship with the community. The majority of the respondents cited the ‘authorising environment’ as a recurring barrier, which prevented more meaningful consultation with the public. Respondents also identified a number of areas of improvement in order to build ongoing relationship with the public.</w:t>
      </w:r>
    </w:p>
    <w:p w14:paraId="7C4C113D" w14:textId="77777777" w:rsidR="007A6929" w:rsidRDefault="007A6929" w:rsidP="007A6929">
      <w:pPr>
        <w:spacing w:before="0"/>
      </w:pPr>
    </w:p>
    <w:p w14:paraId="0D3E39D7" w14:textId="35CB3CC3" w:rsidR="007A6929" w:rsidRDefault="007A6929" w:rsidP="007A6929">
      <w:pPr>
        <w:spacing w:before="0"/>
      </w:pPr>
      <w:r>
        <w:t>The research suggests that the potential rewards from more effective engagement with the community are significant. It is also clear that an APS wide framework can support better engagement if it is designed in a way that addresses: the different methods and tools of good engagement</w:t>
      </w:r>
      <w:r w:rsidR="00F10BF5">
        <w:t xml:space="preserve">; </w:t>
      </w:r>
      <w:r>
        <w:t>the value of meaningful engagement with the public, helps public servants cho</w:t>
      </w:r>
      <w:r w:rsidR="00F10BF5">
        <w:t>o</w:t>
      </w:r>
      <w:r>
        <w:t>se the right way to engage for the issue they have; helps them navigate internal processes and think differently about their role and the role of community expertise. </w:t>
      </w:r>
    </w:p>
    <w:p w14:paraId="273D9724" w14:textId="77777777" w:rsidR="007A6929" w:rsidRDefault="007A6929" w:rsidP="007A6929">
      <w:pPr>
        <w:spacing w:before="0"/>
      </w:pPr>
    </w:p>
    <w:p w14:paraId="00DC161A" w14:textId="77777777" w:rsidR="007A6929" w:rsidRDefault="007A6929" w:rsidP="007A6929">
      <w:pPr>
        <w:spacing w:before="0"/>
      </w:pPr>
      <w:r>
        <w:t xml:space="preserve">The insights generated from the research have identified a number of challenges faced by people involved in participation and engagement activities. The following design questions transfer these challenges into opportunities for design and will be launch pads for ideas in the create phase. </w:t>
      </w:r>
    </w:p>
    <w:p w14:paraId="164884A4" w14:textId="77777777" w:rsidR="007A6929" w:rsidRDefault="007A6929" w:rsidP="007A6929">
      <w:pPr>
        <w:spacing w:before="0"/>
      </w:pPr>
    </w:p>
    <w:p w14:paraId="77154CF6" w14:textId="77777777" w:rsidR="007A6929" w:rsidRDefault="007A6929" w:rsidP="007A6929">
      <w:pPr>
        <w:numPr>
          <w:ilvl w:val="0"/>
          <w:numId w:val="55"/>
        </w:numPr>
        <w:spacing w:before="0"/>
        <w:contextualSpacing/>
      </w:pPr>
      <w:r>
        <w:t xml:space="preserve">How might we help public servants to select the right way to engage the public for the challenge before them? </w:t>
      </w:r>
    </w:p>
    <w:p w14:paraId="0736665B" w14:textId="77777777" w:rsidR="007A6929" w:rsidRDefault="007A6929" w:rsidP="007A6929">
      <w:pPr>
        <w:spacing w:before="0"/>
        <w:ind w:left="720"/>
        <w:contextualSpacing/>
      </w:pPr>
    </w:p>
    <w:p w14:paraId="4D0158FF" w14:textId="3FB25C28" w:rsidR="007A6929" w:rsidRDefault="007A6929" w:rsidP="007A6929">
      <w:pPr>
        <w:numPr>
          <w:ilvl w:val="0"/>
          <w:numId w:val="55"/>
        </w:numPr>
        <w:spacing w:before="0"/>
        <w:contextualSpacing/>
      </w:pPr>
      <w:r>
        <w:t xml:space="preserve">How can we assist </w:t>
      </w:r>
      <w:r w:rsidR="00D00A7C">
        <w:t>the APS</w:t>
      </w:r>
      <w:r>
        <w:t xml:space="preserve"> to see the benefits from engaging the expertise of the community?</w:t>
      </w:r>
    </w:p>
    <w:p w14:paraId="47C0015B" w14:textId="77777777" w:rsidR="007A6929" w:rsidRDefault="007A6929" w:rsidP="007A6929">
      <w:pPr>
        <w:spacing w:before="0"/>
      </w:pPr>
    </w:p>
    <w:p w14:paraId="2C00EE48" w14:textId="77777777" w:rsidR="007A6929" w:rsidRDefault="007A6929" w:rsidP="007A6929">
      <w:pPr>
        <w:numPr>
          <w:ilvl w:val="0"/>
          <w:numId w:val="55"/>
        </w:numPr>
        <w:spacing w:before="0"/>
        <w:contextualSpacing/>
      </w:pPr>
      <w:r>
        <w:t>How can we help the APS to get the basics of engagement right?</w:t>
      </w:r>
    </w:p>
    <w:p w14:paraId="3AC1FB0D" w14:textId="77777777" w:rsidR="007A6929" w:rsidRDefault="007A6929" w:rsidP="007A6929">
      <w:pPr>
        <w:spacing w:before="0"/>
        <w:contextualSpacing/>
      </w:pPr>
    </w:p>
    <w:p w14:paraId="3EC8F2B8" w14:textId="77777777" w:rsidR="007A6929" w:rsidRDefault="007A6929" w:rsidP="007A6929">
      <w:pPr>
        <w:numPr>
          <w:ilvl w:val="0"/>
          <w:numId w:val="55"/>
        </w:numPr>
        <w:spacing w:before="0"/>
        <w:contextualSpacing/>
      </w:pPr>
      <w:r>
        <w:t xml:space="preserve"> How might we re-think critical business processes to better reflect the importance of community expertise?</w:t>
      </w:r>
    </w:p>
    <w:p w14:paraId="3E14643F" w14:textId="77777777" w:rsidR="007A6929" w:rsidRDefault="007A6929" w:rsidP="007A6929">
      <w:pPr>
        <w:spacing w:before="0"/>
        <w:contextualSpacing/>
      </w:pPr>
    </w:p>
    <w:p w14:paraId="2F5691D7" w14:textId="77777777" w:rsidR="007A6929" w:rsidRDefault="007A6929" w:rsidP="007A6929">
      <w:pPr>
        <w:pStyle w:val="ListParagraph"/>
        <w:numPr>
          <w:ilvl w:val="0"/>
          <w:numId w:val="55"/>
        </w:numPr>
        <w:spacing w:before="0" w:after="160" w:line="252" w:lineRule="auto"/>
      </w:pPr>
      <w:r>
        <w:t xml:space="preserve">How might we re-imagine public servant roles such as policy officer to make better use of community expertise? </w:t>
      </w:r>
    </w:p>
    <w:p w14:paraId="2725AD7D" w14:textId="77777777" w:rsidR="007A6929" w:rsidRDefault="007A6929" w:rsidP="007A6929">
      <w:pPr>
        <w:pStyle w:val="ListParagraph"/>
        <w:spacing w:before="0"/>
      </w:pPr>
    </w:p>
    <w:p w14:paraId="6B7D59B7" w14:textId="77777777" w:rsidR="007A6929" w:rsidRDefault="007A6929" w:rsidP="007A6929">
      <w:pPr>
        <w:pStyle w:val="ListParagraph"/>
        <w:numPr>
          <w:ilvl w:val="0"/>
          <w:numId w:val="55"/>
        </w:numPr>
        <w:spacing w:before="0" w:line="252" w:lineRule="auto"/>
      </w:pPr>
      <w:r>
        <w:t>How might we shift incentives to better encourage the development of the skills needed to tap community expertise?</w:t>
      </w:r>
    </w:p>
    <w:p w14:paraId="42E7C25B" w14:textId="77777777" w:rsidR="007A6929" w:rsidRDefault="007A6929" w:rsidP="007A6929">
      <w:pPr>
        <w:spacing w:before="0"/>
      </w:pPr>
    </w:p>
    <w:p w14:paraId="50180715" w14:textId="77777777" w:rsidR="007A6929" w:rsidRDefault="007A6929" w:rsidP="007A6929">
      <w:pPr>
        <w:spacing w:before="0"/>
      </w:pPr>
      <w:r w:rsidRPr="004655C6">
        <w:lastRenderedPageBreak/>
        <w:t>Technology has the potential to remove some of the barriers to better engagement. The research in this report has informed the Business Research and Innovation Initiative (BRII) challenge to develop a platform that digitally enables community engagement in policy, programme and service design. This will continue through the project’s Create and Deliver phases with the potential for a platform to form part of the framework.</w:t>
      </w:r>
    </w:p>
    <w:p w14:paraId="44D48B4B" w14:textId="77777777" w:rsidR="007A6929" w:rsidRDefault="007A6929" w:rsidP="007A6929">
      <w:pPr>
        <w:spacing w:before="0"/>
      </w:pPr>
    </w:p>
    <w:p w14:paraId="28F08DD8" w14:textId="77777777" w:rsidR="007A6929" w:rsidRDefault="007A6929" w:rsidP="007A6929">
      <w:pPr>
        <w:spacing w:before="0"/>
      </w:pPr>
      <w:r>
        <w:t>Every agency in the APS has key stakeholders and different ways of engaging those stakeholders. The research has shown that these relationships can be transactional, made up of a series of single issue interactions. This does not necessarily need to be the case. A quick win from this research could be for department’s to assess the nature of the relationship with key stakeholders and to see to the extent possible that they could be move to more of a partnership model.</w:t>
      </w:r>
    </w:p>
    <w:p w14:paraId="2F7E69E4" w14:textId="77777777" w:rsidR="007A6929" w:rsidRDefault="007A6929" w:rsidP="0052682D">
      <w:pPr>
        <w:spacing w:before="0"/>
        <w:rPr>
          <w:rFonts w:asciiTheme="majorHAnsi" w:hAnsiTheme="majorHAnsi"/>
          <w:i/>
          <w:sz w:val="30"/>
        </w:rPr>
      </w:pPr>
    </w:p>
    <w:p w14:paraId="1FB1222D" w14:textId="77777777" w:rsidR="007A6929" w:rsidRDefault="007A6929" w:rsidP="0052682D">
      <w:pPr>
        <w:spacing w:before="0"/>
        <w:rPr>
          <w:rFonts w:asciiTheme="majorHAnsi" w:hAnsiTheme="majorHAnsi"/>
          <w:i/>
          <w:sz w:val="30"/>
        </w:rPr>
      </w:pPr>
    </w:p>
    <w:p w14:paraId="7269C3E1" w14:textId="77777777" w:rsidR="00683DEC" w:rsidRDefault="00683DEC" w:rsidP="007B0FD0">
      <w:pPr>
        <w:spacing w:before="0"/>
      </w:pPr>
    </w:p>
    <w:p w14:paraId="5E8C7D08" w14:textId="77777777" w:rsidR="00A55A9F" w:rsidRPr="005F1097" w:rsidRDefault="00A55A9F" w:rsidP="007B0FD0">
      <w:pPr>
        <w:spacing w:before="0"/>
      </w:pPr>
      <w:r w:rsidRPr="005F1097">
        <w:br w:type="page"/>
      </w:r>
    </w:p>
    <w:p w14:paraId="4EA58422" w14:textId="77777777" w:rsidR="006A3A1F" w:rsidRDefault="006A3A1F" w:rsidP="006A3A1F">
      <w:pPr>
        <w:pStyle w:val="H1"/>
        <w:spacing w:before="0" w:after="0"/>
      </w:pPr>
      <w:bookmarkStart w:id="17" w:name="_Toc494287666"/>
      <w:bookmarkStart w:id="18" w:name="_Toc495915946"/>
      <w:bookmarkStart w:id="19" w:name="_Toc492983318"/>
      <w:bookmarkEnd w:id="16"/>
      <w:r>
        <w:lastRenderedPageBreak/>
        <w:t>Introduction to project and this report</w:t>
      </w:r>
      <w:bookmarkEnd w:id="17"/>
      <w:bookmarkEnd w:id="18"/>
    </w:p>
    <w:p w14:paraId="3ECAD93A" w14:textId="77777777" w:rsidR="006A3A1F" w:rsidRDefault="006A3A1F" w:rsidP="006A3A1F">
      <w:pPr>
        <w:spacing w:before="0"/>
      </w:pPr>
    </w:p>
    <w:p w14:paraId="06FC6DDA" w14:textId="77777777" w:rsidR="006A3A1F" w:rsidRPr="00B05EA4" w:rsidRDefault="006A3A1F" w:rsidP="006A3A1F">
      <w:pPr>
        <w:spacing w:before="0"/>
        <w:rPr>
          <w:rFonts w:asciiTheme="majorHAnsi" w:hAnsiTheme="majorHAnsi"/>
          <w:i/>
          <w:sz w:val="30"/>
        </w:rPr>
      </w:pPr>
      <w:r w:rsidRPr="00B05EA4">
        <w:rPr>
          <w:rFonts w:asciiTheme="majorHAnsi" w:hAnsiTheme="majorHAnsi"/>
          <w:i/>
          <w:sz w:val="30"/>
        </w:rPr>
        <w:t>In December 2016</w:t>
      </w:r>
      <w:r w:rsidR="00EA3B27">
        <w:rPr>
          <w:rFonts w:asciiTheme="majorHAnsi" w:hAnsiTheme="majorHAnsi"/>
          <w:i/>
          <w:sz w:val="30"/>
        </w:rPr>
        <w:t>,</w:t>
      </w:r>
      <w:r w:rsidRPr="00B05EA4">
        <w:rPr>
          <w:rFonts w:asciiTheme="majorHAnsi" w:hAnsiTheme="majorHAnsi"/>
          <w:i/>
          <w:sz w:val="30"/>
        </w:rPr>
        <w:t xml:space="preserve"> the Australian Government announced the first Open Government Partnership National Action Plan.</w:t>
      </w:r>
      <w:r w:rsidR="00EA27CC" w:rsidRPr="00B05EA4">
        <w:rPr>
          <w:rFonts w:asciiTheme="majorHAnsi" w:hAnsiTheme="majorHAnsi"/>
          <w:i/>
          <w:sz w:val="30"/>
        </w:rPr>
        <w:t xml:space="preserve"> </w:t>
      </w:r>
      <w:r w:rsidRPr="00B05EA4">
        <w:rPr>
          <w:rFonts w:asciiTheme="majorHAnsi" w:hAnsiTheme="majorHAnsi"/>
          <w:i/>
          <w:sz w:val="30"/>
        </w:rPr>
        <w:t xml:space="preserve">This report forms part of the work under Commitment 5.2 of the action plan which is focussed on enhancing public participation in policy development and service delivery. </w:t>
      </w:r>
    </w:p>
    <w:p w14:paraId="1D0EE744" w14:textId="77777777" w:rsidR="006A3A1F" w:rsidRPr="00B05EA4" w:rsidRDefault="006A3A1F" w:rsidP="006A3A1F">
      <w:pPr>
        <w:spacing w:before="0"/>
        <w:rPr>
          <w:rFonts w:asciiTheme="majorHAnsi" w:hAnsiTheme="majorHAnsi"/>
          <w:i/>
          <w:sz w:val="30"/>
        </w:rPr>
      </w:pPr>
    </w:p>
    <w:p w14:paraId="5FCACF7A" w14:textId="77777777" w:rsidR="006A3A1F" w:rsidRPr="00B05EA4" w:rsidRDefault="006A3A1F" w:rsidP="006A3A1F">
      <w:pPr>
        <w:spacing w:before="0"/>
        <w:rPr>
          <w:rFonts w:asciiTheme="majorHAnsi" w:hAnsiTheme="majorHAnsi"/>
          <w:i/>
          <w:sz w:val="30"/>
        </w:rPr>
      </w:pPr>
      <w:r w:rsidRPr="00B05EA4">
        <w:rPr>
          <w:rFonts w:asciiTheme="majorHAnsi" w:hAnsiTheme="majorHAnsi"/>
          <w:i/>
          <w:sz w:val="30"/>
        </w:rPr>
        <w:t>This section provides an overview of the project</w:t>
      </w:r>
      <w:r w:rsidR="00B05EA4">
        <w:rPr>
          <w:rFonts w:asciiTheme="majorHAnsi" w:hAnsiTheme="majorHAnsi"/>
          <w:i/>
          <w:sz w:val="30"/>
        </w:rPr>
        <w:t>, its methodology,</w:t>
      </w:r>
      <w:r w:rsidRPr="00B05EA4">
        <w:rPr>
          <w:rFonts w:asciiTheme="majorHAnsi" w:hAnsiTheme="majorHAnsi"/>
          <w:i/>
          <w:sz w:val="30"/>
        </w:rPr>
        <w:t xml:space="preserve"> and this report. Detailed information is in Appendix A.</w:t>
      </w:r>
    </w:p>
    <w:p w14:paraId="028668DF" w14:textId="77777777" w:rsidR="006A3A1F" w:rsidRPr="00454859" w:rsidRDefault="006A3A1F" w:rsidP="006A3A1F">
      <w:pPr>
        <w:spacing w:before="0"/>
      </w:pPr>
    </w:p>
    <w:p w14:paraId="7971D58D" w14:textId="77777777" w:rsidR="006A3A1F" w:rsidRPr="0080300E" w:rsidRDefault="006A3A1F" w:rsidP="006A3A1F">
      <w:pPr>
        <w:pStyle w:val="Heading6"/>
        <w:numPr>
          <w:ilvl w:val="0"/>
          <w:numId w:val="0"/>
        </w:numPr>
        <w:spacing w:before="0"/>
        <w:rPr>
          <w:i w:val="0"/>
        </w:rPr>
      </w:pPr>
      <w:r w:rsidRPr="0080300E">
        <w:t>Australia’s first Open Government National Action Plan</w:t>
      </w:r>
    </w:p>
    <w:p w14:paraId="1F1A7850" w14:textId="77777777" w:rsidR="006A3A1F" w:rsidRDefault="006A3A1F" w:rsidP="006A3A1F">
      <w:pPr>
        <w:spacing w:before="0"/>
      </w:pPr>
      <w:r w:rsidRPr="002468BA">
        <w:t>The Open Government Partnership (OGP) is a multi-lateral initiative that aims to secure concrete commitments from governments to advance open government efforts.</w:t>
      </w:r>
      <w:r>
        <w:t xml:space="preserve"> </w:t>
      </w:r>
      <w:r w:rsidRPr="002468BA">
        <w:t>In November 2015</w:t>
      </w:r>
      <w:r>
        <w:t>,</w:t>
      </w:r>
      <w:r w:rsidRPr="002468BA">
        <w:t xml:space="preserve"> </w:t>
      </w:r>
      <w:r>
        <w:t>the Commonwealth Government</w:t>
      </w:r>
      <w:r w:rsidRPr="002468BA">
        <w:t xml:space="preserve"> reaffirmed </w:t>
      </w:r>
      <w:r>
        <w:t>Australia’s</w:t>
      </w:r>
      <w:r w:rsidRPr="002468BA">
        <w:t xml:space="preserve"> commitment to join the OGP.</w:t>
      </w:r>
      <w:r>
        <w:t xml:space="preserve"> </w:t>
      </w:r>
      <w:r w:rsidRPr="002468BA">
        <w:t>Every two years</w:t>
      </w:r>
      <w:r>
        <w:t>,</w:t>
      </w:r>
      <w:r w:rsidRPr="002468BA">
        <w:t xml:space="preserve"> OGP members must work with the public</w:t>
      </w:r>
      <w:r>
        <w:t xml:space="preserve"> to transparently and publicly co-create</w:t>
      </w:r>
      <w:r w:rsidRPr="002468BA">
        <w:t xml:space="preserve"> a National Action Plan.</w:t>
      </w:r>
      <w:r>
        <w:t xml:space="preserve"> In December 2016, the Commonwealth Government released </w:t>
      </w:r>
      <w:r w:rsidRPr="002468BA">
        <w:t xml:space="preserve">Australia’s first Open Government National Action Plan </w:t>
      </w:r>
      <w:r>
        <w:t>and its 15 commitments</w:t>
      </w:r>
    </w:p>
    <w:p w14:paraId="558669CE" w14:textId="77777777" w:rsidR="006A3A1F" w:rsidRDefault="006A3A1F" w:rsidP="006A3A1F">
      <w:pPr>
        <w:spacing w:before="0"/>
      </w:pPr>
    </w:p>
    <w:p w14:paraId="2095EE63" w14:textId="77777777" w:rsidR="006A3A1F" w:rsidRPr="0080300E" w:rsidRDefault="006A3A1F" w:rsidP="006A3A1F">
      <w:pPr>
        <w:pStyle w:val="Heading6"/>
        <w:numPr>
          <w:ilvl w:val="0"/>
          <w:numId w:val="0"/>
        </w:numPr>
        <w:spacing w:before="0"/>
        <w:rPr>
          <w:i w:val="0"/>
        </w:rPr>
      </w:pPr>
      <w:r w:rsidRPr="0080300E">
        <w:t>Implement National Action Plan Commitment 5.2</w:t>
      </w:r>
    </w:p>
    <w:p w14:paraId="32E70AAE" w14:textId="77777777" w:rsidR="006A3A1F" w:rsidRDefault="006A3A1F" w:rsidP="006A3A1F">
      <w:pPr>
        <w:spacing w:before="0"/>
      </w:pPr>
      <w:r>
        <w:t xml:space="preserve">This project is to implement National Action Plan Commitment 5.2: Enhancing public participation. Commitment 5.2’s ambition is for the APS to </w:t>
      </w:r>
      <w:r w:rsidRPr="002468BA">
        <w:t>design and adopt a whole-of-government framework that embeds meaningful, open, public and multi-stakeholder participation into policy development and service delivery.</w:t>
      </w:r>
    </w:p>
    <w:p w14:paraId="64919052" w14:textId="77777777" w:rsidR="006A3A1F" w:rsidRDefault="006A3A1F" w:rsidP="006A3A1F">
      <w:pPr>
        <w:spacing w:before="0"/>
      </w:pPr>
    </w:p>
    <w:p w14:paraId="3F5A9532" w14:textId="77777777" w:rsidR="006A3A1F" w:rsidRPr="0080300E" w:rsidRDefault="006A3A1F" w:rsidP="006A3A1F">
      <w:pPr>
        <w:pStyle w:val="Heading6"/>
        <w:numPr>
          <w:ilvl w:val="0"/>
          <w:numId w:val="0"/>
        </w:numPr>
        <w:spacing w:before="0"/>
        <w:rPr>
          <w:i w:val="0"/>
        </w:rPr>
      </w:pPr>
      <w:r w:rsidRPr="0080300E">
        <w:t>Milestones and outputs</w:t>
      </w:r>
    </w:p>
    <w:p w14:paraId="111A7F3A" w14:textId="77777777" w:rsidR="006A3A1F" w:rsidRDefault="006A3A1F" w:rsidP="006A3A1F">
      <w:pPr>
        <w:spacing w:before="0"/>
      </w:pPr>
      <w:r>
        <w:t>The Commitment has</w:t>
      </w:r>
      <w:r w:rsidRPr="003234A8">
        <w:t xml:space="preserve"> three key milestones, each with </w:t>
      </w:r>
      <w:r>
        <w:t xml:space="preserve">its </w:t>
      </w:r>
      <w:r w:rsidRPr="003234A8">
        <w:t xml:space="preserve">own outputs. </w:t>
      </w:r>
      <w:r w:rsidRPr="002468BA">
        <w:t xml:space="preserve">This report </w:t>
      </w:r>
      <w:r>
        <w:t xml:space="preserve">is an output of the </w:t>
      </w:r>
      <w:r w:rsidRPr="002468BA">
        <w:t xml:space="preserve">first </w:t>
      </w:r>
      <w:r>
        <w:t>milestone. Milestone two is to release the framework itself; and milestone three is to undertake pilot public participation initiatives.</w:t>
      </w:r>
    </w:p>
    <w:p w14:paraId="408F824D" w14:textId="77777777" w:rsidR="006A3A1F" w:rsidRDefault="006A3A1F" w:rsidP="006A3A1F">
      <w:pPr>
        <w:spacing w:before="0"/>
      </w:pPr>
    </w:p>
    <w:p w14:paraId="5C86A095" w14:textId="77777777" w:rsidR="006A3A1F" w:rsidRPr="0080300E" w:rsidRDefault="006A3A1F" w:rsidP="006A3A1F">
      <w:pPr>
        <w:pStyle w:val="Heading6"/>
        <w:numPr>
          <w:ilvl w:val="0"/>
          <w:numId w:val="0"/>
        </w:numPr>
        <w:spacing w:before="0"/>
        <w:rPr>
          <w:i w:val="0"/>
        </w:rPr>
      </w:pPr>
      <w:r>
        <w:t>M</w:t>
      </w:r>
      <w:r w:rsidRPr="0080300E">
        <w:t>ethodology – User Centred Design</w:t>
      </w:r>
    </w:p>
    <w:p w14:paraId="33CB6173" w14:textId="77777777" w:rsidR="006A3A1F" w:rsidRDefault="006A3A1F" w:rsidP="006A3A1F">
      <w:pPr>
        <w:spacing w:before="0"/>
      </w:pPr>
      <w:r w:rsidRPr="003234A8">
        <w:t>The Project team is implementing Commitment 5.2 using a User Centred Design (UCD) methodology.</w:t>
      </w:r>
      <w:r>
        <w:t xml:space="preserve"> UCD is</w:t>
      </w:r>
      <w:r w:rsidRPr="001F6598">
        <w:t xml:space="preserve"> a coherent step</w:t>
      </w:r>
      <w:r>
        <w:t xml:space="preserve">-by-step problem solving approach. </w:t>
      </w:r>
      <w:r w:rsidRPr="00C46130">
        <w:t xml:space="preserve">Besides including processes and tools that boost innovation, </w:t>
      </w:r>
      <w:r>
        <w:t>UCD</w:t>
      </w:r>
      <w:r w:rsidRPr="00C46130">
        <w:t xml:space="preserve"> ensures that users (i.e., the public) are at the centre of our work through</w:t>
      </w:r>
      <w:r>
        <w:t>out</w:t>
      </w:r>
      <w:r w:rsidRPr="00C46130">
        <w:t xml:space="preserve"> the Commitmen</w:t>
      </w:r>
      <w:r>
        <w:t>t’s implementation. This boosts b</w:t>
      </w:r>
      <w:r w:rsidRPr="00C46130">
        <w:t>oth the quality of our work and its legitimacy.</w:t>
      </w:r>
      <w:r>
        <w:t xml:space="preserve"> </w:t>
      </w:r>
    </w:p>
    <w:p w14:paraId="1C665325" w14:textId="77777777" w:rsidR="006A3A1F" w:rsidRDefault="006A3A1F" w:rsidP="006A3A1F">
      <w:pPr>
        <w:spacing w:before="0"/>
      </w:pPr>
    </w:p>
    <w:p w14:paraId="1C90682B" w14:textId="77777777" w:rsidR="006A3A1F" w:rsidRPr="003234A8" w:rsidRDefault="006A3A1F" w:rsidP="006A3A1F">
      <w:pPr>
        <w:spacing w:before="0"/>
      </w:pPr>
      <w:r w:rsidRPr="003234A8">
        <w:t>The UCD methodology</w:t>
      </w:r>
      <w:r>
        <w:t xml:space="preserve"> </w:t>
      </w:r>
      <w:r w:rsidRPr="003234A8">
        <w:t xml:space="preserve">has three phases, which align with the three milestones of the Commitment 5.2 – Discover (Milestone 1); Create (Milestone 2); and Deliver (Milestone 3). </w:t>
      </w:r>
    </w:p>
    <w:p w14:paraId="6AF8F629" w14:textId="77777777" w:rsidR="006A3A1F" w:rsidRDefault="006A3A1F" w:rsidP="006A3A1F">
      <w:pPr>
        <w:spacing w:before="0"/>
      </w:pPr>
    </w:p>
    <w:p w14:paraId="6C087A1A" w14:textId="77777777" w:rsidR="006A3A1F" w:rsidRDefault="006A3A1F">
      <w:pPr>
        <w:spacing w:before="0"/>
        <w:rPr>
          <w:rFonts w:ascii="Arial" w:eastAsia="MS Gothic" w:hAnsi="Arial"/>
          <w:i/>
          <w:iCs/>
          <w:color w:val="122748"/>
        </w:rPr>
      </w:pPr>
      <w:r>
        <w:br w:type="page"/>
      </w:r>
    </w:p>
    <w:p w14:paraId="1C41375A" w14:textId="77777777" w:rsidR="006A3A1F" w:rsidRPr="00225B7C" w:rsidRDefault="006A3A1F" w:rsidP="006A3A1F">
      <w:pPr>
        <w:pStyle w:val="Heading6"/>
        <w:numPr>
          <w:ilvl w:val="0"/>
          <w:numId w:val="0"/>
        </w:numPr>
        <w:spacing w:before="0"/>
        <w:rPr>
          <w:i w:val="0"/>
        </w:rPr>
      </w:pPr>
      <w:r>
        <w:lastRenderedPageBreak/>
        <w:t>Purpose of this report</w:t>
      </w:r>
    </w:p>
    <w:p w14:paraId="0CF52D92" w14:textId="77777777" w:rsidR="006A3A1F" w:rsidRPr="00F43275" w:rsidRDefault="006A3A1F" w:rsidP="006A3A1F">
      <w:pPr>
        <w:spacing w:before="0"/>
      </w:pPr>
      <w:r w:rsidRPr="00F43275">
        <w:t xml:space="preserve">This report </w:t>
      </w:r>
      <w:r>
        <w:t xml:space="preserve">shows the findings from the Discover phase, which </w:t>
      </w:r>
      <w:r w:rsidRPr="00F43275">
        <w:t xml:space="preserve">has the following three </w:t>
      </w:r>
      <w:r>
        <w:t>stages</w:t>
      </w:r>
      <w:r w:rsidRPr="00F43275">
        <w:t>:</w:t>
      </w:r>
    </w:p>
    <w:p w14:paraId="34E20485" w14:textId="77777777" w:rsidR="006A3A1F" w:rsidRDefault="006A3A1F" w:rsidP="006A3A1F">
      <w:pPr>
        <w:pStyle w:val="ListParagraph"/>
        <w:numPr>
          <w:ilvl w:val="0"/>
          <w:numId w:val="37"/>
        </w:numPr>
        <w:spacing w:before="0"/>
      </w:pPr>
      <w:r w:rsidRPr="00C46130">
        <w:rPr>
          <w:b/>
        </w:rPr>
        <w:t>Problem Identification</w:t>
      </w:r>
      <w:r w:rsidRPr="00C46130">
        <w:t xml:space="preserve"> </w:t>
      </w:r>
      <w:r w:rsidRPr="00C46130">
        <w:rPr>
          <w:b/>
        </w:rPr>
        <w:t>stage</w:t>
      </w:r>
      <w:r>
        <w:t xml:space="preserve"> </w:t>
      </w:r>
      <w:r w:rsidRPr="00C46130">
        <w:t xml:space="preserve">– where we </w:t>
      </w:r>
      <w:r>
        <w:t xml:space="preserve">identify </w:t>
      </w:r>
      <w:r w:rsidRPr="00C46130">
        <w:t xml:space="preserve">the real </w:t>
      </w:r>
      <w:r>
        <w:t xml:space="preserve">problem </w:t>
      </w:r>
      <w:r w:rsidRPr="00C46130">
        <w:t>we are trying to solve</w:t>
      </w:r>
      <w:r>
        <w:t>;</w:t>
      </w:r>
    </w:p>
    <w:p w14:paraId="5DD42AEC" w14:textId="77777777" w:rsidR="006A3A1F" w:rsidRPr="00C46130" w:rsidRDefault="006A3A1F" w:rsidP="006A3A1F">
      <w:pPr>
        <w:pStyle w:val="ListParagraph"/>
        <w:numPr>
          <w:ilvl w:val="0"/>
          <w:numId w:val="37"/>
        </w:numPr>
        <w:spacing w:before="0"/>
      </w:pPr>
      <w:r w:rsidRPr="00C46130">
        <w:rPr>
          <w:b/>
        </w:rPr>
        <w:t>Empathise</w:t>
      </w:r>
      <w:r>
        <w:rPr>
          <w:b/>
        </w:rPr>
        <w:t xml:space="preserve"> stage</w:t>
      </w:r>
      <w:r w:rsidRPr="00C46130">
        <w:t xml:space="preserve"> – </w:t>
      </w:r>
      <w:r>
        <w:t xml:space="preserve">where we explore </w:t>
      </w:r>
      <w:r w:rsidRPr="00C46130">
        <w:t>user needs and motivations</w:t>
      </w:r>
      <w:r>
        <w:t>, to understand why the problem occurs; and</w:t>
      </w:r>
    </w:p>
    <w:p w14:paraId="2F7F79F3" w14:textId="77777777" w:rsidR="006A3A1F" w:rsidRPr="00454859" w:rsidRDefault="006A3A1F" w:rsidP="006A3A1F">
      <w:pPr>
        <w:pStyle w:val="ListParagraph"/>
        <w:numPr>
          <w:ilvl w:val="0"/>
          <w:numId w:val="37"/>
        </w:numPr>
        <w:spacing w:before="0"/>
        <w:rPr>
          <w:b/>
        </w:rPr>
      </w:pPr>
      <w:r w:rsidRPr="00C46130">
        <w:rPr>
          <w:b/>
        </w:rPr>
        <w:t>Define</w:t>
      </w:r>
      <w:r w:rsidRPr="00454859">
        <w:rPr>
          <w:b/>
        </w:rPr>
        <w:t xml:space="preserve"> </w:t>
      </w:r>
      <w:r w:rsidRPr="00CA624B">
        <w:rPr>
          <w:b/>
        </w:rPr>
        <w:t>stage</w:t>
      </w:r>
      <w:r w:rsidRPr="00454859">
        <w:rPr>
          <w:b/>
        </w:rPr>
        <w:t xml:space="preserve"> – </w:t>
      </w:r>
      <w:r w:rsidRPr="00454859">
        <w:t>where we identify opportunities for solutions</w:t>
      </w:r>
    </w:p>
    <w:p w14:paraId="48762D6D" w14:textId="77777777" w:rsidR="006A3A1F" w:rsidRPr="0058677C" w:rsidRDefault="006A3A1F" w:rsidP="006A3A1F">
      <w:pPr>
        <w:spacing w:before="0"/>
        <w:rPr>
          <w:rFonts w:ascii="Calibri Light" w:eastAsia="MS Gothic" w:hAnsi="Calibri Light"/>
          <w:bCs/>
          <w:color w:val="276C6C"/>
          <w:sz w:val="40"/>
          <w:szCs w:val="28"/>
        </w:rPr>
      </w:pPr>
      <w:r>
        <w:br w:type="page"/>
      </w:r>
      <w:r>
        <w:rPr>
          <w:noProof/>
          <w:lang w:eastAsia="en-AU"/>
        </w:rPr>
        <mc:AlternateContent>
          <mc:Choice Requires="wps">
            <w:drawing>
              <wp:anchor distT="45720" distB="45720" distL="114300" distR="114300" simplePos="0" relativeHeight="251658275" behindDoc="0" locked="0" layoutInCell="1" allowOverlap="1" wp14:anchorId="6A065590" wp14:editId="100D56CC">
                <wp:simplePos x="0" y="0"/>
                <wp:positionH relativeFrom="margin">
                  <wp:posOffset>0</wp:posOffset>
                </wp:positionH>
                <wp:positionV relativeFrom="paragraph">
                  <wp:posOffset>354965</wp:posOffset>
                </wp:positionV>
                <wp:extent cx="5711825" cy="3752215"/>
                <wp:effectExtent l="0" t="0" r="3175" b="63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3752215"/>
                        </a:xfrm>
                        <a:prstGeom prst="rect">
                          <a:avLst/>
                        </a:prstGeom>
                        <a:solidFill>
                          <a:schemeClr val="accent1">
                            <a:lumMod val="20000"/>
                            <a:lumOff val="80000"/>
                          </a:schemeClr>
                        </a:solidFill>
                        <a:ln w="9525">
                          <a:noFill/>
                          <a:miter lim="800000"/>
                          <a:headEnd/>
                          <a:tailEnd/>
                        </a:ln>
                      </wps:spPr>
                      <wps:txbx>
                        <w:txbxContent>
                          <w:p w14:paraId="745F410B" w14:textId="77777777" w:rsidR="001143F2" w:rsidRPr="00521F51" w:rsidRDefault="001143F2" w:rsidP="006A3A1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w:t>
                            </w:r>
                            <w:r>
                              <w:rPr>
                                <w:rFonts w:asciiTheme="majorHAnsi" w:hAnsiTheme="majorHAnsi" w:cs="Arial"/>
                                <w:b/>
                                <w:noProof/>
                                <w:color w:val="44546A" w:themeColor="text2"/>
                                <w:sz w:val="20"/>
                                <w:lang w:eastAsia="en-AU"/>
                              </w:rPr>
                              <w:t xml:space="preserve">This </w:t>
                            </w:r>
                            <w:r w:rsidRPr="00521F51">
                              <w:rPr>
                                <w:rFonts w:asciiTheme="majorHAnsi" w:hAnsiTheme="majorHAnsi" w:cs="Arial"/>
                                <w:b/>
                                <w:noProof/>
                                <w:color w:val="44546A" w:themeColor="text2"/>
                                <w:sz w:val="20"/>
                                <w:lang w:eastAsia="en-AU"/>
                              </w:rPr>
                              <w:t>report covers the Project’s Discover phase, including its Problem Identificatio</w:t>
                            </w:r>
                            <w:r>
                              <w:rPr>
                                <w:rFonts w:asciiTheme="majorHAnsi" w:hAnsiTheme="majorHAnsi" w:cs="Arial"/>
                                <w:b/>
                                <w:noProof/>
                                <w:color w:val="44546A" w:themeColor="text2"/>
                                <w:sz w:val="20"/>
                                <w:lang w:eastAsia="en-AU"/>
                              </w:rPr>
                              <w:t>n; Empathise; and Define stages. The future phases focus on developing and implementing solutions, and will be covered in future reports.</w:t>
                            </w:r>
                          </w:p>
                          <w:p w14:paraId="054F441A" w14:textId="77777777" w:rsidR="001143F2" w:rsidRDefault="001143F2" w:rsidP="006A3A1F">
                            <w:pPr>
                              <w:spacing w:before="0"/>
                              <w:jc w:val="center"/>
                            </w:pPr>
                          </w:p>
                          <w:p w14:paraId="4CF44BB9" w14:textId="77777777" w:rsidR="001143F2" w:rsidRDefault="001143F2" w:rsidP="006A3A1F">
                            <w:pPr>
                              <w:spacing w:before="0"/>
                            </w:pPr>
                            <w:r w:rsidRPr="00597A46">
                              <w:rPr>
                                <w:noProof/>
                                <w:lang w:eastAsia="en-AU"/>
                              </w:rPr>
                              <w:drawing>
                                <wp:inline distT="0" distB="0" distL="0" distR="0" wp14:anchorId="6722E828" wp14:editId="4131326E">
                                  <wp:extent cx="5520055" cy="2846890"/>
                                  <wp:effectExtent l="0" t="0" r="4445" b="0"/>
                                  <wp:docPr id="59" name="Picture 59" descr="G:\BizLab\BizLab - Communication\Images\BizLab - UCD process diagrams\UCD DIAGRAM JPEG\BizLab UCD diagram_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zLab\BizLab - Communication\Images\BizLab - UCD process diagrams\UCD DIAGRAM JPEG\BizLab UCD diagram_FA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27062"/>
                                          <a:stretch/>
                                        </pic:blipFill>
                                        <pic:spPr bwMode="auto">
                                          <a:xfrm>
                                            <a:off x="0" y="0"/>
                                            <a:ext cx="5520055" cy="28468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065590" id="_x0000_t202" coordsize="21600,21600" o:spt="202" path="m,l,21600r21600,l21600,xe">
                <v:stroke joinstyle="miter"/>
                <v:path gradientshapeok="t" o:connecttype="rect"/>
              </v:shapetype>
              <v:shape id="Text Box 2" o:spid="_x0000_s1026" type="#_x0000_t202" style="position:absolute;margin-left:0;margin-top:27.95pt;width:449.75pt;height:295.45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" fillcolor="#deeaf6 [660]" stroked="f">
                <v:textbox>
                  <w:txbxContent>
                    <w:p w14:paraId="745F410B" w14:textId="77777777" w:rsidR="001143F2" w:rsidRPr="00521F51" w:rsidRDefault="001143F2" w:rsidP="006A3A1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w:t>
                      </w:r>
                      <w:r>
                        <w:rPr>
                          <w:rFonts w:asciiTheme="majorHAnsi" w:hAnsiTheme="majorHAnsi" w:cs="Arial"/>
                          <w:b/>
                          <w:noProof/>
                          <w:color w:val="44546A" w:themeColor="text2"/>
                          <w:sz w:val="20"/>
                          <w:lang w:eastAsia="en-AU"/>
                        </w:rPr>
                        <w:t xml:space="preserve">This </w:t>
                      </w:r>
                      <w:r w:rsidRPr="00521F51">
                        <w:rPr>
                          <w:rFonts w:asciiTheme="majorHAnsi" w:hAnsiTheme="majorHAnsi" w:cs="Arial"/>
                          <w:b/>
                          <w:noProof/>
                          <w:color w:val="44546A" w:themeColor="text2"/>
                          <w:sz w:val="20"/>
                          <w:lang w:eastAsia="en-AU"/>
                        </w:rPr>
                        <w:t>report covers the Project’s Discover phase, including its Problem Identificatio</w:t>
                      </w:r>
                      <w:r>
                        <w:rPr>
                          <w:rFonts w:asciiTheme="majorHAnsi" w:hAnsiTheme="majorHAnsi" w:cs="Arial"/>
                          <w:b/>
                          <w:noProof/>
                          <w:color w:val="44546A" w:themeColor="text2"/>
                          <w:sz w:val="20"/>
                          <w:lang w:eastAsia="en-AU"/>
                        </w:rPr>
                        <w:t>n; Empathise; and Define stages. The future phases focus on developing and implementing solutions, and will be covered in future reports.</w:t>
                      </w:r>
                    </w:p>
                    <w:p w14:paraId="054F441A" w14:textId="77777777" w:rsidR="001143F2" w:rsidRDefault="001143F2" w:rsidP="006A3A1F">
                      <w:pPr>
                        <w:spacing w:before="0"/>
                        <w:jc w:val="center"/>
                      </w:pPr>
                    </w:p>
                    <w:p w14:paraId="4CF44BB9" w14:textId="77777777" w:rsidR="001143F2" w:rsidRDefault="001143F2" w:rsidP="006A3A1F">
                      <w:pPr>
                        <w:spacing w:before="0"/>
                      </w:pPr>
                      <w:r w:rsidRPr="00597A46">
                        <w:rPr>
                          <w:noProof/>
                          <w:lang w:eastAsia="en-AU"/>
                        </w:rPr>
                        <w:drawing>
                          <wp:inline distT="0" distB="0" distL="0" distR="0" wp14:anchorId="6722E828" wp14:editId="4131326E">
                            <wp:extent cx="5520055" cy="2846890"/>
                            <wp:effectExtent l="0" t="0" r="4445" b="0"/>
                            <wp:docPr id="59" name="Picture 59" descr="G:\BizLab\BizLab - Communication\Images\BizLab - UCD process diagrams\UCD DIAGRAM JPEG\BizLab UCD diagram_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zLab\BizLab - Communication\Images\BizLab - UCD process diagrams\UCD DIAGRAM JPEG\BizLab UCD diagram_FA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7062"/>
                                    <a:stretch/>
                                  </pic:blipFill>
                                  <pic:spPr bwMode="auto">
                                    <a:xfrm>
                                      <a:off x="0" y="0"/>
                                      <a:ext cx="5520055" cy="28468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78B999BE" w14:textId="77777777" w:rsidR="00B05EA4" w:rsidRDefault="00912607" w:rsidP="0052682D">
      <w:pPr>
        <w:pStyle w:val="H1"/>
        <w:spacing w:before="0" w:after="0"/>
        <w:rPr>
          <w:b/>
          <w:sz w:val="74"/>
        </w:rPr>
      </w:pPr>
      <w:bookmarkStart w:id="20" w:name="_Toc495915947"/>
      <w:r w:rsidRPr="00912607">
        <w:rPr>
          <w:b/>
          <w:sz w:val="74"/>
        </w:rPr>
        <w:lastRenderedPageBreak/>
        <w:t>Chapter one:</w:t>
      </w:r>
      <w:bookmarkEnd w:id="20"/>
      <w:r w:rsidR="00745CD9">
        <w:rPr>
          <w:b/>
          <w:sz w:val="74"/>
        </w:rPr>
        <w:t xml:space="preserve"> </w:t>
      </w:r>
    </w:p>
    <w:p w14:paraId="034C047D" w14:textId="77777777" w:rsidR="006F5A59" w:rsidRDefault="00E0280F" w:rsidP="0052682D">
      <w:pPr>
        <w:pStyle w:val="H1"/>
        <w:spacing w:before="0" w:after="0"/>
        <w:rPr>
          <w:sz w:val="74"/>
        </w:rPr>
      </w:pPr>
      <w:bookmarkStart w:id="21" w:name="_Toc495915948"/>
      <w:r w:rsidRPr="00912607">
        <w:rPr>
          <w:sz w:val="74"/>
        </w:rPr>
        <w:t>What is the problem</w:t>
      </w:r>
      <w:r w:rsidR="00912607">
        <w:rPr>
          <w:sz w:val="74"/>
        </w:rPr>
        <w:t xml:space="preserve"> we’re trying to solve</w:t>
      </w:r>
      <w:r w:rsidRPr="00912607">
        <w:rPr>
          <w:sz w:val="74"/>
        </w:rPr>
        <w:t>?</w:t>
      </w:r>
      <w:bookmarkEnd w:id="21"/>
    </w:p>
    <w:p w14:paraId="1654E9A2" w14:textId="77777777" w:rsidR="007A6929" w:rsidRPr="0058633D" w:rsidRDefault="007A6929" w:rsidP="007A6929">
      <w:pPr>
        <w:spacing w:before="0"/>
        <w:rPr>
          <w:rFonts w:asciiTheme="majorHAnsi" w:hAnsiTheme="majorHAnsi"/>
          <w:i/>
          <w:sz w:val="30"/>
        </w:rPr>
      </w:pPr>
      <w:r w:rsidRPr="0058633D">
        <w:rPr>
          <w:rFonts w:asciiTheme="majorHAnsi" w:hAnsiTheme="majorHAnsi"/>
          <w:i/>
          <w:sz w:val="30"/>
        </w:rPr>
        <w:t xml:space="preserve">This chapter </w:t>
      </w:r>
      <w:r>
        <w:rPr>
          <w:rFonts w:asciiTheme="majorHAnsi" w:hAnsiTheme="majorHAnsi"/>
          <w:i/>
          <w:sz w:val="30"/>
        </w:rPr>
        <w:t>argues</w:t>
      </w:r>
      <w:r w:rsidRPr="0058633D">
        <w:rPr>
          <w:rFonts w:asciiTheme="majorHAnsi" w:hAnsiTheme="majorHAnsi"/>
          <w:i/>
          <w:sz w:val="30"/>
        </w:rPr>
        <w:t xml:space="preserve"> </w:t>
      </w:r>
      <w:r>
        <w:rPr>
          <w:rFonts w:asciiTheme="majorHAnsi" w:hAnsiTheme="majorHAnsi"/>
          <w:i/>
          <w:sz w:val="30"/>
        </w:rPr>
        <w:t>that</w:t>
      </w:r>
      <w:r w:rsidRPr="0058633D">
        <w:rPr>
          <w:rFonts w:asciiTheme="majorHAnsi" w:hAnsiTheme="majorHAnsi"/>
          <w:i/>
          <w:sz w:val="30"/>
        </w:rPr>
        <w:t xml:space="preserve"> public policy problems are increasingly complex and that this complexity is occurring in an environment of declining trust in government.  The literature suggests that tapping the expertise from the community can assist with this complexity and also build greater confidence in the decisions of government.</w:t>
      </w:r>
    </w:p>
    <w:p w14:paraId="5293A480" w14:textId="77777777" w:rsidR="007A6929" w:rsidRPr="0058633D" w:rsidRDefault="007A6929" w:rsidP="007A6929">
      <w:pPr>
        <w:spacing w:before="0"/>
        <w:rPr>
          <w:rFonts w:asciiTheme="majorHAnsi" w:hAnsiTheme="majorHAnsi"/>
          <w:i/>
          <w:sz w:val="30"/>
        </w:rPr>
      </w:pPr>
    </w:p>
    <w:p w14:paraId="051A9945" w14:textId="4ADD35E9" w:rsidR="007A6929" w:rsidRPr="0058633D" w:rsidRDefault="007A6929" w:rsidP="007A6929">
      <w:pPr>
        <w:spacing w:before="0"/>
        <w:rPr>
          <w:rFonts w:asciiTheme="majorHAnsi" w:hAnsiTheme="majorHAnsi"/>
          <w:i/>
          <w:sz w:val="30"/>
        </w:rPr>
      </w:pPr>
      <w:r w:rsidRPr="0058633D">
        <w:rPr>
          <w:rFonts w:asciiTheme="majorHAnsi" w:hAnsiTheme="majorHAnsi"/>
          <w:i/>
          <w:sz w:val="30"/>
        </w:rPr>
        <w:t xml:space="preserve">Relative </w:t>
      </w:r>
      <w:r w:rsidR="004F273C">
        <w:rPr>
          <w:rFonts w:asciiTheme="majorHAnsi" w:hAnsiTheme="majorHAnsi"/>
          <w:i/>
          <w:sz w:val="30"/>
        </w:rPr>
        <w:t xml:space="preserve">to state and </w:t>
      </w:r>
      <w:r w:rsidRPr="0058633D">
        <w:rPr>
          <w:rFonts w:asciiTheme="majorHAnsi" w:hAnsiTheme="majorHAnsi"/>
          <w:i/>
          <w:sz w:val="30"/>
        </w:rPr>
        <w:t>local government jurisdiction</w:t>
      </w:r>
      <w:r w:rsidR="004F273C">
        <w:rPr>
          <w:rFonts w:asciiTheme="majorHAnsi" w:hAnsiTheme="majorHAnsi"/>
          <w:i/>
          <w:sz w:val="30"/>
        </w:rPr>
        <w:t>s,</w:t>
      </w:r>
      <w:r w:rsidRPr="0058633D">
        <w:rPr>
          <w:rFonts w:asciiTheme="majorHAnsi" w:hAnsiTheme="majorHAnsi"/>
          <w:i/>
          <w:sz w:val="30"/>
        </w:rPr>
        <w:t xml:space="preserve"> </w:t>
      </w:r>
      <w:r>
        <w:rPr>
          <w:rFonts w:asciiTheme="majorHAnsi" w:hAnsiTheme="majorHAnsi"/>
          <w:i/>
          <w:sz w:val="30"/>
        </w:rPr>
        <w:t>the</w:t>
      </w:r>
      <w:r w:rsidRPr="0058633D">
        <w:rPr>
          <w:rFonts w:asciiTheme="majorHAnsi" w:hAnsiTheme="majorHAnsi"/>
          <w:i/>
          <w:sz w:val="30"/>
        </w:rPr>
        <w:t xml:space="preserve"> Australian Public Service (APS) is missing opportunities to develop more innovative and valued solutions to complex public policy problems due to a lack of effective engagement with the expertise available in business, academia and the general community. </w:t>
      </w:r>
    </w:p>
    <w:p w14:paraId="105B27B3" w14:textId="77777777" w:rsidR="007417AB" w:rsidRPr="007417AB" w:rsidRDefault="007417AB" w:rsidP="007417AB">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30"/>
      </w:tblGrid>
      <w:tr w:rsidR="00912607" w14:paraId="625F9F6A" w14:textId="77777777" w:rsidTr="001E78AC">
        <w:tc>
          <w:tcPr>
            <w:tcW w:w="3686" w:type="dxa"/>
            <w:shd w:val="clear" w:color="auto" w:fill="DEEAF6" w:themeFill="accent1" w:themeFillTint="33"/>
          </w:tcPr>
          <w:p w14:paraId="140EB16E" w14:textId="77777777" w:rsidR="00912607" w:rsidRPr="00912607" w:rsidRDefault="00912607" w:rsidP="00912607">
            <w:pPr>
              <w:spacing w:before="0"/>
              <w:rPr>
                <w:rFonts w:ascii="Times New Roman" w:hAnsi="Times New Roman"/>
                <w:b/>
                <w:noProof/>
                <w:sz w:val="94"/>
                <w:lang w:eastAsia="en-AU"/>
              </w:rPr>
            </w:pPr>
            <w:r w:rsidRPr="00912607">
              <w:rPr>
                <w:rFonts w:ascii="Times New Roman" w:hAnsi="Times New Roman"/>
                <w:b/>
                <w:noProof/>
                <w:sz w:val="94"/>
                <w:lang w:eastAsia="en-AU"/>
              </w:rPr>
              <w:t>“</w:t>
            </w:r>
          </w:p>
          <w:p w14:paraId="12B993AB" w14:textId="77777777" w:rsidR="00912607" w:rsidRPr="00912607" w:rsidRDefault="00912607" w:rsidP="00912607">
            <w:pPr>
              <w:spacing w:before="0"/>
              <w:rPr>
                <w:rFonts w:asciiTheme="majorHAnsi" w:hAnsiTheme="majorHAnsi" w:cs="Arial"/>
                <w:noProof/>
                <w:sz w:val="34"/>
                <w:lang w:eastAsia="en-AU"/>
              </w:rPr>
            </w:pPr>
            <w:r w:rsidRPr="00912607">
              <w:rPr>
                <w:rFonts w:asciiTheme="majorHAnsi" w:hAnsiTheme="majorHAnsi" w:cs="Arial"/>
                <w:noProof/>
                <w:sz w:val="34"/>
                <w:lang w:eastAsia="en-AU"/>
              </w:rPr>
              <w:t>If data and information are the primary resources in a knowledge society, dialogue is the refinery that allows governments, businesses, and civil society to find and extract the value.”</w:t>
            </w:r>
          </w:p>
          <w:p w14:paraId="7462BE44" w14:textId="77777777" w:rsidR="00912607" w:rsidRPr="00BA12E1" w:rsidRDefault="00912607" w:rsidP="00912607">
            <w:pPr>
              <w:spacing w:before="0"/>
              <w:rPr>
                <w:rFonts w:asciiTheme="majorHAnsi" w:hAnsiTheme="majorHAnsi"/>
                <w:sz w:val="20"/>
              </w:rPr>
            </w:pPr>
            <w:r>
              <w:rPr>
                <w:rFonts w:asciiTheme="majorHAnsi" w:hAnsiTheme="majorHAnsi" w:cs="Arial"/>
                <w:noProof/>
                <w:sz w:val="20"/>
                <w:lang w:eastAsia="en-AU"/>
              </w:rPr>
              <w:t>Don Lenihan, Canada 20/20</w:t>
            </w:r>
          </w:p>
          <w:p w14:paraId="0B2A2AEC" w14:textId="77777777" w:rsidR="00912607" w:rsidRDefault="00912607" w:rsidP="0052682D">
            <w:pPr>
              <w:spacing w:before="0"/>
            </w:pPr>
          </w:p>
        </w:tc>
        <w:tc>
          <w:tcPr>
            <w:tcW w:w="5330" w:type="dxa"/>
            <w:shd w:val="clear" w:color="auto" w:fill="DEEAF6" w:themeFill="accent1" w:themeFillTint="33"/>
          </w:tcPr>
          <w:p w14:paraId="6BBD48B8" w14:textId="77777777" w:rsidR="001E78AC" w:rsidRPr="001E78AC" w:rsidRDefault="001E78AC" w:rsidP="005B1259">
            <w:pPr>
              <w:spacing w:before="180"/>
              <w:rPr>
                <w:b/>
              </w:rPr>
            </w:pPr>
            <w:r w:rsidRPr="001E78AC">
              <w:rPr>
                <w:b/>
              </w:rPr>
              <w:t xml:space="preserve">Chapter </w:t>
            </w:r>
            <w:r w:rsidR="0024236E">
              <w:rPr>
                <w:b/>
              </w:rPr>
              <w:t xml:space="preserve">process </w:t>
            </w:r>
            <w:r w:rsidRPr="001E78AC">
              <w:rPr>
                <w:b/>
              </w:rPr>
              <w:t>overview</w:t>
            </w:r>
          </w:p>
          <w:p w14:paraId="579BA265" w14:textId="77777777" w:rsidR="00912607" w:rsidRDefault="00912607" w:rsidP="005B1259">
            <w:pPr>
              <w:spacing w:before="180"/>
            </w:pPr>
            <w:r>
              <w:t xml:space="preserve">The Problem Identification stage of the Discover phase is about defining the real issue we are trying to solve. To do this, the project team reviewed secondary data, including: a literature review of 70 </w:t>
            </w:r>
            <w:r w:rsidR="00A778C1">
              <w:t>publications</w:t>
            </w:r>
            <w:r>
              <w:t>; and consultations with 15 experts.</w:t>
            </w:r>
          </w:p>
          <w:p w14:paraId="08B1D7BC" w14:textId="77777777" w:rsidR="00912607" w:rsidRDefault="00912607" w:rsidP="00912607">
            <w:pPr>
              <w:spacing w:before="0"/>
            </w:pPr>
          </w:p>
          <w:p w14:paraId="29ADEF03" w14:textId="77777777" w:rsidR="00912607" w:rsidRDefault="00912607" w:rsidP="00912607">
            <w:pPr>
              <w:spacing w:before="0"/>
            </w:pPr>
            <w:r>
              <w:t xml:space="preserve">In trying to understand the real issue at play, consideration was given to the nature of the problems facing public servants, the potential for the community to assist, and the role of technology. Different approaches to public participation were assessed and case studies used to illustrate successful examples of how the expertise in the community is currently being applied. </w:t>
            </w:r>
          </w:p>
          <w:p w14:paraId="10B703E9" w14:textId="77777777" w:rsidR="00912607" w:rsidRDefault="00912607" w:rsidP="00912607">
            <w:pPr>
              <w:spacing w:before="0"/>
            </w:pPr>
          </w:p>
          <w:p w14:paraId="581DAF80" w14:textId="77777777" w:rsidR="00912607" w:rsidRDefault="00912607" w:rsidP="00912607">
            <w:pPr>
              <w:spacing w:before="0"/>
            </w:pPr>
            <w:r>
              <w:t>The analysis results in the establishment of the real challenge before the APS and a hypothesis as to why this is the case.</w:t>
            </w:r>
            <w:r w:rsidR="00B810B2">
              <w:t xml:space="preserve"> It also helps build a shared understand</w:t>
            </w:r>
            <w:r w:rsidR="00056729">
              <w:t>ing</w:t>
            </w:r>
            <w:r w:rsidR="00B810B2">
              <w:t xml:space="preserve"> of what public participation is, and why it matters.</w:t>
            </w:r>
          </w:p>
          <w:p w14:paraId="05E2A1A3" w14:textId="77777777" w:rsidR="00912607" w:rsidRDefault="00912607" w:rsidP="0052682D">
            <w:pPr>
              <w:spacing w:before="0"/>
            </w:pPr>
          </w:p>
        </w:tc>
      </w:tr>
    </w:tbl>
    <w:p w14:paraId="09737E00" w14:textId="77777777" w:rsidR="007E5E6F" w:rsidRDefault="00522BA0" w:rsidP="0052682D">
      <w:pPr>
        <w:pStyle w:val="H2"/>
        <w:spacing w:before="0" w:after="0"/>
      </w:pPr>
      <w:bookmarkStart w:id="22" w:name="_Toc495915949"/>
      <w:r>
        <w:lastRenderedPageBreak/>
        <w:t>T</w:t>
      </w:r>
      <w:r w:rsidR="007E5E6F">
        <w:t>he problems public servants have to solve are daunting</w:t>
      </w:r>
      <w:bookmarkEnd w:id="19"/>
      <w:bookmarkEnd w:id="22"/>
    </w:p>
    <w:p w14:paraId="2EB58D55" w14:textId="77777777" w:rsidR="000308F1" w:rsidRPr="007417AB" w:rsidRDefault="00B90EF3" w:rsidP="0052682D">
      <w:pPr>
        <w:spacing w:before="0"/>
        <w:rPr>
          <w:rFonts w:asciiTheme="majorHAnsi" w:hAnsiTheme="majorHAnsi"/>
          <w:i/>
          <w:sz w:val="30"/>
        </w:rPr>
      </w:pPr>
      <w:r w:rsidRPr="007417AB">
        <w:rPr>
          <w:rFonts w:asciiTheme="majorHAnsi" w:hAnsiTheme="majorHAnsi"/>
          <w:i/>
          <w:sz w:val="30"/>
        </w:rPr>
        <w:t>Public servants</w:t>
      </w:r>
      <w:r w:rsidR="000308F1" w:rsidRPr="007417AB">
        <w:rPr>
          <w:rFonts w:asciiTheme="majorHAnsi" w:hAnsiTheme="majorHAnsi"/>
          <w:i/>
          <w:sz w:val="30"/>
        </w:rPr>
        <w:t xml:space="preserve"> want to </w:t>
      </w:r>
      <w:r w:rsidR="00A86879" w:rsidRPr="007417AB">
        <w:rPr>
          <w:rFonts w:asciiTheme="majorHAnsi" w:hAnsiTheme="majorHAnsi"/>
          <w:i/>
          <w:sz w:val="30"/>
        </w:rPr>
        <w:t>make a difference</w:t>
      </w:r>
      <w:r w:rsidR="000308F1" w:rsidRPr="007417AB">
        <w:rPr>
          <w:rFonts w:asciiTheme="majorHAnsi" w:hAnsiTheme="majorHAnsi"/>
          <w:i/>
          <w:sz w:val="30"/>
        </w:rPr>
        <w:t xml:space="preserve"> through high quality </w:t>
      </w:r>
      <w:r w:rsidR="007D252A" w:rsidRPr="007417AB">
        <w:rPr>
          <w:rFonts w:asciiTheme="majorHAnsi" w:hAnsiTheme="majorHAnsi"/>
          <w:i/>
          <w:sz w:val="30"/>
        </w:rPr>
        <w:t xml:space="preserve">public policy, </w:t>
      </w:r>
      <w:r w:rsidR="000308F1" w:rsidRPr="007417AB">
        <w:rPr>
          <w:rFonts w:asciiTheme="majorHAnsi" w:hAnsiTheme="majorHAnsi"/>
          <w:i/>
          <w:sz w:val="30"/>
        </w:rPr>
        <w:t>programmes</w:t>
      </w:r>
      <w:r w:rsidR="007D252A" w:rsidRPr="007417AB">
        <w:rPr>
          <w:rFonts w:asciiTheme="majorHAnsi" w:hAnsiTheme="majorHAnsi"/>
          <w:i/>
          <w:sz w:val="30"/>
        </w:rPr>
        <w:t xml:space="preserve"> and services</w:t>
      </w:r>
      <w:r w:rsidR="000308F1" w:rsidRPr="007417AB">
        <w:rPr>
          <w:rFonts w:asciiTheme="majorHAnsi" w:hAnsiTheme="majorHAnsi"/>
          <w:i/>
          <w:sz w:val="30"/>
        </w:rPr>
        <w:t>. But</w:t>
      </w:r>
      <w:r w:rsidR="007D252A" w:rsidRPr="007417AB">
        <w:rPr>
          <w:rFonts w:asciiTheme="majorHAnsi" w:hAnsiTheme="majorHAnsi"/>
          <w:i/>
          <w:sz w:val="30"/>
        </w:rPr>
        <w:t xml:space="preserve"> </w:t>
      </w:r>
      <w:r w:rsidRPr="007417AB">
        <w:rPr>
          <w:rFonts w:asciiTheme="majorHAnsi" w:hAnsiTheme="majorHAnsi"/>
          <w:i/>
          <w:sz w:val="30"/>
        </w:rPr>
        <w:t>we have to navigate a great deal of complexity to achieve this</w:t>
      </w:r>
      <w:r w:rsidR="008360F5" w:rsidRPr="007417AB">
        <w:rPr>
          <w:rFonts w:asciiTheme="majorHAnsi" w:hAnsiTheme="majorHAnsi"/>
          <w:i/>
          <w:sz w:val="30"/>
        </w:rPr>
        <w:t>, compounded by declining trust in government.</w:t>
      </w:r>
    </w:p>
    <w:p w14:paraId="05FBCCBA" w14:textId="77777777" w:rsidR="00D3728E" w:rsidRDefault="00D217D9" w:rsidP="0052682D">
      <w:pPr>
        <w:tabs>
          <w:tab w:val="left" w:pos="1521"/>
        </w:tabs>
        <w:spacing w:before="0"/>
      </w:pPr>
      <w:r>
        <w:tab/>
      </w:r>
    </w:p>
    <w:p w14:paraId="27E99CB1" w14:textId="77777777" w:rsidR="00B83D8D" w:rsidRDefault="007417AB" w:rsidP="0052682D">
      <w:pPr>
        <w:spacing w:before="0"/>
      </w:pPr>
      <w:r>
        <w:rPr>
          <w:noProof/>
          <w:lang w:eastAsia="en-AU"/>
        </w:rPr>
        <mc:AlternateContent>
          <mc:Choice Requires="wps">
            <w:drawing>
              <wp:anchor distT="0" distB="0" distL="457200" distR="114300" simplePos="0" relativeHeight="251658241" behindDoc="0" locked="0" layoutInCell="0" allowOverlap="1" wp14:anchorId="6AC78FA5" wp14:editId="04DEAE59">
                <wp:simplePos x="0" y="0"/>
                <wp:positionH relativeFrom="margin">
                  <wp:align>left</wp:align>
                </wp:positionH>
                <wp:positionV relativeFrom="page">
                  <wp:posOffset>3039442</wp:posOffset>
                </wp:positionV>
                <wp:extent cx="3157855" cy="3027680"/>
                <wp:effectExtent l="0" t="0" r="4445" b="127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7855" cy="3027680"/>
                        </a:xfrm>
                        <a:prstGeom prst="rect">
                          <a:avLst/>
                        </a:prstGeom>
                        <a:solidFill>
                          <a:schemeClr val="accent1">
                            <a:lumMod val="20000"/>
                            <a:lumOff val="80000"/>
                          </a:schemeClr>
                        </a:solidFill>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696"/>
                            </w:tblGrid>
                            <w:tr w:rsidR="001143F2" w14:paraId="082C9978" w14:textId="77777777" w:rsidTr="009504E8">
                              <w:tc>
                                <w:tcPr>
                                  <w:tcW w:w="1701" w:type="dxa"/>
                                </w:tcPr>
                                <w:p w14:paraId="3A1C8FEC" w14:textId="77777777" w:rsidR="001143F2" w:rsidRDefault="001143F2" w:rsidP="00B3672D">
                                  <w:pPr>
                                    <w:spacing w:before="0" w:after="240"/>
                                    <w:rPr>
                                      <w:b/>
                                      <w:bCs/>
                                      <w:color w:val="323E4F" w:themeColor="text2" w:themeShade="BF"/>
                                      <w:szCs w:val="28"/>
                                    </w:rPr>
                                  </w:pPr>
                                  <w:r w:rsidRPr="00B3672D">
                                    <w:rPr>
                                      <w:noProof/>
                                      <w:sz w:val="18"/>
                                      <w:lang w:eastAsia="en-AU"/>
                                    </w:rPr>
                                    <w:drawing>
                                      <wp:inline distT="0" distB="0" distL="0" distR="0" wp14:anchorId="17686F05" wp14:editId="1C77CA1E">
                                        <wp:extent cx="878774" cy="339802"/>
                                        <wp:effectExtent l="0" t="0" r="0" b="31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0071" cy="344170"/>
                                                </a:xfrm>
                                                <a:prstGeom prst="rect">
                                                  <a:avLst/>
                                                </a:prstGeom>
                                              </pic:spPr>
                                            </pic:pic>
                                          </a:graphicData>
                                        </a:graphic>
                                      </wp:inline>
                                    </w:drawing>
                                  </w:r>
                                </w:p>
                              </w:tc>
                              <w:tc>
                                <w:tcPr>
                                  <w:tcW w:w="2696" w:type="dxa"/>
                                </w:tcPr>
                                <w:p w14:paraId="74CA18F6" w14:textId="77777777" w:rsidR="001143F2" w:rsidRPr="000F55D0" w:rsidRDefault="001143F2" w:rsidP="009504E8">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Peter Shergold’s </w:t>
                                  </w:r>
                                  <w:r w:rsidRPr="006A3C9B">
                                    <w:rPr>
                                      <w:rFonts w:asciiTheme="majorHAnsi" w:hAnsiTheme="majorHAnsi" w:cs="Arial"/>
                                      <w:b/>
                                      <w:i/>
                                      <w:noProof/>
                                      <w:color w:val="44546A" w:themeColor="text2"/>
                                      <w:sz w:val="20"/>
                                      <w:lang w:eastAsia="en-AU"/>
                                    </w:rPr>
                                    <w:t>‘Learning from Failure’</w:t>
                                  </w:r>
                                  <w:r w:rsidRPr="000F55D0">
                                    <w:rPr>
                                      <w:rFonts w:asciiTheme="majorHAnsi" w:hAnsiTheme="majorHAnsi" w:cs="Arial"/>
                                      <w:b/>
                                      <w:noProof/>
                                      <w:color w:val="44546A" w:themeColor="text2"/>
                                      <w:sz w:val="20"/>
                                      <w:lang w:eastAsia="en-AU"/>
                                    </w:rPr>
                                    <w:t xml:space="preserve"> stresses that the APS’s already challenging work is getting more difficult </w:t>
                                  </w:r>
                                </w:p>
                              </w:tc>
                            </w:tr>
                          </w:tbl>
                          <w:p w14:paraId="32084D10" w14:textId="77777777" w:rsidR="001143F2" w:rsidRPr="000F55D0" w:rsidRDefault="001143F2" w:rsidP="00B3672D">
                            <w:pPr>
                              <w:spacing w:before="0"/>
                              <w:rPr>
                                <w:rFonts w:asciiTheme="majorHAnsi" w:hAnsiTheme="majorHAnsi" w:cs="Arial"/>
                                <w:noProof/>
                                <w:sz w:val="16"/>
                                <w:lang w:eastAsia="en-AU"/>
                              </w:rPr>
                            </w:pPr>
                            <w:r>
                              <w:rPr>
                                <w:noProof/>
                                <w:lang w:eastAsia="en-AU"/>
                              </w:rPr>
                              <w:drawing>
                                <wp:inline distT="0" distB="0" distL="0" distR="0" wp14:anchorId="3A919653" wp14:editId="7E40B52E">
                                  <wp:extent cx="257175" cy="2476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0F55D0">
                              <w:rPr>
                                <w:rFonts w:asciiTheme="majorHAnsi" w:hAnsiTheme="majorHAnsi" w:cs="Arial"/>
                                <w:noProof/>
                                <w:sz w:val="16"/>
                                <w:lang w:eastAsia="en-AU"/>
                              </w:rPr>
                              <w:t xml:space="preserve">…The work of government is hard. Its challenges are wicked. Problems do not always have defined boundaries, solutions can (and should) be contested and authority is ambiguous. Political change can occur unexpectedly and at breakneck speed. Administrative change generally takes place in an almost imperceptible fashion but can be transformative in nature. </w:t>
                            </w:r>
                          </w:p>
                          <w:p w14:paraId="038128B2" w14:textId="77777777" w:rsidR="001143F2" w:rsidRPr="000F55D0" w:rsidRDefault="001143F2" w:rsidP="00F43275">
                            <w:pPr>
                              <w:spacing w:before="0"/>
                              <w:rPr>
                                <w:rFonts w:asciiTheme="majorHAnsi" w:hAnsiTheme="majorHAnsi"/>
                                <w:sz w:val="20"/>
                              </w:rPr>
                            </w:pPr>
                          </w:p>
                          <w:p w14:paraId="0D02EBE4" w14:textId="77777777" w:rsidR="001143F2" w:rsidRPr="000F55D0" w:rsidRDefault="001143F2" w:rsidP="00F43275">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These challenges are exacerbated by the rapidity and level of scrutiny that is now brought to bear by the 24-hour news cycle, the increasing influence of social media and the 'hyper-connectivity' of community networks enabled by the internet. </w:t>
                            </w:r>
                          </w:p>
                          <w:p w14:paraId="44203849" w14:textId="77777777" w:rsidR="001143F2" w:rsidRPr="000F55D0" w:rsidRDefault="001143F2" w:rsidP="00F43275">
                            <w:pPr>
                              <w:spacing w:before="0"/>
                              <w:rPr>
                                <w:rFonts w:asciiTheme="majorHAnsi" w:hAnsiTheme="majorHAnsi"/>
                                <w:sz w:val="20"/>
                              </w:rPr>
                            </w:pPr>
                          </w:p>
                          <w:p w14:paraId="231C13AD" w14:textId="77777777" w:rsidR="001143F2" w:rsidRPr="000F55D0" w:rsidRDefault="001143F2" w:rsidP="00F43275">
                            <w:pPr>
                              <w:spacing w:before="0"/>
                              <w:rPr>
                                <w:rFonts w:asciiTheme="majorHAnsi" w:hAnsiTheme="majorHAnsi" w:cs="Arial"/>
                                <w:noProof/>
                                <w:sz w:val="16"/>
                                <w:lang w:eastAsia="en-AU"/>
                              </w:rPr>
                            </w:pPr>
                            <w:r w:rsidRPr="000F55D0">
                              <w:rPr>
                                <w:rFonts w:asciiTheme="majorHAnsi" w:hAnsiTheme="majorHAnsi" w:cs="Arial"/>
                                <w:noProof/>
                                <w:sz w:val="16"/>
                                <w:lang w:eastAsia="en-AU"/>
                              </w:rPr>
                              <w:t>Both politicians and public servants must grapple with unrealistic citizen expectations and low levels of public trust.”</w:t>
                            </w:r>
                          </w:p>
                          <w:p w14:paraId="072B8E72" w14:textId="77777777" w:rsidR="001143F2" w:rsidRPr="00B3672D" w:rsidRDefault="001143F2" w:rsidP="00F43275">
                            <w:pPr>
                              <w:rPr>
                                <w:rStyle w:val="PlaceholderText"/>
                                <w:color w:val="323E4F"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AC78FA5" id="AutoShape 14" o:spid="_x0000_s1027" style="position:absolute;margin-left:0;margin-top:239.35pt;width:248.65pt;height:238.4pt;z-index:251658241;visibility:visible;mso-wrap-style:square;mso-width-percent:0;mso-height-percent:0;mso-wrap-distance-left:36pt;mso-wrap-distance-top:0;mso-wrap-distance-right:9pt;mso-wrap-distance-bottom:0;mso-position-horizontal:lef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" o:allowincell="f" fillcolor="#deeaf6 [660]" stroked="f">
                <v:textbox inset="14.4pt,14.4pt,14.4pt,14.4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696"/>
                      </w:tblGrid>
                      <w:tr w:rsidR="001143F2" w14:paraId="082C9978" w14:textId="77777777" w:rsidTr="009504E8">
                        <w:tc>
                          <w:tcPr>
                            <w:tcW w:w="1701" w:type="dxa"/>
                          </w:tcPr>
                          <w:p w14:paraId="3A1C8FEC" w14:textId="77777777" w:rsidR="001143F2" w:rsidRDefault="001143F2" w:rsidP="00B3672D">
                            <w:pPr>
                              <w:spacing w:before="0" w:after="240"/>
                              <w:rPr>
                                <w:b/>
                                <w:bCs/>
                                <w:color w:val="323E4F" w:themeColor="text2" w:themeShade="BF"/>
                                <w:szCs w:val="28"/>
                              </w:rPr>
                            </w:pPr>
                            <w:r w:rsidRPr="00B3672D">
                              <w:rPr>
                                <w:noProof/>
                                <w:sz w:val="18"/>
                                <w:lang w:eastAsia="en-AU"/>
                              </w:rPr>
                              <w:drawing>
                                <wp:inline distT="0" distB="0" distL="0" distR="0" wp14:anchorId="17686F05" wp14:editId="1C77CA1E">
                                  <wp:extent cx="878774" cy="339802"/>
                                  <wp:effectExtent l="0" t="0" r="0" b="31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0071" cy="344170"/>
                                          </a:xfrm>
                                          <a:prstGeom prst="rect">
                                            <a:avLst/>
                                          </a:prstGeom>
                                        </pic:spPr>
                                      </pic:pic>
                                    </a:graphicData>
                                  </a:graphic>
                                </wp:inline>
                              </w:drawing>
                            </w:r>
                          </w:p>
                        </w:tc>
                        <w:tc>
                          <w:tcPr>
                            <w:tcW w:w="2696" w:type="dxa"/>
                          </w:tcPr>
                          <w:p w14:paraId="74CA18F6" w14:textId="77777777" w:rsidR="001143F2" w:rsidRPr="000F55D0" w:rsidRDefault="001143F2" w:rsidP="009504E8">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Peter Shergold’s </w:t>
                            </w:r>
                            <w:r w:rsidRPr="006A3C9B">
                              <w:rPr>
                                <w:rFonts w:asciiTheme="majorHAnsi" w:hAnsiTheme="majorHAnsi" w:cs="Arial"/>
                                <w:b/>
                                <w:i/>
                                <w:noProof/>
                                <w:color w:val="44546A" w:themeColor="text2"/>
                                <w:sz w:val="20"/>
                                <w:lang w:eastAsia="en-AU"/>
                              </w:rPr>
                              <w:t>‘Learning from Failure’</w:t>
                            </w:r>
                            <w:r w:rsidRPr="000F55D0">
                              <w:rPr>
                                <w:rFonts w:asciiTheme="majorHAnsi" w:hAnsiTheme="majorHAnsi" w:cs="Arial"/>
                                <w:b/>
                                <w:noProof/>
                                <w:color w:val="44546A" w:themeColor="text2"/>
                                <w:sz w:val="20"/>
                                <w:lang w:eastAsia="en-AU"/>
                              </w:rPr>
                              <w:t xml:space="preserve"> stresses that the APS’s already challenging work is getting more difficult </w:t>
                            </w:r>
                          </w:p>
                        </w:tc>
                      </w:tr>
                    </w:tbl>
                    <w:p w14:paraId="32084D10" w14:textId="77777777" w:rsidR="001143F2" w:rsidRPr="000F55D0" w:rsidRDefault="001143F2" w:rsidP="00B3672D">
                      <w:pPr>
                        <w:spacing w:before="0"/>
                        <w:rPr>
                          <w:rFonts w:asciiTheme="majorHAnsi" w:hAnsiTheme="majorHAnsi" w:cs="Arial"/>
                          <w:noProof/>
                          <w:sz w:val="16"/>
                          <w:lang w:eastAsia="en-AU"/>
                        </w:rPr>
                      </w:pPr>
                      <w:r>
                        <w:rPr>
                          <w:noProof/>
                          <w:lang w:eastAsia="en-AU"/>
                        </w:rPr>
                        <w:drawing>
                          <wp:inline distT="0" distB="0" distL="0" distR="0" wp14:anchorId="3A919653" wp14:editId="7E40B52E">
                            <wp:extent cx="257175" cy="2476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0F55D0">
                        <w:rPr>
                          <w:rFonts w:asciiTheme="majorHAnsi" w:hAnsiTheme="majorHAnsi" w:cs="Arial"/>
                          <w:noProof/>
                          <w:sz w:val="16"/>
                          <w:lang w:eastAsia="en-AU"/>
                        </w:rPr>
                        <w:t xml:space="preserve">…The work of government is hard. Its challenges are wicked. Problems do not always have defined boundaries, solutions can (and should) be contested and authority is ambiguous. Political change can occur unexpectedly and at breakneck speed. Administrative change generally takes place in an almost imperceptible fashion but can be transformative in nature. </w:t>
                      </w:r>
                    </w:p>
                    <w:p w14:paraId="038128B2" w14:textId="77777777" w:rsidR="001143F2" w:rsidRPr="000F55D0" w:rsidRDefault="001143F2" w:rsidP="00F43275">
                      <w:pPr>
                        <w:spacing w:before="0"/>
                        <w:rPr>
                          <w:rFonts w:asciiTheme="majorHAnsi" w:hAnsiTheme="majorHAnsi"/>
                          <w:sz w:val="20"/>
                        </w:rPr>
                      </w:pPr>
                    </w:p>
                    <w:p w14:paraId="0D02EBE4" w14:textId="77777777" w:rsidR="001143F2" w:rsidRPr="000F55D0" w:rsidRDefault="001143F2" w:rsidP="00F43275">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These challenges are exacerbated by the rapidity and level of scrutiny that is now brought to bear by the 24-hour news cycle, the increasing influence of social media and the 'hyper-connectivity' of community networks enabled by the internet. </w:t>
                      </w:r>
                    </w:p>
                    <w:p w14:paraId="44203849" w14:textId="77777777" w:rsidR="001143F2" w:rsidRPr="000F55D0" w:rsidRDefault="001143F2" w:rsidP="00F43275">
                      <w:pPr>
                        <w:spacing w:before="0"/>
                        <w:rPr>
                          <w:rFonts w:asciiTheme="majorHAnsi" w:hAnsiTheme="majorHAnsi"/>
                          <w:sz w:val="20"/>
                        </w:rPr>
                      </w:pPr>
                    </w:p>
                    <w:p w14:paraId="231C13AD" w14:textId="77777777" w:rsidR="001143F2" w:rsidRPr="000F55D0" w:rsidRDefault="001143F2" w:rsidP="00F43275">
                      <w:pPr>
                        <w:spacing w:before="0"/>
                        <w:rPr>
                          <w:rFonts w:asciiTheme="majorHAnsi" w:hAnsiTheme="majorHAnsi" w:cs="Arial"/>
                          <w:noProof/>
                          <w:sz w:val="16"/>
                          <w:lang w:eastAsia="en-AU"/>
                        </w:rPr>
                      </w:pPr>
                      <w:r w:rsidRPr="000F55D0">
                        <w:rPr>
                          <w:rFonts w:asciiTheme="majorHAnsi" w:hAnsiTheme="majorHAnsi" w:cs="Arial"/>
                          <w:noProof/>
                          <w:sz w:val="16"/>
                          <w:lang w:eastAsia="en-AU"/>
                        </w:rPr>
                        <w:t>Both politicians and public servants must grapple with unrealistic citizen expectations and low levels of public trust.”</w:t>
                      </w:r>
                    </w:p>
                    <w:p w14:paraId="072B8E72" w14:textId="77777777" w:rsidR="001143F2" w:rsidRPr="00B3672D" w:rsidRDefault="001143F2" w:rsidP="00F43275">
                      <w:pPr>
                        <w:rPr>
                          <w:rStyle w:val="PlaceholderText"/>
                          <w:color w:val="323E4F" w:themeColor="text2" w:themeShade="BF"/>
                          <w:sz w:val="20"/>
                        </w:rPr>
                      </w:pPr>
                    </w:p>
                  </w:txbxContent>
                </v:textbox>
                <w10:wrap type="square" anchorx="margin" anchory="page"/>
              </v:rect>
            </w:pict>
          </mc:Fallback>
        </mc:AlternateContent>
      </w:r>
      <w:r w:rsidR="00D3728E">
        <w:t>The APS</w:t>
      </w:r>
      <w:r w:rsidR="007C2F0A">
        <w:t>’s work</w:t>
      </w:r>
      <w:r w:rsidR="00D3728E">
        <w:t xml:space="preserve"> </w:t>
      </w:r>
      <w:r w:rsidR="007C2F0A">
        <w:t xml:space="preserve">has always been challenging, and </w:t>
      </w:r>
      <w:r w:rsidR="00D3728E">
        <w:t>is becoming more complex.</w:t>
      </w:r>
      <w:r w:rsidR="001A4D10">
        <w:t xml:space="preserve"> </w:t>
      </w:r>
      <w:r w:rsidR="0076000E">
        <w:t>The APS</w:t>
      </w:r>
      <w:r w:rsidR="00B83D8D">
        <w:t xml:space="preserve"> </w:t>
      </w:r>
      <w:r w:rsidR="004B00F1">
        <w:t>is frequently confronted with ‘wicked problems’—</w:t>
      </w:r>
      <w:r w:rsidR="00377A83">
        <w:t xml:space="preserve"> </w:t>
      </w:r>
      <w:r w:rsidR="004B00F1">
        <w:t>complex policy issues that are highly resistant to resolution. Indigenous disadvantage is a good example of a wicked problem that has proven resistant to solution in spite of ongoing efforts, and requires a concerted effort to identify and address multiple aspects of disadvantage across all levels of government and community.</w:t>
      </w:r>
      <w:r w:rsidR="005457BB">
        <w:t xml:space="preserve"> </w:t>
      </w:r>
      <w:r w:rsidR="00F55EAB">
        <w:t>Aspects of</w:t>
      </w:r>
      <w:r w:rsidR="00ED608C">
        <w:t xml:space="preserve"> </w:t>
      </w:r>
      <w:r w:rsidR="005457BB" w:rsidRPr="007E5E6F">
        <w:t xml:space="preserve">health, </w:t>
      </w:r>
      <w:r w:rsidR="005457BB">
        <w:t>education, cities</w:t>
      </w:r>
      <w:r w:rsidR="00F55EAB">
        <w:t xml:space="preserve"> and climate change have similar attributes.</w:t>
      </w:r>
      <w:r w:rsidR="005457BB" w:rsidRPr="007E5E6F">
        <w:t xml:space="preserve"> </w:t>
      </w:r>
      <w:r w:rsidR="00377A83">
        <w:t xml:space="preserve">Obesity provides a good </w:t>
      </w:r>
      <w:r w:rsidR="00B4431C">
        <w:t>example. I</w:t>
      </w:r>
      <w:r w:rsidR="007D252A" w:rsidRPr="00A86879">
        <w:t>f we want to fight obesity, parents must get their children to exercise more. If we want to reduce greenhouse gases, communities must work together to modify local lifestyles. And if we want better apprenticeship programmes and schools, community organisations and businesses may need to team up with government to provide them.</w:t>
      </w:r>
      <w:r w:rsidR="00A86879">
        <w:rPr>
          <w:rStyle w:val="FootnoteReference"/>
        </w:rPr>
        <w:footnoteReference w:id="2"/>
      </w:r>
      <w:r w:rsidR="007D252A" w:rsidRPr="007E5E6F">
        <w:t xml:space="preserve"> </w:t>
      </w:r>
    </w:p>
    <w:p w14:paraId="482CF0B7" w14:textId="77777777" w:rsidR="00B83D8D" w:rsidRDefault="00B83D8D" w:rsidP="0052682D">
      <w:pPr>
        <w:spacing w:before="0"/>
      </w:pPr>
    </w:p>
    <w:p w14:paraId="7F1B8214" w14:textId="77777777" w:rsidR="00057C3A" w:rsidRDefault="00B83D8D" w:rsidP="0052682D">
      <w:pPr>
        <w:spacing w:before="0"/>
      </w:pPr>
      <w:r>
        <w:t xml:space="preserve">Compounding this complexity, </w:t>
      </w:r>
      <w:r w:rsidR="007C2F0A">
        <w:t>the APS</w:t>
      </w:r>
      <w:r>
        <w:t xml:space="preserve"> is often not in a position to exert direct control over how the policy environment operates and needs the help of non-government actors.</w:t>
      </w:r>
      <w:r w:rsidRPr="004B00F1">
        <w:t xml:space="preserve"> </w:t>
      </w:r>
      <w:r w:rsidR="00057C3A">
        <w:t>The</w:t>
      </w:r>
      <w:r w:rsidR="00057C3A" w:rsidRPr="004B00F1">
        <w:t xml:space="preserve"> world in which </w:t>
      </w:r>
      <w:r w:rsidR="00057C3A">
        <w:t xml:space="preserve">public </w:t>
      </w:r>
      <w:r w:rsidR="00057C3A" w:rsidRPr="004B00F1">
        <w:t xml:space="preserve">policy is made is </w:t>
      </w:r>
      <w:r w:rsidR="00057C3A">
        <w:t xml:space="preserve">an </w:t>
      </w:r>
      <w:r w:rsidR="00057C3A" w:rsidRPr="004B00F1">
        <w:t>adaptive system with multiple public and private stakeholders.</w:t>
      </w:r>
      <w:r w:rsidR="00057C3A">
        <w:t xml:space="preserve"> These </w:t>
      </w:r>
      <w:r w:rsidR="00057C3A" w:rsidRPr="004B00F1">
        <w:t>stakeholders have differing goals and are constantly both acting and reacting to others within overlapping networks.</w:t>
      </w:r>
    </w:p>
    <w:p w14:paraId="5D5A4528" w14:textId="77777777" w:rsidR="00057C3A" w:rsidRDefault="00057C3A" w:rsidP="0052682D">
      <w:pPr>
        <w:spacing w:before="0"/>
      </w:pPr>
    </w:p>
    <w:p w14:paraId="6B1BEE2A" w14:textId="77777777" w:rsidR="007D252A" w:rsidRDefault="00E41067" w:rsidP="0052682D">
      <w:pPr>
        <w:spacing w:before="0"/>
      </w:pPr>
      <w:r w:rsidRPr="00E41067">
        <w:t xml:space="preserve">In the language of </w:t>
      </w:r>
      <w:r w:rsidR="00E7753D">
        <w:t xml:space="preserve">Harvard academic </w:t>
      </w:r>
      <w:r w:rsidRPr="00E41067">
        <w:t xml:space="preserve">Ronald Heifetz, these complex problems are </w:t>
      </w:r>
      <w:r w:rsidR="00C0597F">
        <w:t>‘adaptive challenges’ that</w:t>
      </w:r>
      <w:r w:rsidRPr="00E41067">
        <w:t xml:space="preserve"> require innovation and learning to address, as opposed to technical problems that can be solved by</w:t>
      </w:r>
      <w:r w:rsidR="00105C98">
        <w:t xml:space="preserve"> expertise and good management.</w:t>
      </w:r>
      <w:r>
        <w:rPr>
          <w:rStyle w:val="FootnoteReference"/>
        </w:rPr>
        <w:footnoteReference w:id="3"/>
      </w:r>
    </w:p>
    <w:p w14:paraId="298CAAE9" w14:textId="77777777" w:rsidR="00ED608C" w:rsidRDefault="00ED608C" w:rsidP="0052682D">
      <w:pPr>
        <w:spacing w:before="0"/>
      </w:pPr>
    </w:p>
    <w:p w14:paraId="1485649E" w14:textId="77777777" w:rsidR="00991A25" w:rsidRPr="00A55A79" w:rsidRDefault="00D3728E" w:rsidP="0052682D">
      <w:pPr>
        <w:spacing w:before="0"/>
      </w:pPr>
      <w:r>
        <w:lastRenderedPageBreak/>
        <w:t xml:space="preserve">Moreover, </w:t>
      </w:r>
      <w:r w:rsidR="0076000E">
        <w:t>the APS needs to undertake its work against a backdrop of declining trust. R</w:t>
      </w:r>
      <w:r>
        <w:t xml:space="preserve">ecent studies show trust </w:t>
      </w:r>
      <w:r w:rsidR="005D2EDC">
        <w:t xml:space="preserve">in government </w:t>
      </w:r>
      <w:r>
        <w:t>at record lows.</w:t>
      </w:r>
      <w:r w:rsidR="00267967" w:rsidRPr="00267967">
        <w:rPr>
          <w:rStyle w:val="FootnoteReference"/>
        </w:rPr>
        <w:t xml:space="preserve"> </w:t>
      </w:r>
      <w:r w:rsidR="00267967">
        <w:rPr>
          <w:rStyle w:val="FootnoteReference"/>
        </w:rPr>
        <w:footnoteReference w:id="4"/>
      </w:r>
      <w:r w:rsidR="00CB387B">
        <w:t xml:space="preserve"> </w:t>
      </w:r>
      <w:r w:rsidR="009B7683">
        <w:t>For example, a </w:t>
      </w:r>
      <w:r w:rsidR="00991A25" w:rsidRPr="00A55A79">
        <w:t xml:space="preserve">2016 </w:t>
      </w:r>
      <w:r>
        <w:t>survey of 1444 Australians reported</w:t>
      </w:r>
      <w:r w:rsidR="00991A25" w:rsidRPr="00A55A79">
        <w:t>:</w:t>
      </w:r>
    </w:p>
    <w:p w14:paraId="5C71CF2C" w14:textId="77777777" w:rsidR="00991A25" w:rsidRPr="00A55A79" w:rsidRDefault="00991A25" w:rsidP="0052682D">
      <w:pPr>
        <w:numPr>
          <w:ilvl w:val="0"/>
          <w:numId w:val="28"/>
        </w:numPr>
        <w:spacing w:before="0"/>
      </w:pPr>
      <w:r w:rsidRPr="00A55A79">
        <w:t>Satisfaction with democracy at its lowest since 1996</w:t>
      </w:r>
      <w:r w:rsidR="007C2F0A">
        <w:t>; and</w:t>
      </w:r>
    </w:p>
    <w:p w14:paraId="1525B9A8" w14:textId="77777777" w:rsidR="00991A25" w:rsidRPr="00A55A79" w:rsidRDefault="00991A25" w:rsidP="0052682D">
      <w:pPr>
        <w:numPr>
          <w:ilvl w:val="0"/>
          <w:numId w:val="28"/>
        </w:numPr>
        <w:spacing w:before="0"/>
      </w:pPr>
      <w:r w:rsidRPr="00A55A79">
        <w:t>Levels of trust in government and politicians in Australia are at their lowest level since 1993, with only 5% of Australians trusting government.</w:t>
      </w:r>
      <w:r>
        <w:rPr>
          <w:rStyle w:val="FootnoteReference"/>
        </w:rPr>
        <w:footnoteReference w:id="5"/>
      </w:r>
    </w:p>
    <w:p w14:paraId="6350205F" w14:textId="77777777" w:rsidR="009D0F77" w:rsidRDefault="009D0F77" w:rsidP="0052682D">
      <w:pPr>
        <w:spacing w:before="0"/>
      </w:pPr>
    </w:p>
    <w:p w14:paraId="13F6BB26" w14:textId="77777777" w:rsidR="000C0315" w:rsidRDefault="00267967" w:rsidP="0052682D">
      <w:pPr>
        <w:spacing w:before="0"/>
      </w:pPr>
      <w:r>
        <w:t>Similarly,</w:t>
      </w:r>
      <w:r w:rsidR="000C0315">
        <w:t xml:space="preserve"> </w:t>
      </w:r>
      <w:r>
        <w:t>t</w:t>
      </w:r>
      <w:r w:rsidR="00991A25" w:rsidRPr="00A55A79">
        <w:t>he Edelman Trust Barometer’s Australian Trust findings showed a dip in trust in government in 2016, falling from 45% to 37% among the general population.</w:t>
      </w:r>
      <w:r w:rsidR="00991A25">
        <w:rPr>
          <w:rStyle w:val="FootnoteReference"/>
        </w:rPr>
        <w:footnoteReference w:id="6"/>
      </w:r>
      <w:r w:rsidR="00007FC7">
        <w:t xml:space="preserve"> </w:t>
      </w:r>
      <w:r w:rsidR="005D2EDC" w:rsidRPr="00B83D8D">
        <w:t xml:space="preserve">The Australian National University’s </w:t>
      </w:r>
      <w:r w:rsidR="007C2F0A">
        <w:t xml:space="preserve">Trends in Australian Political Opinion </w:t>
      </w:r>
      <w:r>
        <w:t xml:space="preserve">poll found that after the 2016 election, </w:t>
      </w:r>
      <w:r w:rsidR="005D2EDC" w:rsidRPr="00B83D8D">
        <w:t xml:space="preserve">40% of respondents were not satisfied with democracy in Australia – the lowest level since the dismissal of </w:t>
      </w:r>
      <w:r w:rsidR="007C2F0A">
        <w:t>Prime Minister</w:t>
      </w:r>
      <w:r>
        <w:t xml:space="preserve"> Whitlam in the 1970s. Moreover,</w:t>
      </w:r>
      <w:r w:rsidR="005D2EDC" w:rsidRPr="00B83D8D">
        <w:t xml:space="preserve"> only 26% of people thought the government could be trusted, the lowest level since the poll bega</w:t>
      </w:r>
      <w:r w:rsidR="005D2EDC">
        <w:t>n this measure in 1969.</w:t>
      </w:r>
      <w:r>
        <w:rPr>
          <w:rStyle w:val="FootnoteReference"/>
        </w:rPr>
        <w:footnoteReference w:id="7"/>
      </w:r>
      <w:r w:rsidR="005D2EDC">
        <w:t xml:space="preserve"> </w:t>
      </w:r>
    </w:p>
    <w:p w14:paraId="7B766416" w14:textId="77777777" w:rsidR="00991A25" w:rsidRDefault="000C0315" w:rsidP="0052682D">
      <w:pPr>
        <w:spacing w:before="0"/>
      </w:pPr>
      <w:r>
        <w:t>Lack of trust in government</w:t>
      </w:r>
      <w:r w:rsidR="00267967">
        <w:t xml:space="preserve"> isn’t unique to Australia</w:t>
      </w:r>
      <w:r w:rsidR="00991A25" w:rsidRPr="00A55A79">
        <w:t>. For example, an OECD study indicates that only four out of ten citizens in OECD countries say they have confidence in their national authorities</w:t>
      </w:r>
      <w:r w:rsidR="00E41067">
        <w:t>.</w:t>
      </w:r>
      <w:r w:rsidR="009251BB">
        <w:rPr>
          <w:rStyle w:val="FootnoteReference"/>
        </w:rPr>
        <w:footnoteReference w:id="8"/>
      </w:r>
    </w:p>
    <w:p w14:paraId="07EAA48B" w14:textId="77777777" w:rsidR="00B83D8D" w:rsidRDefault="00B83D8D" w:rsidP="0052682D">
      <w:pPr>
        <w:spacing w:before="0"/>
      </w:pPr>
      <w:r w:rsidRPr="00B83D8D">
        <w:t xml:space="preserve">The declining trust in government has implications for both the </w:t>
      </w:r>
      <w:r w:rsidR="00327440">
        <w:t>APS’s</w:t>
      </w:r>
      <w:r w:rsidRPr="00B83D8D">
        <w:t xml:space="preserve"> ability to communicate ideas to the broader public and </w:t>
      </w:r>
      <w:r w:rsidR="00327440">
        <w:t>build public confidence in its work</w:t>
      </w:r>
      <w:r w:rsidRPr="00B83D8D">
        <w:t>.</w:t>
      </w:r>
    </w:p>
    <w:p w14:paraId="4FB72869" w14:textId="77777777" w:rsidR="00B83D8D" w:rsidRPr="00A55A79" w:rsidRDefault="00B83D8D" w:rsidP="0052682D">
      <w:pPr>
        <w:spacing w:before="0"/>
      </w:pPr>
    </w:p>
    <w:p w14:paraId="40961BA9" w14:textId="77777777" w:rsidR="00F62B41" w:rsidRDefault="00F62B41" w:rsidP="0052682D">
      <w:pPr>
        <w:spacing w:before="0"/>
        <w:rPr>
          <w:rFonts w:ascii="Calibri Light" w:eastAsia="MS Gothic" w:hAnsi="Calibri Light"/>
          <w:bCs/>
          <w:color w:val="3AA2A2"/>
          <w:sz w:val="32"/>
          <w:szCs w:val="26"/>
        </w:rPr>
      </w:pPr>
      <w:bookmarkStart w:id="23" w:name="_Toc492983319"/>
      <w:r>
        <w:br w:type="page"/>
      </w:r>
    </w:p>
    <w:p w14:paraId="59B0023A" w14:textId="77777777" w:rsidR="00D21B85" w:rsidRDefault="00522BA0" w:rsidP="0052682D">
      <w:pPr>
        <w:pStyle w:val="H2"/>
        <w:spacing w:before="0" w:after="0"/>
      </w:pPr>
      <w:bookmarkStart w:id="24" w:name="_Toc495915950"/>
      <w:r>
        <w:lastRenderedPageBreak/>
        <w:t>B</w:t>
      </w:r>
      <w:r w:rsidR="001A34CE">
        <w:t xml:space="preserve">ringing the </w:t>
      </w:r>
      <w:r w:rsidR="00C97F91">
        <w:t>public</w:t>
      </w:r>
      <w:r w:rsidR="001A34CE">
        <w:t xml:space="preserve"> into our work can help</w:t>
      </w:r>
      <w:bookmarkEnd w:id="23"/>
      <w:bookmarkEnd w:id="24"/>
      <w:r w:rsidR="001A34CE">
        <w:t xml:space="preserve"> </w:t>
      </w:r>
    </w:p>
    <w:p w14:paraId="5052511F" w14:textId="77777777" w:rsidR="008360F5" w:rsidRPr="007417AB" w:rsidRDefault="00E5425F" w:rsidP="0052682D">
      <w:pPr>
        <w:spacing w:before="0"/>
        <w:rPr>
          <w:rFonts w:asciiTheme="majorHAnsi" w:hAnsiTheme="majorHAnsi"/>
          <w:i/>
          <w:sz w:val="30"/>
        </w:rPr>
      </w:pPr>
      <w:r w:rsidRPr="007417AB">
        <w:rPr>
          <w:rFonts w:asciiTheme="majorHAnsi" w:hAnsiTheme="majorHAnsi"/>
          <w:i/>
          <w:sz w:val="30"/>
        </w:rPr>
        <w:t xml:space="preserve">Senior public servants and academics argue that </w:t>
      </w:r>
      <w:r w:rsidR="00071190" w:rsidRPr="007417AB">
        <w:rPr>
          <w:rFonts w:asciiTheme="majorHAnsi" w:hAnsiTheme="majorHAnsi"/>
          <w:i/>
          <w:sz w:val="30"/>
        </w:rPr>
        <w:t>the APS</w:t>
      </w:r>
      <w:r w:rsidRPr="007417AB">
        <w:rPr>
          <w:rFonts w:asciiTheme="majorHAnsi" w:hAnsiTheme="majorHAnsi"/>
          <w:i/>
          <w:sz w:val="30"/>
        </w:rPr>
        <w:t xml:space="preserve"> can reduce </w:t>
      </w:r>
      <w:r w:rsidR="00474F27" w:rsidRPr="007417AB">
        <w:rPr>
          <w:rFonts w:asciiTheme="majorHAnsi" w:hAnsiTheme="majorHAnsi"/>
          <w:i/>
          <w:sz w:val="30"/>
        </w:rPr>
        <w:t xml:space="preserve">the complexity </w:t>
      </w:r>
      <w:r w:rsidR="008360F5" w:rsidRPr="007417AB">
        <w:rPr>
          <w:rFonts w:asciiTheme="majorHAnsi" w:hAnsiTheme="majorHAnsi"/>
          <w:i/>
          <w:sz w:val="30"/>
        </w:rPr>
        <w:t xml:space="preserve">and build trust </w:t>
      </w:r>
      <w:r w:rsidR="00474F27" w:rsidRPr="007417AB">
        <w:rPr>
          <w:rFonts w:asciiTheme="majorHAnsi" w:hAnsiTheme="majorHAnsi"/>
          <w:i/>
          <w:sz w:val="30"/>
        </w:rPr>
        <w:t>by bringing</w:t>
      </w:r>
      <w:r w:rsidR="00BD1147" w:rsidRPr="007417AB">
        <w:rPr>
          <w:rFonts w:asciiTheme="majorHAnsi" w:hAnsiTheme="majorHAnsi"/>
          <w:i/>
          <w:sz w:val="30"/>
        </w:rPr>
        <w:t xml:space="preserve"> </w:t>
      </w:r>
      <w:r w:rsidR="00794741" w:rsidRPr="007417AB">
        <w:rPr>
          <w:rFonts w:asciiTheme="majorHAnsi" w:hAnsiTheme="majorHAnsi"/>
          <w:i/>
          <w:sz w:val="30"/>
        </w:rPr>
        <w:t xml:space="preserve">more </w:t>
      </w:r>
      <w:r w:rsidR="00474F27" w:rsidRPr="007417AB">
        <w:rPr>
          <w:rFonts w:asciiTheme="majorHAnsi" w:hAnsiTheme="majorHAnsi"/>
          <w:i/>
          <w:sz w:val="30"/>
        </w:rPr>
        <w:t xml:space="preserve">people and </w:t>
      </w:r>
      <w:r w:rsidR="007D7A86" w:rsidRPr="007417AB">
        <w:rPr>
          <w:rFonts w:asciiTheme="majorHAnsi" w:hAnsiTheme="majorHAnsi"/>
          <w:i/>
          <w:sz w:val="30"/>
        </w:rPr>
        <w:t>expertise</w:t>
      </w:r>
      <w:r w:rsidR="00474F27" w:rsidRPr="007417AB">
        <w:rPr>
          <w:rFonts w:asciiTheme="majorHAnsi" w:hAnsiTheme="majorHAnsi"/>
          <w:i/>
          <w:sz w:val="30"/>
        </w:rPr>
        <w:t xml:space="preserve"> into </w:t>
      </w:r>
      <w:r w:rsidR="00071190" w:rsidRPr="007417AB">
        <w:rPr>
          <w:rFonts w:asciiTheme="majorHAnsi" w:hAnsiTheme="majorHAnsi"/>
          <w:i/>
          <w:sz w:val="30"/>
        </w:rPr>
        <w:t xml:space="preserve">its work when they are </w:t>
      </w:r>
      <w:r w:rsidR="00474F27" w:rsidRPr="007417AB">
        <w:rPr>
          <w:rFonts w:asciiTheme="majorHAnsi" w:hAnsiTheme="majorHAnsi"/>
          <w:i/>
          <w:sz w:val="30"/>
        </w:rPr>
        <w:t>need</w:t>
      </w:r>
      <w:r w:rsidR="00071190" w:rsidRPr="007417AB">
        <w:rPr>
          <w:rFonts w:asciiTheme="majorHAnsi" w:hAnsiTheme="majorHAnsi"/>
          <w:i/>
          <w:sz w:val="30"/>
        </w:rPr>
        <w:t>ed</w:t>
      </w:r>
      <w:r w:rsidR="00474F27" w:rsidRPr="007417AB">
        <w:rPr>
          <w:rFonts w:asciiTheme="majorHAnsi" w:hAnsiTheme="majorHAnsi"/>
          <w:i/>
          <w:sz w:val="30"/>
        </w:rPr>
        <w:t>.</w:t>
      </w:r>
      <w:r w:rsidR="00110CA0" w:rsidRPr="007417AB">
        <w:rPr>
          <w:rFonts w:asciiTheme="majorHAnsi" w:hAnsiTheme="majorHAnsi"/>
          <w:i/>
          <w:sz w:val="30"/>
        </w:rPr>
        <w:t xml:space="preserve"> </w:t>
      </w:r>
      <w:r w:rsidR="00794741" w:rsidRPr="007417AB">
        <w:rPr>
          <w:rFonts w:asciiTheme="majorHAnsi" w:hAnsiTheme="majorHAnsi"/>
          <w:i/>
          <w:sz w:val="30"/>
        </w:rPr>
        <w:t>Their view is</w:t>
      </w:r>
      <w:r w:rsidRPr="007417AB">
        <w:rPr>
          <w:rFonts w:asciiTheme="majorHAnsi" w:hAnsiTheme="majorHAnsi"/>
          <w:i/>
          <w:sz w:val="30"/>
        </w:rPr>
        <w:t xml:space="preserve"> </w:t>
      </w:r>
      <w:r w:rsidR="00071190" w:rsidRPr="007417AB">
        <w:rPr>
          <w:rFonts w:asciiTheme="majorHAnsi" w:hAnsiTheme="majorHAnsi"/>
          <w:i/>
          <w:sz w:val="30"/>
        </w:rPr>
        <w:t xml:space="preserve">that </w:t>
      </w:r>
      <w:r w:rsidR="002744EA" w:rsidRPr="007417AB">
        <w:rPr>
          <w:rFonts w:asciiTheme="majorHAnsi" w:hAnsiTheme="majorHAnsi"/>
          <w:i/>
          <w:sz w:val="30"/>
        </w:rPr>
        <w:t>t</w:t>
      </w:r>
      <w:r w:rsidR="00071190" w:rsidRPr="007417AB">
        <w:rPr>
          <w:rFonts w:asciiTheme="majorHAnsi" w:hAnsiTheme="majorHAnsi"/>
          <w:i/>
          <w:sz w:val="30"/>
        </w:rPr>
        <w:t xml:space="preserve">here is </w:t>
      </w:r>
      <w:r w:rsidR="002E5AAC" w:rsidRPr="007417AB">
        <w:rPr>
          <w:rFonts w:asciiTheme="majorHAnsi" w:hAnsiTheme="majorHAnsi"/>
          <w:i/>
          <w:sz w:val="30"/>
        </w:rPr>
        <w:t xml:space="preserve">a great deal of untapped information </w:t>
      </w:r>
      <w:r w:rsidR="003E20E9" w:rsidRPr="007417AB">
        <w:rPr>
          <w:rFonts w:asciiTheme="majorHAnsi" w:hAnsiTheme="majorHAnsi"/>
          <w:i/>
          <w:sz w:val="30"/>
        </w:rPr>
        <w:t>the APS misses</w:t>
      </w:r>
      <w:r w:rsidR="002744EA" w:rsidRPr="007417AB">
        <w:rPr>
          <w:rFonts w:asciiTheme="majorHAnsi" w:hAnsiTheme="majorHAnsi"/>
          <w:i/>
          <w:sz w:val="30"/>
        </w:rPr>
        <w:t xml:space="preserve"> using current approaches</w:t>
      </w:r>
      <w:r w:rsidRPr="007417AB">
        <w:rPr>
          <w:rFonts w:asciiTheme="majorHAnsi" w:hAnsiTheme="majorHAnsi"/>
          <w:i/>
          <w:sz w:val="30"/>
        </w:rPr>
        <w:t xml:space="preserve"> to involving the </w:t>
      </w:r>
      <w:r w:rsidR="00DF20D7" w:rsidRPr="007417AB">
        <w:rPr>
          <w:rFonts w:asciiTheme="majorHAnsi" w:hAnsiTheme="majorHAnsi"/>
          <w:i/>
          <w:sz w:val="30"/>
        </w:rPr>
        <w:t xml:space="preserve">public </w:t>
      </w:r>
      <w:r w:rsidRPr="007417AB">
        <w:rPr>
          <w:rFonts w:asciiTheme="majorHAnsi" w:hAnsiTheme="majorHAnsi"/>
          <w:i/>
          <w:sz w:val="30"/>
        </w:rPr>
        <w:t xml:space="preserve">in </w:t>
      </w:r>
      <w:r w:rsidR="003E20E9" w:rsidRPr="007417AB">
        <w:rPr>
          <w:rFonts w:asciiTheme="majorHAnsi" w:hAnsiTheme="majorHAnsi"/>
          <w:i/>
          <w:sz w:val="30"/>
        </w:rPr>
        <w:t xml:space="preserve">its </w:t>
      </w:r>
      <w:r w:rsidRPr="007417AB">
        <w:rPr>
          <w:rFonts w:asciiTheme="majorHAnsi" w:hAnsiTheme="majorHAnsi"/>
          <w:i/>
          <w:sz w:val="30"/>
        </w:rPr>
        <w:t>work</w:t>
      </w:r>
      <w:r w:rsidR="00110CA0" w:rsidRPr="007417AB">
        <w:rPr>
          <w:rFonts w:asciiTheme="majorHAnsi" w:hAnsiTheme="majorHAnsi"/>
          <w:i/>
          <w:sz w:val="30"/>
        </w:rPr>
        <w:t>.</w:t>
      </w:r>
      <w:r w:rsidR="00540E4F" w:rsidRPr="001E78AC">
        <w:rPr>
          <w:rFonts w:asciiTheme="majorHAnsi" w:hAnsiTheme="majorHAnsi"/>
          <w:i/>
          <w:sz w:val="30"/>
          <w:vertAlign w:val="superscript"/>
        </w:rPr>
        <w:footnoteReference w:id="9"/>
      </w:r>
      <w:r w:rsidR="00540E4F" w:rsidRPr="007417AB">
        <w:rPr>
          <w:rFonts w:asciiTheme="majorHAnsi" w:hAnsiTheme="majorHAnsi"/>
          <w:i/>
          <w:sz w:val="30"/>
        </w:rPr>
        <w:t xml:space="preserve"> </w:t>
      </w:r>
      <w:r w:rsidR="00071190" w:rsidRPr="007417AB">
        <w:rPr>
          <w:rFonts w:asciiTheme="majorHAnsi" w:hAnsiTheme="majorHAnsi"/>
          <w:i/>
          <w:sz w:val="30"/>
        </w:rPr>
        <w:t xml:space="preserve">Better approaches might allow the APS to translate the best technical, academic and </w:t>
      </w:r>
      <w:r w:rsidR="00F635BB" w:rsidRPr="007417AB">
        <w:rPr>
          <w:rFonts w:asciiTheme="majorHAnsi" w:hAnsiTheme="majorHAnsi"/>
          <w:i/>
          <w:sz w:val="30"/>
        </w:rPr>
        <w:t>practical advice</w:t>
      </w:r>
      <w:r w:rsidR="00071190" w:rsidRPr="007417AB">
        <w:rPr>
          <w:rFonts w:asciiTheme="majorHAnsi" w:hAnsiTheme="majorHAnsi"/>
          <w:i/>
          <w:sz w:val="30"/>
        </w:rPr>
        <w:t xml:space="preserve"> into accessible, policy and programme relevant conclusions. </w:t>
      </w:r>
    </w:p>
    <w:p w14:paraId="00FEFB3E" w14:textId="77777777" w:rsidR="008360F5" w:rsidRDefault="008360F5" w:rsidP="0052682D">
      <w:pPr>
        <w:spacing w:before="0"/>
        <w:rPr>
          <w:lang w:val="en-US"/>
        </w:rPr>
      </w:pPr>
    </w:p>
    <w:p w14:paraId="50F918FE" w14:textId="77777777" w:rsidR="00C0597F" w:rsidRPr="008360F5" w:rsidRDefault="00890D87" w:rsidP="0052682D">
      <w:pPr>
        <w:spacing w:before="0"/>
        <w:rPr>
          <w:lang w:val="en-US"/>
        </w:rPr>
      </w:pPr>
      <w:r>
        <w:rPr>
          <w:noProof/>
          <w:lang w:eastAsia="en-AU"/>
        </w:rPr>
        <mc:AlternateContent>
          <mc:Choice Requires="wps">
            <w:drawing>
              <wp:anchor distT="0" distB="0" distL="457200" distR="114300" simplePos="0" relativeHeight="251658254" behindDoc="0" locked="0" layoutInCell="0" allowOverlap="1" wp14:anchorId="6DD3341E" wp14:editId="5A834E0B">
                <wp:simplePos x="0" y="0"/>
                <wp:positionH relativeFrom="margin">
                  <wp:align>right</wp:align>
                </wp:positionH>
                <wp:positionV relativeFrom="margin">
                  <wp:posOffset>2696267</wp:posOffset>
                </wp:positionV>
                <wp:extent cx="3523615" cy="2544445"/>
                <wp:effectExtent l="0" t="0" r="635" b="8255"/>
                <wp:wrapSquare wrapText="bothSides"/>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3615" cy="2544445"/>
                        </a:xfrm>
                        <a:prstGeom prst="rect">
                          <a:avLst/>
                        </a:prstGeom>
                        <a:solidFill>
                          <a:srgbClr val="DEEBF7"/>
                        </a:solidFill>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1560"/>
                            </w:tblGrid>
                            <w:tr w:rsidR="001143F2" w14:paraId="636604F4" w14:textId="77777777" w:rsidTr="00690A14">
                              <w:tc>
                                <w:tcPr>
                                  <w:tcW w:w="3397" w:type="dxa"/>
                                </w:tcPr>
                                <w:p w14:paraId="1BF85FA8"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Peter Shergold’s </w:t>
                                  </w:r>
                                  <w:r w:rsidRPr="006A3C9B">
                                    <w:rPr>
                                      <w:rFonts w:asciiTheme="majorHAnsi" w:hAnsiTheme="majorHAnsi" w:cs="Arial"/>
                                      <w:b/>
                                      <w:i/>
                                      <w:noProof/>
                                      <w:color w:val="44546A" w:themeColor="text2"/>
                                      <w:sz w:val="20"/>
                                      <w:lang w:eastAsia="en-AU"/>
                                    </w:rPr>
                                    <w:t>‘Learning from Failure’</w:t>
                                  </w:r>
                                  <w:r w:rsidRPr="000F55D0">
                                    <w:rPr>
                                      <w:rFonts w:asciiTheme="majorHAnsi" w:hAnsiTheme="majorHAnsi" w:cs="Arial"/>
                                      <w:b/>
                                      <w:noProof/>
                                      <w:color w:val="44546A" w:themeColor="text2"/>
                                      <w:sz w:val="20"/>
                                      <w:lang w:eastAsia="en-AU"/>
                                    </w:rPr>
                                    <w:t xml:space="preserve"> contends that public servants will need to be facilitators of ‘adapative government’ – partnering with others to deliver government agendas</w:t>
                                  </w:r>
                                </w:p>
                              </w:tc>
                              <w:tc>
                                <w:tcPr>
                                  <w:tcW w:w="1560" w:type="dxa"/>
                                </w:tcPr>
                                <w:p w14:paraId="227A7B7C" w14:textId="77777777" w:rsidR="001143F2" w:rsidRDefault="001143F2" w:rsidP="00690A14">
                                  <w:pPr>
                                    <w:spacing w:before="0" w:after="240"/>
                                    <w:rPr>
                                      <w:b/>
                                      <w:bCs/>
                                      <w:color w:val="323E4F" w:themeColor="text2" w:themeShade="BF"/>
                                      <w:szCs w:val="28"/>
                                    </w:rPr>
                                  </w:pPr>
                                  <w:r w:rsidRPr="00B3672D">
                                    <w:rPr>
                                      <w:noProof/>
                                      <w:sz w:val="18"/>
                                      <w:lang w:eastAsia="en-AU"/>
                                    </w:rPr>
                                    <w:drawing>
                                      <wp:inline distT="0" distB="0" distL="0" distR="0" wp14:anchorId="1373AD69" wp14:editId="57D046D2">
                                        <wp:extent cx="904875" cy="3498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13391" cy="353188"/>
                                                </a:xfrm>
                                                <a:prstGeom prst="rect">
                                                  <a:avLst/>
                                                </a:prstGeom>
                                              </pic:spPr>
                                            </pic:pic>
                                          </a:graphicData>
                                        </a:graphic>
                                      </wp:inline>
                                    </w:drawing>
                                  </w:r>
                                </w:p>
                                <w:p w14:paraId="4FE01A83" w14:textId="77777777" w:rsidR="001143F2" w:rsidRDefault="001143F2" w:rsidP="00690A14">
                                  <w:pPr>
                                    <w:spacing w:before="0" w:after="240"/>
                                    <w:rPr>
                                      <w:b/>
                                      <w:bCs/>
                                      <w:color w:val="323E4F" w:themeColor="text2" w:themeShade="BF"/>
                                      <w:szCs w:val="28"/>
                                    </w:rPr>
                                  </w:pPr>
                                </w:p>
                              </w:tc>
                            </w:tr>
                          </w:tbl>
                          <w:p w14:paraId="5BD8FE06" w14:textId="77777777" w:rsidR="001143F2" w:rsidRPr="000F55D0" w:rsidRDefault="001143F2" w:rsidP="00CA6276">
                            <w:pPr>
                              <w:spacing w:before="0"/>
                              <w:rPr>
                                <w:rFonts w:asciiTheme="majorHAnsi" w:hAnsiTheme="majorHAnsi" w:cs="Arial"/>
                                <w:noProof/>
                                <w:sz w:val="16"/>
                                <w:lang w:eastAsia="en-AU"/>
                              </w:rPr>
                            </w:pPr>
                            <w:r w:rsidRPr="00CA6276">
                              <w:rPr>
                                <w:rFonts w:ascii="Lucida Bright" w:hAnsi="Lucida Bright" w:cs="Arial"/>
                                <w:noProof/>
                                <w:sz w:val="16"/>
                                <w:lang w:eastAsia="en-AU"/>
                              </w:rPr>
                              <w:drawing>
                                <wp:inline distT="0" distB="0" distL="0" distR="0" wp14:anchorId="6C39D089" wp14:editId="01020758">
                                  <wp:extent cx="257175" cy="2476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CA6276">
                              <w:rPr>
                                <w:rFonts w:ascii="Lucida Bright" w:hAnsi="Lucida Bright" w:cs="Arial"/>
                                <w:noProof/>
                                <w:sz w:val="16"/>
                                <w:lang w:eastAsia="en-AU"/>
                              </w:rPr>
                              <w:t xml:space="preserve"> </w:t>
                            </w:r>
                            <w:r w:rsidRPr="000F55D0">
                              <w:rPr>
                                <w:rFonts w:asciiTheme="majorHAnsi" w:hAnsiTheme="majorHAnsi" w:cs="Arial"/>
                                <w:noProof/>
                                <w:sz w:val="16"/>
                                <w:lang w:eastAsia="en-AU"/>
                              </w:rPr>
                              <w:t>Public servants cannot seek to be controllers... [They must] exercise their responsibility on the basis of collaboration and partnership, working cooperatively across sectors to inform and deliver a government’s agenda.</w:t>
                            </w:r>
                          </w:p>
                          <w:p w14:paraId="2E960FE9" w14:textId="77777777" w:rsidR="001143F2" w:rsidRPr="000F55D0" w:rsidRDefault="001143F2" w:rsidP="00CA6276">
                            <w:pPr>
                              <w:spacing w:before="0"/>
                              <w:rPr>
                                <w:rFonts w:asciiTheme="majorHAnsi" w:hAnsiTheme="majorHAnsi" w:cs="Arial"/>
                                <w:noProof/>
                                <w:sz w:val="16"/>
                                <w:lang w:eastAsia="en-AU"/>
                              </w:rPr>
                            </w:pPr>
                          </w:p>
                          <w:p w14:paraId="4DED2E6B" w14:textId="77777777" w:rsidR="001143F2" w:rsidRPr="000F55D0" w:rsidRDefault="001143F2" w:rsidP="00CA6276">
                            <w:pPr>
                              <w:spacing w:before="0"/>
                              <w:rPr>
                                <w:rFonts w:asciiTheme="majorHAnsi" w:hAnsiTheme="majorHAnsi" w:cs="Arial"/>
                                <w:noProof/>
                                <w:sz w:val="16"/>
                                <w:lang w:eastAsia="en-AU"/>
                              </w:rPr>
                            </w:pPr>
                            <w:r w:rsidRPr="000F55D0">
                              <w:rPr>
                                <w:rFonts w:asciiTheme="majorHAnsi" w:hAnsiTheme="majorHAnsi" w:cs="Arial"/>
                                <w:noProof/>
                                <w:sz w:val="16"/>
                                <w:lang w:eastAsia="en-AU"/>
                              </w:rPr>
                              <w:t>They need to see themselves as the stewards of democratic processes and good governance. The leadership they provide needs to be facilitative in nature. Their performance should be assessed on their ability to effectively harness ideas and capabilities from across and outside of government, not on their ability to control and orchestrate every minor activity.”</w:t>
                            </w:r>
                          </w:p>
                          <w:p w14:paraId="1F1A915F" w14:textId="77777777" w:rsidR="001143F2" w:rsidRDefault="001143F2" w:rsidP="00CA6276">
                            <w:pPr>
                              <w:spacing w:before="0"/>
                              <w:rPr>
                                <w:rFonts w:ascii="Lucida Bright" w:hAnsi="Lucida Bright" w:cs="Arial"/>
                                <w:noProof/>
                                <w:sz w:val="16"/>
                                <w:lang w:eastAsia="en-AU"/>
                              </w:rPr>
                            </w:pPr>
                          </w:p>
                          <w:p w14:paraId="59479C76" w14:textId="77777777" w:rsidR="001143F2" w:rsidRDefault="001143F2" w:rsidP="00CA6276">
                            <w:pPr>
                              <w:spacing w:before="0"/>
                              <w:rPr>
                                <w:rFonts w:ascii="Lucida Bright" w:hAnsi="Lucida Bright" w:cs="Arial"/>
                                <w:noProof/>
                                <w:sz w:val="16"/>
                                <w:lang w:eastAsia="en-AU"/>
                              </w:rPr>
                            </w:pPr>
                          </w:p>
                          <w:p w14:paraId="2B4A487D" w14:textId="77777777" w:rsidR="001143F2" w:rsidRDefault="001143F2" w:rsidP="00CA6276">
                            <w:pPr>
                              <w:spacing w:before="0"/>
                              <w:rPr>
                                <w:rFonts w:ascii="Lucida Bright" w:hAnsi="Lucida Bright" w:cs="Arial"/>
                                <w:noProof/>
                                <w:sz w:val="16"/>
                                <w:lang w:eastAsia="en-AU"/>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DD3341E" id="_x0000_s1028" style="position:absolute;margin-left:226.25pt;margin-top:212.3pt;width:277.45pt;height:200.35pt;z-index:251658254;visibility:visible;mso-wrap-style:square;mso-width-percent:0;mso-height-percent:0;mso-wrap-distance-left:36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" o:allowincell="f" fillcolor="#deebf7" stroked="f">
                <v:textbox inset="14.4pt,14.4pt,14.4pt,14.4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1560"/>
                      </w:tblGrid>
                      <w:tr w:rsidR="001143F2" w14:paraId="636604F4" w14:textId="77777777" w:rsidTr="00690A14">
                        <w:tc>
                          <w:tcPr>
                            <w:tcW w:w="3397" w:type="dxa"/>
                          </w:tcPr>
                          <w:p w14:paraId="1BF85FA8"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Peter Shergold’s </w:t>
                            </w:r>
                            <w:r w:rsidRPr="006A3C9B">
                              <w:rPr>
                                <w:rFonts w:asciiTheme="majorHAnsi" w:hAnsiTheme="majorHAnsi" w:cs="Arial"/>
                                <w:b/>
                                <w:i/>
                                <w:noProof/>
                                <w:color w:val="44546A" w:themeColor="text2"/>
                                <w:sz w:val="20"/>
                                <w:lang w:eastAsia="en-AU"/>
                              </w:rPr>
                              <w:t>‘Learning from Failure’</w:t>
                            </w:r>
                            <w:r w:rsidRPr="000F55D0">
                              <w:rPr>
                                <w:rFonts w:asciiTheme="majorHAnsi" w:hAnsiTheme="majorHAnsi" w:cs="Arial"/>
                                <w:b/>
                                <w:noProof/>
                                <w:color w:val="44546A" w:themeColor="text2"/>
                                <w:sz w:val="20"/>
                                <w:lang w:eastAsia="en-AU"/>
                              </w:rPr>
                              <w:t xml:space="preserve"> contends that public servants will need to be facilitators of ‘adapative government’ – partnering with others to deliver government agendas</w:t>
                            </w:r>
                          </w:p>
                        </w:tc>
                        <w:tc>
                          <w:tcPr>
                            <w:tcW w:w="1560" w:type="dxa"/>
                          </w:tcPr>
                          <w:p w14:paraId="227A7B7C" w14:textId="77777777" w:rsidR="001143F2" w:rsidRDefault="001143F2" w:rsidP="00690A14">
                            <w:pPr>
                              <w:spacing w:before="0" w:after="240"/>
                              <w:rPr>
                                <w:b/>
                                <w:bCs/>
                                <w:color w:val="323E4F" w:themeColor="text2" w:themeShade="BF"/>
                                <w:szCs w:val="28"/>
                              </w:rPr>
                            </w:pPr>
                            <w:r w:rsidRPr="00B3672D">
                              <w:rPr>
                                <w:noProof/>
                                <w:sz w:val="18"/>
                                <w:lang w:eastAsia="en-AU"/>
                              </w:rPr>
                              <w:drawing>
                                <wp:inline distT="0" distB="0" distL="0" distR="0" wp14:anchorId="1373AD69" wp14:editId="57D046D2">
                                  <wp:extent cx="904875" cy="3498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13391" cy="353188"/>
                                          </a:xfrm>
                                          <a:prstGeom prst="rect">
                                            <a:avLst/>
                                          </a:prstGeom>
                                        </pic:spPr>
                                      </pic:pic>
                                    </a:graphicData>
                                  </a:graphic>
                                </wp:inline>
                              </w:drawing>
                            </w:r>
                          </w:p>
                          <w:p w14:paraId="4FE01A83" w14:textId="77777777" w:rsidR="001143F2" w:rsidRDefault="001143F2" w:rsidP="00690A14">
                            <w:pPr>
                              <w:spacing w:before="0" w:after="240"/>
                              <w:rPr>
                                <w:b/>
                                <w:bCs/>
                                <w:color w:val="323E4F" w:themeColor="text2" w:themeShade="BF"/>
                                <w:szCs w:val="28"/>
                              </w:rPr>
                            </w:pPr>
                          </w:p>
                        </w:tc>
                      </w:tr>
                    </w:tbl>
                    <w:p w14:paraId="5BD8FE06" w14:textId="77777777" w:rsidR="001143F2" w:rsidRPr="000F55D0" w:rsidRDefault="001143F2" w:rsidP="00CA6276">
                      <w:pPr>
                        <w:spacing w:before="0"/>
                        <w:rPr>
                          <w:rFonts w:asciiTheme="majorHAnsi" w:hAnsiTheme="majorHAnsi" w:cs="Arial"/>
                          <w:noProof/>
                          <w:sz w:val="16"/>
                          <w:lang w:eastAsia="en-AU"/>
                        </w:rPr>
                      </w:pPr>
                      <w:r w:rsidRPr="00CA6276">
                        <w:rPr>
                          <w:rFonts w:ascii="Lucida Bright" w:hAnsi="Lucida Bright" w:cs="Arial"/>
                          <w:noProof/>
                          <w:sz w:val="16"/>
                          <w:lang w:eastAsia="en-AU"/>
                        </w:rPr>
                        <w:drawing>
                          <wp:inline distT="0" distB="0" distL="0" distR="0" wp14:anchorId="6C39D089" wp14:editId="01020758">
                            <wp:extent cx="257175" cy="2476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CA6276">
                        <w:rPr>
                          <w:rFonts w:ascii="Lucida Bright" w:hAnsi="Lucida Bright" w:cs="Arial"/>
                          <w:noProof/>
                          <w:sz w:val="16"/>
                          <w:lang w:eastAsia="en-AU"/>
                        </w:rPr>
                        <w:t xml:space="preserve"> </w:t>
                      </w:r>
                      <w:r w:rsidRPr="000F55D0">
                        <w:rPr>
                          <w:rFonts w:asciiTheme="majorHAnsi" w:hAnsiTheme="majorHAnsi" w:cs="Arial"/>
                          <w:noProof/>
                          <w:sz w:val="16"/>
                          <w:lang w:eastAsia="en-AU"/>
                        </w:rPr>
                        <w:t>Public servants cannot seek to be controllers... [They must] exercise their responsibility on the basis of collaboration and partnership, working cooperatively across sectors to inform and deliver a government’s agenda.</w:t>
                      </w:r>
                    </w:p>
                    <w:p w14:paraId="2E960FE9" w14:textId="77777777" w:rsidR="001143F2" w:rsidRPr="000F55D0" w:rsidRDefault="001143F2" w:rsidP="00CA6276">
                      <w:pPr>
                        <w:spacing w:before="0"/>
                        <w:rPr>
                          <w:rFonts w:asciiTheme="majorHAnsi" w:hAnsiTheme="majorHAnsi" w:cs="Arial"/>
                          <w:noProof/>
                          <w:sz w:val="16"/>
                          <w:lang w:eastAsia="en-AU"/>
                        </w:rPr>
                      </w:pPr>
                    </w:p>
                    <w:p w14:paraId="4DED2E6B" w14:textId="77777777" w:rsidR="001143F2" w:rsidRPr="000F55D0" w:rsidRDefault="001143F2" w:rsidP="00CA6276">
                      <w:pPr>
                        <w:spacing w:before="0"/>
                        <w:rPr>
                          <w:rFonts w:asciiTheme="majorHAnsi" w:hAnsiTheme="majorHAnsi" w:cs="Arial"/>
                          <w:noProof/>
                          <w:sz w:val="16"/>
                          <w:lang w:eastAsia="en-AU"/>
                        </w:rPr>
                      </w:pPr>
                      <w:r w:rsidRPr="000F55D0">
                        <w:rPr>
                          <w:rFonts w:asciiTheme="majorHAnsi" w:hAnsiTheme="majorHAnsi" w:cs="Arial"/>
                          <w:noProof/>
                          <w:sz w:val="16"/>
                          <w:lang w:eastAsia="en-AU"/>
                        </w:rPr>
                        <w:t>They need to see themselves as the stewards of democratic processes and good governance. The leadership they provide needs to be facilitative in nature. Their performance should be assessed on their ability to effectively harness ideas and capabilities from across and outside of government, not on their ability to control and orchestrate every minor activity.”</w:t>
                      </w:r>
                    </w:p>
                    <w:p w14:paraId="1F1A915F" w14:textId="77777777" w:rsidR="001143F2" w:rsidRDefault="001143F2" w:rsidP="00CA6276">
                      <w:pPr>
                        <w:spacing w:before="0"/>
                        <w:rPr>
                          <w:rFonts w:ascii="Lucida Bright" w:hAnsi="Lucida Bright" w:cs="Arial"/>
                          <w:noProof/>
                          <w:sz w:val="16"/>
                          <w:lang w:eastAsia="en-AU"/>
                        </w:rPr>
                      </w:pPr>
                    </w:p>
                    <w:p w14:paraId="59479C76" w14:textId="77777777" w:rsidR="001143F2" w:rsidRDefault="001143F2" w:rsidP="00CA6276">
                      <w:pPr>
                        <w:spacing w:before="0"/>
                        <w:rPr>
                          <w:rFonts w:ascii="Lucida Bright" w:hAnsi="Lucida Bright" w:cs="Arial"/>
                          <w:noProof/>
                          <w:sz w:val="16"/>
                          <w:lang w:eastAsia="en-AU"/>
                        </w:rPr>
                      </w:pPr>
                    </w:p>
                    <w:p w14:paraId="2B4A487D" w14:textId="77777777" w:rsidR="001143F2" w:rsidRDefault="001143F2" w:rsidP="00CA6276">
                      <w:pPr>
                        <w:spacing w:before="0"/>
                        <w:rPr>
                          <w:rFonts w:ascii="Lucida Bright" w:hAnsi="Lucida Bright" w:cs="Arial"/>
                          <w:noProof/>
                          <w:sz w:val="16"/>
                          <w:lang w:eastAsia="en-AU"/>
                        </w:rPr>
                      </w:pPr>
                    </w:p>
                  </w:txbxContent>
                </v:textbox>
                <w10:wrap type="square" anchorx="margin" anchory="margin"/>
              </v:rect>
            </w:pict>
          </mc:Fallback>
        </mc:AlternateContent>
      </w:r>
      <w:r w:rsidR="008360F5">
        <w:rPr>
          <w:lang w:val="en-US"/>
        </w:rPr>
        <w:t>F</w:t>
      </w:r>
      <w:r w:rsidR="00706650" w:rsidRPr="008360F5">
        <w:rPr>
          <w:lang w:val="en-US"/>
        </w:rPr>
        <w:t xml:space="preserve">or example, </w:t>
      </w:r>
      <w:r w:rsidR="00C0597F" w:rsidRPr="008360F5">
        <w:rPr>
          <w:lang w:val="en-US"/>
        </w:rPr>
        <w:t xml:space="preserve">Martin Parkinson, Secretary of the Department of the Prime Minister and Cabinet, has advocated using more community expertise in </w:t>
      </w:r>
      <w:r w:rsidR="008737D4" w:rsidRPr="008360F5">
        <w:rPr>
          <w:lang w:val="en-US"/>
        </w:rPr>
        <w:t>the APS’</w:t>
      </w:r>
      <w:r w:rsidR="00C0597F" w:rsidRPr="008360F5">
        <w:rPr>
          <w:lang w:val="en-US"/>
        </w:rPr>
        <w:t xml:space="preserve"> work. Noting that ‘no one person or organisation has all the answers’, Parkinson’s view is that ‘creating ‘policy communities’ of those who are making policy, those implementing policy on the ground or those working in think tanks, enables us to be constantly environment scanning, allowing us to see earlier and more clearly the opportunities for better outcomes, as well as identifying the emerging or inherent risks in our approaches. Such communities would allow lessons to feed back into the policy process and create constituencies for positive change.’</w:t>
      </w:r>
      <w:r w:rsidR="00C0597F" w:rsidRPr="008360F5">
        <w:rPr>
          <w:vertAlign w:val="superscript"/>
          <w:lang w:val="en-US"/>
        </w:rPr>
        <w:footnoteReference w:id="10"/>
      </w:r>
    </w:p>
    <w:p w14:paraId="7F40AD33" w14:textId="77777777" w:rsidR="00352257" w:rsidRDefault="00352257" w:rsidP="0052682D">
      <w:pPr>
        <w:spacing w:before="0"/>
      </w:pPr>
    </w:p>
    <w:p w14:paraId="6F417C87" w14:textId="77777777" w:rsidR="00C0597F" w:rsidRPr="007B6C21" w:rsidRDefault="00C0597F" w:rsidP="0052682D">
      <w:pPr>
        <w:spacing w:before="0"/>
      </w:pPr>
      <w:bookmarkStart w:id="25" w:name="_Toc486930834"/>
      <w:bookmarkEnd w:id="25"/>
      <w:r>
        <w:t>Pe</w:t>
      </w:r>
      <w:r w:rsidRPr="00C969D1">
        <w:t xml:space="preserve">ter Shergold’s </w:t>
      </w:r>
      <w:r>
        <w:t>‘</w:t>
      </w:r>
      <w:r w:rsidRPr="00E5425F">
        <w:t>Learning from Failure</w:t>
      </w:r>
      <w:r>
        <w:t>’</w:t>
      </w:r>
      <w:r w:rsidRPr="00E5425F">
        <w:t xml:space="preserve"> </w:t>
      </w:r>
      <w:r w:rsidRPr="00C969D1">
        <w:t xml:space="preserve">review </w:t>
      </w:r>
      <w:r>
        <w:t>also supports</w:t>
      </w:r>
      <w:r w:rsidRPr="00C969D1">
        <w:t xml:space="preserve"> </w:t>
      </w:r>
      <w:r w:rsidR="008737D4">
        <w:t>more</w:t>
      </w:r>
      <w:r w:rsidRPr="00C969D1">
        <w:t xml:space="preserve"> citizen involvemen</w:t>
      </w:r>
      <w:r>
        <w:t xml:space="preserve">t in policy and programmes. It found that </w:t>
      </w:r>
      <w:r w:rsidR="001C5135">
        <w:rPr>
          <w:iCs/>
        </w:rPr>
        <w:t>‘</w:t>
      </w:r>
      <w:r>
        <w:rPr>
          <w:iCs/>
        </w:rPr>
        <w:t>[t]</w:t>
      </w:r>
      <w:r w:rsidRPr="00AA17F3">
        <w:rPr>
          <w:iCs/>
        </w:rPr>
        <w:t>he APS should promote new forms of civil participation, including digital and deliberative democracy techniques, in order to enhance consumer-directed care, improve customer service, encourage greater</w:t>
      </w:r>
      <w:r>
        <w:t xml:space="preserve"> </w:t>
      </w:r>
      <w:r w:rsidRPr="00AA17F3">
        <w:rPr>
          <w:iCs/>
        </w:rPr>
        <w:t>citizen engagement and inform the public economy…</w:t>
      </w:r>
      <w:r>
        <w:rPr>
          <w:iCs/>
        </w:rPr>
        <w:t>re</w:t>
      </w:r>
      <w:r w:rsidRPr="00AA17F3">
        <w:rPr>
          <w:iCs/>
        </w:rPr>
        <w:t>al solutions to complex issues not only require that stakeholders, citizens and commun</w:t>
      </w:r>
      <w:r>
        <w:rPr>
          <w:iCs/>
        </w:rPr>
        <w:t xml:space="preserve">ities be fully </w:t>
      </w:r>
      <w:r>
        <w:rPr>
          <w:iCs/>
        </w:rPr>
        <w:lastRenderedPageBreak/>
        <w:t xml:space="preserve">involved in the </w:t>
      </w:r>
      <w:r w:rsidRPr="00AA17F3">
        <w:rPr>
          <w:iCs/>
        </w:rPr>
        <w:t>policy process; th</w:t>
      </w:r>
      <w:r>
        <w:rPr>
          <w:iCs/>
        </w:rPr>
        <w:t xml:space="preserve">ey require genuine collaboration </w:t>
      </w:r>
      <w:r w:rsidRPr="00AA17F3">
        <w:rPr>
          <w:iCs/>
        </w:rPr>
        <w:t>between governments and the public.</w:t>
      </w:r>
      <w:r w:rsidR="001C5135">
        <w:rPr>
          <w:iCs/>
        </w:rPr>
        <w:t>’</w:t>
      </w:r>
      <w:r w:rsidRPr="00AA17F3">
        <w:rPr>
          <w:rStyle w:val="FootnoteReference"/>
          <w:iCs/>
        </w:rPr>
        <w:footnoteReference w:id="11"/>
      </w:r>
      <w:r w:rsidRPr="007B6C21">
        <w:rPr>
          <w:noProof/>
          <w:lang w:eastAsia="en-AU"/>
        </w:rPr>
        <w:t xml:space="preserve"> </w:t>
      </w:r>
    </w:p>
    <w:p w14:paraId="3E5342C0" w14:textId="77777777" w:rsidR="00C0597F" w:rsidRDefault="00C0597F" w:rsidP="0052682D">
      <w:pPr>
        <w:spacing w:before="0"/>
        <w:rPr>
          <w:lang w:val="en-US"/>
        </w:rPr>
      </w:pPr>
    </w:p>
    <w:p w14:paraId="1B349565" w14:textId="77777777" w:rsidR="001B244E" w:rsidRDefault="001B244E" w:rsidP="0052682D">
      <w:pPr>
        <w:spacing w:before="0"/>
      </w:pPr>
      <w:r>
        <w:t xml:space="preserve">Gordon de Brouwer, former Secretary of the Department of the Environment and Energy, believes better engagement is essential to </w:t>
      </w:r>
      <w:r w:rsidR="00C45153">
        <w:t xml:space="preserve">positioning </w:t>
      </w:r>
      <w:r>
        <w:t xml:space="preserve">the APS </w:t>
      </w:r>
      <w:r w:rsidR="00C45153">
        <w:t xml:space="preserve">for </w:t>
      </w:r>
      <w:r>
        <w:t xml:space="preserve">the future. In his Secretary </w:t>
      </w:r>
      <w:r w:rsidR="00C45153">
        <w:t>V</w:t>
      </w:r>
      <w:r>
        <w:t xml:space="preserve">aledictory speech, </w:t>
      </w:r>
      <w:r w:rsidR="00A64644">
        <w:t>he</w:t>
      </w:r>
      <w:r>
        <w:t xml:space="preserve"> argues that </w:t>
      </w:r>
      <w:r w:rsidR="00DB3EED">
        <w:t>the APS serves the</w:t>
      </w:r>
      <w:r>
        <w:t xml:space="preserve"> public </w:t>
      </w:r>
      <w:r w:rsidR="00DB3EED">
        <w:t>best when</w:t>
      </w:r>
      <w:r>
        <w:t xml:space="preserve">, among other things, </w:t>
      </w:r>
      <w:r w:rsidR="00DB3EED">
        <w:t xml:space="preserve">it </w:t>
      </w:r>
      <w:r w:rsidR="001C5135">
        <w:t>‘</w:t>
      </w:r>
      <w:r>
        <w:t>work</w:t>
      </w:r>
      <w:r w:rsidR="00DB3EED">
        <w:t>[s]</w:t>
      </w:r>
      <w:r>
        <w:t xml:space="preserve"> through solutions together and with key people outside the public service</w:t>
      </w:r>
      <w:r w:rsidR="001C5135">
        <w:t>’</w:t>
      </w:r>
      <w:r>
        <w:t xml:space="preserve">. </w:t>
      </w:r>
      <w:r w:rsidR="00EA78F7">
        <w:t xml:space="preserve">Further, </w:t>
      </w:r>
      <w:r w:rsidR="00425E81">
        <w:t>he</w:t>
      </w:r>
      <w:r w:rsidR="00A64644">
        <w:t xml:space="preserve"> suggests </w:t>
      </w:r>
      <w:r w:rsidR="003937E7">
        <w:t xml:space="preserve">that </w:t>
      </w:r>
      <w:r w:rsidR="00A64644">
        <w:t>the APS change its attitude to engagement -</w:t>
      </w:r>
      <w:r>
        <w:t xml:space="preserve"> thinking of the public as insiders in public policy, rather than as outsiders to be managed.</w:t>
      </w:r>
      <w:r w:rsidR="00DB3EED">
        <w:t xml:space="preserve"> </w:t>
      </w:r>
      <w:r w:rsidR="00A64644">
        <w:t xml:space="preserve">He also suggests that it change its engagement practices. </w:t>
      </w:r>
      <w:r w:rsidR="00B52211">
        <w:t>H</w:t>
      </w:r>
      <w:r w:rsidR="00EA78F7">
        <w:t>e says</w:t>
      </w:r>
      <w:r w:rsidR="004E0242">
        <w:t xml:space="preserve"> </w:t>
      </w:r>
      <w:r w:rsidR="001C5135">
        <w:t>‘</w:t>
      </w:r>
      <w:r w:rsidR="004E0242">
        <w:t>we need to talk like normal people to each other and the public</w:t>
      </w:r>
      <w:r w:rsidR="001C5135">
        <w:t>’</w:t>
      </w:r>
      <w:r w:rsidR="004E0242">
        <w:t xml:space="preserve"> and</w:t>
      </w:r>
      <w:r>
        <w:t xml:space="preserve"> </w:t>
      </w:r>
      <w:r w:rsidR="001C5135">
        <w:t>‘</w:t>
      </w:r>
      <w:r w:rsidR="00EA78F7">
        <w:t>[trust]</w:t>
      </w:r>
      <w:r w:rsidRPr="00926119">
        <w:t xml:space="preserve"> comes down to how we talk with the public, how we treat them, and how we ensure that we provide, rationally and without advocacy, the information they want and need to make informed judgments and decisions.</w:t>
      </w:r>
      <w:r w:rsidR="001C5135">
        <w:t>’</w:t>
      </w:r>
      <w:r>
        <w:rPr>
          <w:rStyle w:val="FootnoteReference"/>
        </w:rPr>
        <w:footnoteReference w:id="12"/>
      </w:r>
    </w:p>
    <w:p w14:paraId="4B540EC5" w14:textId="77777777" w:rsidR="001B244E" w:rsidRPr="00251058" w:rsidRDefault="001B244E" w:rsidP="0052682D">
      <w:pPr>
        <w:spacing w:before="0"/>
      </w:pPr>
    </w:p>
    <w:p w14:paraId="72C7758D" w14:textId="77777777" w:rsidR="00FC7185" w:rsidRDefault="00890D87" w:rsidP="0052682D">
      <w:pPr>
        <w:spacing w:before="0"/>
        <w:rPr>
          <w:iCs/>
        </w:rPr>
      </w:pPr>
      <w:r>
        <w:rPr>
          <w:noProof/>
          <w:lang w:eastAsia="en-AU"/>
        </w:rPr>
        <mc:AlternateContent>
          <mc:Choice Requires="wps">
            <w:drawing>
              <wp:anchor distT="0" distB="0" distL="457200" distR="114300" simplePos="0" relativeHeight="251658255" behindDoc="0" locked="0" layoutInCell="0" allowOverlap="1" wp14:anchorId="7A55F29B" wp14:editId="4E4912C1">
                <wp:simplePos x="0" y="0"/>
                <wp:positionH relativeFrom="margin">
                  <wp:align>left</wp:align>
                </wp:positionH>
                <wp:positionV relativeFrom="page">
                  <wp:posOffset>4437361</wp:posOffset>
                </wp:positionV>
                <wp:extent cx="2949575" cy="2190750"/>
                <wp:effectExtent l="0" t="0" r="3175" b="0"/>
                <wp:wrapSquare wrapText="bothSides"/>
                <wp:docPr id="25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9575" cy="2190750"/>
                        </a:xfrm>
                        <a:prstGeom prst="rect">
                          <a:avLst/>
                        </a:prstGeom>
                        <a:solidFill>
                          <a:srgbClr val="DEEBF7"/>
                        </a:solidFill>
                        <a:extLst/>
                      </wps:spPr>
                      <wps:txbx>
                        <w:txbxContent>
                          <w:tbl>
                            <w:tblPr>
                              <w:tblStyle w:val="TableGrid"/>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2777"/>
                            </w:tblGrid>
                            <w:tr w:rsidR="001143F2" w14:paraId="121C42E3" w14:textId="77777777" w:rsidTr="00AE4E9B">
                              <w:tc>
                                <w:tcPr>
                                  <w:tcW w:w="1476" w:type="dxa"/>
                                </w:tcPr>
                                <w:p w14:paraId="30A9C320" w14:textId="77777777" w:rsidR="001143F2" w:rsidRDefault="001143F2" w:rsidP="001B4C22">
                                  <w:pPr>
                                    <w:spacing w:before="0" w:after="240"/>
                                    <w:jc w:val="both"/>
                                    <w:rPr>
                                      <w:b/>
                                      <w:bCs/>
                                      <w:color w:val="323E4F" w:themeColor="text2" w:themeShade="BF"/>
                                      <w:szCs w:val="28"/>
                                    </w:rPr>
                                  </w:pPr>
                                  <w:r>
                                    <w:rPr>
                                      <w:noProof/>
                                      <w:lang w:eastAsia="en-AU"/>
                                    </w:rPr>
                                    <w:drawing>
                                      <wp:inline distT="0" distB="0" distL="0" distR="0" wp14:anchorId="45E059EA" wp14:editId="4AE64086">
                                        <wp:extent cx="791622" cy="871869"/>
                                        <wp:effectExtent l="0" t="0" r="889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9017" cy="880013"/>
                                                </a:xfrm>
                                                <a:prstGeom prst="rect">
                                                  <a:avLst/>
                                                </a:prstGeom>
                                              </pic:spPr>
                                            </pic:pic>
                                          </a:graphicData>
                                        </a:graphic>
                                      </wp:inline>
                                    </w:drawing>
                                  </w:r>
                                </w:p>
                              </w:tc>
                              <w:tc>
                                <w:tcPr>
                                  <w:tcW w:w="2777" w:type="dxa"/>
                                </w:tcPr>
                                <w:p w14:paraId="7BAF60AA" w14:textId="77777777" w:rsidR="001143F2" w:rsidRPr="000F55D0" w:rsidRDefault="001143F2" w:rsidP="00AE4E9B">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Professor Beth Noveck’s ‘</w:t>
                                  </w:r>
                                  <w:r w:rsidRPr="006A3C9B">
                                    <w:rPr>
                                      <w:rFonts w:asciiTheme="majorHAnsi" w:hAnsiTheme="majorHAnsi" w:cs="Arial"/>
                                      <w:b/>
                                      <w:i/>
                                      <w:noProof/>
                                      <w:color w:val="44546A" w:themeColor="text2"/>
                                      <w:sz w:val="20"/>
                                      <w:lang w:eastAsia="en-AU"/>
                                    </w:rPr>
                                    <w:t>Smart Citizens, Smarter State’</w:t>
                                  </w:r>
                                  <w:r w:rsidRPr="000F55D0">
                                    <w:rPr>
                                      <w:rFonts w:asciiTheme="majorHAnsi" w:hAnsiTheme="majorHAnsi" w:cs="Arial"/>
                                      <w:b/>
                                      <w:noProof/>
                                      <w:color w:val="44546A" w:themeColor="text2"/>
                                      <w:sz w:val="20"/>
                                      <w:lang w:eastAsia="en-AU"/>
                                    </w:rPr>
                                    <w:t xml:space="preserve"> argues that the public’s supply of expertise is not being matched to demand for it in government</w:t>
                                  </w:r>
                                </w:p>
                              </w:tc>
                            </w:tr>
                          </w:tbl>
                          <w:p w14:paraId="613EABF2" w14:textId="77777777" w:rsidR="001143F2" w:rsidRPr="000F55D0" w:rsidRDefault="001143F2" w:rsidP="00630830">
                            <w:pPr>
                              <w:spacing w:before="0"/>
                              <w:rPr>
                                <w:rFonts w:asciiTheme="majorHAnsi" w:hAnsiTheme="majorHAnsi"/>
                                <w:sz w:val="16"/>
                              </w:rPr>
                            </w:pPr>
                            <w:r w:rsidRPr="000F55D0">
                              <w:rPr>
                                <w:rFonts w:asciiTheme="majorHAnsi" w:hAnsiTheme="majorHAnsi" w:cs="Arial"/>
                                <w:noProof/>
                                <w:sz w:val="16"/>
                                <w:lang w:eastAsia="en-AU"/>
                              </w:rPr>
                              <w:drawing>
                                <wp:inline distT="0" distB="0" distL="0" distR="0" wp14:anchorId="7E4623CD" wp14:editId="63D8687B">
                                  <wp:extent cx="257175" cy="24765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0F55D0">
                              <w:rPr>
                                <w:rFonts w:asciiTheme="majorHAnsi" w:hAnsiTheme="majorHAnsi" w:cs="Arial"/>
                                <w:noProof/>
                                <w:sz w:val="16"/>
                                <w:lang w:eastAsia="en-AU"/>
                              </w:rPr>
                              <w:t>Governing institutions make far too little of the skills and experience of those inside and outside of government with scientific credentials, practical skills, and ground-level street smarts. More flexible and responsive approaches that tap into an array of expertise are needed.”</w:t>
                            </w:r>
                          </w:p>
                          <w:p w14:paraId="3C574692" w14:textId="77777777" w:rsidR="001143F2" w:rsidRDefault="001143F2" w:rsidP="001E1FC4">
                            <w:pPr>
                              <w:spacing w:before="0"/>
                              <w:jc w:val="right"/>
                              <w:rPr>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A55F29B" id="_x0000_s1029" style="position:absolute;margin-left:0;margin-top:349.4pt;width:232.25pt;height:172.5pt;z-index:251658255;visibility:visible;mso-wrap-style:square;mso-width-percent:0;mso-height-percent:0;mso-wrap-distance-left:36pt;mso-wrap-distance-top:0;mso-wrap-distance-right:9pt;mso-wrap-distance-bottom:0;mso-position-horizontal:lef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" o:allowincell="f" fillcolor="#deebf7" stroked="f">
                <v:textbox inset="14.4pt,14.4pt,14.4pt,14.4pt">
                  <w:txbxContent>
                    <w:tbl>
                      <w:tblPr>
                        <w:tblStyle w:val="TableGrid"/>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2777"/>
                      </w:tblGrid>
                      <w:tr w:rsidR="001143F2" w14:paraId="121C42E3" w14:textId="77777777" w:rsidTr="00AE4E9B">
                        <w:tc>
                          <w:tcPr>
                            <w:tcW w:w="1476" w:type="dxa"/>
                          </w:tcPr>
                          <w:p w14:paraId="30A9C320" w14:textId="77777777" w:rsidR="001143F2" w:rsidRDefault="001143F2" w:rsidP="001B4C22">
                            <w:pPr>
                              <w:spacing w:before="0" w:after="240"/>
                              <w:jc w:val="both"/>
                              <w:rPr>
                                <w:b/>
                                <w:bCs/>
                                <w:color w:val="323E4F" w:themeColor="text2" w:themeShade="BF"/>
                                <w:szCs w:val="28"/>
                              </w:rPr>
                            </w:pPr>
                            <w:r>
                              <w:rPr>
                                <w:noProof/>
                                <w:lang w:eastAsia="en-AU"/>
                              </w:rPr>
                              <w:drawing>
                                <wp:inline distT="0" distB="0" distL="0" distR="0" wp14:anchorId="45E059EA" wp14:editId="4AE64086">
                                  <wp:extent cx="791622" cy="871869"/>
                                  <wp:effectExtent l="0" t="0" r="889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9017" cy="880013"/>
                                          </a:xfrm>
                                          <a:prstGeom prst="rect">
                                            <a:avLst/>
                                          </a:prstGeom>
                                        </pic:spPr>
                                      </pic:pic>
                                    </a:graphicData>
                                  </a:graphic>
                                </wp:inline>
                              </w:drawing>
                            </w:r>
                          </w:p>
                        </w:tc>
                        <w:tc>
                          <w:tcPr>
                            <w:tcW w:w="2777" w:type="dxa"/>
                          </w:tcPr>
                          <w:p w14:paraId="7BAF60AA" w14:textId="77777777" w:rsidR="001143F2" w:rsidRPr="000F55D0" w:rsidRDefault="001143F2" w:rsidP="00AE4E9B">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Professor Beth Noveck’s ‘</w:t>
                            </w:r>
                            <w:r w:rsidRPr="006A3C9B">
                              <w:rPr>
                                <w:rFonts w:asciiTheme="majorHAnsi" w:hAnsiTheme="majorHAnsi" w:cs="Arial"/>
                                <w:b/>
                                <w:i/>
                                <w:noProof/>
                                <w:color w:val="44546A" w:themeColor="text2"/>
                                <w:sz w:val="20"/>
                                <w:lang w:eastAsia="en-AU"/>
                              </w:rPr>
                              <w:t>Smart Citizens, Smarter State’</w:t>
                            </w:r>
                            <w:r w:rsidRPr="000F55D0">
                              <w:rPr>
                                <w:rFonts w:asciiTheme="majorHAnsi" w:hAnsiTheme="majorHAnsi" w:cs="Arial"/>
                                <w:b/>
                                <w:noProof/>
                                <w:color w:val="44546A" w:themeColor="text2"/>
                                <w:sz w:val="20"/>
                                <w:lang w:eastAsia="en-AU"/>
                              </w:rPr>
                              <w:t xml:space="preserve"> argues that the public’s supply of expertise is not being matched to demand for it in government</w:t>
                            </w:r>
                          </w:p>
                        </w:tc>
                      </w:tr>
                    </w:tbl>
                    <w:p w14:paraId="613EABF2" w14:textId="77777777" w:rsidR="001143F2" w:rsidRPr="000F55D0" w:rsidRDefault="001143F2" w:rsidP="00630830">
                      <w:pPr>
                        <w:spacing w:before="0"/>
                        <w:rPr>
                          <w:rFonts w:asciiTheme="majorHAnsi" w:hAnsiTheme="majorHAnsi"/>
                          <w:sz w:val="16"/>
                        </w:rPr>
                      </w:pPr>
                      <w:r w:rsidRPr="000F55D0">
                        <w:rPr>
                          <w:rFonts w:asciiTheme="majorHAnsi" w:hAnsiTheme="majorHAnsi" w:cs="Arial"/>
                          <w:noProof/>
                          <w:sz w:val="16"/>
                          <w:lang w:eastAsia="en-AU"/>
                        </w:rPr>
                        <w:drawing>
                          <wp:inline distT="0" distB="0" distL="0" distR="0" wp14:anchorId="7E4623CD" wp14:editId="63D8687B">
                            <wp:extent cx="257175" cy="24765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0F55D0">
                        <w:rPr>
                          <w:rFonts w:asciiTheme="majorHAnsi" w:hAnsiTheme="majorHAnsi" w:cs="Arial"/>
                          <w:noProof/>
                          <w:sz w:val="16"/>
                          <w:lang w:eastAsia="en-AU"/>
                        </w:rPr>
                        <w:t>Governing institutions make far too little of the skills and experience of those inside and outside of government with scientific credentials, practical skills, and ground-level street smarts. More flexible and responsive approaches that tap into an array of expertise are needed.”</w:t>
                      </w:r>
                    </w:p>
                    <w:p w14:paraId="3C574692" w14:textId="77777777" w:rsidR="001143F2" w:rsidRDefault="001143F2" w:rsidP="001E1FC4">
                      <w:pPr>
                        <w:spacing w:before="0"/>
                        <w:jc w:val="right"/>
                        <w:rPr>
                          <w:sz w:val="20"/>
                        </w:rPr>
                      </w:pPr>
                    </w:p>
                  </w:txbxContent>
                </v:textbox>
                <w10:wrap type="square" anchorx="margin" anchory="page"/>
              </v:rect>
            </w:pict>
          </mc:Fallback>
        </mc:AlternateContent>
      </w:r>
      <w:r w:rsidR="00C0597F">
        <w:rPr>
          <w:lang w:val="en-US"/>
        </w:rPr>
        <w:t xml:space="preserve">Academics </w:t>
      </w:r>
      <w:r w:rsidR="00F635BB">
        <w:rPr>
          <w:lang w:val="en-US"/>
        </w:rPr>
        <w:t xml:space="preserve">and think tanks </w:t>
      </w:r>
      <w:r w:rsidR="001B244E">
        <w:rPr>
          <w:lang w:val="en-US"/>
        </w:rPr>
        <w:t xml:space="preserve">echo these </w:t>
      </w:r>
      <w:r w:rsidR="00C0597F">
        <w:rPr>
          <w:lang w:val="en-US"/>
        </w:rPr>
        <w:t>view</w:t>
      </w:r>
      <w:r w:rsidR="001B244E">
        <w:rPr>
          <w:lang w:val="en-US"/>
        </w:rPr>
        <w:t>s</w:t>
      </w:r>
      <w:r w:rsidR="00C0597F">
        <w:rPr>
          <w:lang w:val="en-US"/>
        </w:rPr>
        <w:t xml:space="preserve">. </w:t>
      </w:r>
      <w:r w:rsidR="00D3728E">
        <w:rPr>
          <w:lang w:val="en-US"/>
        </w:rPr>
        <w:t>I</w:t>
      </w:r>
      <w:r w:rsidR="00F62310">
        <w:rPr>
          <w:lang w:val="en-US"/>
        </w:rPr>
        <w:t>n</w:t>
      </w:r>
      <w:r w:rsidR="00DA1E7B">
        <w:rPr>
          <w:iCs/>
        </w:rPr>
        <w:t xml:space="preserve"> her book ‘</w:t>
      </w:r>
      <w:r w:rsidR="007A70BC">
        <w:rPr>
          <w:iCs/>
        </w:rPr>
        <w:t>Smart Citizens, Smarter State</w:t>
      </w:r>
      <w:r w:rsidR="00DA1E7B">
        <w:rPr>
          <w:iCs/>
        </w:rPr>
        <w:t>’</w:t>
      </w:r>
      <w:r w:rsidR="007A70BC">
        <w:rPr>
          <w:iCs/>
        </w:rPr>
        <w:t xml:space="preserve">, </w:t>
      </w:r>
      <w:r w:rsidR="00FC7185">
        <w:rPr>
          <w:iCs/>
        </w:rPr>
        <w:t xml:space="preserve">Professor </w:t>
      </w:r>
      <w:r w:rsidR="007A70BC">
        <w:rPr>
          <w:iCs/>
        </w:rPr>
        <w:t>Beth Noveck</w:t>
      </w:r>
      <w:r w:rsidR="008F00F0">
        <w:rPr>
          <w:iCs/>
        </w:rPr>
        <w:t>, director of New York University’s governance lab,</w:t>
      </w:r>
      <w:r w:rsidR="007A70BC">
        <w:rPr>
          <w:iCs/>
        </w:rPr>
        <w:t xml:space="preserve"> argues that</w:t>
      </w:r>
      <w:r w:rsidR="0014040B">
        <w:rPr>
          <w:iCs/>
        </w:rPr>
        <w:t xml:space="preserve"> current approaches to decisionmaking are not well equipped to respond to the increasing complexity and public expectations of public policy.</w:t>
      </w:r>
      <w:r w:rsidR="00CB387B">
        <w:rPr>
          <w:iCs/>
        </w:rPr>
        <w:t xml:space="preserve"> </w:t>
      </w:r>
      <w:r w:rsidR="00D8142D">
        <w:t>Offering a far-reaching program for innovation, she suggests that public decision making could be more effective and legitimate if government were smarter—if our institutions knew how to use technology to leverage citizens’ expertise.</w:t>
      </w:r>
      <w:r w:rsidR="00130DB0">
        <w:rPr>
          <w:rStyle w:val="FootnoteReference"/>
          <w:iCs/>
        </w:rPr>
        <w:footnoteReference w:id="13"/>
      </w:r>
      <w:r w:rsidR="00D3728E">
        <w:rPr>
          <w:iCs/>
        </w:rPr>
        <w:t xml:space="preserve"> </w:t>
      </w:r>
    </w:p>
    <w:p w14:paraId="68F5A831" w14:textId="77777777" w:rsidR="001E1FC4" w:rsidRPr="00D3728E" w:rsidRDefault="001E1FC4" w:rsidP="0052682D">
      <w:pPr>
        <w:spacing w:before="0"/>
        <w:rPr>
          <w:iCs/>
        </w:rPr>
      </w:pPr>
    </w:p>
    <w:p w14:paraId="33425750" w14:textId="77777777" w:rsidR="007A70BC" w:rsidRDefault="008F00F0" w:rsidP="0052682D">
      <w:pPr>
        <w:spacing w:before="0"/>
      </w:pPr>
      <w:r>
        <w:t>Public administration academics</w:t>
      </w:r>
      <w:r w:rsidR="00420E34">
        <w:t xml:space="preserve"> Tina Nabatchi and Matt </w:t>
      </w:r>
      <w:r w:rsidR="00AD4510">
        <w:t>Leighninger have a similar view, stating ‘</w:t>
      </w:r>
      <w:r w:rsidR="007A70BC">
        <w:t xml:space="preserve">Our current participation infrastructure occupies a great deal of time, money, and political capital, but it is inefficient, ineffective, and outdated. It does not support </w:t>
      </w:r>
      <w:r w:rsidR="001C5135">
        <w:t>‘</w:t>
      </w:r>
      <w:r w:rsidR="007A70BC">
        <w:t>good</w:t>
      </w:r>
      <w:r w:rsidR="001C5135">
        <w:t>’</w:t>
      </w:r>
      <w:r w:rsidR="007A70BC">
        <w:t xml:space="preserve"> participation, does not meet the needs of citizens or officials, and does not reflect the way people live today.</w:t>
      </w:r>
      <w:r w:rsidR="00AD4510">
        <w:t>’</w:t>
      </w:r>
      <w:r w:rsidR="007A70BC">
        <w:rPr>
          <w:rStyle w:val="FootnoteReference"/>
        </w:rPr>
        <w:footnoteReference w:id="14"/>
      </w:r>
      <w:r w:rsidR="00E5425F">
        <w:t xml:space="preserve"> </w:t>
      </w:r>
      <w:r w:rsidR="00327440">
        <w:br/>
      </w:r>
    </w:p>
    <w:p w14:paraId="131C670A" w14:textId="77777777" w:rsidR="00327440" w:rsidRPr="009E1E87" w:rsidRDefault="00E46C5D" w:rsidP="0052682D">
      <w:pPr>
        <w:spacing w:before="0"/>
        <w:rPr>
          <w:lang w:val="en-US"/>
        </w:rPr>
      </w:pPr>
      <w:r>
        <w:rPr>
          <w:lang w:val="en-US"/>
        </w:rPr>
        <w:t>Most a</w:t>
      </w:r>
      <w:r w:rsidR="00327440">
        <w:rPr>
          <w:lang w:val="en-US"/>
        </w:rPr>
        <w:t>cademics are not suggesting, however, that public servants need to involve the public in everything they do</w:t>
      </w:r>
      <w:r>
        <w:rPr>
          <w:lang w:val="en-US"/>
        </w:rPr>
        <w:t xml:space="preserve">, even when it is not practical. For example, </w:t>
      </w:r>
      <w:r w:rsidR="00327440">
        <w:rPr>
          <w:lang w:val="en-US"/>
        </w:rPr>
        <w:t>Reeve Bull in ‘</w:t>
      </w:r>
      <w:r w:rsidR="00327440" w:rsidRPr="00DA1E7B">
        <w:rPr>
          <w:lang w:val="en-US"/>
        </w:rPr>
        <w:t xml:space="preserve">Making the </w:t>
      </w:r>
      <w:r w:rsidR="00327440" w:rsidRPr="00DA1E7B">
        <w:rPr>
          <w:lang w:val="en-US"/>
        </w:rPr>
        <w:lastRenderedPageBreak/>
        <w:t>Administrative State Safe for Democracy</w:t>
      </w:r>
      <w:r w:rsidR="00327440">
        <w:rPr>
          <w:lang w:val="en-US"/>
        </w:rPr>
        <w:t xml:space="preserve">’ </w:t>
      </w:r>
      <w:r>
        <w:rPr>
          <w:lang w:val="en-US"/>
        </w:rPr>
        <w:t>says</w:t>
      </w:r>
      <w:r w:rsidR="00327440" w:rsidRPr="00DA1E7B">
        <w:rPr>
          <w:lang w:val="en-US"/>
        </w:rPr>
        <w:t xml:space="preserve"> that </w:t>
      </w:r>
      <w:r w:rsidR="00327440">
        <w:rPr>
          <w:lang w:val="en-US"/>
        </w:rPr>
        <w:t xml:space="preserve">‘to </w:t>
      </w:r>
      <w:r w:rsidR="00327440" w:rsidRPr="00DA1E7B">
        <w:rPr>
          <w:lang w:val="en-US"/>
        </w:rPr>
        <w:t xml:space="preserve">the extent </w:t>
      </w:r>
      <w:r w:rsidR="00327440">
        <w:rPr>
          <w:lang w:val="en-US"/>
        </w:rPr>
        <w:t xml:space="preserve">that </w:t>
      </w:r>
      <w:r w:rsidR="00327440" w:rsidRPr="00DA1E7B">
        <w:rPr>
          <w:lang w:val="en-US"/>
        </w:rPr>
        <w:t>public input is beneficial to administrative decision making it should be sought and considered</w:t>
      </w:r>
      <w:r w:rsidR="00327440">
        <w:rPr>
          <w:lang w:val="en-US"/>
        </w:rPr>
        <w:t xml:space="preserve">.’ He qualifies this, however, saying </w:t>
      </w:r>
      <w:r w:rsidR="001C5135">
        <w:rPr>
          <w:lang w:val="en-US"/>
        </w:rPr>
        <w:t>‘</w:t>
      </w:r>
      <w:r w:rsidR="00327440">
        <w:rPr>
          <w:lang w:val="en-US"/>
        </w:rPr>
        <w:t>…</w:t>
      </w:r>
      <w:r w:rsidR="00B96F9F">
        <w:rPr>
          <w:lang w:val="en-US"/>
        </w:rPr>
        <w:t>[public servants]</w:t>
      </w:r>
      <w:r w:rsidR="00327440" w:rsidRPr="00DA1E7B">
        <w:rPr>
          <w:lang w:val="en-US"/>
        </w:rPr>
        <w:t xml:space="preserve"> should not seek </w:t>
      </w:r>
      <w:r w:rsidR="0057456D">
        <w:rPr>
          <w:lang w:val="en-US"/>
        </w:rPr>
        <w:t>[public input]</w:t>
      </w:r>
      <w:r w:rsidR="00327440" w:rsidRPr="00DA1E7B">
        <w:rPr>
          <w:lang w:val="en-US"/>
        </w:rPr>
        <w:t xml:space="preserve"> out of an unnecessary obeisance to the principles of democracy</w:t>
      </w:r>
      <w:r w:rsidR="001C5135">
        <w:rPr>
          <w:lang w:val="en-US"/>
        </w:rPr>
        <w:t>’</w:t>
      </w:r>
      <w:r w:rsidR="00327440" w:rsidRPr="00DA1E7B">
        <w:rPr>
          <w:lang w:val="en-US"/>
        </w:rPr>
        <w:t>.</w:t>
      </w:r>
      <w:r w:rsidR="00327440">
        <w:rPr>
          <w:rStyle w:val="FootnoteReference"/>
          <w:lang w:val="en-US"/>
        </w:rPr>
        <w:footnoteReference w:id="15"/>
      </w:r>
    </w:p>
    <w:p w14:paraId="43A9AF58" w14:textId="77777777" w:rsidR="00A333AD" w:rsidRDefault="007B6C21" w:rsidP="0052682D">
      <w:pPr>
        <w:tabs>
          <w:tab w:val="left" w:pos="1845"/>
        </w:tabs>
        <w:spacing w:before="0"/>
        <w:rPr>
          <w:iCs/>
        </w:rPr>
      </w:pPr>
      <w:r>
        <w:rPr>
          <w:iCs/>
        </w:rPr>
        <w:tab/>
      </w:r>
      <w:r>
        <w:rPr>
          <w:iCs/>
        </w:rPr>
        <w:tab/>
      </w:r>
    </w:p>
    <w:p w14:paraId="5FB88C19" w14:textId="77777777" w:rsidR="00D2594C" w:rsidRDefault="00F62B41" w:rsidP="0052682D">
      <w:pPr>
        <w:spacing w:before="0"/>
      </w:pPr>
      <w:r w:rsidRPr="00CB1F57">
        <w:rPr>
          <w:i/>
          <w:noProof/>
          <w:lang w:eastAsia="en-AU"/>
        </w:rPr>
        <mc:AlternateContent>
          <mc:Choice Requires="wps">
            <w:drawing>
              <wp:anchor distT="45720" distB="45720" distL="114300" distR="114300" simplePos="0" relativeHeight="251658264" behindDoc="0" locked="0" layoutInCell="1" allowOverlap="1" wp14:anchorId="6461460F" wp14:editId="02C9A663">
                <wp:simplePos x="0" y="0"/>
                <wp:positionH relativeFrom="margin">
                  <wp:align>left</wp:align>
                </wp:positionH>
                <wp:positionV relativeFrom="paragraph">
                  <wp:posOffset>948690</wp:posOffset>
                </wp:positionV>
                <wp:extent cx="2774950" cy="4015740"/>
                <wp:effectExtent l="0" t="0" r="6350" b="381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4015740"/>
                        </a:xfrm>
                        <a:prstGeom prst="rect">
                          <a:avLst/>
                        </a:prstGeom>
                        <a:solidFill>
                          <a:srgbClr val="DEEBF7"/>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2220"/>
                            </w:tblGrid>
                            <w:tr w:rsidR="001143F2" w14:paraId="71ECC49A" w14:textId="77777777" w:rsidTr="00F9769F">
                              <w:tc>
                                <w:tcPr>
                                  <w:tcW w:w="1838" w:type="dxa"/>
                                </w:tcPr>
                                <w:p w14:paraId="2534ED16" w14:textId="77777777" w:rsidR="001143F2" w:rsidRDefault="001143F2" w:rsidP="00F9769F">
                                  <w:pPr>
                                    <w:kinsoku w:val="0"/>
                                    <w:overflowPunct w:val="0"/>
                                    <w:spacing w:before="0"/>
                                    <w:jc w:val="center"/>
                                  </w:pPr>
                                  <w:r>
                                    <w:rPr>
                                      <w:noProof/>
                                      <w:lang w:eastAsia="en-AU"/>
                                    </w:rPr>
                                    <w:drawing>
                                      <wp:inline distT="0" distB="0" distL="0" distR="0" wp14:anchorId="002D1E04" wp14:editId="5DE51F12">
                                        <wp:extent cx="999982" cy="431597"/>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09714" cy="435797"/>
                                                </a:xfrm>
                                                <a:prstGeom prst="rect">
                                                  <a:avLst/>
                                                </a:prstGeom>
                                              </pic:spPr>
                                            </pic:pic>
                                          </a:graphicData>
                                        </a:graphic>
                                      </wp:inline>
                                    </w:drawing>
                                  </w:r>
                                </w:p>
                              </w:tc>
                              <w:tc>
                                <w:tcPr>
                                  <w:tcW w:w="2220" w:type="dxa"/>
                                </w:tcPr>
                                <w:p w14:paraId="7A783DEE" w14:textId="77777777" w:rsidR="001143F2" w:rsidRPr="00F9769F" w:rsidRDefault="001143F2" w:rsidP="00F9769F">
                                  <w:pPr>
                                    <w:spacing w:before="0" w:after="80"/>
                                    <w:rPr>
                                      <w:rFonts w:asciiTheme="majorHAnsi" w:hAnsiTheme="majorHAnsi" w:cs="Arial"/>
                                      <w:b/>
                                      <w:noProof/>
                                      <w:color w:val="44546A" w:themeColor="text2"/>
                                      <w:sz w:val="20"/>
                                      <w:lang w:eastAsia="en-AU"/>
                                    </w:rPr>
                                  </w:pPr>
                                  <w:r w:rsidRPr="00F62B41">
                                    <w:rPr>
                                      <w:rFonts w:asciiTheme="majorHAnsi" w:hAnsiTheme="majorHAnsi" w:cs="Arial"/>
                                      <w:b/>
                                      <w:noProof/>
                                      <w:color w:val="44546A" w:themeColor="text2"/>
                                      <w:sz w:val="20"/>
                                      <w:lang w:eastAsia="en-AU"/>
                                    </w:rPr>
                                    <w:t xml:space="preserve">Case study: </w:t>
                                  </w:r>
                                  <w:r w:rsidRPr="008360F5">
                                    <w:rPr>
                                      <w:rFonts w:asciiTheme="majorHAnsi" w:hAnsiTheme="majorHAnsi" w:cs="Arial"/>
                                      <w:b/>
                                      <w:i/>
                                      <w:noProof/>
                                      <w:color w:val="44546A" w:themeColor="text2"/>
                                      <w:sz w:val="20"/>
                                      <w:lang w:eastAsia="en-AU"/>
                                    </w:rPr>
                                    <w:t>IP Australia’s Policy Register</w:t>
                                  </w:r>
                                  <w:r w:rsidRPr="00F62B41">
                                    <w:rPr>
                                      <w:rFonts w:asciiTheme="majorHAnsi" w:hAnsiTheme="majorHAnsi" w:cs="Arial"/>
                                      <w:b/>
                                      <w:noProof/>
                                      <w:color w:val="44546A" w:themeColor="text2"/>
                                      <w:sz w:val="20"/>
                                      <w:lang w:eastAsia="en-AU"/>
                                    </w:rPr>
                                    <w:t xml:space="preserve"> involves the public in prioritising and developing IP policy</w:t>
                                  </w:r>
                                </w:p>
                              </w:tc>
                            </w:tr>
                          </w:tbl>
                          <w:p w14:paraId="233F2C93"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IP Australia's Policy Register is a searchable list of IP issues that have been raised for policy action or legislative amendment. It contains over 70 policy issues relating to patents, trade marks, designs and plant breeder’s rights.</w:t>
                            </w:r>
                          </w:p>
                          <w:p w14:paraId="499DDB25" w14:textId="77777777" w:rsidR="001143F2" w:rsidRPr="00F62B41" w:rsidRDefault="001143F2" w:rsidP="00F62B41">
                            <w:pPr>
                              <w:spacing w:before="0"/>
                              <w:rPr>
                                <w:rFonts w:asciiTheme="majorHAnsi" w:hAnsiTheme="majorHAnsi" w:cs="Arial"/>
                                <w:noProof/>
                                <w:sz w:val="16"/>
                                <w:lang w:eastAsia="en-AU"/>
                              </w:rPr>
                            </w:pPr>
                          </w:p>
                          <w:p w14:paraId="47ECE8D1"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The public can find details about proposed changes and get involved throughout the policy development process by submitting feedback. They can also </w:t>
                            </w:r>
                            <w:hyperlink r:id="rId26" w:history="1">
                              <w:r w:rsidRPr="00F62B41">
                                <w:rPr>
                                  <w:rFonts w:asciiTheme="majorHAnsi" w:hAnsiTheme="majorHAnsi" w:cs="Arial"/>
                                  <w:noProof/>
                                  <w:sz w:val="16"/>
                                  <w:lang w:eastAsia="en-AU"/>
                                </w:rPr>
                                <w:t>submit new policy issues</w:t>
                              </w:r>
                            </w:hyperlink>
                            <w:r w:rsidRPr="00F62B41">
                              <w:rPr>
                                <w:rFonts w:asciiTheme="majorHAnsi" w:hAnsiTheme="majorHAnsi" w:cs="Arial"/>
                                <w:noProof/>
                                <w:sz w:val="16"/>
                                <w:lang w:eastAsia="en-AU"/>
                              </w:rPr>
                              <w:t xml:space="preserve"> for consideration.</w:t>
                            </w:r>
                          </w:p>
                          <w:p w14:paraId="66AC739D" w14:textId="77777777" w:rsidR="001143F2" w:rsidRPr="00F62B41" w:rsidRDefault="001143F2" w:rsidP="00F62B41">
                            <w:pPr>
                              <w:spacing w:before="0"/>
                              <w:rPr>
                                <w:rFonts w:asciiTheme="majorHAnsi" w:hAnsiTheme="majorHAnsi" w:cs="Arial"/>
                                <w:noProof/>
                                <w:sz w:val="16"/>
                                <w:lang w:eastAsia="en-AU"/>
                              </w:rPr>
                            </w:pPr>
                          </w:p>
                          <w:p w14:paraId="00DC3823"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The beta version of the register was launched on 11 September 2017 for a six month period. User feedback will be collected and used both to improve the register, and to develop the policy and legislative proposals that it contains.</w:t>
                            </w:r>
                          </w:p>
                          <w:p w14:paraId="1B6251FC" w14:textId="77777777" w:rsidR="001143F2" w:rsidRPr="00F62B41" w:rsidRDefault="001143F2" w:rsidP="00F62B41">
                            <w:pPr>
                              <w:spacing w:before="0"/>
                              <w:rPr>
                                <w:rFonts w:asciiTheme="majorHAnsi" w:hAnsiTheme="majorHAnsi" w:cs="Arial"/>
                                <w:noProof/>
                                <w:sz w:val="16"/>
                                <w:lang w:eastAsia="en-AU"/>
                              </w:rPr>
                            </w:pPr>
                          </w:p>
                          <w:p w14:paraId="25EFFE07"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The Policy Register was developed in response to stakeholder requests for greater transparency and inclusion in the IP policy process. </w:t>
                            </w:r>
                          </w:p>
                          <w:p w14:paraId="02F10A7B" w14:textId="77777777" w:rsidR="001143F2" w:rsidRPr="00F62B41" w:rsidRDefault="001143F2" w:rsidP="00F62B41">
                            <w:pPr>
                              <w:spacing w:before="0"/>
                              <w:rPr>
                                <w:rFonts w:asciiTheme="majorHAnsi" w:hAnsiTheme="majorHAnsi" w:cs="Arial"/>
                                <w:noProof/>
                                <w:sz w:val="16"/>
                                <w:lang w:eastAsia="en-AU"/>
                              </w:rPr>
                            </w:pPr>
                          </w:p>
                          <w:p w14:paraId="742BC7CA"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IP Australia considers issues on the register and follows a robust process to assess, prioritise and progress each issue. Publication of the register allows the public to be actively involved in this process. </w:t>
                            </w:r>
                          </w:p>
                          <w:p w14:paraId="4E9C944C" w14:textId="77777777" w:rsidR="001143F2" w:rsidRPr="00ED297A" w:rsidRDefault="001143F2" w:rsidP="00F62B41">
                            <w:pPr>
                              <w:spacing w:before="0"/>
                              <w:rPr>
                                <w:lang w:val="en"/>
                              </w:rPr>
                            </w:pPr>
                          </w:p>
                          <w:p w14:paraId="67F1FCCD"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Find out more: </w:t>
                            </w:r>
                            <w:hyperlink r:id="rId27" w:history="1">
                              <w:r w:rsidRPr="00F62B41">
                                <w:rPr>
                                  <w:rFonts w:asciiTheme="majorHAnsi" w:hAnsiTheme="majorHAnsi" w:cs="Arial"/>
                                  <w:noProof/>
                                  <w:sz w:val="16"/>
                                  <w:lang w:eastAsia="en-AU"/>
                                </w:rPr>
                                <w:t>https://www.ipaustralia.gov.au/policy-register</w:t>
                              </w:r>
                            </w:hyperlink>
                            <w:r w:rsidRPr="00F62B41">
                              <w:rPr>
                                <w:rFonts w:asciiTheme="majorHAnsi" w:hAnsiTheme="majorHAnsi" w:cs="Arial"/>
                                <w:noProof/>
                                <w:sz w:val="16"/>
                                <w:lang w:eastAsia="en-AU"/>
                              </w:rPr>
                              <w:t>.</w:t>
                            </w:r>
                          </w:p>
                          <w:p w14:paraId="497C3278" w14:textId="77777777" w:rsidR="001143F2" w:rsidRDefault="001143F2" w:rsidP="00F62B41">
                            <w:pPr>
                              <w:kinsoku w:val="0"/>
                              <w:overflowPunct w:val="0"/>
                            </w:pPr>
                          </w:p>
                          <w:p w14:paraId="3CA8F1F2" w14:textId="77777777" w:rsidR="001143F2" w:rsidRPr="008E738B" w:rsidRDefault="001143F2" w:rsidP="00F62B41">
                            <w:pPr>
                              <w:kinsoku w:val="0"/>
                              <w:overflowPunct w:val="0"/>
                              <w:rPr>
                                <w:rFonts w:ascii="Lucida Sans" w:hAnsi="Lucida Sans" w:cs="Lucida Sans"/>
                                <w:color w:val="4D4D4F"/>
                                <w:sz w:val="29"/>
                                <w:szCs w:val="29"/>
                              </w:rPr>
                            </w:pPr>
                          </w:p>
                          <w:p w14:paraId="3856AE47" w14:textId="77777777" w:rsidR="001143F2" w:rsidRDefault="001143F2" w:rsidP="00F62B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61460F" id="_x0000_t202" coordsize="21600,21600" o:spt="202" path="m,l,21600r21600,l21600,xe">
                <v:stroke joinstyle="miter"/>
                <v:path gradientshapeok="t" o:connecttype="rect"/>
              </v:shapetype>
              <v:shape id="_x0000_s1030" type="#_x0000_t202" style="position:absolute;margin-left:0;margin-top:74.7pt;width:218.5pt;height:316.2pt;z-index:251658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" fillcolor="#deebf7"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2220"/>
                      </w:tblGrid>
                      <w:tr w:rsidR="001143F2" w14:paraId="71ECC49A" w14:textId="77777777" w:rsidTr="00F9769F">
                        <w:tc>
                          <w:tcPr>
                            <w:tcW w:w="1838" w:type="dxa"/>
                          </w:tcPr>
                          <w:p w14:paraId="2534ED16" w14:textId="77777777" w:rsidR="001143F2" w:rsidRDefault="001143F2" w:rsidP="00F9769F">
                            <w:pPr>
                              <w:kinsoku w:val="0"/>
                              <w:overflowPunct w:val="0"/>
                              <w:spacing w:before="0"/>
                              <w:jc w:val="center"/>
                            </w:pPr>
                            <w:r>
                              <w:rPr>
                                <w:noProof/>
                                <w:lang w:eastAsia="en-AU"/>
                              </w:rPr>
                              <w:drawing>
                                <wp:inline distT="0" distB="0" distL="0" distR="0" wp14:anchorId="002D1E04" wp14:editId="5DE51F12">
                                  <wp:extent cx="999982" cy="431597"/>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09714" cy="435797"/>
                                          </a:xfrm>
                                          <a:prstGeom prst="rect">
                                            <a:avLst/>
                                          </a:prstGeom>
                                        </pic:spPr>
                                      </pic:pic>
                                    </a:graphicData>
                                  </a:graphic>
                                </wp:inline>
                              </w:drawing>
                            </w:r>
                          </w:p>
                        </w:tc>
                        <w:tc>
                          <w:tcPr>
                            <w:tcW w:w="2220" w:type="dxa"/>
                          </w:tcPr>
                          <w:p w14:paraId="7A783DEE" w14:textId="77777777" w:rsidR="001143F2" w:rsidRPr="00F9769F" w:rsidRDefault="001143F2" w:rsidP="00F9769F">
                            <w:pPr>
                              <w:spacing w:before="0" w:after="80"/>
                              <w:rPr>
                                <w:rFonts w:asciiTheme="majorHAnsi" w:hAnsiTheme="majorHAnsi" w:cs="Arial"/>
                                <w:b/>
                                <w:noProof/>
                                <w:color w:val="44546A" w:themeColor="text2"/>
                                <w:sz w:val="20"/>
                                <w:lang w:eastAsia="en-AU"/>
                              </w:rPr>
                            </w:pPr>
                            <w:r w:rsidRPr="00F62B41">
                              <w:rPr>
                                <w:rFonts w:asciiTheme="majorHAnsi" w:hAnsiTheme="majorHAnsi" w:cs="Arial"/>
                                <w:b/>
                                <w:noProof/>
                                <w:color w:val="44546A" w:themeColor="text2"/>
                                <w:sz w:val="20"/>
                                <w:lang w:eastAsia="en-AU"/>
                              </w:rPr>
                              <w:t xml:space="preserve">Case study: </w:t>
                            </w:r>
                            <w:r w:rsidRPr="008360F5">
                              <w:rPr>
                                <w:rFonts w:asciiTheme="majorHAnsi" w:hAnsiTheme="majorHAnsi" w:cs="Arial"/>
                                <w:b/>
                                <w:i/>
                                <w:noProof/>
                                <w:color w:val="44546A" w:themeColor="text2"/>
                                <w:sz w:val="20"/>
                                <w:lang w:eastAsia="en-AU"/>
                              </w:rPr>
                              <w:t>IP Australia’s Policy Register</w:t>
                            </w:r>
                            <w:r w:rsidRPr="00F62B41">
                              <w:rPr>
                                <w:rFonts w:asciiTheme="majorHAnsi" w:hAnsiTheme="majorHAnsi" w:cs="Arial"/>
                                <w:b/>
                                <w:noProof/>
                                <w:color w:val="44546A" w:themeColor="text2"/>
                                <w:sz w:val="20"/>
                                <w:lang w:eastAsia="en-AU"/>
                              </w:rPr>
                              <w:t xml:space="preserve"> involves the public in prioritising and developing IP policy</w:t>
                            </w:r>
                          </w:p>
                        </w:tc>
                      </w:tr>
                    </w:tbl>
                    <w:p w14:paraId="233F2C93"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IP Australia's Policy Register is a searchable list of IP issues that have been raised for policy action or legislative amendment. It contains over 70 policy issues relating to patents, trade marks, designs and plant breeder’s rights.</w:t>
                      </w:r>
                    </w:p>
                    <w:p w14:paraId="499DDB25" w14:textId="77777777" w:rsidR="001143F2" w:rsidRPr="00F62B41" w:rsidRDefault="001143F2" w:rsidP="00F62B41">
                      <w:pPr>
                        <w:spacing w:before="0"/>
                        <w:rPr>
                          <w:rFonts w:asciiTheme="majorHAnsi" w:hAnsiTheme="majorHAnsi" w:cs="Arial"/>
                          <w:noProof/>
                          <w:sz w:val="16"/>
                          <w:lang w:eastAsia="en-AU"/>
                        </w:rPr>
                      </w:pPr>
                    </w:p>
                    <w:p w14:paraId="47ECE8D1"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The public can find details about proposed changes and get involved throughout the policy development process by submitting feedback. They can also </w:t>
                      </w:r>
                      <w:hyperlink r:id="rId28" w:history="1">
                        <w:r w:rsidRPr="00F62B41">
                          <w:rPr>
                            <w:rFonts w:asciiTheme="majorHAnsi" w:hAnsiTheme="majorHAnsi" w:cs="Arial"/>
                            <w:noProof/>
                            <w:sz w:val="16"/>
                            <w:lang w:eastAsia="en-AU"/>
                          </w:rPr>
                          <w:t>submit new policy issues</w:t>
                        </w:r>
                      </w:hyperlink>
                      <w:r w:rsidRPr="00F62B41">
                        <w:rPr>
                          <w:rFonts w:asciiTheme="majorHAnsi" w:hAnsiTheme="majorHAnsi" w:cs="Arial"/>
                          <w:noProof/>
                          <w:sz w:val="16"/>
                          <w:lang w:eastAsia="en-AU"/>
                        </w:rPr>
                        <w:t xml:space="preserve"> for consideration.</w:t>
                      </w:r>
                    </w:p>
                    <w:p w14:paraId="66AC739D" w14:textId="77777777" w:rsidR="001143F2" w:rsidRPr="00F62B41" w:rsidRDefault="001143F2" w:rsidP="00F62B41">
                      <w:pPr>
                        <w:spacing w:before="0"/>
                        <w:rPr>
                          <w:rFonts w:asciiTheme="majorHAnsi" w:hAnsiTheme="majorHAnsi" w:cs="Arial"/>
                          <w:noProof/>
                          <w:sz w:val="16"/>
                          <w:lang w:eastAsia="en-AU"/>
                        </w:rPr>
                      </w:pPr>
                    </w:p>
                    <w:p w14:paraId="00DC3823"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The beta version of the register was launched on 11 September 2017 for a six month period. User feedback will be collected and used both to improve the register, and to develop the policy and legislative proposals that it contains.</w:t>
                      </w:r>
                    </w:p>
                    <w:p w14:paraId="1B6251FC" w14:textId="77777777" w:rsidR="001143F2" w:rsidRPr="00F62B41" w:rsidRDefault="001143F2" w:rsidP="00F62B41">
                      <w:pPr>
                        <w:spacing w:before="0"/>
                        <w:rPr>
                          <w:rFonts w:asciiTheme="majorHAnsi" w:hAnsiTheme="majorHAnsi" w:cs="Arial"/>
                          <w:noProof/>
                          <w:sz w:val="16"/>
                          <w:lang w:eastAsia="en-AU"/>
                        </w:rPr>
                      </w:pPr>
                    </w:p>
                    <w:p w14:paraId="25EFFE07"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The Policy Register was developed in response to stakeholder requests for greater transparency and inclusion in the IP policy process. </w:t>
                      </w:r>
                    </w:p>
                    <w:p w14:paraId="02F10A7B" w14:textId="77777777" w:rsidR="001143F2" w:rsidRPr="00F62B41" w:rsidRDefault="001143F2" w:rsidP="00F62B41">
                      <w:pPr>
                        <w:spacing w:before="0"/>
                        <w:rPr>
                          <w:rFonts w:asciiTheme="majorHAnsi" w:hAnsiTheme="majorHAnsi" w:cs="Arial"/>
                          <w:noProof/>
                          <w:sz w:val="16"/>
                          <w:lang w:eastAsia="en-AU"/>
                        </w:rPr>
                      </w:pPr>
                    </w:p>
                    <w:p w14:paraId="742BC7CA"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IP Australia considers issues on the register and follows a robust process to assess, prioritise and progress each issue. Publication of the register allows the public to be actively involved in this process. </w:t>
                      </w:r>
                    </w:p>
                    <w:p w14:paraId="4E9C944C" w14:textId="77777777" w:rsidR="001143F2" w:rsidRPr="00ED297A" w:rsidRDefault="001143F2" w:rsidP="00F62B41">
                      <w:pPr>
                        <w:spacing w:before="0"/>
                        <w:rPr>
                          <w:lang w:val="en"/>
                        </w:rPr>
                      </w:pPr>
                    </w:p>
                    <w:p w14:paraId="67F1FCCD" w14:textId="77777777" w:rsidR="001143F2" w:rsidRPr="00F62B41" w:rsidRDefault="001143F2" w:rsidP="00F62B41">
                      <w:pPr>
                        <w:spacing w:before="0"/>
                        <w:rPr>
                          <w:rFonts w:asciiTheme="majorHAnsi" w:hAnsiTheme="majorHAnsi" w:cs="Arial"/>
                          <w:noProof/>
                          <w:sz w:val="16"/>
                          <w:lang w:eastAsia="en-AU"/>
                        </w:rPr>
                      </w:pPr>
                      <w:r w:rsidRPr="00F62B41">
                        <w:rPr>
                          <w:rFonts w:asciiTheme="majorHAnsi" w:hAnsiTheme="majorHAnsi" w:cs="Arial"/>
                          <w:noProof/>
                          <w:sz w:val="16"/>
                          <w:lang w:eastAsia="en-AU"/>
                        </w:rPr>
                        <w:t xml:space="preserve">Find out more: </w:t>
                      </w:r>
                      <w:hyperlink r:id="rId29" w:history="1">
                        <w:r w:rsidRPr="00F62B41">
                          <w:rPr>
                            <w:rFonts w:asciiTheme="majorHAnsi" w:hAnsiTheme="majorHAnsi" w:cs="Arial"/>
                            <w:noProof/>
                            <w:sz w:val="16"/>
                            <w:lang w:eastAsia="en-AU"/>
                          </w:rPr>
                          <w:t>https://www.ipaustralia.gov.au/policy-register</w:t>
                        </w:r>
                      </w:hyperlink>
                      <w:r w:rsidRPr="00F62B41">
                        <w:rPr>
                          <w:rFonts w:asciiTheme="majorHAnsi" w:hAnsiTheme="majorHAnsi" w:cs="Arial"/>
                          <w:noProof/>
                          <w:sz w:val="16"/>
                          <w:lang w:eastAsia="en-AU"/>
                        </w:rPr>
                        <w:t>.</w:t>
                      </w:r>
                    </w:p>
                    <w:p w14:paraId="497C3278" w14:textId="77777777" w:rsidR="001143F2" w:rsidRDefault="001143F2" w:rsidP="00F62B41">
                      <w:pPr>
                        <w:kinsoku w:val="0"/>
                        <w:overflowPunct w:val="0"/>
                      </w:pPr>
                    </w:p>
                    <w:p w14:paraId="3CA8F1F2" w14:textId="77777777" w:rsidR="001143F2" w:rsidRPr="008E738B" w:rsidRDefault="001143F2" w:rsidP="00F62B41">
                      <w:pPr>
                        <w:kinsoku w:val="0"/>
                        <w:overflowPunct w:val="0"/>
                        <w:rPr>
                          <w:rFonts w:ascii="Lucida Sans" w:hAnsi="Lucida Sans" w:cs="Lucida Sans"/>
                          <w:color w:val="4D4D4F"/>
                          <w:sz w:val="29"/>
                          <w:szCs w:val="29"/>
                        </w:rPr>
                      </w:pPr>
                    </w:p>
                    <w:p w14:paraId="3856AE47" w14:textId="77777777" w:rsidR="001143F2" w:rsidRDefault="001143F2" w:rsidP="00F62B41"/>
                  </w:txbxContent>
                </v:textbox>
                <w10:wrap type="square" anchorx="margin"/>
              </v:shape>
            </w:pict>
          </mc:Fallback>
        </mc:AlternateContent>
      </w:r>
      <w:r w:rsidR="00D2594C">
        <w:t>Other</w:t>
      </w:r>
      <w:r w:rsidR="00E46C5D">
        <w:t xml:space="preserve"> experts and</w:t>
      </w:r>
      <w:r w:rsidR="00D2594C">
        <w:t xml:space="preserve"> commentators agree</w:t>
      </w:r>
      <w:r w:rsidR="004C4481">
        <w:t xml:space="preserve"> involving the public more</w:t>
      </w:r>
      <w:r w:rsidR="00D2594C">
        <w:t xml:space="preserve"> can improve buy-in to policy and programmes, in particular by improving trust. </w:t>
      </w:r>
      <w:r w:rsidR="00D2594C" w:rsidRPr="00A55A79">
        <w:t xml:space="preserve">For example, a 2015 workshop of </w:t>
      </w:r>
      <w:r w:rsidR="00D2594C">
        <w:t xml:space="preserve">participation </w:t>
      </w:r>
      <w:r w:rsidR="00D2594C" w:rsidRPr="00A55A79">
        <w:t xml:space="preserve">practitioners and experts </w:t>
      </w:r>
      <w:r w:rsidR="0033317B">
        <w:t xml:space="preserve">had the key insight that </w:t>
      </w:r>
      <w:r w:rsidR="001C5135">
        <w:t>‘</w:t>
      </w:r>
      <w:r w:rsidR="00D2594C" w:rsidRPr="00A55A79">
        <w:t>[Deliberative democracy] has the potential to restore trust in political decision-making.</w:t>
      </w:r>
      <w:r w:rsidR="00D2594C">
        <w:rPr>
          <w:rStyle w:val="FootnoteReference"/>
        </w:rPr>
        <w:footnoteReference w:id="16"/>
      </w:r>
      <w:r w:rsidR="0033317B">
        <w:t xml:space="preserve"> </w:t>
      </w:r>
      <w:r w:rsidR="00D2594C" w:rsidRPr="00A55A79">
        <w:t>At the same workshop, Iain Wal</w:t>
      </w:r>
      <w:r w:rsidR="007B6C21">
        <w:t xml:space="preserve">ker, Executive Director of </w:t>
      </w:r>
      <w:r w:rsidR="008F00F0">
        <w:t xml:space="preserve">public participation not-for-profit </w:t>
      </w:r>
      <w:r w:rsidR="007B6C21">
        <w:t>the N</w:t>
      </w:r>
      <w:r w:rsidR="00D2594C" w:rsidRPr="00A55A79">
        <w:t>ew Democracy Foundation</w:t>
      </w:r>
      <w:r w:rsidR="0033317B">
        <w:t>,</w:t>
      </w:r>
      <w:r w:rsidR="00D2594C" w:rsidRPr="00A55A79">
        <w:t xml:space="preserve"> argued that </w:t>
      </w:r>
      <w:r w:rsidR="00D8142D">
        <w:t>‘</w:t>
      </w:r>
      <w:r w:rsidR="00D2594C" w:rsidRPr="00A55A79">
        <w:t>[p]oliticians now see trust as the number one commodity that will give them scope to act. Deliberative processes build trust. They provide circumstances where an average voter, who doesn’t have the time to read in depth about a policy issue, will see a process that involved ‘people like me’ ma</w:t>
      </w:r>
      <w:r w:rsidR="00D8142D">
        <w:t>king the decision, and trust it’</w:t>
      </w:r>
      <w:r w:rsidR="00D2594C" w:rsidRPr="00A55A79">
        <w:t xml:space="preserve">. </w:t>
      </w:r>
      <w:r w:rsidR="0033317B">
        <w:t xml:space="preserve">These views </w:t>
      </w:r>
      <w:r w:rsidR="001C335E">
        <w:t>corroborate</w:t>
      </w:r>
      <w:r w:rsidR="0033317B">
        <w:t xml:space="preserve"> </w:t>
      </w:r>
      <w:r w:rsidR="00D2594C" w:rsidRPr="00A55A79">
        <w:t xml:space="preserve">OECD behavioural science </w:t>
      </w:r>
      <w:r w:rsidR="0033317B">
        <w:t>studies that show</w:t>
      </w:r>
      <w:r w:rsidR="00D2594C" w:rsidRPr="00A55A79">
        <w:t xml:space="preserve"> that when people feel treated fairly by government their immediate reactions make enforcement of regulations and decisions easier.</w:t>
      </w:r>
      <w:r w:rsidR="0033317B">
        <w:rPr>
          <w:rStyle w:val="FootnoteReference"/>
        </w:rPr>
        <w:footnoteReference w:id="17"/>
      </w:r>
    </w:p>
    <w:p w14:paraId="45E37FB6" w14:textId="77777777" w:rsidR="00896E9A" w:rsidRDefault="00896E9A" w:rsidP="0052682D">
      <w:pPr>
        <w:spacing w:before="0"/>
        <w:rPr>
          <w:rFonts w:ascii="Calibri Light" w:eastAsia="MS Gothic" w:hAnsi="Calibri Light"/>
          <w:bCs/>
          <w:color w:val="3AA2A2"/>
          <w:sz w:val="32"/>
          <w:szCs w:val="26"/>
        </w:rPr>
      </w:pPr>
      <w:bookmarkStart w:id="26" w:name="_Toc492983320"/>
      <w:r>
        <w:br w:type="page"/>
      </w:r>
    </w:p>
    <w:p w14:paraId="43A740C9" w14:textId="77777777" w:rsidR="00232D21" w:rsidRPr="00522BA0" w:rsidRDefault="00522BA0" w:rsidP="0052682D">
      <w:pPr>
        <w:pStyle w:val="H2"/>
        <w:spacing w:before="0" w:after="0"/>
      </w:pPr>
      <w:bookmarkStart w:id="27" w:name="_Toc495915951"/>
      <w:r>
        <w:lastRenderedPageBreak/>
        <w:t>Technology makes involving the public easier than ever</w:t>
      </w:r>
      <w:bookmarkEnd w:id="26"/>
      <w:bookmarkEnd w:id="27"/>
    </w:p>
    <w:p w14:paraId="026D266E" w14:textId="77777777" w:rsidR="00D8142D" w:rsidRPr="007417AB" w:rsidRDefault="00D8142D" w:rsidP="0052682D">
      <w:pPr>
        <w:spacing w:before="0"/>
        <w:rPr>
          <w:rFonts w:asciiTheme="majorHAnsi" w:hAnsiTheme="majorHAnsi"/>
          <w:i/>
          <w:sz w:val="30"/>
        </w:rPr>
      </w:pPr>
      <w:r w:rsidRPr="007417AB">
        <w:rPr>
          <w:rFonts w:asciiTheme="majorHAnsi" w:hAnsiTheme="majorHAnsi"/>
          <w:i/>
          <w:sz w:val="30"/>
        </w:rPr>
        <w:t>One clear barrier to involving the public is the cost and time required to engage broadly</w:t>
      </w:r>
      <w:r w:rsidR="00C0513D" w:rsidRPr="007417AB">
        <w:rPr>
          <w:rFonts w:asciiTheme="majorHAnsi" w:hAnsiTheme="majorHAnsi"/>
          <w:i/>
          <w:sz w:val="30"/>
        </w:rPr>
        <w:t>, b</w:t>
      </w:r>
      <w:r w:rsidRPr="007417AB">
        <w:rPr>
          <w:rFonts w:asciiTheme="majorHAnsi" w:hAnsiTheme="majorHAnsi"/>
          <w:i/>
          <w:sz w:val="30"/>
        </w:rPr>
        <w:t xml:space="preserve">ut new technology </w:t>
      </w:r>
      <w:r w:rsidR="001A6167" w:rsidRPr="007417AB">
        <w:rPr>
          <w:rFonts w:asciiTheme="majorHAnsi" w:hAnsiTheme="majorHAnsi"/>
          <w:i/>
          <w:sz w:val="30"/>
        </w:rPr>
        <w:t>is</w:t>
      </w:r>
      <w:r w:rsidRPr="007417AB">
        <w:rPr>
          <w:rFonts w:asciiTheme="majorHAnsi" w:hAnsiTheme="majorHAnsi"/>
          <w:i/>
          <w:sz w:val="30"/>
        </w:rPr>
        <w:t xml:space="preserve"> reducing the cost</w:t>
      </w:r>
      <w:r w:rsidR="00D7563F" w:rsidRPr="007417AB">
        <w:rPr>
          <w:rFonts w:asciiTheme="majorHAnsi" w:hAnsiTheme="majorHAnsi"/>
          <w:i/>
          <w:sz w:val="30"/>
        </w:rPr>
        <w:t xml:space="preserve">. </w:t>
      </w:r>
      <w:r w:rsidR="00B23FA4" w:rsidRPr="007417AB">
        <w:rPr>
          <w:rFonts w:asciiTheme="majorHAnsi" w:hAnsiTheme="majorHAnsi"/>
          <w:i/>
          <w:sz w:val="30"/>
        </w:rPr>
        <w:t xml:space="preserve">It </w:t>
      </w:r>
      <w:r w:rsidR="00D7563F" w:rsidRPr="007417AB">
        <w:rPr>
          <w:rFonts w:asciiTheme="majorHAnsi" w:hAnsiTheme="majorHAnsi"/>
          <w:i/>
          <w:sz w:val="30"/>
        </w:rPr>
        <w:t>is making it</w:t>
      </w:r>
      <w:r w:rsidRPr="007417AB">
        <w:rPr>
          <w:rFonts w:asciiTheme="majorHAnsi" w:hAnsiTheme="majorHAnsi"/>
          <w:i/>
          <w:sz w:val="30"/>
        </w:rPr>
        <w:t xml:space="preserve"> easier to match the right experts to the right opportunities in the right way, leading to faster and better decision making. </w:t>
      </w:r>
    </w:p>
    <w:p w14:paraId="30680169" w14:textId="77777777" w:rsidR="00D8142D" w:rsidRDefault="00D8142D" w:rsidP="0052682D">
      <w:pPr>
        <w:autoSpaceDE w:val="0"/>
        <w:autoSpaceDN w:val="0"/>
        <w:adjustRightInd w:val="0"/>
        <w:spacing w:before="0"/>
      </w:pPr>
    </w:p>
    <w:p w14:paraId="210ADC82" w14:textId="77777777" w:rsidR="00806C38" w:rsidRDefault="003B0ED8" w:rsidP="0052682D">
      <w:pPr>
        <w:spacing w:before="0"/>
      </w:pPr>
      <w:r>
        <w:rPr>
          <w:noProof/>
          <w:lang w:eastAsia="en-AU"/>
        </w:rPr>
        <mc:AlternateContent>
          <mc:Choice Requires="wps">
            <w:drawing>
              <wp:anchor distT="45720" distB="45720" distL="114300" distR="114300" simplePos="0" relativeHeight="251658252" behindDoc="0" locked="0" layoutInCell="1" allowOverlap="1" wp14:anchorId="0D00DDE3" wp14:editId="754D109A">
                <wp:simplePos x="0" y="0"/>
                <wp:positionH relativeFrom="margin">
                  <wp:align>right</wp:align>
                </wp:positionH>
                <wp:positionV relativeFrom="paragraph">
                  <wp:posOffset>6350</wp:posOffset>
                </wp:positionV>
                <wp:extent cx="2657475" cy="3139440"/>
                <wp:effectExtent l="0" t="0" r="9525" b="381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3140015"/>
                        </a:xfrm>
                        <a:prstGeom prst="rect">
                          <a:avLst/>
                        </a:prstGeom>
                        <a:solidFill>
                          <a:srgbClr val="DEEBF7"/>
                        </a:solidFill>
                        <a:ln w="9525">
                          <a:noFill/>
                          <a:miter lim="800000"/>
                          <a:headEnd/>
                          <a:tailEnd/>
                        </a:ln>
                      </wps:spPr>
                      <wps:txbx>
                        <w:txbxContent>
                          <w:p w14:paraId="77DD8C44" w14:textId="77777777" w:rsidR="001143F2" w:rsidRPr="000F55D0" w:rsidRDefault="001143F2" w:rsidP="000A17C9">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Pr>
                                <w:rFonts w:asciiTheme="majorHAnsi" w:hAnsiTheme="majorHAnsi" w:cs="Arial"/>
                                <w:b/>
                                <w:noProof/>
                                <w:color w:val="44546A" w:themeColor="text2"/>
                                <w:sz w:val="20"/>
                                <w:lang w:eastAsia="en-AU"/>
                              </w:rPr>
                              <w:t xml:space="preserve">ATO </w:t>
                            </w:r>
                            <w:r w:rsidRPr="006A3C9B">
                              <w:rPr>
                                <w:rFonts w:asciiTheme="majorHAnsi" w:hAnsiTheme="majorHAnsi" w:cs="Arial"/>
                                <w:b/>
                                <w:i/>
                                <w:noProof/>
                                <w:color w:val="44546A" w:themeColor="text2"/>
                                <w:sz w:val="20"/>
                                <w:lang w:eastAsia="en-AU"/>
                              </w:rPr>
                              <w:t>Let’s Talk</w:t>
                            </w:r>
                            <w:r w:rsidRPr="000F55D0">
                              <w:rPr>
                                <w:rFonts w:asciiTheme="majorHAnsi" w:hAnsiTheme="majorHAnsi" w:cs="Arial"/>
                                <w:b/>
                                <w:noProof/>
                                <w:color w:val="44546A" w:themeColor="text2"/>
                                <w:sz w:val="20"/>
                                <w:lang w:eastAsia="en-AU"/>
                              </w:rPr>
                              <w:t xml:space="preserve"> – an example of the APS using civic tech for public participation</w:t>
                            </w:r>
                          </w:p>
                          <w:p w14:paraId="095B12E7" w14:textId="77777777" w:rsidR="001143F2" w:rsidRPr="00236D9F" w:rsidRDefault="001143F2" w:rsidP="000A17C9">
                            <w:pPr>
                              <w:spacing w:before="0"/>
                              <w:rPr>
                                <w:rFonts w:ascii="Lucida Bright" w:hAnsi="Lucida Bright" w:cs="Arial"/>
                                <w:b/>
                                <w:noProof/>
                                <w:color w:val="44546A" w:themeColor="text2"/>
                                <w:sz w:val="8"/>
                                <w:lang w:eastAsia="en-AU"/>
                              </w:rPr>
                            </w:pPr>
                          </w:p>
                          <w:p w14:paraId="05F0E7B0" w14:textId="77777777" w:rsidR="001143F2" w:rsidRDefault="001143F2" w:rsidP="000A17C9">
                            <w:pPr>
                              <w:spacing w:before="0"/>
                              <w:jc w:val="center"/>
                            </w:pPr>
                            <w:r>
                              <w:rPr>
                                <w:noProof/>
                                <w:lang w:eastAsia="en-AU"/>
                              </w:rPr>
                              <w:drawing>
                                <wp:inline distT="0" distB="0" distL="0" distR="0" wp14:anchorId="39E5E868" wp14:editId="4411B11A">
                                  <wp:extent cx="2167890" cy="673612"/>
                                  <wp:effectExtent l="0" t="0" r="381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55958"/>
                                          <a:stretch/>
                                        </pic:blipFill>
                                        <pic:spPr bwMode="auto">
                                          <a:xfrm>
                                            <a:off x="0" y="0"/>
                                            <a:ext cx="2180016" cy="677380"/>
                                          </a:xfrm>
                                          <a:prstGeom prst="rect">
                                            <a:avLst/>
                                          </a:prstGeom>
                                          <a:ln>
                                            <a:noFill/>
                                          </a:ln>
                                          <a:extLst>
                                            <a:ext uri="{53640926-AAD7-44D8-BBD7-CCE9431645EC}">
                                              <a14:shadowObscured xmlns:a14="http://schemas.microsoft.com/office/drawing/2010/main"/>
                                            </a:ext>
                                          </a:extLst>
                                        </pic:spPr>
                                      </pic:pic>
                                    </a:graphicData>
                                  </a:graphic>
                                </wp:inline>
                              </w:drawing>
                            </w:r>
                          </w:p>
                          <w:p w14:paraId="05F4EE28" w14:textId="77777777" w:rsidR="001143F2" w:rsidRDefault="001143F2" w:rsidP="000A17C9">
                            <w:pPr>
                              <w:spacing w:before="0"/>
                            </w:pPr>
                          </w:p>
                          <w:p w14:paraId="2061363F"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Let’s </w:t>
                            </w:r>
                            <w:r>
                              <w:rPr>
                                <w:rFonts w:asciiTheme="majorHAnsi" w:hAnsiTheme="majorHAnsi" w:cs="Arial"/>
                                <w:noProof/>
                                <w:sz w:val="16"/>
                                <w:lang w:eastAsia="en-AU"/>
                              </w:rPr>
                              <w:t>T</w:t>
                            </w:r>
                            <w:r w:rsidRPr="000F55D0">
                              <w:rPr>
                                <w:rFonts w:asciiTheme="majorHAnsi" w:hAnsiTheme="majorHAnsi" w:cs="Arial"/>
                                <w:noProof/>
                                <w:sz w:val="16"/>
                                <w:lang w:eastAsia="en-AU"/>
                              </w:rPr>
                              <w:t xml:space="preserve">alk is an initiative of the Australian Tax </w:t>
                            </w:r>
                            <w:r>
                              <w:rPr>
                                <w:rFonts w:asciiTheme="majorHAnsi" w:hAnsiTheme="majorHAnsi" w:cs="Arial"/>
                                <w:noProof/>
                                <w:sz w:val="16"/>
                                <w:lang w:eastAsia="en-AU"/>
                              </w:rPr>
                              <w:t>O</w:t>
                            </w:r>
                            <w:r w:rsidRPr="000F55D0">
                              <w:rPr>
                                <w:rFonts w:asciiTheme="majorHAnsi" w:hAnsiTheme="majorHAnsi" w:cs="Arial"/>
                                <w:noProof/>
                                <w:sz w:val="16"/>
                                <w:lang w:eastAsia="en-AU"/>
                              </w:rPr>
                              <w:t>ffice. It provides a space for citizens to have their say and contribute ideas about the tax system as well as facilitating conversations in communities of interest such as superannuation or not for profit.</w:t>
                            </w:r>
                          </w:p>
                          <w:p w14:paraId="4C6ACDD3" w14:textId="77777777" w:rsidR="001143F2" w:rsidRPr="000F55D0" w:rsidRDefault="001143F2" w:rsidP="000A17C9">
                            <w:pPr>
                              <w:spacing w:before="0"/>
                              <w:rPr>
                                <w:rFonts w:asciiTheme="majorHAnsi" w:hAnsiTheme="majorHAnsi"/>
                                <w:sz w:val="18"/>
                              </w:rPr>
                            </w:pPr>
                          </w:p>
                          <w:p w14:paraId="386707AC"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It includes information sharing and consultation tools including: </w:t>
                            </w:r>
                          </w:p>
                          <w:p w14:paraId="639E1A2A" w14:textId="77777777" w:rsidR="001143F2" w:rsidRPr="000F55D0" w:rsidRDefault="001143F2" w:rsidP="000A17C9">
                            <w:pPr>
                              <w:pStyle w:val="ListParagraph"/>
                              <w:numPr>
                                <w:ilvl w:val="0"/>
                                <w:numId w:val="49"/>
                              </w:numPr>
                              <w:spacing w:before="0"/>
                              <w:rPr>
                                <w:rFonts w:asciiTheme="majorHAnsi" w:hAnsiTheme="majorHAnsi"/>
                                <w:sz w:val="16"/>
                                <w:szCs w:val="16"/>
                              </w:rPr>
                            </w:pPr>
                            <w:r w:rsidRPr="000F55D0">
                              <w:rPr>
                                <w:rFonts w:asciiTheme="majorHAnsi" w:hAnsiTheme="majorHAnsi"/>
                                <w:sz w:val="16"/>
                                <w:szCs w:val="16"/>
                              </w:rPr>
                              <w:t>News (information sharing)</w:t>
                            </w:r>
                          </w:p>
                          <w:p w14:paraId="435E9E71" w14:textId="77777777" w:rsidR="001143F2" w:rsidRPr="000F55D0" w:rsidRDefault="001143F2" w:rsidP="000A17C9">
                            <w:pPr>
                              <w:pStyle w:val="ListParagraph"/>
                              <w:numPr>
                                <w:ilvl w:val="0"/>
                                <w:numId w:val="49"/>
                              </w:numPr>
                              <w:spacing w:before="0"/>
                              <w:rPr>
                                <w:rFonts w:asciiTheme="majorHAnsi" w:hAnsiTheme="majorHAnsi"/>
                                <w:sz w:val="16"/>
                                <w:szCs w:val="16"/>
                              </w:rPr>
                            </w:pPr>
                            <w:r w:rsidRPr="000F55D0">
                              <w:rPr>
                                <w:rFonts w:asciiTheme="majorHAnsi" w:hAnsiTheme="majorHAnsi"/>
                                <w:sz w:val="16"/>
                                <w:szCs w:val="16"/>
                              </w:rPr>
                              <w:t>Discussion forums; and</w:t>
                            </w:r>
                          </w:p>
                          <w:p w14:paraId="1FF11F15" w14:textId="77777777" w:rsidR="001143F2" w:rsidRPr="000A17C9" w:rsidRDefault="001143F2" w:rsidP="000C5A1C">
                            <w:pPr>
                              <w:pStyle w:val="ListParagraph"/>
                              <w:numPr>
                                <w:ilvl w:val="0"/>
                                <w:numId w:val="49"/>
                              </w:numPr>
                              <w:spacing w:before="0"/>
                              <w:rPr>
                                <w:rFonts w:asciiTheme="majorHAnsi" w:hAnsiTheme="majorHAnsi"/>
                                <w:sz w:val="8"/>
                              </w:rPr>
                            </w:pPr>
                            <w:r w:rsidRPr="000A17C9">
                              <w:rPr>
                                <w:rFonts w:asciiTheme="majorHAnsi" w:hAnsiTheme="majorHAnsi"/>
                                <w:sz w:val="16"/>
                                <w:szCs w:val="16"/>
                              </w:rPr>
                              <w:t xml:space="preserve">Surveys and Forms </w:t>
                            </w:r>
                          </w:p>
                          <w:p w14:paraId="00422DCB" w14:textId="77777777" w:rsidR="001143F2" w:rsidRPr="000A17C9" w:rsidRDefault="001143F2" w:rsidP="000C5A1C">
                            <w:pPr>
                              <w:pStyle w:val="ListParagraph"/>
                              <w:numPr>
                                <w:ilvl w:val="0"/>
                                <w:numId w:val="49"/>
                              </w:numPr>
                              <w:spacing w:before="0"/>
                              <w:rPr>
                                <w:rFonts w:asciiTheme="majorHAnsi" w:hAnsiTheme="majorHAnsi"/>
                                <w:sz w:val="8"/>
                              </w:rPr>
                            </w:pPr>
                            <w:r w:rsidRPr="000A17C9">
                              <w:rPr>
                                <w:rFonts w:asciiTheme="majorHAnsi" w:hAnsiTheme="majorHAnsi"/>
                                <w:sz w:val="16"/>
                                <w:szCs w:val="16"/>
                              </w:rPr>
                              <w:t>Ideation</w:t>
                            </w:r>
                          </w:p>
                          <w:p w14:paraId="05E36AF7"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Find out more: </w:t>
                            </w:r>
                            <w:hyperlink r:id="rId31" w:history="1">
                              <w:r w:rsidRPr="00524D10">
                                <w:rPr>
                                  <w:rStyle w:val="Hyperlink"/>
                                  <w:rFonts w:asciiTheme="majorHAnsi" w:hAnsiTheme="majorHAnsi" w:cs="Arial"/>
                                  <w:noProof/>
                                  <w:sz w:val="16"/>
                                  <w:lang w:eastAsia="en-AU"/>
                                </w:rPr>
                                <w:t>https://lets-talk.ato.gov.au</w:t>
                              </w:r>
                            </w:hyperlink>
                          </w:p>
                          <w:p w14:paraId="008B2B46" w14:textId="77777777" w:rsidR="001143F2" w:rsidRPr="000F55D0" w:rsidRDefault="001143F2" w:rsidP="00751B3C">
                            <w:pPr>
                              <w:spacing w:before="0"/>
                              <w:rPr>
                                <w:rFonts w:asciiTheme="majorHAnsi" w:hAnsiTheme="majorHAnsi" w:cs="Arial"/>
                                <w:noProof/>
                                <w:sz w:val="16"/>
                                <w:lang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0DDE3" id="_x0000_s1031" type="#_x0000_t202" style="position:absolute;margin-left:158.05pt;margin-top:.5pt;width:209.25pt;height:247.2pt;z-index:2516582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" fillcolor="#deebf7" stroked="f">
                <v:textbox>
                  <w:txbxContent>
                    <w:p w14:paraId="77DD8C44" w14:textId="77777777" w:rsidR="001143F2" w:rsidRPr="000F55D0" w:rsidRDefault="001143F2" w:rsidP="000A17C9">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Pr>
                          <w:rFonts w:asciiTheme="majorHAnsi" w:hAnsiTheme="majorHAnsi" w:cs="Arial"/>
                          <w:b/>
                          <w:noProof/>
                          <w:color w:val="44546A" w:themeColor="text2"/>
                          <w:sz w:val="20"/>
                          <w:lang w:eastAsia="en-AU"/>
                        </w:rPr>
                        <w:t xml:space="preserve">ATO </w:t>
                      </w:r>
                      <w:r w:rsidRPr="006A3C9B">
                        <w:rPr>
                          <w:rFonts w:asciiTheme="majorHAnsi" w:hAnsiTheme="majorHAnsi" w:cs="Arial"/>
                          <w:b/>
                          <w:i/>
                          <w:noProof/>
                          <w:color w:val="44546A" w:themeColor="text2"/>
                          <w:sz w:val="20"/>
                          <w:lang w:eastAsia="en-AU"/>
                        </w:rPr>
                        <w:t>Let’s Talk</w:t>
                      </w:r>
                      <w:r w:rsidRPr="000F55D0">
                        <w:rPr>
                          <w:rFonts w:asciiTheme="majorHAnsi" w:hAnsiTheme="majorHAnsi" w:cs="Arial"/>
                          <w:b/>
                          <w:noProof/>
                          <w:color w:val="44546A" w:themeColor="text2"/>
                          <w:sz w:val="20"/>
                          <w:lang w:eastAsia="en-AU"/>
                        </w:rPr>
                        <w:t xml:space="preserve"> – an example of the APS using civic tech for public participation</w:t>
                      </w:r>
                    </w:p>
                    <w:p w14:paraId="095B12E7" w14:textId="77777777" w:rsidR="001143F2" w:rsidRPr="00236D9F" w:rsidRDefault="001143F2" w:rsidP="000A17C9">
                      <w:pPr>
                        <w:spacing w:before="0"/>
                        <w:rPr>
                          <w:rFonts w:ascii="Lucida Bright" w:hAnsi="Lucida Bright" w:cs="Arial"/>
                          <w:b/>
                          <w:noProof/>
                          <w:color w:val="44546A" w:themeColor="text2"/>
                          <w:sz w:val="8"/>
                          <w:lang w:eastAsia="en-AU"/>
                        </w:rPr>
                      </w:pPr>
                    </w:p>
                    <w:p w14:paraId="05F0E7B0" w14:textId="77777777" w:rsidR="001143F2" w:rsidRDefault="001143F2" w:rsidP="000A17C9">
                      <w:pPr>
                        <w:spacing w:before="0"/>
                        <w:jc w:val="center"/>
                      </w:pPr>
                      <w:r>
                        <w:rPr>
                          <w:noProof/>
                          <w:lang w:eastAsia="en-AU"/>
                        </w:rPr>
                        <w:drawing>
                          <wp:inline distT="0" distB="0" distL="0" distR="0" wp14:anchorId="39E5E868" wp14:editId="4411B11A">
                            <wp:extent cx="2167890" cy="673612"/>
                            <wp:effectExtent l="0" t="0" r="381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55958"/>
                                    <a:stretch/>
                                  </pic:blipFill>
                                  <pic:spPr bwMode="auto">
                                    <a:xfrm>
                                      <a:off x="0" y="0"/>
                                      <a:ext cx="2180016" cy="677380"/>
                                    </a:xfrm>
                                    <a:prstGeom prst="rect">
                                      <a:avLst/>
                                    </a:prstGeom>
                                    <a:ln>
                                      <a:noFill/>
                                    </a:ln>
                                    <a:extLst>
                                      <a:ext uri="{53640926-AAD7-44D8-BBD7-CCE9431645EC}">
                                        <a14:shadowObscured xmlns:a14="http://schemas.microsoft.com/office/drawing/2010/main"/>
                                      </a:ext>
                                    </a:extLst>
                                  </pic:spPr>
                                </pic:pic>
                              </a:graphicData>
                            </a:graphic>
                          </wp:inline>
                        </w:drawing>
                      </w:r>
                    </w:p>
                    <w:p w14:paraId="05F4EE28" w14:textId="77777777" w:rsidR="001143F2" w:rsidRDefault="001143F2" w:rsidP="000A17C9">
                      <w:pPr>
                        <w:spacing w:before="0"/>
                      </w:pPr>
                    </w:p>
                    <w:p w14:paraId="2061363F"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Let’s </w:t>
                      </w:r>
                      <w:r>
                        <w:rPr>
                          <w:rFonts w:asciiTheme="majorHAnsi" w:hAnsiTheme="majorHAnsi" w:cs="Arial"/>
                          <w:noProof/>
                          <w:sz w:val="16"/>
                          <w:lang w:eastAsia="en-AU"/>
                        </w:rPr>
                        <w:t>T</w:t>
                      </w:r>
                      <w:r w:rsidRPr="000F55D0">
                        <w:rPr>
                          <w:rFonts w:asciiTheme="majorHAnsi" w:hAnsiTheme="majorHAnsi" w:cs="Arial"/>
                          <w:noProof/>
                          <w:sz w:val="16"/>
                          <w:lang w:eastAsia="en-AU"/>
                        </w:rPr>
                        <w:t xml:space="preserve">alk is an initiative of the Australian Tax </w:t>
                      </w:r>
                      <w:r>
                        <w:rPr>
                          <w:rFonts w:asciiTheme="majorHAnsi" w:hAnsiTheme="majorHAnsi" w:cs="Arial"/>
                          <w:noProof/>
                          <w:sz w:val="16"/>
                          <w:lang w:eastAsia="en-AU"/>
                        </w:rPr>
                        <w:t>O</w:t>
                      </w:r>
                      <w:r w:rsidRPr="000F55D0">
                        <w:rPr>
                          <w:rFonts w:asciiTheme="majorHAnsi" w:hAnsiTheme="majorHAnsi" w:cs="Arial"/>
                          <w:noProof/>
                          <w:sz w:val="16"/>
                          <w:lang w:eastAsia="en-AU"/>
                        </w:rPr>
                        <w:t>ffice. It provides a space for citizens to have their say and contribute ideas about the tax system as well as facilitating conversations in communities of interest such as superannuation or not for profit.</w:t>
                      </w:r>
                    </w:p>
                    <w:p w14:paraId="4C6ACDD3" w14:textId="77777777" w:rsidR="001143F2" w:rsidRPr="000F55D0" w:rsidRDefault="001143F2" w:rsidP="000A17C9">
                      <w:pPr>
                        <w:spacing w:before="0"/>
                        <w:rPr>
                          <w:rFonts w:asciiTheme="majorHAnsi" w:hAnsiTheme="majorHAnsi"/>
                          <w:sz w:val="18"/>
                        </w:rPr>
                      </w:pPr>
                    </w:p>
                    <w:p w14:paraId="386707AC"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It includes information sharing and consultation tools including: </w:t>
                      </w:r>
                    </w:p>
                    <w:p w14:paraId="639E1A2A" w14:textId="77777777" w:rsidR="001143F2" w:rsidRPr="000F55D0" w:rsidRDefault="001143F2" w:rsidP="000A17C9">
                      <w:pPr>
                        <w:pStyle w:val="ListParagraph"/>
                        <w:numPr>
                          <w:ilvl w:val="0"/>
                          <w:numId w:val="49"/>
                        </w:numPr>
                        <w:spacing w:before="0"/>
                        <w:rPr>
                          <w:rFonts w:asciiTheme="majorHAnsi" w:hAnsiTheme="majorHAnsi"/>
                          <w:sz w:val="16"/>
                          <w:szCs w:val="16"/>
                        </w:rPr>
                      </w:pPr>
                      <w:r w:rsidRPr="000F55D0">
                        <w:rPr>
                          <w:rFonts w:asciiTheme="majorHAnsi" w:hAnsiTheme="majorHAnsi"/>
                          <w:sz w:val="16"/>
                          <w:szCs w:val="16"/>
                        </w:rPr>
                        <w:t>News (information sharing)</w:t>
                      </w:r>
                    </w:p>
                    <w:p w14:paraId="435E9E71" w14:textId="77777777" w:rsidR="001143F2" w:rsidRPr="000F55D0" w:rsidRDefault="001143F2" w:rsidP="000A17C9">
                      <w:pPr>
                        <w:pStyle w:val="ListParagraph"/>
                        <w:numPr>
                          <w:ilvl w:val="0"/>
                          <w:numId w:val="49"/>
                        </w:numPr>
                        <w:spacing w:before="0"/>
                        <w:rPr>
                          <w:rFonts w:asciiTheme="majorHAnsi" w:hAnsiTheme="majorHAnsi"/>
                          <w:sz w:val="16"/>
                          <w:szCs w:val="16"/>
                        </w:rPr>
                      </w:pPr>
                      <w:r w:rsidRPr="000F55D0">
                        <w:rPr>
                          <w:rFonts w:asciiTheme="majorHAnsi" w:hAnsiTheme="majorHAnsi"/>
                          <w:sz w:val="16"/>
                          <w:szCs w:val="16"/>
                        </w:rPr>
                        <w:t>Discussion forums; and</w:t>
                      </w:r>
                    </w:p>
                    <w:p w14:paraId="1FF11F15" w14:textId="77777777" w:rsidR="001143F2" w:rsidRPr="000A17C9" w:rsidRDefault="001143F2" w:rsidP="000C5A1C">
                      <w:pPr>
                        <w:pStyle w:val="ListParagraph"/>
                        <w:numPr>
                          <w:ilvl w:val="0"/>
                          <w:numId w:val="49"/>
                        </w:numPr>
                        <w:spacing w:before="0"/>
                        <w:rPr>
                          <w:rFonts w:asciiTheme="majorHAnsi" w:hAnsiTheme="majorHAnsi"/>
                          <w:sz w:val="8"/>
                        </w:rPr>
                      </w:pPr>
                      <w:r w:rsidRPr="000A17C9">
                        <w:rPr>
                          <w:rFonts w:asciiTheme="majorHAnsi" w:hAnsiTheme="majorHAnsi"/>
                          <w:sz w:val="16"/>
                          <w:szCs w:val="16"/>
                        </w:rPr>
                        <w:t xml:space="preserve">Surveys and Forms </w:t>
                      </w:r>
                    </w:p>
                    <w:p w14:paraId="00422DCB" w14:textId="77777777" w:rsidR="001143F2" w:rsidRPr="000A17C9" w:rsidRDefault="001143F2" w:rsidP="000C5A1C">
                      <w:pPr>
                        <w:pStyle w:val="ListParagraph"/>
                        <w:numPr>
                          <w:ilvl w:val="0"/>
                          <w:numId w:val="49"/>
                        </w:numPr>
                        <w:spacing w:before="0"/>
                        <w:rPr>
                          <w:rFonts w:asciiTheme="majorHAnsi" w:hAnsiTheme="majorHAnsi"/>
                          <w:sz w:val="8"/>
                        </w:rPr>
                      </w:pPr>
                      <w:r w:rsidRPr="000A17C9">
                        <w:rPr>
                          <w:rFonts w:asciiTheme="majorHAnsi" w:hAnsiTheme="majorHAnsi"/>
                          <w:sz w:val="16"/>
                          <w:szCs w:val="16"/>
                        </w:rPr>
                        <w:t>Ideation</w:t>
                      </w:r>
                    </w:p>
                    <w:p w14:paraId="05E36AF7" w14:textId="77777777" w:rsidR="001143F2" w:rsidRPr="000F55D0" w:rsidRDefault="001143F2" w:rsidP="000A17C9">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Find out more: </w:t>
                      </w:r>
                      <w:hyperlink r:id="rId33" w:history="1">
                        <w:r w:rsidRPr="00524D10">
                          <w:rPr>
                            <w:rStyle w:val="Hyperlink"/>
                            <w:rFonts w:asciiTheme="majorHAnsi" w:hAnsiTheme="majorHAnsi" w:cs="Arial"/>
                            <w:noProof/>
                            <w:sz w:val="16"/>
                            <w:lang w:eastAsia="en-AU"/>
                          </w:rPr>
                          <w:t>https://lets-talk.ato.gov.au</w:t>
                        </w:r>
                      </w:hyperlink>
                    </w:p>
                    <w:p w14:paraId="008B2B46" w14:textId="77777777" w:rsidR="001143F2" w:rsidRPr="000F55D0" w:rsidRDefault="001143F2" w:rsidP="00751B3C">
                      <w:pPr>
                        <w:spacing w:before="0"/>
                        <w:rPr>
                          <w:rFonts w:asciiTheme="majorHAnsi" w:hAnsiTheme="majorHAnsi" w:cs="Arial"/>
                          <w:noProof/>
                          <w:sz w:val="16"/>
                          <w:lang w:eastAsia="en-AU"/>
                        </w:rPr>
                      </w:pPr>
                    </w:p>
                  </w:txbxContent>
                </v:textbox>
                <w10:wrap type="square" anchorx="margin"/>
              </v:shape>
            </w:pict>
          </mc:Fallback>
        </mc:AlternateContent>
      </w:r>
      <w:r w:rsidR="00232D21">
        <w:t>Indeed, s</w:t>
      </w:r>
      <w:r w:rsidR="00D8142D">
        <w:t xml:space="preserve">ome commentators </w:t>
      </w:r>
      <w:r w:rsidR="00D2594C" w:rsidRPr="002D24ED">
        <w:t xml:space="preserve">cite revolutions in ICT technologies as an opportunity </w:t>
      </w:r>
      <w:r w:rsidR="00D8142D">
        <w:t xml:space="preserve">for engagement </w:t>
      </w:r>
      <w:r w:rsidR="00D2594C" w:rsidRPr="002D24ED">
        <w:t xml:space="preserve">that governments simply shouldn’t miss. For instance, </w:t>
      </w:r>
      <w:r w:rsidR="00D8142D">
        <w:t xml:space="preserve">Beth Noveck contends that new tools—what she calls technologies of expertise—are making it possible to match the supply of citizen expertise to the demand for it in government. UK Think Tank </w:t>
      </w:r>
      <w:r w:rsidR="00D2594C" w:rsidRPr="002D24ED">
        <w:t>Nesta</w:t>
      </w:r>
      <w:r w:rsidR="00D8142D">
        <w:t xml:space="preserve"> holds a similar view. It</w:t>
      </w:r>
      <w:r w:rsidR="00D2594C" w:rsidRPr="002D24ED">
        <w:t xml:space="preserve">s recent ‘Digital Democracy: The tools transforming political engagement’ report argues that </w:t>
      </w:r>
      <w:r w:rsidR="001C5135">
        <w:t>‘</w:t>
      </w:r>
      <w:r w:rsidR="00D2594C" w:rsidRPr="002D24ED">
        <w:t>[a]</w:t>
      </w:r>
      <w:r w:rsidR="00DB4CCB" w:rsidRPr="002D24ED">
        <w:t xml:space="preserve">lmost every other sphere of life </w:t>
      </w:r>
      <w:r w:rsidR="007C5BDD" w:rsidRPr="002D24ED">
        <w:t>[besides government]</w:t>
      </w:r>
      <w:r w:rsidR="00DB4CCB" w:rsidRPr="002D24ED">
        <w:t xml:space="preserve"> finance, tourism, shopping, work and our social relationships - has been dramatically transformed by the rise of new information and communication tools, particularly social media or by the opportunities opened through increased access to and use of data, or novel approaches to solving problems, such as via crowdsourcing or the rise of the sharing economy.</w:t>
      </w:r>
      <w:r w:rsidR="001C5135">
        <w:t>’</w:t>
      </w:r>
      <w:r w:rsidR="00DB4CCB" w:rsidRPr="002D24ED">
        <w:rPr>
          <w:vertAlign w:val="superscript"/>
        </w:rPr>
        <w:footnoteReference w:id="18"/>
      </w:r>
      <w:r w:rsidR="00C53E84">
        <w:rPr>
          <w:vertAlign w:val="superscript"/>
        </w:rPr>
        <w:t xml:space="preserve"> </w:t>
      </w:r>
    </w:p>
    <w:p w14:paraId="38BA3D05" w14:textId="77777777" w:rsidR="00D8142D" w:rsidRDefault="00D8142D" w:rsidP="0052682D">
      <w:pPr>
        <w:spacing w:before="0"/>
      </w:pPr>
    </w:p>
    <w:p w14:paraId="5BC3C1D4" w14:textId="77777777" w:rsidR="00567367" w:rsidRDefault="00DA1DB4" w:rsidP="0052682D">
      <w:pPr>
        <w:spacing w:before="0"/>
      </w:pPr>
      <w:r>
        <w:t>So-called</w:t>
      </w:r>
      <w:r w:rsidR="00D8142D">
        <w:t xml:space="preserve"> ‘Civic tech’ </w:t>
      </w:r>
      <w:r>
        <w:softHyphen/>
        <w:t xml:space="preserve">– technologies </w:t>
      </w:r>
      <w:r w:rsidR="007E4621">
        <w:t>that help the public get involved in public affairs</w:t>
      </w:r>
      <w:r>
        <w:t xml:space="preserve"> – are becoming more widespread</w:t>
      </w:r>
      <w:r w:rsidR="007E4621">
        <w:t>. Civic tech</w:t>
      </w:r>
      <w:r w:rsidR="00667C54">
        <w:t xml:space="preserve"> is typically used by non-</w:t>
      </w:r>
      <w:r w:rsidR="00144B49">
        <w:t>government organisations</w:t>
      </w:r>
      <w:r w:rsidR="00814BE4">
        <w:t>, but public services use it too</w:t>
      </w:r>
      <w:r w:rsidR="00144B49">
        <w:t>. It includes</w:t>
      </w:r>
      <w:r w:rsidR="00D8142D">
        <w:t xml:space="preserve"> electronic petitions or </w:t>
      </w:r>
      <w:r w:rsidR="007E4621">
        <w:t>online ‘</w:t>
      </w:r>
      <w:r w:rsidR="00D8142D">
        <w:t>suggestion boxes</w:t>
      </w:r>
      <w:r w:rsidR="007E4621">
        <w:t>’</w:t>
      </w:r>
      <w:r w:rsidR="00D8142D">
        <w:t xml:space="preserve"> such as We</w:t>
      </w:r>
      <w:r w:rsidR="00E12D92">
        <w:t xml:space="preserve"> </w:t>
      </w:r>
      <w:r w:rsidR="00D8142D">
        <w:t>the</w:t>
      </w:r>
      <w:r w:rsidR="00E12D92">
        <w:t xml:space="preserve"> </w:t>
      </w:r>
      <w:r w:rsidR="00D8142D">
        <w:t>People</w:t>
      </w:r>
      <w:r w:rsidR="00667C54">
        <w:rPr>
          <w:rStyle w:val="FootnoteReference"/>
        </w:rPr>
        <w:footnoteReference w:id="19"/>
      </w:r>
      <w:r w:rsidR="00D8142D">
        <w:t xml:space="preserve"> in the United States and ePetition</w:t>
      </w:r>
      <w:r w:rsidR="00E12D92">
        <w:t>s</w:t>
      </w:r>
      <w:r w:rsidR="00814BE4">
        <w:rPr>
          <w:rStyle w:val="FootnoteReference"/>
        </w:rPr>
        <w:footnoteReference w:id="20"/>
      </w:r>
      <w:r w:rsidR="00D8142D">
        <w:t xml:space="preserve"> in the UK</w:t>
      </w:r>
      <w:r w:rsidR="00144B49">
        <w:t>.</w:t>
      </w:r>
      <w:r w:rsidR="00814BE4">
        <w:t xml:space="preserve"> </w:t>
      </w:r>
      <w:r w:rsidR="00567367">
        <w:t>The APS is already using technology similar to civic tech. Good examples in the APS include the ATO’s LetsTalk. The Department of Social Services has Engage, a digital platform that allows for issues to be presented to the public and feedback sought digitally.</w:t>
      </w:r>
      <w:r w:rsidR="00567367">
        <w:rPr>
          <w:rStyle w:val="FootnoteReference"/>
        </w:rPr>
        <w:footnoteReference w:id="21"/>
      </w:r>
      <w:r w:rsidR="00567367">
        <w:t xml:space="preserve"> </w:t>
      </w:r>
      <w:r w:rsidR="00567367">
        <w:lastRenderedPageBreak/>
        <w:t>The Digital Transformation Agency has developed a digital marketplace that brings government together with digital specialists.</w:t>
      </w:r>
      <w:r w:rsidR="00567367">
        <w:rPr>
          <w:rStyle w:val="FootnoteReference"/>
        </w:rPr>
        <w:footnoteReference w:id="22"/>
      </w:r>
      <w:r w:rsidR="00567367">
        <w:t xml:space="preserve"> Importantly the marketplace is being utilised by the Smart Cities initiative to allow councils building smart communities and digital services to connect and learn from each other. </w:t>
      </w:r>
    </w:p>
    <w:p w14:paraId="7FEFDA1F" w14:textId="77777777" w:rsidR="001A20BC" w:rsidRDefault="001A20BC" w:rsidP="0052682D">
      <w:pPr>
        <w:spacing w:before="0"/>
      </w:pPr>
    </w:p>
    <w:p w14:paraId="2F8FDDFC" w14:textId="77777777" w:rsidR="00D8142D" w:rsidRDefault="007371F4" w:rsidP="0052682D">
      <w:pPr>
        <w:spacing w:before="0"/>
      </w:pPr>
      <w:r>
        <w:rPr>
          <w:noProof/>
          <w:lang w:eastAsia="en-AU"/>
        </w:rPr>
        <mc:AlternateContent>
          <mc:Choice Requires="wps">
            <w:drawing>
              <wp:anchor distT="45720" distB="45720" distL="114300" distR="114300" simplePos="0" relativeHeight="251658253" behindDoc="0" locked="0" layoutInCell="1" allowOverlap="1" wp14:anchorId="2882CB30" wp14:editId="3CB9C6AE">
                <wp:simplePos x="0" y="0"/>
                <wp:positionH relativeFrom="margin">
                  <wp:posOffset>2734945</wp:posOffset>
                </wp:positionH>
                <wp:positionV relativeFrom="paragraph">
                  <wp:posOffset>30480</wp:posOffset>
                </wp:positionV>
                <wp:extent cx="3002280" cy="3872230"/>
                <wp:effectExtent l="0" t="0" r="762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3872230"/>
                        </a:xfrm>
                        <a:prstGeom prst="rect">
                          <a:avLst/>
                        </a:prstGeom>
                        <a:solidFill>
                          <a:srgbClr val="DEEBF7"/>
                        </a:solidFill>
                        <a:ln w="9525">
                          <a:noFill/>
                          <a:miter lim="800000"/>
                          <a:headEnd/>
                          <a:tailEnd/>
                        </a:ln>
                      </wps:spPr>
                      <wps:txbx>
                        <w:txbxContent>
                          <w:p w14:paraId="26EA0605"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sidRPr="006A3C9B">
                              <w:rPr>
                                <w:rFonts w:asciiTheme="majorHAnsi" w:hAnsiTheme="majorHAnsi" w:cs="Arial"/>
                                <w:b/>
                                <w:i/>
                                <w:noProof/>
                                <w:color w:val="44546A" w:themeColor="text2"/>
                                <w:sz w:val="20"/>
                                <w:lang w:eastAsia="en-AU"/>
                              </w:rPr>
                              <w:t>We the People</w:t>
                            </w:r>
                            <w:r w:rsidRPr="000F55D0">
                              <w:rPr>
                                <w:rFonts w:asciiTheme="majorHAnsi" w:hAnsiTheme="majorHAnsi" w:cs="Arial"/>
                                <w:b/>
                                <w:noProof/>
                                <w:color w:val="44546A" w:themeColor="text2"/>
                                <w:sz w:val="20"/>
                                <w:lang w:eastAsia="en-AU"/>
                              </w:rPr>
                              <w:t xml:space="preserve"> – an example of a civic tech E-petition website that uses technology to seek and gauge the public’s opinion</w:t>
                            </w:r>
                          </w:p>
                          <w:p w14:paraId="7AF5BEA9" w14:textId="77777777" w:rsidR="001143F2" w:rsidRPr="00280E78" w:rsidRDefault="001143F2" w:rsidP="00280E78">
                            <w:pPr>
                              <w:spacing w:before="0"/>
                              <w:rPr>
                                <w:rFonts w:ascii="Lucida Bright" w:hAnsi="Lucida Bright" w:cs="Arial"/>
                                <w:b/>
                                <w:noProof/>
                                <w:color w:val="44546A" w:themeColor="text2"/>
                                <w:sz w:val="20"/>
                                <w:lang w:eastAsia="en-AU"/>
                              </w:rPr>
                            </w:pPr>
                            <w:r w:rsidRPr="00280E78">
                              <w:rPr>
                                <w:rFonts w:ascii="Lucida Bright" w:hAnsi="Lucida Bright" w:cs="Arial"/>
                                <w:b/>
                                <w:noProof/>
                                <w:color w:val="44546A" w:themeColor="text2"/>
                                <w:sz w:val="20"/>
                                <w:lang w:eastAsia="en-AU"/>
                              </w:rPr>
                              <w:drawing>
                                <wp:inline distT="0" distB="0" distL="0" distR="0" wp14:anchorId="75C40BAF" wp14:editId="7D011F39">
                                  <wp:extent cx="2810510" cy="1316032"/>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10510" cy="1316032"/>
                                          </a:xfrm>
                                          <a:prstGeom prst="rect">
                                            <a:avLst/>
                                          </a:prstGeom>
                                        </pic:spPr>
                                      </pic:pic>
                                    </a:graphicData>
                                  </a:graphic>
                                </wp:inline>
                              </w:drawing>
                            </w:r>
                          </w:p>
                          <w:p w14:paraId="40A05939" w14:textId="77777777" w:rsidR="001143F2" w:rsidRPr="000F55D0" w:rsidRDefault="001143F2" w:rsidP="007371F4">
                            <w:pPr>
                              <w:spacing w:before="0"/>
                              <w:rPr>
                                <w:rFonts w:asciiTheme="majorHAnsi" w:hAnsiTheme="majorHAnsi"/>
                              </w:rPr>
                            </w:pPr>
                          </w:p>
                          <w:p w14:paraId="628BB50C"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We the People allows people to Create petitions about issues that matter to them. Users can gather signatures by forwarding their petition to others. </w:t>
                            </w:r>
                          </w:p>
                          <w:p w14:paraId="24AD894B" w14:textId="77777777" w:rsidR="001143F2" w:rsidRPr="000F55D0" w:rsidRDefault="001143F2" w:rsidP="007371F4">
                            <w:pPr>
                              <w:spacing w:before="0"/>
                              <w:rPr>
                                <w:rFonts w:asciiTheme="majorHAnsi" w:hAnsiTheme="majorHAnsi" w:cs="Arial"/>
                                <w:noProof/>
                                <w:sz w:val="16"/>
                                <w:lang w:eastAsia="en-AU"/>
                              </w:rPr>
                            </w:pPr>
                          </w:p>
                          <w:p w14:paraId="3078C65B"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Once the petition gets 150 signatures, the petition becomes publicly searchable on the website. If it reaches 100,000 signatures in 30 days, the White House will ‘review the petition, make sure it gets in front of the appropriate policy experts, and issue an official response’.</w:t>
                            </w:r>
                          </w:p>
                          <w:p w14:paraId="245E6F2C" w14:textId="77777777" w:rsidR="001143F2" w:rsidRPr="000F55D0" w:rsidRDefault="001143F2" w:rsidP="007371F4">
                            <w:pPr>
                              <w:spacing w:before="0"/>
                              <w:rPr>
                                <w:rFonts w:asciiTheme="majorHAnsi" w:hAnsiTheme="majorHAnsi"/>
                                <w:sz w:val="12"/>
                              </w:rPr>
                            </w:pPr>
                            <w:r w:rsidRPr="000F55D0">
                              <w:rPr>
                                <w:rFonts w:asciiTheme="majorHAnsi" w:hAnsiTheme="majorHAnsi"/>
                                <w:sz w:val="12"/>
                              </w:rPr>
                              <w:t xml:space="preserve"> </w:t>
                            </w:r>
                          </w:p>
                          <w:p w14:paraId="55DBA3DB"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Find out more: https://petitions.whitehouse.gov/about#step-by-step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2CB30" id="_x0000_s1032" type="#_x0000_t202" style="position:absolute;margin-left:215.35pt;margin-top:2.4pt;width:236.4pt;height:304.9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" fillcolor="#deebf7" stroked="f">
                <v:textbox>
                  <w:txbxContent>
                    <w:p w14:paraId="26EA0605"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sidRPr="006A3C9B">
                        <w:rPr>
                          <w:rFonts w:asciiTheme="majorHAnsi" w:hAnsiTheme="majorHAnsi" w:cs="Arial"/>
                          <w:b/>
                          <w:i/>
                          <w:noProof/>
                          <w:color w:val="44546A" w:themeColor="text2"/>
                          <w:sz w:val="20"/>
                          <w:lang w:eastAsia="en-AU"/>
                        </w:rPr>
                        <w:t>We the People</w:t>
                      </w:r>
                      <w:r w:rsidRPr="000F55D0">
                        <w:rPr>
                          <w:rFonts w:asciiTheme="majorHAnsi" w:hAnsiTheme="majorHAnsi" w:cs="Arial"/>
                          <w:b/>
                          <w:noProof/>
                          <w:color w:val="44546A" w:themeColor="text2"/>
                          <w:sz w:val="20"/>
                          <w:lang w:eastAsia="en-AU"/>
                        </w:rPr>
                        <w:t xml:space="preserve"> – an example of a civic tech E-petition website that uses technology to seek and gauge the public’s opinion</w:t>
                      </w:r>
                    </w:p>
                    <w:p w14:paraId="7AF5BEA9" w14:textId="77777777" w:rsidR="001143F2" w:rsidRPr="00280E78" w:rsidRDefault="001143F2" w:rsidP="00280E78">
                      <w:pPr>
                        <w:spacing w:before="0"/>
                        <w:rPr>
                          <w:rFonts w:ascii="Lucida Bright" w:hAnsi="Lucida Bright" w:cs="Arial"/>
                          <w:b/>
                          <w:noProof/>
                          <w:color w:val="44546A" w:themeColor="text2"/>
                          <w:sz w:val="20"/>
                          <w:lang w:eastAsia="en-AU"/>
                        </w:rPr>
                      </w:pPr>
                      <w:r w:rsidRPr="00280E78">
                        <w:rPr>
                          <w:rFonts w:ascii="Lucida Bright" w:hAnsi="Lucida Bright" w:cs="Arial"/>
                          <w:b/>
                          <w:noProof/>
                          <w:color w:val="44546A" w:themeColor="text2"/>
                          <w:sz w:val="20"/>
                          <w:lang w:eastAsia="en-AU"/>
                        </w:rPr>
                        <w:drawing>
                          <wp:inline distT="0" distB="0" distL="0" distR="0" wp14:anchorId="75C40BAF" wp14:editId="7D011F39">
                            <wp:extent cx="2810510" cy="1316032"/>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10510" cy="1316032"/>
                                    </a:xfrm>
                                    <a:prstGeom prst="rect">
                                      <a:avLst/>
                                    </a:prstGeom>
                                  </pic:spPr>
                                </pic:pic>
                              </a:graphicData>
                            </a:graphic>
                          </wp:inline>
                        </w:drawing>
                      </w:r>
                    </w:p>
                    <w:p w14:paraId="40A05939" w14:textId="77777777" w:rsidR="001143F2" w:rsidRPr="000F55D0" w:rsidRDefault="001143F2" w:rsidP="007371F4">
                      <w:pPr>
                        <w:spacing w:before="0"/>
                        <w:rPr>
                          <w:rFonts w:asciiTheme="majorHAnsi" w:hAnsiTheme="majorHAnsi"/>
                        </w:rPr>
                      </w:pPr>
                    </w:p>
                    <w:p w14:paraId="628BB50C"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We the People allows people to Create petitions about issues that matter to them. Users can gather signatures by forwarding their petition to others. </w:t>
                      </w:r>
                    </w:p>
                    <w:p w14:paraId="24AD894B" w14:textId="77777777" w:rsidR="001143F2" w:rsidRPr="000F55D0" w:rsidRDefault="001143F2" w:rsidP="007371F4">
                      <w:pPr>
                        <w:spacing w:before="0"/>
                        <w:rPr>
                          <w:rFonts w:asciiTheme="majorHAnsi" w:hAnsiTheme="majorHAnsi" w:cs="Arial"/>
                          <w:noProof/>
                          <w:sz w:val="16"/>
                          <w:lang w:eastAsia="en-AU"/>
                        </w:rPr>
                      </w:pPr>
                    </w:p>
                    <w:p w14:paraId="3078C65B"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Once the petition gets 150 signatures, the petition becomes publicly searchable on the website. If it reaches 100,000 signatures in 30 days, the White House will ‘review the petition, make sure it gets in front of the appropriate policy experts, and issue an official response’.</w:t>
                      </w:r>
                    </w:p>
                    <w:p w14:paraId="245E6F2C" w14:textId="77777777" w:rsidR="001143F2" w:rsidRPr="000F55D0" w:rsidRDefault="001143F2" w:rsidP="007371F4">
                      <w:pPr>
                        <w:spacing w:before="0"/>
                        <w:rPr>
                          <w:rFonts w:asciiTheme="majorHAnsi" w:hAnsiTheme="majorHAnsi"/>
                          <w:sz w:val="12"/>
                        </w:rPr>
                      </w:pPr>
                      <w:r w:rsidRPr="000F55D0">
                        <w:rPr>
                          <w:rFonts w:asciiTheme="majorHAnsi" w:hAnsiTheme="majorHAnsi"/>
                          <w:sz w:val="12"/>
                        </w:rPr>
                        <w:t xml:space="preserve"> </w:t>
                      </w:r>
                    </w:p>
                    <w:p w14:paraId="55DBA3DB" w14:textId="77777777" w:rsidR="001143F2" w:rsidRPr="000F55D0" w:rsidRDefault="001143F2" w:rsidP="007371F4">
                      <w:pPr>
                        <w:spacing w:before="0"/>
                        <w:rPr>
                          <w:rFonts w:asciiTheme="majorHAnsi" w:hAnsiTheme="majorHAnsi" w:cs="Arial"/>
                          <w:noProof/>
                          <w:sz w:val="16"/>
                          <w:lang w:eastAsia="en-AU"/>
                        </w:rPr>
                      </w:pPr>
                      <w:r w:rsidRPr="000F55D0">
                        <w:rPr>
                          <w:rFonts w:asciiTheme="majorHAnsi" w:hAnsiTheme="majorHAnsi" w:cs="Arial"/>
                          <w:noProof/>
                          <w:sz w:val="16"/>
                          <w:lang w:eastAsia="en-AU"/>
                        </w:rPr>
                        <w:t>Find out more: https://petitions.whitehouse.gov/about#step-by-step</w:t>
                      </w:r>
                    </w:p>
                  </w:txbxContent>
                </v:textbox>
                <w10:wrap type="square" anchorx="margin"/>
              </v:shape>
            </w:pict>
          </mc:Fallback>
        </mc:AlternateContent>
      </w:r>
      <w:r w:rsidR="001A20BC">
        <w:t xml:space="preserve">Civic tech is not without drawbacks – in particular, while Civic tech offers useful opportunities for the public to have their say, often </w:t>
      </w:r>
      <w:r w:rsidR="00256FBE">
        <w:t>it does not</w:t>
      </w:r>
      <w:r w:rsidR="001A20BC">
        <w:t xml:space="preserve"> tap the public’s expertise</w:t>
      </w:r>
      <w:r w:rsidR="00D8142D">
        <w:t xml:space="preserve">. Beth Noveck </w:t>
      </w:r>
      <w:r w:rsidR="001A20BC">
        <w:t xml:space="preserve">explains </w:t>
      </w:r>
      <w:r w:rsidR="00256FBE">
        <w:t>this opinion/expertise distinction:</w:t>
      </w:r>
      <w:r w:rsidR="001A20BC">
        <w:t xml:space="preserve"> </w:t>
      </w:r>
      <w:r w:rsidR="00D8142D">
        <w:t>‘</w:t>
      </w:r>
      <w:r w:rsidR="001A20BC">
        <w:t>[m]</w:t>
      </w:r>
      <w:r w:rsidR="00D8142D" w:rsidRPr="0083040A">
        <w:t xml:space="preserve">any governments at the federal, state and local level are beginning to use the Internet to engage people from outside by such means as electronic petitions or </w:t>
      </w:r>
      <w:r w:rsidR="001C5135">
        <w:t>‘</w:t>
      </w:r>
      <w:r w:rsidR="00D8142D" w:rsidRPr="0083040A">
        <w:t>suggestion box</w:t>
      </w:r>
      <w:r w:rsidR="001C5135">
        <w:t>’</w:t>
      </w:r>
      <w:r w:rsidR="00D8142D" w:rsidRPr="0083040A">
        <w:t xml:space="preserve"> websites. The most notable example is the White House’s We the People site. The good side of these petitions websites is that they offer a new way for members of the public to draw attention to an issue. However, there are limits too. Specifically, it is often hard for policymakers to act on these petitions. What they usually provide is a naked demand that the government do something, without any of the necessary evidence, know how or instructions for how to do it. The government really uses these sites to ask people their opinion, rather than to draw on the public’s knowhow. As a result, the petit</w:t>
      </w:r>
      <w:r w:rsidR="00D8142D">
        <w:t>ions usually don’t go anywhere.’</w:t>
      </w:r>
    </w:p>
    <w:p w14:paraId="3D43D6CD" w14:textId="77777777" w:rsidR="007371F4" w:rsidRDefault="007371F4" w:rsidP="0052682D">
      <w:pPr>
        <w:spacing w:before="0"/>
      </w:pPr>
    </w:p>
    <w:p w14:paraId="6E945089" w14:textId="77777777" w:rsidR="007371F4" w:rsidRDefault="007371F4" w:rsidP="0052682D">
      <w:pPr>
        <w:spacing w:before="0"/>
      </w:pPr>
    </w:p>
    <w:p w14:paraId="4AE27E59" w14:textId="77777777" w:rsidR="0031256F" w:rsidRDefault="0031256F" w:rsidP="0052682D">
      <w:pPr>
        <w:spacing w:before="0"/>
      </w:pPr>
    </w:p>
    <w:p w14:paraId="6E15E96E" w14:textId="77777777" w:rsidR="0031256F" w:rsidRDefault="0031256F" w:rsidP="0052682D">
      <w:pPr>
        <w:spacing w:before="0"/>
        <w:rPr>
          <w:rFonts w:ascii="Calibri Light" w:eastAsia="MS Gothic" w:hAnsi="Calibri Light"/>
          <w:bCs/>
          <w:color w:val="3AA2A2"/>
          <w:sz w:val="32"/>
          <w:szCs w:val="26"/>
        </w:rPr>
      </w:pPr>
      <w:r>
        <w:br w:type="page"/>
      </w:r>
    </w:p>
    <w:p w14:paraId="59A91DA4" w14:textId="77777777" w:rsidR="001C5135" w:rsidRPr="00522BA0" w:rsidRDefault="001C5135" w:rsidP="0052682D">
      <w:pPr>
        <w:pStyle w:val="H2"/>
        <w:spacing w:before="0" w:after="0"/>
      </w:pPr>
      <w:bookmarkStart w:id="28" w:name="_Toc495915952"/>
      <w:r>
        <w:lastRenderedPageBreak/>
        <w:t>The National Innovation and Science Agenda’s BRII Challenge is helping develop technology to tap the public’s expertise</w:t>
      </w:r>
      <w:bookmarkEnd w:id="28"/>
    </w:p>
    <w:p w14:paraId="47E30002" w14:textId="77777777" w:rsidR="00B910DE" w:rsidRDefault="00B910DE" w:rsidP="0052682D">
      <w:pPr>
        <w:spacing w:before="0"/>
      </w:pPr>
      <w:r>
        <w:t xml:space="preserve">As noted above, </w:t>
      </w:r>
      <w:r w:rsidR="00B23FA4">
        <w:t>technology</w:t>
      </w:r>
      <w:r>
        <w:t xml:space="preserve"> can remove some of barriers to </w:t>
      </w:r>
      <w:r w:rsidR="00201B46">
        <w:t>bringing the public into APS work.</w:t>
      </w:r>
      <w:r>
        <w:t xml:space="preserve"> But </w:t>
      </w:r>
      <w:r w:rsidR="00B23FA4">
        <w:t xml:space="preserve">it often </w:t>
      </w:r>
      <w:r>
        <w:t>fall</w:t>
      </w:r>
      <w:r w:rsidR="00B23FA4">
        <w:t>s</w:t>
      </w:r>
      <w:r>
        <w:t xml:space="preserve"> a little short of being able to identify expertise and bringing that expertise together, as envisaged by</w:t>
      </w:r>
      <w:r w:rsidR="00562C37">
        <w:t xml:space="preserve"> Professor</w:t>
      </w:r>
      <w:r>
        <w:t xml:space="preserve"> Noveck. This is where the Business Research and Innovation Initiative </w:t>
      </w:r>
      <w:r w:rsidR="00201B46">
        <w:t xml:space="preserve">(BRII) </w:t>
      </w:r>
      <w:r>
        <w:t>may be able to assist.</w:t>
      </w:r>
    </w:p>
    <w:p w14:paraId="6A8427FD" w14:textId="77777777" w:rsidR="00B910DE" w:rsidRDefault="00B910DE" w:rsidP="0052682D">
      <w:pPr>
        <w:spacing w:before="0"/>
      </w:pPr>
    </w:p>
    <w:p w14:paraId="6AFEF7E3" w14:textId="77777777" w:rsidR="00B910DE" w:rsidRPr="00C9771F" w:rsidRDefault="0086649C" w:rsidP="0052682D">
      <w:pPr>
        <w:spacing w:before="0"/>
      </w:pPr>
      <w:r>
        <w:rPr>
          <w:noProof/>
          <w:lang w:eastAsia="en-AU"/>
        </w:rPr>
        <mc:AlternateContent>
          <mc:Choice Requires="wps">
            <w:drawing>
              <wp:anchor distT="45720" distB="45720" distL="114300" distR="114300" simplePos="0" relativeHeight="251658251" behindDoc="0" locked="0" layoutInCell="1" allowOverlap="1" wp14:anchorId="3E07DDAC" wp14:editId="4ECFEEDE">
                <wp:simplePos x="0" y="0"/>
                <wp:positionH relativeFrom="margin">
                  <wp:align>left</wp:align>
                </wp:positionH>
                <wp:positionV relativeFrom="paragraph">
                  <wp:posOffset>9525</wp:posOffset>
                </wp:positionV>
                <wp:extent cx="3002280" cy="4381500"/>
                <wp:effectExtent l="0" t="0" r="762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4381994"/>
                        </a:xfrm>
                        <a:prstGeom prst="rect">
                          <a:avLst/>
                        </a:prstGeom>
                        <a:solidFill>
                          <a:srgbClr val="DEEBF7"/>
                        </a:solidFill>
                        <a:ln w="9525">
                          <a:noFill/>
                          <a:miter lim="800000"/>
                          <a:headEnd/>
                          <a:tailEnd/>
                        </a:ln>
                      </wps:spPr>
                      <wps:txbx>
                        <w:txbxContent>
                          <w:p w14:paraId="6F18DDA6"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Besides being an innovative public participation model in itself, the </w:t>
                            </w:r>
                            <w:r w:rsidRPr="006A3C9B">
                              <w:rPr>
                                <w:rFonts w:asciiTheme="majorHAnsi" w:hAnsiTheme="majorHAnsi" w:cs="Arial"/>
                                <w:b/>
                                <w:i/>
                                <w:noProof/>
                                <w:color w:val="44546A" w:themeColor="text2"/>
                                <w:sz w:val="20"/>
                                <w:lang w:eastAsia="en-AU"/>
                              </w:rPr>
                              <w:t>BRII Challenge</w:t>
                            </w:r>
                            <w:r w:rsidRPr="000F55D0">
                              <w:rPr>
                                <w:rFonts w:asciiTheme="majorHAnsi" w:hAnsiTheme="majorHAnsi" w:cs="Arial"/>
                                <w:b/>
                                <w:noProof/>
                                <w:color w:val="44546A" w:themeColor="text2"/>
                                <w:sz w:val="20"/>
                                <w:lang w:eastAsia="en-AU"/>
                              </w:rPr>
                              <w:t xml:space="preserve"> is seeking a technology platform that can tap the public’s expertise</w:t>
                            </w:r>
                          </w:p>
                          <w:p w14:paraId="27FC1281" w14:textId="77777777" w:rsidR="001143F2" w:rsidRDefault="001143F2" w:rsidP="009A49FC">
                            <w:r>
                              <w:rPr>
                                <w:noProof/>
                                <w:lang w:eastAsia="en-AU"/>
                              </w:rPr>
                              <w:drawing>
                                <wp:inline distT="0" distB="0" distL="0" distR="0" wp14:anchorId="2F17C837" wp14:editId="3E68BF38">
                                  <wp:extent cx="2797791" cy="1344651"/>
                                  <wp:effectExtent l="0" t="0" r="3175" b="825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13138" cy="1352027"/>
                                          </a:xfrm>
                                          <a:prstGeom prst="rect">
                                            <a:avLst/>
                                          </a:prstGeom>
                                        </pic:spPr>
                                      </pic:pic>
                                    </a:graphicData>
                                  </a:graphic>
                                </wp:inline>
                              </w:drawing>
                            </w:r>
                          </w:p>
                          <w:p w14:paraId="0C5EB99B" w14:textId="77777777" w:rsidR="001143F2" w:rsidRDefault="001143F2" w:rsidP="009A49FC">
                            <w:pPr>
                              <w:spacing w:before="0"/>
                              <w:rPr>
                                <w:rFonts w:ascii="Lucida Bright" w:hAnsi="Lucida Bright"/>
                                <w:sz w:val="16"/>
                                <w:szCs w:val="16"/>
                              </w:rPr>
                            </w:pPr>
                          </w:p>
                          <w:p w14:paraId="29032183" w14:textId="77777777" w:rsidR="001143F2" w:rsidRPr="000F55D0" w:rsidRDefault="001143F2" w:rsidP="009A49FC">
                            <w:pPr>
                              <w:spacing w:before="0"/>
                              <w:rPr>
                                <w:rFonts w:asciiTheme="majorHAnsi" w:hAnsiTheme="majorHAnsi"/>
                                <w:sz w:val="16"/>
                                <w:szCs w:val="16"/>
                              </w:rPr>
                            </w:pPr>
                            <w:r w:rsidRPr="000F55D0">
                              <w:rPr>
                                <w:rFonts w:asciiTheme="majorHAnsi" w:hAnsiTheme="majorHAnsi"/>
                                <w:sz w:val="16"/>
                                <w:szCs w:val="16"/>
                              </w:rPr>
                              <w:t>The BRII challenge was launched on 17 August 2016.</w:t>
                            </w:r>
                            <w:r>
                              <w:rPr>
                                <w:rFonts w:asciiTheme="majorHAnsi" w:hAnsiTheme="majorHAnsi"/>
                                <w:sz w:val="16"/>
                                <w:szCs w:val="16"/>
                              </w:rPr>
                              <w:t xml:space="preserve"> </w:t>
                            </w:r>
                            <w:r w:rsidRPr="000F55D0">
                              <w:rPr>
                                <w:rFonts w:asciiTheme="majorHAnsi" w:hAnsiTheme="majorHAnsi"/>
                                <w:sz w:val="16"/>
                                <w:szCs w:val="16"/>
                              </w:rPr>
                              <w:t>Its five challenges are:</w:t>
                            </w:r>
                          </w:p>
                          <w:p w14:paraId="78296CE3" w14:textId="77777777" w:rsidR="001143F2" w:rsidRPr="00745CD9" w:rsidRDefault="001143F2" w:rsidP="007B3CA8">
                            <w:pPr>
                              <w:numPr>
                                <w:ilvl w:val="0"/>
                                <w:numId w:val="48"/>
                              </w:numPr>
                              <w:spacing w:before="0"/>
                              <w:rPr>
                                <w:rFonts w:asciiTheme="majorHAnsi" w:hAnsiTheme="majorHAnsi"/>
                                <w:sz w:val="16"/>
                                <w:szCs w:val="16"/>
                              </w:rPr>
                            </w:pPr>
                            <w:r w:rsidRPr="00745CD9">
                              <w:rPr>
                                <w:rFonts w:asciiTheme="majorHAnsi" w:hAnsiTheme="majorHAnsi"/>
                                <w:sz w:val="16"/>
                                <w:szCs w:val="16"/>
                              </w:rPr>
                              <w:t>Digitally enabled community engagement in policy and programme design</w:t>
                            </w:r>
                          </w:p>
                          <w:p w14:paraId="6843398C"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On-the-spot technology for measuring pyrethroid surface residue</w:t>
                            </w:r>
                          </w:p>
                          <w:p w14:paraId="76039E13"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Tracking the effect and value of information products</w:t>
                            </w:r>
                          </w:p>
                          <w:p w14:paraId="03D44687"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Improve transparency and reliability of water market information</w:t>
                            </w:r>
                          </w:p>
                          <w:p w14:paraId="01A253D5"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Sharing information nationally to ensure child safety</w:t>
                            </w:r>
                          </w:p>
                          <w:p w14:paraId="4B76BAFD" w14:textId="77777777" w:rsidR="001143F2" w:rsidRPr="000F55D0" w:rsidRDefault="001143F2" w:rsidP="0086649C">
                            <w:pPr>
                              <w:spacing w:before="0"/>
                              <w:rPr>
                                <w:rFonts w:asciiTheme="majorHAnsi" w:hAnsiTheme="majorHAnsi"/>
                                <w:sz w:val="16"/>
                                <w:szCs w:val="16"/>
                              </w:rPr>
                            </w:pPr>
                          </w:p>
                          <w:p w14:paraId="24F066FC" w14:textId="77777777" w:rsidR="001143F2" w:rsidRPr="000F55D0" w:rsidRDefault="001143F2" w:rsidP="0086649C">
                            <w:pPr>
                              <w:spacing w:before="0"/>
                              <w:rPr>
                                <w:rFonts w:asciiTheme="majorHAnsi" w:hAnsiTheme="majorHAnsi"/>
                                <w:sz w:val="16"/>
                                <w:szCs w:val="16"/>
                              </w:rPr>
                            </w:pPr>
                            <w:r w:rsidRPr="000F55D0">
                              <w:rPr>
                                <w:rFonts w:asciiTheme="majorHAnsi" w:hAnsiTheme="majorHAnsi"/>
                                <w:sz w:val="16"/>
                                <w:szCs w:val="16"/>
                              </w:rPr>
                              <w:t xml:space="preserve">Find out more: </w:t>
                            </w:r>
                            <w:hyperlink r:id="rId37" w:history="1">
                              <w:r w:rsidRPr="000F55D0">
                                <w:rPr>
                                  <w:rStyle w:val="Hyperlink"/>
                                  <w:rFonts w:asciiTheme="majorHAnsi" w:hAnsiTheme="majorHAnsi"/>
                                  <w:sz w:val="16"/>
                                  <w:szCs w:val="16"/>
                                </w:rPr>
                                <w:t>https://www.youtube.com/watch?v=bWXksGLjFdM</w:t>
                              </w:r>
                            </w:hyperlink>
                            <w:r w:rsidRPr="000F55D0">
                              <w:rPr>
                                <w:rFonts w:asciiTheme="majorHAnsi" w:hAnsiTheme="majorHAnsi"/>
                                <w:sz w:val="16"/>
                                <w:szCs w:val="16"/>
                              </w:rPr>
                              <w:t xml:space="preserve"> and </w:t>
                            </w:r>
                            <w:hyperlink r:id="rId38" w:history="1">
                              <w:r w:rsidRPr="000F55D0">
                                <w:rPr>
                                  <w:rStyle w:val="Hyperlink"/>
                                  <w:rFonts w:asciiTheme="majorHAnsi" w:hAnsiTheme="majorHAnsi"/>
                                  <w:sz w:val="16"/>
                                  <w:szCs w:val="16"/>
                                </w:rPr>
                                <w:t>http://www.innovation.gov.au/page/business-research-and-innovation-initiative</w:t>
                              </w:r>
                            </w:hyperlink>
                            <w:r w:rsidRPr="000F55D0">
                              <w:rPr>
                                <w:rFonts w:asciiTheme="majorHAnsi" w:hAnsiTheme="majorHAnsi"/>
                                <w:sz w:val="16"/>
                                <w:szCs w:val="16"/>
                              </w:rPr>
                              <w:t>.</w:t>
                            </w:r>
                          </w:p>
                          <w:p w14:paraId="35ABA624" w14:textId="77777777" w:rsidR="001143F2" w:rsidRPr="009A49FC" w:rsidRDefault="001143F2" w:rsidP="0086649C">
                            <w:pPr>
                              <w:spacing w:befor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7DDAC" id="_x0000_s1033" type="#_x0000_t202" style="position:absolute;margin-left:0;margin-top:.75pt;width:236.4pt;height:345pt;z-index:25165825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" fillcolor="#deebf7" stroked="f">
                <v:textbox>
                  <w:txbxContent>
                    <w:p w14:paraId="6F18DDA6"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Besides being an innovative public participation model in itself, the </w:t>
                      </w:r>
                      <w:r w:rsidRPr="006A3C9B">
                        <w:rPr>
                          <w:rFonts w:asciiTheme="majorHAnsi" w:hAnsiTheme="majorHAnsi" w:cs="Arial"/>
                          <w:b/>
                          <w:i/>
                          <w:noProof/>
                          <w:color w:val="44546A" w:themeColor="text2"/>
                          <w:sz w:val="20"/>
                          <w:lang w:eastAsia="en-AU"/>
                        </w:rPr>
                        <w:t>BRII Challenge</w:t>
                      </w:r>
                      <w:r w:rsidRPr="000F55D0">
                        <w:rPr>
                          <w:rFonts w:asciiTheme="majorHAnsi" w:hAnsiTheme="majorHAnsi" w:cs="Arial"/>
                          <w:b/>
                          <w:noProof/>
                          <w:color w:val="44546A" w:themeColor="text2"/>
                          <w:sz w:val="20"/>
                          <w:lang w:eastAsia="en-AU"/>
                        </w:rPr>
                        <w:t xml:space="preserve"> is seeking a technology platform that can tap the public’s expertise</w:t>
                      </w:r>
                    </w:p>
                    <w:p w14:paraId="27FC1281" w14:textId="77777777" w:rsidR="001143F2" w:rsidRDefault="001143F2" w:rsidP="009A49FC">
                      <w:r>
                        <w:rPr>
                          <w:noProof/>
                          <w:lang w:eastAsia="en-AU"/>
                        </w:rPr>
                        <w:drawing>
                          <wp:inline distT="0" distB="0" distL="0" distR="0" wp14:anchorId="2F17C837" wp14:editId="3E68BF38">
                            <wp:extent cx="2797791" cy="1344651"/>
                            <wp:effectExtent l="0" t="0" r="3175" b="825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13138" cy="1352027"/>
                                    </a:xfrm>
                                    <a:prstGeom prst="rect">
                                      <a:avLst/>
                                    </a:prstGeom>
                                  </pic:spPr>
                                </pic:pic>
                              </a:graphicData>
                            </a:graphic>
                          </wp:inline>
                        </w:drawing>
                      </w:r>
                    </w:p>
                    <w:p w14:paraId="0C5EB99B" w14:textId="77777777" w:rsidR="001143F2" w:rsidRDefault="001143F2" w:rsidP="009A49FC">
                      <w:pPr>
                        <w:spacing w:before="0"/>
                        <w:rPr>
                          <w:rFonts w:ascii="Lucida Bright" w:hAnsi="Lucida Bright"/>
                          <w:sz w:val="16"/>
                          <w:szCs w:val="16"/>
                        </w:rPr>
                      </w:pPr>
                    </w:p>
                    <w:p w14:paraId="29032183" w14:textId="77777777" w:rsidR="001143F2" w:rsidRPr="000F55D0" w:rsidRDefault="001143F2" w:rsidP="009A49FC">
                      <w:pPr>
                        <w:spacing w:before="0"/>
                        <w:rPr>
                          <w:rFonts w:asciiTheme="majorHAnsi" w:hAnsiTheme="majorHAnsi"/>
                          <w:sz w:val="16"/>
                          <w:szCs w:val="16"/>
                        </w:rPr>
                      </w:pPr>
                      <w:r w:rsidRPr="000F55D0">
                        <w:rPr>
                          <w:rFonts w:asciiTheme="majorHAnsi" w:hAnsiTheme="majorHAnsi"/>
                          <w:sz w:val="16"/>
                          <w:szCs w:val="16"/>
                        </w:rPr>
                        <w:t>The BRII challenge was launched on 17 August 2016.</w:t>
                      </w:r>
                      <w:r>
                        <w:rPr>
                          <w:rFonts w:asciiTheme="majorHAnsi" w:hAnsiTheme="majorHAnsi"/>
                          <w:sz w:val="16"/>
                          <w:szCs w:val="16"/>
                        </w:rPr>
                        <w:t xml:space="preserve"> </w:t>
                      </w:r>
                      <w:r w:rsidRPr="000F55D0">
                        <w:rPr>
                          <w:rFonts w:asciiTheme="majorHAnsi" w:hAnsiTheme="majorHAnsi"/>
                          <w:sz w:val="16"/>
                          <w:szCs w:val="16"/>
                        </w:rPr>
                        <w:t>Its five challenges are:</w:t>
                      </w:r>
                    </w:p>
                    <w:p w14:paraId="78296CE3" w14:textId="77777777" w:rsidR="001143F2" w:rsidRPr="00745CD9" w:rsidRDefault="001143F2" w:rsidP="007B3CA8">
                      <w:pPr>
                        <w:numPr>
                          <w:ilvl w:val="0"/>
                          <w:numId w:val="48"/>
                        </w:numPr>
                        <w:spacing w:before="0"/>
                        <w:rPr>
                          <w:rFonts w:asciiTheme="majorHAnsi" w:hAnsiTheme="majorHAnsi"/>
                          <w:sz w:val="16"/>
                          <w:szCs w:val="16"/>
                        </w:rPr>
                      </w:pPr>
                      <w:r w:rsidRPr="00745CD9">
                        <w:rPr>
                          <w:rFonts w:asciiTheme="majorHAnsi" w:hAnsiTheme="majorHAnsi"/>
                          <w:sz w:val="16"/>
                          <w:szCs w:val="16"/>
                        </w:rPr>
                        <w:t>Digitally enabled community engagement in policy and programme design</w:t>
                      </w:r>
                    </w:p>
                    <w:p w14:paraId="6843398C"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On-the-spot technology for measuring pyrethroid surface residue</w:t>
                      </w:r>
                    </w:p>
                    <w:p w14:paraId="76039E13"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Tracking the effect and value of information products</w:t>
                      </w:r>
                    </w:p>
                    <w:p w14:paraId="03D44687"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Improve transparency and reliability of water market information</w:t>
                      </w:r>
                    </w:p>
                    <w:p w14:paraId="01A253D5" w14:textId="77777777" w:rsidR="001143F2" w:rsidRPr="000F55D0" w:rsidRDefault="001143F2" w:rsidP="007B3CA8">
                      <w:pPr>
                        <w:numPr>
                          <w:ilvl w:val="0"/>
                          <w:numId w:val="48"/>
                        </w:numPr>
                        <w:spacing w:before="0"/>
                        <w:rPr>
                          <w:rFonts w:asciiTheme="majorHAnsi" w:hAnsiTheme="majorHAnsi"/>
                          <w:sz w:val="16"/>
                          <w:szCs w:val="16"/>
                        </w:rPr>
                      </w:pPr>
                      <w:r w:rsidRPr="000F55D0">
                        <w:rPr>
                          <w:rFonts w:asciiTheme="majorHAnsi" w:hAnsiTheme="majorHAnsi"/>
                          <w:sz w:val="16"/>
                          <w:szCs w:val="16"/>
                        </w:rPr>
                        <w:t>Sharing information nationally to ensure child safety</w:t>
                      </w:r>
                    </w:p>
                    <w:p w14:paraId="4B76BAFD" w14:textId="77777777" w:rsidR="001143F2" w:rsidRPr="000F55D0" w:rsidRDefault="001143F2" w:rsidP="0086649C">
                      <w:pPr>
                        <w:spacing w:before="0"/>
                        <w:rPr>
                          <w:rFonts w:asciiTheme="majorHAnsi" w:hAnsiTheme="majorHAnsi"/>
                          <w:sz w:val="16"/>
                          <w:szCs w:val="16"/>
                        </w:rPr>
                      </w:pPr>
                    </w:p>
                    <w:p w14:paraId="24F066FC" w14:textId="77777777" w:rsidR="001143F2" w:rsidRPr="000F55D0" w:rsidRDefault="001143F2" w:rsidP="0086649C">
                      <w:pPr>
                        <w:spacing w:before="0"/>
                        <w:rPr>
                          <w:rFonts w:asciiTheme="majorHAnsi" w:hAnsiTheme="majorHAnsi"/>
                          <w:sz w:val="16"/>
                          <w:szCs w:val="16"/>
                        </w:rPr>
                      </w:pPr>
                      <w:r w:rsidRPr="000F55D0">
                        <w:rPr>
                          <w:rFonts w:asciiTheme="majorHAnsi" w:hAnsiTheme="majorHAnsi"/>
                          <w:sz w:val="16"/>
                          <w:szCs w:val="16"/>
                        </w:rPr>
                        <w:t xml:space="preserve">Find out more: </w:t>
                      </w:r>
                      <w:hyperlink r:id="rId40" w:history="1">
                        <w:r w:rsidRPr="000F55D0">
                          <w:rPr>
                            <w:rStyle w:val="Hyperlink"/>
                            <w:rFonts w:asciiTheme="majorHAnsi" w:hAnsiTheme="majorHAnsi"/>
                            <w:sz w:val="16"/>
                            <w:szCs w:val="16"/>
                          </w:rPr>
                          <w:t>https://www.youtube.com/watch?v=bWXksGLjFdM</w:t>
                        </w:r>
                      </w:hyperlink>
                      <w:r w:rsidRPr="000F55D0">
                        <w:rPr>
                          <w:rFonts w:asciiTheme="majorHAnsi" w:hAnsiTheme="majorHAnsi"/>
                          <w:sz w:val="16"/>
                          <w:szCs w:val="16"/>
                        </w:rPr>
                        <w:t xml:space="preserve"> and </w:t>
                      </w:r>
                      <w:hyperlink r:id="rId41" w:history="1">
                        <w:r w:rsidRPr="000F55D0">
                          <w:rPr>
                            <w:rStyle w:val="Hyperlink"/>
                            <w:rFonts w:asciiTheme="majorHAnsi" w:hAnsiTheme="majorHAnsi"/>
                            <w:sz w:val="16"/>
                            <w:szCs w:val="16"/>
                          </w:rPr>
                          <w:t>http://www.innovation.gov.au/page/business-research-and-innovation-initiative</w:t>
                        </w:r>
                      </w:hyperlink>
                      <w:r w:rsidRPr="000F55D0">
                        <w:rPr>
                          <w:rFonts w:asciiTheme="majorHAnsi" w:hAnsiTheme="majorHAnsi"/>
                          <w:sz w:val="16"/>
                          <w:szCs w:val="16"/>
                        </w:rPr>
                        <w:t>.</w:t>
                      </w:r>
                    </w:p>
                    <w:p w14:paraId="35ABA624" w14:textId="77777777" w:rsidR="001143F2" w:rsidRPr="009A49FC" w:rsidRDefault="001143F2" w:rsidP="0086649C">
                      <w:pPr>
                        <w:spacing w:before="0"/>
                      </w:pPr>
                    </w:p>
                  </w:txbxContent>
                </v:textbox>
                <w10:wrap type="square" anchorx="margin"/>
              </v:shape>
            </w:pict>
          </mc:Fallback>
        </mc:AlternateContent>
      </w:r>
      <w:r w:rsidR="00B910DE">
        <w:t>The BRII is</w:t>
      </w:r>
      <w:r w:rsidR="00B910DE" w:rsidRPr="00C9771F">
        <w:t xml:space="preserve"> a pilot</w:t>
      </w:r>
      <w:r w:rsidR="00B910DE">
        <w:t xml:space="preserve"> series of ‘challenges’ where</w:t>
      </w:r>
      <w:r w:rsidR="00B910DE" w:rsidRPr="00C9771F">
        <w:t xml:space="preserve"> the Commonwealth Government is encouraging businesses to develop more innovative solutions to government policy and service delivery problems</w:t>
      </w:r>
      <w:r w:rsidR="00201B46">
        <w:t>.</w:t>
      </w:r>
      <w:r w:rsidR="00745CD9">
        <w:t xml:space="preserve"> </w:t>
      </w:r>
    </w:p>
    <w:p w14:paraId="5278BDA5" w14:textId="77777777" w:rsidR="00B910DE" w:rsidRDefault="00B910DE" w:rsidP="0052682D">
      <w:pPr>
        <w:spacing w:before="0"/>
      </w:pPr>
    </w:p>
    <w:p w14:paraId="7D103848" w14:textId="77777777" w:rsidR="00B910DE" w:rsidRDefault="00B910DE" w:rsidP="0052682D">
      <w:pPr>
        <w:spacing w:before="0"/>
      </w:pPr>
      <w:r>
        <w:t>One of the five pilot challenges is to develop a platform that digitally enables</w:t>
      </w:r>
      <w:r w:rsidRPr="00C9771F">
        <w:t xml:space="preserve"> com</w:t>
      </w:r>
      <w:r>
        <w:t xml:space="preserve">munity engagement in policy, </w:t>
      </w:r>
      <w:r w:rsidRPr="00C9771F">
        <w:t xml:space="preserve">programme </w:t>
      </w:r>
      <w:r>
        <w:t xml:space="preserve">and service </w:t>
      </w:r>
      <w:r w:rsidRPr="00C9771F">
        <w:t>design</w:t>
      </w:r>
      <w:r>
        <w:t>.</w:t>
      </w:r>
      <w:r w:rsidR="00745CD9">
        <w:t xml:space="preserve"> </w:t>
      </w:r>
      <w:r>
        <w:t>The BRII challenge acknowledges that g</w:t>
      </w:r>
      <w:r w:rsidRPr="0055240C">
        <w:t>overnments are facing increasing pressure to be more responsive and to accommodate greater citizen and interest group involvement in the policy and programme development process.</w:t>
      </w:r>
      <w:r>
        <w:t xml:space="preserve"> It acknowledges that co-design and collaboration can lead to better outcomes but that</w:t>
      </w:r>
      <w:r w:rsidRPr="0055240C">
        <w:t xml:space="preserve"> the gap between what governments achieve and what citizens expect continues to grow.</w:t>
      </w:r>
      <w:r>
        <w:t xml:space="preserve"> Its overview states:</w:t>
      </w:r>
    </w:p>
    <w:p w14:paraId="724C1E16" w14:textId="77777777" w:rsidR="00B910DE" w:rsidRPr="0055240C" w:rsidRDefault="00B910DE" w:rsidP="0052682D">
      <w:pPr>
        <w:spacing w:before="0"/>
      </w:pPr>
    </w:p>
    <w:p w14:paraId="6D2B1C9D" w14:textId="77777777" w:rsidR="00B910DE" w:rsidRPr="004C3A22" w:rsidRDefault="00B910DE" w:rsidP="0052682D">
      <w:pPr>
        <w:spacing w:before="0"/>
      </w:pPr>
      <w:r>
        <w:t>‘</w:t>
      </w:r>
      <w:r w:rsidRPr="004C3A22">
        <w:t>At the heart of this problem are the current consultation and co-design methods which are time and cost prohibitive for both government agencies and business and community groups … Innovation in the digitisation of communication, information handling, data analytics and social media tools potentially offers the opportunity to develop new co-design and consultation methods.</w:t>
      </w:r>
      <w:r>
        <w:t>’</w:t>
      </w:r>
      <w:r w:rsidRPr="004C3A22">
        <w:rPr>
          <w:rStyle w:val="FootnoteReference"/>
        </w:rPr>
        <w:footnoteReference w:id="23"/>
      </w:r>
      <w:r w:rsidRPr="004C3A22">
        <w:t xml:space="preserve"> </w:t>
      </w:r>
    </w:p>
    <w:p w14:paraId="29F59F29" w14:textId="77777777" w:rsidR="00B910DE" w:rsidRDefault="00B910DE" w:rsidP="0052682D">
      <w:pPr>
        <w:spacing w:before="0"/>
      </w:pPr>
    </w:p>
    <w:p w14:paraId="4EE79F91" w14:textId="77777777" w:rsidR="00B910DE" w:rsidRDefault="00B910DE" w:rsidP="0052682D">
      <w:pPr>
        <w:spacing w:before="0"/>
      </w:pPr>
      <w:r>
        <w:t xml:space="preserve">The BRII challengers will try and combine the new methods and tools for collaboration and co-design, including social media, into a platform that consistently engages community stakeholders. As part of Commitment 5.2, we are working with them to increase their chances of success. </w:t>
      </w:r>
    </w:p>
    <w:p w14:paraId="26E155F1" w14:textId="77777777" w:rsidR="00C07C9B" w:rsidRDefault="00C07C9B" w:rsidP="0052682D">
      <w:pPr>
        <w:spacing w:before="0"/>
        <w:rPr>
          <w:rFonts w:ascii="Calibri Light" w:eastAsia="MS Gothic" w:hAnsi="Calibri Light"/>
          <w:bCs/>
          <w:color w:val="3AA2A2"/>
          <w:sz w:val="32"/>
          <w:szCs w:val="26"/>
        </w:rPr>
      </w:pPr>
      <w:bookmarkStart w:id="29" w:name="_Toc492983323"/>
      <w:r>
        <w:br w:type="page"/>
      </w:r>
    </w:p>
    <w:p w14:paraId="2DAAD758" w14:textId="77777777" w:rsidR="00137C47" w:rsidRDefault="00137C47" w:rsidP="0052682D">
      <w:pPr>
        <w:pStyle w:val="H2"/>
        <w:spacing w:before="0" w:after="0"/>
      </w:pPr>
      <w:bookmarkStart w:id="30" w:name="_Toc495915953"/>
      <w:r>
        <w:lastRenderedPageBreak/>
        <w:t>User Centred Design</w:t>
      </w:r>
      <w:bookmarkEnd w:id="29"/>
      <w:r w:rsidR="007826D6">
        <w:t xml:space="preserve"> </w:t>
      </w:r>
      <w:r w:rsidR="0098657C">
        <w:t>has a role to play</w:t>
      </w:r>
      <w:bookmarkEnd w:id="30"/>
    </w:p>
    <w:p w14:paraId="0E1407D0" w14:textId="77777777" w:rsidR="00137C47" w:rsidRDefault="00137C47" w:rsidP="0052682D">
      <w:pPr>
        <w:spacing w:before="0"/>
      </w:pPr>
      <w:r>
        <w:t>User Centred Design (UCD)</w:t>
      </w:r>
      <w:r w:rsidR="00101424">
        <w:t>, discussed in our metho</w:t>
      </w:r>
      <w:r w:rsidR="00D72F1F">
        <w:t>do</w:t>
      </w:r>
      <w:r w:rsidR="00101424">
        <w:t xml:space="preserve">logy section </w:t>
      </w:r>
      <w:r w:rsidR="00D72F1F">
        <w:t xml:space="preserve">in </w:t>
      </w:r>
      <w:r w:rsidR="00D72F1F" w:rsidRPr="00D72F1F">
        <w:rPr>
          <w:u w:val="single"/>
        </w:rPr>
        <w:t>Appendix A</w:t>
      </w:r>
      <w:r w:rsidR="00101424">
        <w:t>,</w:t>
      </w:r>
      <w:r>
        <w:t xml:space="preserve"> is a creative form of problem solving. As the people at</w:t>
      </w:r>
      <w:r w:rsidR="00EA610E">
        <w:t xml:space="preserve"> leading UCD consultancy</w:t>
      </w:r>
      <w:r>
        <w:t xml:space="preserve"> IDEO explain:</w:t>
      </w:r>
    </w:p>
    <w:p w14:paraId="317C7CEC" w14:textId="77777777" w:rsidR="00137C47" w:rsidRDefault="00137C47" w:rsidP="0052682D">
      <w:pPr>
        <w:tabs>
          <w:tab w:val="left" w:pos="1860"/>
        </w:tabs>
        <w:spacing w:before="0"/>
      </w:pPr>
      <w:r>
        <w:tab/>
      </w:r>
    </w:p>
    <w:p w14:paraId="0FD132B8" w14:textId="77777777" w:rsidR="00137C47" w:rsidRPr="00BF7489" w:rsidRDefault="00282DEE" w:rsidP="0052682D">
      <w:pPr>
        <w:spacing w:before="0"/>
      </w:pPr>
      <w:r>
        <w:rPr>
          <w:noProof/>
          <w:lang w:eastAsia="en-AU"/>
        </w:rPr>
        <mc:AlternateContent>
          <mc:Choice Requires="wps">
            <w:drawing>
              <wp:anchor distT="0" distB="0" distL="457200" distR="114300" simplePos="0" relativeHeight="251658256" behindDoc="0" locked="0" layoutInCell="0" allowOverlap="1" wp14:anchorId="1A0B9D42" wp14:editId="4A9CA1F3">
                <wp:simplePos x="0" y="0"/>
                <wp:positionH relativeFrom="margin">
                  <wp:align>left</wp:align>
                </wp:positionH>
                <wp:positionV relativeFrom="margin">
                  <wp:posOffset>793750</wp:posOffset>
                </wp:positionV>
                <wp:extent cx="1880870" cy="6243320"/>
                <wp:effectExtent l="0" t="0" r="0" b="5080"/>
                <wp:wrapSquare wrapText="bothSides"/>
                <wp:docPr id="1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0870" cy="6243851"/>
                        </a:xfrm>
                        <a:prstGeom prst="rect">
                          <a:avLst/>
                        </a:prstGeom>
                        <a:solidFill>
                          <a:srgbClr val="DEEBF7"/>
                        </a:solidFill>
                        <a:extLst/>
                      </wps:spPr>
                      <wps:txbx>
                        <w:txbxContent>
                          <w:p w14:paraId="5DC24042" w14:textId="77777777" w:rsidR="001143F2"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Charles Leadbeater on the rise of Innovation Labs and experimentation in the public sector</w:t>
                            </w:r>
                          </w:p>
                          <w:p w14:paraId="0027FE58"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282DEE">
                              <w:rPr>
                                <w:rFonts w:asciiTheme="majorHAnsi" w:hAnsiTheme="majorHAnsi" w:cs="Arial"/>
                                <w:b/>
                                <w:noProof/>
                                <w:color w:val="44546A" w:themeColor="text2"/>
                                <w:sz w:val="20"/>
                                <w:lang w:eastAsia="en-AU"/>
                              </w:rPr>
                              <w:drawing>
                                <wp:inline distT="0" distB="0" distL="0" distR="0" wp14:anchorId="537CADFF" wp14:editId="712BE3A1">
                                  <wp:extent cx="1463675" cy="976077"/>
                                  <wp:effectExtent l="0" t="0" r="3175" b="0"/>
                                  <wp:docPr id="33" name="Picture 33" descr="G:\BizLab\BizLab - Communication\Images\Design Leads workshop\20170228-IMG_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izLab\BizLab - Communication\Images\Design Leads workshop\20170228-IMG_785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3675" cy="976077"/>
                                          </a:xfrm>
                                          <a:prstGeom prst="rect">
                                            <a:avLst/>
                                          </a:prstGeom>
                                          <a:noFill/>
                                          <a:ln>
                                            <a:noFill/>
                                          </a:ln>
                                        </pic:spPr>
                                      </pic:pic>
                                    </a:graphicData>
                                  </a:graphic>
                                </wp:inline>
                              </w:drawing>
                            </w:r>
                          </w:p>
                          <w:p w14:paraId="19552BB2" w14:textId="77777777" w:rsidR="001143F2" w:rsidRPr="000F55D0" w:rsidRDefault="001143F2" w:rsidP="00B04721">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Increasingly ‘experimentalism is no longer confined to formal scientific labs’ writes Charles Leadbeater. ‘It has become an organising method for social policy, start businesses, venture capitalists, tech companies and the creative arts. Everyone it seems wants to experiment their way into the future and to do so they want labs, which are proliferating well beyond their traditional habitat in the natural sciences’. There is now a burgeoning movement of so-called public labs – explicitly experimental organisations with ties to government institutions. </w:t>
                            </w:r>
                          </w:p>
                          <w:p w14:paraId="737A0834" w14:textId="77777777" w:rsidR="001143F2" w:rsidRPr="000F55D0" w:rsidRDefault="001143F2" w:rsidP="00B04721">
                            <w:pPr>
                              <w:spacing w:before="0"/>
                              <w:rPr>
                                <w:rFonts w:asciiTheme="majorHAnsi" w:hAnsiTheme="majorHAnsi" w:cs="Arial"/>
                                <w:noProof/>
                                <w:sz w:val="16"/>
                                <w:lang w:eastAsia="en-AU"/>
                              </w:rPr>
                            </w:pPr>
                          </w:p>
                          <w:p w14:paraId="2B99B878" w14:textId="77777777" w:rsidR="001143F2" w:rsidRDefault="001143F2" w:rsidP="00B04721">
                            <w:pPr>
                              <w:spacing w:before="0"/>
                              <w:rPr>
                                <w:rFonts w:asciiTheme="majorHAnsi" w:hAnsiTheme="majorHAnsi" w:cs="Arial"/>
                                <w:noProof/>
                                <w:sz w:val="16"/>
                                <w:lang w:eastAsia="en-AU"/>
                              </w:rPr>
                            </w:pPr>
                            <w:r w:rsidRPr="000F55D0">
                              <w:rPr>
                                <w:rFonts w:asciiTheme="majorHAnsi" w:hAnsiTheme="majorHAnsi" w:cs="Arial"/>
                                <w:noProof/>
                                <w:sz w:val="16"/>
                                <w:lang w:eastAsia="en-AU"/>
                              </w:rPr>
                              <w:t>Though diverse in their approaches, these innovation labs engage primarily in ethnographic processes of engaging citizens through observation and interviews in the design of public services. Most of the public labs are not focused on new technology, nor on comparative testing. But they do bring a spirit of experimentalism to public sector institutions.</w:t>
                            </w:r>
                          </w:p>
                          <w:p w14:paraId="4346B021" w14:textId="77777777" w:rsidR="001143F2" w:rsidRDefault="001143F2" w:rsidP="00B04721">
                            <w:pPr>
                              <w:spacing w:before="0"/>
                              <w:rPr>
                                <w:rFonts w:asciiTheme="majorHAnsi" w:hAnsiTheme="majorHAnsi" w:cs="Arial"/>
                                <w:noProof/>
                                <w:sz w:val="16"/>
                                <w:u w:val="single"/>
                                <w:lang w:eastAsia="en-AU"/>
                              </w:rPr>
                            </w:pPr>
                          </w:p>
                          <w:p w14:paraId="09DFC858" w14:textId="77777777" w:rsidR="001143F2" w:rsidRPr="000F55D0" w:rsidRDefault="001143F2" w:rsidP="00B04721">
                            <w:pPr>
                              <w:spacing w:before="0"/>
                              <w:rPr>
                                <w:rFonts w:asciiTheme="majorHAnsi" w:hAnsiTheme="majorHAnsi" w:cs="Arial"/>
                                <w:noProof/>
                                <w:sz w:val="16"/>
                                <w:lang w:eastAsia="en-AU"/>
                              </w:rPr>
                            </w:pPr>
                            <w:r w:rsidRPr="00011B65">
                              <w:rPr>
                                <w:rFonts w:asciiTheme="majorHAnsi" w:hAnsiTheme="majorHAnsi" w:cs="Arial"/>
                                <w:noProof/>
                                <w:sz w:val="16"/>
                                <w:u w:val="single"/>
                                <w:lang w:eastAsia="en-AU"/>
                              </w:rPr>
                              <w:t>Photo</w:t>
                            </w:r>
                            <w:r>
                              <w:rPr>
                                <w:rFonts w:asciiTheme="majorHAnsi" w:hAnsiTheme="majorHAnsi" w:cs="Arial"/>
                                <w:noProof/>
                                <w:sz w:val="16"/>
                                <w:lang w:eastAsia="en-AU"/>
                              </w:rPr>
                              <w:t>: Bizlab, an APS innovation lab, during a meeting of the APS’ design lab leads</w:t>
                            </w: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0</wp14:pctHeight>
                </wp14:sizeRelV>
              </wp:anchor>
            </w:drawing>
          </mc:Choice>
          <mc:Fallback>
            <w:pict>
              <v:rect w14:anchorId="1A0B9D42" id="_x0000_s1034" style="position:absolute;margin-left:0;margin-top:62.5pt;width:148.1pt;height:491.6pt;z-index:251658256;visibility:visible;mso-wrap-style:square;mso-width-percent:242;mso-height-percent:0;mso-wrap-distance-left:36pt;mso-wrap-distance-top:0;mso-wrap-distance-right:9pt;mso-wrap-distance-bottom:0;mso-position-horizontal:left;mso-position-horizontal-relative:margin;mso-position-vertical:absolute;mso-position-vertical-relative:margin;mso-width-percent:242;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" o:allowincell="f" fillcolor="#deebf7" stroked="f">
                <v:textbox inset="14.4pt,14.4pt,14.4pt,14.4pt">
                  <w:txbxContent>
                    <w:p w14:paraId="5DC24042" w14:textId="77777777" w:rsidR="001143F2"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Charles Leadbeater on the rise of Innovation Labs and experimentation in the public sector</w:t>
                      </w:r>
                    </w:p>
                    <w:p w14:paraId="0027FE58" w14:textId="77777777" w:rsidR="001143F2" w:rsidRPr="000F55D0" w:rsidRDefault="001143F2" w:rsidP="000F55D0">
                      <w:pPr>
                        <w:spacing w:before="0" w:after="80"/>
                        <w:rPr>
                          <w:rFonts w:asciiTheme="majorHAnsi" w:hAnsiTheme="majorHAnsi" w:cs="Arial"/>
                          <w:b/>
                          <w:noProof/>
                          <w:color w:val="44546A" w:themeColor="text2"/>
                          <w:sz w:val="20"/>
                          <w:lang w:eastAsia="en-AU"/>
                        </w:rPr>
                      </w:pPr>
                      <w:r w:rsidRPr="00282DEE">
                        <w:rPr>
                          <w:rFonts w:asciiTheme="majorHAnsi" w:hAnsiTheme="majorHAnsi" w:cs="Arial"/>
                          <w:b/>
                          <w:noProof/>
                          <w:color w:val="44546A" w:themeColor="text2"/>
                          <w:sz w:val="20"/>
                          <w:lang w:eastAsia="en-AU"/>
                        </w:rPr>
                        <w:drawing>
                          <wp:inline distT="0" distB="0" distL="0" distR="0" wp14:anchorId="537CADFF" wp14:editId="712BE3A1">
                            <wp:extent cx="1463675" cy="976077"/>
                            <wp:effectExtent l="0" t="0" r="3175" b="0"/>
                            <wp:docPr id="33" name="Picture 33" descr="G:\BizLab\BizLab - Communication\Images\Design Leads workshop\20170228-IMG_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izLab\BizLab - Communication\Images\Design Leads workshop\20170228-IMG_785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63675" cy="976077"/>
                                    </a:xfrm>
                                    <a:prstGeom prst="rect">
                                      <a:avLst/>
                                    </a:prstGeom>
                                    <a:noFill/>
                                    <a:ln>
                                      <a:noFill/>
                                    </a:ln>
                                  </pic:spPr>
                                </pic:pic>
                              </a:graphicData>
                            </a:graphic>
                          </wp:inline>
                        </w:drawing>
                      </w:r>
                    </w:p>
                    <w:p w14:paraId="19552BB2" w14:textId="77777777" w:rsidR="001143F2" w:rsidRPr="000F55D0" w:rsidRDefault="001143F2" w:rsidP="00B04721">
                      <w:pPr>
                        <w:spacing w:before="0"/>
                        <w:rPr>
                          <w:rFonts w:asciiTheme="majorHAnsi" w:hAnsiTheme="majorHAnsi" w:cs="Arial"/>
                          <w:noProof/>
                          <w:sz w:val="16"/>
                          <w:lang w:eastAsia="en-AU"/>
                        </w:rPr>
                      </w:pPr>
                      <w:r w:rsidRPr="000F55D0">
                        <w:rPr>
                          <w:rFonts w:asciiTheme="majorHAnsi" w:hAnsiTheme="majorHAnsi" w:cs="Arial"/>
                          <w:noProof/>
                          <w:sz w:val="16"/>
                          <w:lang w:eastAsia="en-AU"/>
                        </w:rPr>
                        <w:t xml:space="preserve">Increasingly ‘experimentalism is no longer confined to formal scientific labs’ writes Charles Leadbeater. ‘It has become an organising method for social policy, start businesses, venture capitalists, tech companies and the creative arts. Everyone it seems wants to experiment their way into the future and to do so they want labs, which are proliferating well beyond their traditional habitat in the natural sciences’. There is now a burgeoning movement of so-called public labs – explicitly experimental organisations with ties to government institutions. </w:t>
                      </w:r>
                    </w:p>
                    <w:p w14:paraId="737A0834" w14:textId="77777777" w:rsidR="001143F2" w:rsidRPr="000F55D0" w:rsidRDefault="001143F2" w:rsidP="00B04721">
                      <w:pPr>
                        <w:spacing w:before="0"/>
                        <w:rPr>
                          <w:rFonts w:asciiTheme="majorHAnsi" w:hAnsiTheme="majorHAnsi" w:cs="Arial"/>
                          <w:noProof/>
                          <w:sz w:val="16"/>
                          <w:lang w:eastAsia="en-AU"/>
                        </w:rPr>
                      </w:pPr>
                    </w:p>
                    <w:p w14:paraId="2B99B878" w14:textId="77777777" w:rsidR="001143F2" w:rsidRDefault="001143F2" w:rsidP="00B04721">
                      <w:pPr>
                        <w:spacing w:before="0"/>
                        <w:rPr>
                          <w:rFonts w:asciiTheme="majorHAnsi" w:hAnsiTheme="majorHAnsi" w:cs="Arial"/>
                          <w:noProof/>
                          <w:sz w:val="16"/>
                          <w:lang w:eastAsia="en-AU"/>
                        </w:rPr>
                      </w:pPr>
                      <w:r w:rsidRPr="000F55D0">
                        <w:rPr>
                          <w:rFonts w:asciiTheme="majorHAnsi" w:hAnsiTheme="majorHAnsi" w:cs="Arial"/>
                          <w:noProof/>
                          <w:sz w:val="16"/>
                          <w:lang w:eastAsia="en-AU"/>
                        </w:rPr>
                        <w:t>Though diverse in their approaches, these innovation labs engage primarily in ethnographic processes of engaging citizens through observation and interviews in the design of public services. Most of the public labs are not focused on new technology, nor on comparative testing. But they do bring a spirit of experimentalism to public sector institutions.</w:t>
                      </w:r>
                    </w:p>
                    <w:p w14:paraId="4346B021" w14:textId="77777777" w:rsidR="001143F2" w:rsidRDefault="001143F2" w:rsidP="00B04721">
                      <w:pPr>
                        <w:spacing w:before="0"/>
                        <w:rPr>
                          <w:rFonts w:asciiTheme="majorHAnsi" w:hAnsiTheme="majorHAnsi" w:cs="Arial"/>
                          <w:noProof/>
                          <w:sz w:val="16"/>
                          <w:u w:val="single"/>
                          <w:lang w:eastAsia="en-AU"/>
                        </w:rPr>
                      </w:pPr>
                    </w:p>
                    <w:p w14:paraId="09DFC858" w14:textId="77777777" w:rsidR="001143F2" w:rsidRPr="000F55D0" w:rsidRDefault="001143F2" w:rsidP="00B04721">
                      <w:pPr>
                        <w:spacing w:before="0"/>
                        <w:rPr>
                          <w:rFonts w:asciiTheme="majorHAnsi" w:hAnsiTheme="majorHAnsi" w:cs="Arial"/>
                          <w:noProof/>
                          <w:sz w:val="16"/>
                          <w:lang w:eastAsia="en-AU"/>
                        </w:rPr>
                      </w:pPr>
                      <w:r w:rsidRPr="00011B65">
                        <w:rPr>
                          <w:rFonts w:asciiTheme="majorHAnsi" w:hAnsiTheme="majorHAnsi" w:cs="Arial"/>
                          <w:noProof/>
                          <w:sz w:val="16"/>
                          <w:u w:val="single"/>
                          <w:lang w:eastAsia="en-AU"/>
                        </w:rPr>
                        <w:t>Photo</w:t>
                      </w:r>
                      <w:r>
                        <w:rPr>
                          <w:rFonts w:asciiTheme="majorHAnsi" w:hAnsiTheme="majorHAnsi" w:cs="Arial"/>
                          <w:noProof/>
                          <w:sz w:val="16"/>
                          <w:lang w:eastAsia="en-AU"/>
                        </w:rPr>
                        <w:t>: Bizlab, an APS innovation lab, during a meeting of the APS’ design lab leads</w:t>
                      </w:r>
                    </w:p>
                  </w:txbxContent>
                </v:textbox>
                <w10:wrap type="square" anchorx="margin" anchory="margin"/>
              </v:rect>
            </w:pict>
          </mc:Fallback>
        </mc:AlternateContent>
      </w:r>
      <w:r w:rsidR="00137C47">
        <w:t>‘</w:t>
      </w:r>
      <w:r w:rsidR="00137C47" w:rsidRPr="00BF7489">
        <w:t>It’s a process that starts with the people you’re designing for and ends with new solutions that are tailor made to suit their needs. Human-centred design is all about building a deep empathy with the people you’re designing for; generating tonnes of ideas; building a bunch of prototypes; sharing what you’ve made with the people you’re designing for; and eventually putting your innovative new solution out in the world.’</w:t>
      </w:r>
      <w:r w:rsidR="00137C47" w:rsidRPr="006D092F">
        <w:rPr>
          <w:vertAlign w:val="superscript"/>
        </w:rPr>
        <w:footnoteReference w:id="24"/>
      </w:r>
    </w:p>
    <w:p w14:paraId="67936D2C" w14:textId="77777777" w:rsidR="00137C47" w:rsidRDefault="00137C47" w:rsidP="0052682D">
      <w:pPr>
        <w:spacing w:before="0"/>
      </w:pPr>
    </w:p>
    <w:p w14:paraId="1DD010E5" w14:textId="77777777" w:rsidR="00137C47" w:rsidRDefault="00137C47" w:rsidP="0052682D">
      <w:pPr>
        <w:spacing w:before="0"/>
      </w:pPr>
      <w:r>
        <w:t xml:space="preserve">So UCD is a form of engagement that could be consultative, deliberative or collaborative, depending on how it is applied. If the user is </w:t>
      </w:r>
      <w:r w:rsidR="001C5135">
        <w:t>‘</w:t>
      </w:r>
      <w:r>
        <w:t>passive</w:t>
      </w:r>
      <w:r w:rsidR="001C5135">
        <w:t>’</w:t>
      </w:r>
      <w:r>
        <w:t xml:space="preserve"> in the process and is simply used to identify a need or test a prototype the form of engagement would be more akin to consultation. But if the user is involved in the design phase, for example, developing a prototype, then the process can be more deliberative or collaborative.</w:t>
      </w:r>
    </w:p>
    <w:p w14:paraId="5224E7D9" w14:textId="77777777" w:rsidR="00137C47" w:rsidRDefault="00137C47" w:rsidP="0052682D">
      <w:pPr>
        <w:spacing w:before="0"/>
      </w:pPr>
    </w:p>
    <w:p w14:paraId="6CDF54AF" w14:textId="77777777" w:rsidR="00137C47" w:rsidRDefault="00137C47" w:rsidP="0052682D">
      <w:pPr>
        <w:spacing w:before="0"/>
      </w:pPr>
      <w:r>
        <w:t>UCD has been applied in the APS for many years, with the Australian Tax Office and the Department of Human Services being early adopters. It is becoming increasingly utilised across the APS with the drive for innovation. This can be seen in the rise of innovation labs in the APS with 14 dedicated innovation labs operating currently.</w:t>
      </w:r>
      <w:r w:rsidR="003979CA">
        <w:t xml:space="preserve"> It is also being applied on this project.</w:t>
      </w:r>
    </w:p>
    <w:p w14:paraId="4EC0AA25" w14:textId="77777777" w:rsidR="00137C47" w:rsidRDefault="00137C47" w:rsidP="0052682D">
      <w:pPr>
        <w:spacing w:before="0"/>
      </w:pPr>
    </w:p>
    <w:p w14:paraId="504C2EEC" w14:textId="77777777" w:rsidR="00137C47" w:rsidRDefault="00137C47" w:rsidP="0052682D">
      <w:pPr>
        <w:spacing w:before="0"/>
      </w:pPr>
      <w:r>
        <w:t>This increased emphasis on experimentation and innovation will be critical in addressing the complexity faced by the APS and as a driver for inviting more expertise into the conversa</w:t>
      </w:r>
      <w:r w:rsidR="006020A9">
        <w:t>tion, as Beth Noveck writes:</w:t>
      </w:r>
    </w:p>
    <w:p w14:paraId="15B0F9A4" w14:textId="77777777" w:rsidR="00137C47" w:rsidRDefault="00137C47" w:rsidP="0052682D">
      <w:pPr>
        <w:spacing w:before="0"/>
      </w:pPr>
    </w:p>
    <w:p w14:paraId="4165BD41" w14:textId="77777777" w:rsidR="00137C47" w:rsidRDefault="00137C47" w:rsidP="0052682D">
      <w:pPr>
        <w:spacing w:before="0"/>
      </w:pPr>
      <w:r>
        <w:t>‘</w:t>
      </w:r>
      <w:r w:rsidRPr="003548B6">
        <w:t xml:space="preserve">Closed public institutions are in need of upgrades and improvements, and that means accelerating the pace of research. It will be impossible to convince politicians and policymakers, let alone the public, that the transformation of institutions is imperative without research and experimentation to prove the positive impact of such changes on real people’s lives. We need to follow Mark Moore’s advice to become humble </w:t>
      </w:r>
      <w:r>
        <w:t>‘</w:t>
      </w:r>
      <w:r w:rsidRPr="003548B6">
        <w:t>explorers who, with others, seek to discover, define and produce public value</w:t>
      </w:r>
      <w:r>
        <w:t>.’</w:t>
      </w:r>
      <w:r w:rsidR="006D092F">
        <w:rPr>
          <w:rStyle w:val="FootnoteReference"/>
        </w:rPr>
        <w:footnoteReference w:id="25"/>
      </w:r>
    </w:p>
    <w:p w14:paraId="771A34AF" w14:textId="77777777" w:rsidR="000250A6" w:rsidRDefault="004724EC" w:rsidP="0052682D">
      <w:pPr>
        <w:pStyle w:val="H2"/>
        <w:spacing w:before="0" w:after="0"/>
      </w:pPr>
      <w:bookmarkStart w:id="31" w:name="_Toc495915954"/>
      <w:r>
        <w:lastRenderedPageBreak/>
        <w:t>So what is public participation</w:t>
      </w:r>
      <w:r w:rsidR="00B23FA4">
        <w:t>, and why can it help</w:t>
      </w:r>
      <w:r>
        <w:t>?</w:t>
      </w:r>
      <w:bookmarkEnd w:id="31"/>
    </w:p>
    <w:p w14:paraId="4364281E" w14:textId="77777777" w:rsidR="007417AB" w:rsidRPr="007417AB" w:rsidRDefault="007417AB" w:rsidP="007417AB">
      <w:pPr>
        <w:spacing w:before="0"/>
        <w:rPr>
          <w:rFonts w:asciiTheme="majorHAnsi" w:hAnsiTheme="majorHAnsi"/>
          <w:i/>
          <w:sz w:val="30"/>
        </w:rPr>
      </w:pPr>
      <w:r>
        <w:rPr>
          <w:rFonts w:asciiTheme="majorHAnsi" w:hAnsiTheme="majorHAnsi"/>
          <w:i/>
          <w:sz w:val="30"/>
        </w:rPr>
        <w:t xml:space="preserve">This section </w:t>
      </w:r>
      <w:r w:rsidRPr="007417AB">
        <w:rPr>
          <w:rFonts w:asciiTheme="majorHAnsi" w:hAnsiTheme="majorHAnsi"/>
          <w:i/>
          <w:sz w:val="30"/>
        </w:rPr>
        <w:t>shows that there are no universal public participation definitions</w:t>
      </w:r>
      <w:r w:rsidR="00123743">
        <w:rPr>
          <w:rFonts w:asciiTheme="majorHAnsi" w:hAnsiTheme="majorHAnsi"/>
          <w:i/>
          <w:sz w:val="30"/>
        </w:rPr>
        <w:t xml:space="preserve"> and approaches</w:t>
      </w:r>
      <w:r w:rsidRPr="007417AB">
        <w:rPr>
          <w:rFonts w:asciiTheme="majorHAnsi" w:hAnsiTheme="majorHAnsi"/>
          <w:i/>
          <w:sz w:val="30"/>
        </w:rPr>
        <w:t xml:space="preserve">, nor any universal framework we could take ‘off the shelf’ and apply in the APS. Rather, it shows that </w:t>
      </w:r>
      <w:r>
        <w:rPr>
          <w:rFonts w:asciiTheme="majorHAnsi" w:hAnsiTheme="majorHAnsi"/>
          <w:i/>
          <w:sz w:val="30"/>
        </w:rPr>
        <w:t>the APS must</w:t>
      </w:r>
      <w:r w:rsidRPr="007417AB">
        <w:rPr>
          <w:rFonts w:asciiTheme="majorHAnsi" w:hAnsiTheme="majorHAnsi"/>
          <w:i/>
          <w:sz w:val="30"/>
        </w:rPr>
        <w:t xml:space="preserve"> develop tailored </w:t>
      </w:r>
      <w:r w:rsidR="00390521">
        <w:rPr>
          <w:rFonts w:asciiTheme="majorHAnsi" w:hAnsiTheme="majorHAnsi"/>
          <w:i/>
          <w:sz w:val="30"/>
        </w:rPr>
        <w:t xml:space="preserve">and shared </w:t>
      </w:r>
      <w:r w:rsidRPr="007417AB">
        <w:rPr>
          <w:rFonts w:asciiTheme="majorHAnsi" w:hAnsiTheme="majorHAnsi"/>
          <w:i/>
          <w:sz w:val="30"/>
        </w:rPr>
        <w:t xml:space="preserve">public participation definitions and frameworks adapted to </w:t>
      </w:r>
      <w:r>
        <w:rPr>
          <w:rFonts w:asciiTheme="majorHAnsi" w:hAnsiTheme="majorHAnsi"/>
          <w:i/>
          <w:sz w:val="30"/>
        </w:rPr>
        <w:t xml:space="preserve">its </w:t>
      </w:r>
      <w:r w:rsidRPr="007417AB">
        <w:rPr>
          <w:rFonts w:asciiTheme="majorHAnsi" w:hAnsiTheme="majorHAnsi"/>
          <w:i/>
          <w:sz w:val="30"/>
        </w:rPr>
        <w:t>own needs.</w:t>
      </w:r>
    </w:p>
    <w:p w14:paraId="7463DB31" w14:textId="77777777" w:rsidR="00762DC8" w:rsidRDefault="00762DC8" w:rsidP="00762DC8">
      <w:pPr>
        <w:spacing w:before="0"/>
      </w:pPr>
    </w:p>
    <w:p w14:paraId="35DCCDE7" w14:textId="77777777" w:rsidR="00762DC8" w:rsidRDefault="00762DC8" w:rsidP="00762DC8">
      <w:pPr>
        <w:spacing w:before="0"/>
      </w:pPr>
      <w:r>
        <w:t xml:space="preserve">Some engagements in the range of public participation tools are familiar and business as usual to public servants. These include consultations through issues papers, roundtables and advisory panels, as well as communications and information sharing on agency websites. </w:t>
      </w:r>
    </w:p>
    <w:p w14:paraId="72D3EE5B" w14:textId="77777777" w:rsidR="00762DC8" w:rsidRDefault="00762DC8" w:rsidP="00762DC8">
      <w:pPr>
        <w:spacing w:before="0"/>
      </w:pPr>
    </w:p>
    <w:p w14:paraId="476C1849" w14:textId="77777777" w:rsidR="00762DC8" w:rsidRDefault="00762DC8" w:rsidP="00762DC8">
      <w:pPr>
        <w:spacing w:before="0"/>
      </w:pPr>
      <w:r>
        <w:t>However, m</w:t>
      </w:r>
      <w:r w:rsidRPr="002E7053">
        <w:t xml:space="preserve">ore innovative </w:t>
      </w:r>
      <w:r>
        <w:t xml:space="preserve">engagements are less familiar. These include deliberation and collaboration engagements, </w:t>
      </w:r>
      <w:r w:rsidRPr="002E7053">
        <w:t xml:space="preserve">where </w:t>
      </w:r>
      <w:r>
        <w:t>the public</w:t>
      </w:r>
      <w:r w:rsidRPr="002E7053">
        <w:t xml:space="preserve"> is invited into the conversation to identify, solve, implement an</w:t>
      </w:r>
      <w:r>
        <w:t>d in some circumstances, decide</w:t>
      </w:r>
      <w:r w:rsidRPr="002E7053">
        <w:t>.</w:t>
      </w:r>
      <w:r>
        <w:t xml:space="preserve"> Examples of such engagements include user-centred design and ‘challen</w:t>
      </w:r>
      <w:r w:rsidR="00B23FA4">
        <w:t>ges’ like those described above, and many of the other engagements included in case studies throughout this report.</w:t>
      </w:r>
    </w:p>
    <w:p w14:paraId="18EC92D8" w14:textId="77777777" w:rsidR="00A3578F" w:rsidRDefault="00A3578F" w:rsidP="0099677B">
      <w:pPr>
        <w:spacing w:before="0"/>
      </w:pPr>
    </w:p>
    <w:p w14:paraId="46CA38A4" w14:textId="77777777" w:rsidR="0095616F" w:rsidRDefault="005604D0" w:rsidP="0099677B">
      <w:pPr>
        <w:spacing w:before="0"/>
      </w:pPr>
      <w:r>
        <w:t xml:space="preserve">To build context and </w:t>
      </w:r>
      <w:r w:rsidRPr="002D24ED">
        <w:t>a common understanding on what we mean when we are talking about</w:t>
      </w:r>
      <w:r>
        <w:t xml:space="preserve"> public participation, </w:t>
      </w:r>
      <w:r w:rsidR="00A3578F">
        <w:t>in this section we review</w:t>
      </w:r>
      <w:r w:rsidR="0095616F">
        <w:t>:</w:t>
      </w:r>
    </w:p>
    <w:p w14:paraId="56EBD30E" w14:textId="77777777" w:rsidR="0095616F" w:rsidRDefault="00A3578F" w:rsidP="0095616F">
      <w:pPr>
        <w:pStyle w:val="ListParagraph"/>
        <w:numPr>
          <w:ilvl w:val="0"/>
          <w:numId w:val="28"/>
        </w:numPr>
        <w:spacing w:before="0"/>
      </w:pPr>
      <w:r>
        <w:t xml:space="preserve">the </w:t>
      </w:r>
      <w:r w:rsidR="0095616F">
        <w:t xml:space="preserve">many </w:t>
      </w:r>
      <w:r w:rsidR="005604D0">
        <w:t>ways</w:t>
      </w:r>
      <w:r w:rsidR="0095616F">
        <w:t xml:space="preserve"> public participation is defined;</w:t>
      </w:r>
    </w:p>
    <w:p w14:paraId="300C9402" w14:textId="77777777" w:rsidR="0095616F" w:rsidRDefault="0095616F" w:rsidP="0095616F">
      <w:pPr>
        <w:pStyle w:val="ListParagraph"/>
        <w:numPr>
          <w:ilvl w:val="0"/>
          <w:numId w:val="28"/>
        </w:numPr>
        <w:spacing w:before="0"/>
      </w:pPr>
      <w:r>
        <w:t xml:space="preserve">why public participation </w:t>
      </w:r>
      <w:r w:rsidR="00B23FA4">
        <w:t>is an innovation that can help public servants overcome the complexity of their work</w:t>
      </w:r>
      <w:r>
        <w:t>; and</w:t>
      </w:r>
    </w:p>
    <w:p w14:paraId="6D96D4FC" w14:textId="77777777" w:rsidR="0095616F" w:rsidRDefault="00A3578F" w:rsidP="0095616F">
      <w:pPr>
        <w:pStyle w:val="ListParagraph"/>
        <w:numPr>
          <w:ilvl w:val="0"/>
          <w:numId w:val="28"/>
        </w:numPr>
        <w:spacing w:before="0"/>
      </w:pPr>
      <w:r>
        <w:t xml:space="preserve">existing participation frameworks. </w:t>
      </w:r>
    </w:p>
    <w:p w14:paraId="4E75B398" w14:textId="77777777" w:rsidR="00A3578F" w:rsidRDefault="00A3578F" w:rsidP="0099677B">
      <w:pPr>
        <w:spacing w:before="0"/>
      </w:pPr>
    </w:p>
    <w:p w14:paraId="1477A55D" w14:textId="77777777" w:rsidR="0095616F" w:rsidRPr="00EA3B27" w:rsidRDefault="005604D0" w:rsidP="0095616F">
      <w:pPr>
        <w:pStyle w:val="Heading6"/>
        <w:numPr>
          <w:ilvl w:val="0"/>
          <w:numId w:val="0"/>
        </w:numPr>
        <w:spacing w:before="0"/>
        <w:rPr>
          <w:b/>
          <w:i w:val="0"/>
        </w:rPr>
      </w:pPr>
      <w:r w:rsidRPr="00EA3B27">
        <w:rPr>
          <w:b/>
          <w:i w:val="0"/>
        </w:rPr>
        <w:t xml:space="preserve">The </w:t>
      </w:r>
      <w:r w:rsidR="00B23FA4" w:rsidRPr="00EA3B27">
        <w:rPr>
          <w:b/>
          <w:i w:val="0"/>
        </w:rPr>
        <w:t>terms</w:t>
      </w:r>
      <w:r w:rsidRPr="00EA3B27">
        <w:rPr>
          <w:b/>
          <w:i w:val="0"/>
        </w:rPr>
        <w:t xml:space="preserve"> </w:t>
      </w:r>
      <w:r w:rsidR="00B23FA4" w:rsidRPr="00EA3B27">
        <w:rPr>
          <w:b/>
          <w:i w:val="0"/>
        </w:rPr>
        <w:t>used for</w:t>
      </w:r>
      <w:r w:rsidRPr="00EA3B27">
        <w:rPr>
          <w:b/>
          <w:i w:val="0"/>
        </w:rPr>
        <w:t xml:space="preserve"> p</w:t>
      </w:r>
      <w:r w:rsidR="0095616F" w:rsidRPr="00EA3B27">
        <w:rPr>
          <w:b/>
          <w:i w:val="0"/>
        </w:rPr>
        <w:t xml:space="preserve">ublic participation </w:t>
      </w:r>
      <w:r w:rsidR="00B23FA4" w:rsidRPr="00EA3B27">
        <w:rPr>
          <w:b/>
          <w:i w:val="0"/>
        </w:rPr>
        <w:t>vary</w:t>
      </w:r>
      <w:r w:rsidR="0095616F" w:rsidRPr="00EA3B27">
        <w:rPr>
          <w:b/>
          <w:i w:val="0"/>
        </w:rPr>
        <w:t xml:space="preserve"> </w:t>
      </w:r>
      <w:r w:rsidR="00B23FA4" w:rsidRPr="00EA3B27">
        <w:rPr>
          <w:b/>
          <w:i w:val="0"/>
        </w:rPr>
        <w:t xml:space="preserve">between </w:t>
      </w:r>
      <w:r w:rsidR="0095616F" w:rsidRPr="00EA3B27">
        <w:rPr>
          <w:b/>
          <w:i w:val="0"/>
        </w:rPr>
        <w:t xml:space="preserve">organisations, jurisdictions and </w:t>
      </w:r>
      <w:r w:rsidRPr="00EA3B27">
        <w:rPr>
          <w:b/>
          <w:i w:val="0"/>
        </w:rPr>
        <w:t>cultures</w:t>
      </w:r>
    </w:p>
    <w:p w14:paraId="4D0F9DC7" w14:textId="77777777" w:rsidR="001E78AC" w:rsidRPr="001E78AC" w:rsidRDefault="00762DC8" w:rsidP="001E78AC">
      <w:pPr>
        <w:spacing w:before="0"/>
      </w:pPr>
      <w:r>
        <w:t>I</w:t>
      </w:r>
      <w:r w:rsidR="0095616F" w:rsidRPr="0095616F">
        <w:t>f you are confused by what ‘public participation’ means, or why you have not heard of it until now, part of the explanation is that there is no universally accepted term to refer to it.</w:t>
      </w:r>
      <w:r w:rsidR="005604D0">
        <w:t xml:space="preserve"> </w:t>
      </w:r>
      <w:r w:rsidR="001E78AC" w:rsidRPr="001E78AC">
        <w:t xml:space="preserve">Public participation does not have a universal definition. It refers to an array of different engagements that public servants can use to involve and inform the public about their work. </w:t>
      </w:r>
    </w:p>
    <w:p w14:paraId="6B24AF96" w14:textId="77777777" w:rsidR="005604D0" w:rsidRDefault="005604D0" w:rsidP="0095616F">
      <w:pPr>
        <w:spacing w:before="0"/>
      </w:pPr>
    </w:p>
    <w:p w14:paraId="7970F497" w14:textId="77777777" w:rsidR="0095616F" w:rsidRPr="0095616F" w:rsidRDefault="0095616F" w:rsidP="0095616F">
      <w:pPr>
        <w:spacing w:before="0"/>
      </w:pPr>
      <w:r w:rsidRPr="0095616F">
        <w:t xml:space="preserve">Our research indicates public servants tend to use the term ‘consultation’ or ‘engagement’ as a catch-all term for the full range of public participation tools. </w:t>
      </w:r>
    </w:p>
    <w:p w14:paraId="7D6442A8" w14:textId="77777777" w:rsidR="0095616F" w:rsidRPr="0095616F" w:rsidRDefault="0095616F" w:rsidP="0095616F">
      <w:pPr>
        <w:spacing w:before="0"/>
      </w:pPr>
    </w:p>
    <w:p w14:paraId="0A5E2657" w14:textId="77777777" w:rsidR="0095616F" w:rsidRPr="0095616F" w:rsidRDefault="0095616F" w:rsidP="0095616F">
      <w:pPr>
        <w:spacing w:before="0"/>
      </w:pPr>
      <w:r w:rsidRPr="0095616F">
        <w:t xml:space="preserve">But different countries, organisations and jurisdictions use different terms. </w:t>
      </w:r>
      <w:r w:rsidR="00B23FA4">
        <w:t>Terms</w:t>
      </w:r>
      <w:r w:rsidRPr="0095616F">
        <w:t xml:space="preserve"> focussing on engagement include ‘community engagement’; ‘civic engagement’; ‘public involvement’; ‘public engagement’; ‘community consultation’; ‘citizen engagement’; ‘participatory development’; ‘brand engagement’; or simply ‘engagement’ or ‘consultation’. Others refer to public participation models as ‘deliberative democracy’; ‘digital democracy’; ‘democratic innovation’; ‘collaborative governance’ and ‘participatory governance’.</w:t>
      </w:r>
      <w:r>
        <w:rPr>
          <w:rStyle w:val="FootnoteReference"/>
        </w:rPr>
        <w:footnoteReference w:id="26"/>
      </w:r>
    </w:p>
    <w:p w14:paraId="58F17C18" w14:textId="77777777" w:rsidR="0095616F" w:rsidRDefault="0095616F" w:rsidP="00A3578F">
      <w:pPr>
        <w:pStyle w:val="BodyText"/>
        <w:jc w:val="left"/>
      </w:pPr>
    </w:p>
    <w:p w14:paraId="4332902B" w14:textId="77777777" w:rsidR="00762DC8" w:rsidRDefault="00762DC8" w:rsidP="00762DC8">
      <w:pPr>
        <w:spacing w:before="0"/>
      </w:pPr>
      <w:r>
        <w:t>Our project will not attempt t</w:t>
      </w:r>
      <w:r w:rsidR="005604D0">
        <w:t xml:space="preserve">o settle </w:t>
      </w:r>
      <w:r>
        <w:t xml:space="preserve">which nomenclature is best. However, for clarity, </w:t>
      </w:r>
      <w:r w:rsidRPr="0095616F">
        <w:t xml:space="preserve">we </w:t>
      </w:r>
      <w:r w:rsidR="00B23FA4">
        <w:t xml:space="preserve">will </w:t>
      </w:r>
      <w:r w:rsidRPr="0095616F">
        <w:t>refer to ‘public participation’ and ‘engagement’</w:t>
      </w:r>
      <w:r w:rsidR="005604D0">
        <w:t>, and use these terms</w:t>
      </w:r>
      <w:r w:rsidRPr="0095616F">
        <w:t xml:space="preserve"> interchangeably. </w:t>
      </w:r>
    </w:p>
    <w:p w14:paraId="05D1873C" w14:textId="77777777" w:rsidR="00762DC8" w:rsidRDefault="00762DC8" w:rsidP="00A3578F">
      <w:pPr>
        <w:pStyle w:val="BodyText"/>
        <w:jc w:val="left"/>
      </w:pPr>
    </w:p>
    <w:p w14:paraId="523DB275" w14:textId="77777777" w:rsidR="00A3578F" w:rsidRPr="00EA3B27" w:rsidRDefault="00A3578F" w:rsidP="00A3578F">
      <w:pPr>
        <w:pStyle w:val="Heading6"/>
        <w:numPr>
          <w:ilvl w:val="0"/>
          <w:numId w:val="0"/>
        </w:numPr>
        <w:spacing w:before="0"/>
        <w:rPr>
          <w:b/>
          <w:i w:val="0"/>
        </w:rPr>
      </w:pPr>
      <w:r w:rsidRPr="00EA3B27">
        <w:rPr>
          <w:b/>
          <w:i w:val="0"/>
        </w:rPr>
        <w:t>Public participation is innovative</w:t>
      </w:r>
    </w:p>
    <w:p w14:paraId="23F40C0C" w14:textId="77777777" w:rsidR="00762DC8" w:rsidRDefault="0095616F" w:rsidP="00762DC8">
      <w:pPr>
        <w:spacing w:before="0"/>
      </w:pPr>
      <w:r>
        <w:t>Regardless</w:t>
      </w:r>
      <w:r w:rsidR="00A3578F">
        <w:t xml:space="preserve"> of how it is defined, public participation</w:t>
      </w:r>
      <w:r w:rsidR="00926CDC">
        <w:t>, particularly collaboration and deliberation,</w:t>
      </w:r>
      <w:r w:rsidR="00A3578F">
        <w:t xml:space="preserve"> </w:t>
      </w:r>
      <w:r w:rsidR="00762DC8">
        <w:t xml:space="preserve">is </w:t>
      </w:r>
      <w:r w:rsidR="00A3578F">
        <w:t xml:space="preserve">an innovative way of doing business that can help public servants address the complexity of their work. </w:t>
      </w:r>
    </w:p>
    <w:p w14:paraId="647EDE28" w14:textId="77777777" w:rsidR="00762DC8" w:rsidRDefault="00762DC8" w:rsidP="00A3578F">
      <w:pPr>
        <w:spacing w:before="0"/>
      </w:pPr>
    </w:p>
    <w:p w14:paraId="721D8E67" w14:textId="77777777" w:rsidR="003A5E06" w:rsidRDefault="0094143D" w:rsidP="0052682D">
      <w:pPr>
        <w:spacing w:before="0"/>
      </w:pPr>
      <w:r>
        <w:rPr>
          <w:noProof/>
          <w:lang w:eastAsia="en-AU"/>
        </w:rPr>
        <mc:AlternateContent>
          <mc:Choice Requires="wps">
            <w:drawing>
              <wp:anchor distT="45720" distB="45720" distL="114300" distR="114300" simplePos="0" relativeHeight="251658270" behindDoc="0" locked="0" layoutInCell="1" allowOverlap="1" wp14:anchorId="75FDD139" wp14:editId="255071C4">
                <wp:simplePos x="0" y="0"/>
                <wp:positionH relativeFrom="margin">
                  <wp:align>left</wp:align>
                </wp:positionH>
                <wp:positionV relativeFrom="paragraph">
                  <wp:posOffset>35452</wp:posOffset>
                </wp:positionV>
                <wp:extent cx="2828925" cy="3001645"/>
                <wp:effectExtent l="0" t="0" r="9525" b="825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3001993"/>
                        </a:xfrm>
                        <a:prstGeom prst="rect">
                          <a:avLst/>
                        </a:prstGeom>
                        <a:solidFill>
                          <a:srgbClr val="DEEBF7"/>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tblGrid>
                            <w:tr w:rsidR="001143F2" w14:paraId="7D05EDE5" w14:textId="77777777" w:rsidTr="00537026">
                              <w:tc>
                                <w:tcPr>
                                  <w:tcW w:w="8545" w:type="dxa"/>
                                </w:tcPr>
                                <w:p w14:paraId="7B459E10" w14:textId="77777777" w:rsidR="001143F2" w:rsidRDefault="001143F2" w:rsidP="0094143D">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Could public participation do for policy what Open Source has done for software?</w:t>
                                  </w:r>
                                </w:p>
                                <w:p w14:paraId="38CDD89B"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Open Source software licenc</w:t>
                                  </w:r>
                                  <w:r w:rsidRPr="002707A6">
                                    <w:rPr>
                                      <w:rFonts w:asciiTheme="majorHAnsi" w:hAnsiTheme="majorHAnsi" w:cs="Arial"/>
                                      <w:noProof/>
                                      <w:sz w:val="16"/>
                                      <w:lang w:eastAsia="en-AU"/>
                                    </w:rPr>
                                    <w:t>es promote collaboration and sharing because they permit people</w:t>
                                  </w:r>
                                  <w:r>
                                    <w:rPr>
                                      <w:rFonts w:asciiTheme="majorHAnsi" w:hAnsiTheme="majorHAnsi" w:cs="Arial"/>
                                      <w:noProof/>
                                      <w:sz w:val="16"/>
                                      <w:lang w:eastAsia="en-AU"/>
                                    </w:rPr>
                                    <w:t>,</w:t>
                                  </w:r>
                                  <w:r w:rsidRPr="002707A6">
                                    <w:rPr>
                                      <w:rFonts w:asciiTheme="majorHAnsi" w:hAnsiTheme="majorHAnsi" w:cs="Arial"/>
                                      <w:noProof/>
                                      <w:sz w:val="16"/>
                                      <w:lang w:eastAsia="en-AU"/>
                                    </w:rPr>
                                    <w:t xml:space="preserve"> </w:t>
                                  </w:r>
                                  <w:r>
                                    <w:rPr>
                                      <w:rFonts w:asciiTheme="majorHAnsi" w:hAnsiTheme="majorHAnsi" w:cs="Arial"/>
                                      <w:noProof/>
                                      <w:sz w:val="16"/>
                                      <w:lang w:eastAsia="en-AU"/>
                                    </w:rPr>
                                    <w:t xml:space="preserve">other than the original code authors, </w:t>
                                  </w:r>
                                  <w:r w:rsidRPr="002707A6">
                                    <w:rPr>
                                      <w:rFonts w:asciiTheme="majorHAnsi" w:hAnsiTheme="majorHAnsi" w:cs="Arial"/>
                                      <w:noProof/>
                                      <w:sz w:val="16"/>
                                      <w:lang w:eastAsia="en-AU"/>
                                    </w:rPr>
                                    <w:t>to make modifications to source code and incorporate those changes into their own projects.</w:t>
                                  </w:r>
                                  <w:r>
                                    <w:rPr>
                                      <w:rFonts w:asciiTheme="majorHAnsi" w:hAnsiTheme="majorHAnsi" w:cs="Arial"/>
                                      <w:noProof/>
                                      <w:sz w:val="16"/>
                                      <w:lang w:eastAsia="en-AU"/>
                                    </w:rPr>
                                    <w:t xml:space="preserve"> It can be compared to proprietary software, where only the original authors can copy, inspect and alter that software.</w:t>
                                  </w:r>
                                </w:p>
                                <w:p w14:paraId="4BFB7179" w14:textId="77777777" w:rsidR="001143F2" w:rsidRDefault="001143F2" w:rsidP="0094143D">
                                  <w:pPr>
                                    <w:spacing w:before="0"/>
                                    <w:rPr>
                                      <w:rFonts w:asciiTheme="majorHAnsi" w:hAnsiTheme="majorHAnsi" w:cs="Arial"/>
                                      <w:noProof/>
                                      <w:sz w:val="16"/>
                                      <w:lang w:eastAsia="en-AU"/>
                                    </w:rPr>
                                  </w:pPr>
                                </w:p>
                                <w:p w14:paraId="083D0D85"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 xml:space="preserve">Open Source has delivered or contributed to some outstanding software and has become ubiquitous. Examples include: Linux, Apache, Google’s Android, Firefox, Google Chrome, WordPress, My SQL and VLC Player. </w:t>
                                  </w:r>
                                </w:p>
                                <w:p w14:paraId="293C63A3" w14:textId="77777777" w:rsidR="001143F2" w:rsidRDefault="001143F2" w:rsidP="0094143D">
                                  <w:pPr>
                                    <w:spacing w:before="0"/>
                                    <w:rPr>
                                      <w:rFonts w:asciiTheme="majorHAnsi" w:hAnsiTheme="majorHAnsi" w:cs="Arial"/>
                                      <w:noProof/>
                                      <w:sz w:val="16"/>
                                      <w:lang w:eastAsia="en-AU"/>
                                    </w:rPr>
                                  </w:pPr>
                                </w:p>
                                <w:p w14:paraId="0CC72029"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If the public service better used public participation – both technological and non-techological – to tap the expertise of the public, the way Open Source has for software, could it anticipate similar success?</w:t>
                                  </w:r>
                                </w:p>
                                <w:p w14:paraId="4E29845C" w14:textId="77777777" w:rsidR="001143F2" w:rsidRDefault="001143F2" w:rsidP="0094143D">
                                  <w:pPr>
                                    <w:spacing w:before="0"/>
                                    <w:rPr>
                                      <w:rFonts w:asciiTheme="majorHAnsi" w:hAnsiTheme="majorHAnsi" w:cs="Arial"/>
                                      <w:noProof/>
                                      <w:sz w:val="16"/>
                                      <w:lang w:eastAsia="en-AU"/>
                                    </w:rPr>
                                  </w:pPr>
                                </w:p>
                                <w:p w14:paraId="29C7917E"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 xml:space="preserve">Sources: Open Source “What is Open Source?”, accessed September 2017. Link: </w:t>
                                  </w:r>
                                  <w:hyperlink r:id="rId44" w:history="1">
                                    <w:r w:rsidRPr="00D4293F">
                                      <w:rPr>
                                        <w:rStyle w:val="Hyperlink"/>
                                        <w:rFonts w:asciiTheme="majorHAnsi" w:hAnsiTheme="majorHAnsi" w:cs="Arial"/>
                                        <w:noProof/>
                                        <w:sz w:val="16"/>
                                        <w:lang w:eastAsia="en-AU"/>
                                      </w:rPr>
                                      <w:t>https://opensource.com/resources/what-open-source</w:t>
                                    </w:r>
                                  </w:hyperlink>
                                  <w:r>
                                    <w:rPr>
                                      <w:rFonts w:asciiTheme="majorHAnsi" w:hAnsiTheme="majorHAnsi" w:cs="Arial"/>
                                      <w:noProof/>
                                      <w:sz w:val="16"/>
                                      <w:lang w:eastAsia="en-AU"/>
                                    </w:rPr>
                                    <w:t>.</w:t>
                                  </w:r>
                                </w:p>
                                <w:p w14:paraId="682560F8" w14:textId="77777777" w:rsidR="001143F2" w:rsidRDefault="001143F2" w:rsidP="0094143D">
                                  <w:pPr>
                                    <w:spacing w:before="0" w:after="80"/>
                                    <w:rPr>
                                      <w:rFonts w:asciiTheme="majorHAnsi" w:hAnsiTheme="majorHAnsi" w:cs="Arial"/>
                                      <w:b/>
                                      <w:noProof/>
                                      <w:color w:val="44546A" w:themeColor="text2"/>
                                      <w:sz w:val="20"/>
                                      <w:lang w:eastAsia="en-AU"/>
                                    </w:rPr>
                                  </w:pPr>
                                </w:p>
                              </w:tc>
                            </w:tr>
                          </w:tbl>
                          <w:p w14:paraId="6784684B" w14:textId="77777777" w:rsidR="001143F2" w:rsidRDefault="001143F2" w:rsidP="0094143D">
                            <w:pPr>
                              <w:spacing w:before="0" w:after="80"/>
                              <w:rPr>
                                <w:rFonts w:asciiTheme="majorHAnsi" w:hAnsiTheme="majorHAnsi" w:cs="Arial"/>
                                <w:b/>
                                <w:noProof/>
                                <w:color w:val="44546A" w:themeColor="text2"/>
                                <w:sz w:val="20"/>
                                <w:lang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DD139" id="_x0000_s1035" type="#_x0000_t202" style="position:absolute;margin-left:0;margin-top:2.8pt;width:222.75pt;height:236.35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" fillcolor="#deebf7"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tblGrid>
                      <w:tr w:rsidR="001143F2" w14:paraId="7D05EDE5" w14:textId="77777777" w:rsidTr="00537026">
                        <w:tc>
                          <w:tcPr>
                            <w:tcW w:w="8545" w:type="dxa"/>
                          </w:tcPr>
                          <w:p w14:paraId="7B459E10" w14:textId="77777777" w:rsidR="001143F2" w:rsidRDefault="001143F2" w:rsidP="0094143D">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Could public participation do for policy what Open Source has done for software?</w:t>
                            </w:r>
                          </w:p>
                          <w:p w14:paraId="38CDD89B"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Open Source software licenc</w:t>
                            </w:r>
                            <w:r w:rsidRPr="002707A6">
                              <w:rPr>
                                <w:rFonts w:asciiTheme="majorHAnsi" w:hAnsiTheme="majorHAnsi" w:cs="Arial"/>
                                <w:noProof/>
                                <w:sz w:val="16"/>
                                <w:lang w:eastAsia="en-AU"/>
                              </w:rPr>
                              <w:t>es promote collaboration and sharing because they permit people</w:t>
                            </w:r>
                            <w:r>
                              <w:rPr>
                                <w:rFonts w:asciiTheme="majorHAnsi" w:hAnsiTheme="majorHAnsi" w:cs="Arial"/>
                                <w:noProof/>
                                <w:sz w:val="16"/>
                                <w:lang w:eastAsia="en-AU"/>
                              </w:rPr>
                              <w:t>,</w:t>
                            </w:r>
                            <w:r w:rsidRPr="002707A6">
                              <w:rPr>
                                <w:rFonts w:asciiTheme="majorHAnsi" w:hAnsiTheme="majorHAnsi" w:cs="Arial"/>
                                <w:noProof/>
                                <w:sz w:val="16"/>
                                <w:lang w:eastAsia="en-AU"/>
                              </w:rPr>
                              <w:t xml:space="preserve"> </w:t>
                            </w:r>
                            <w:r>
                              <w:rPr>
                                <w:rFonts w:asciiTheme="majorHAnsi" w:hAnsiTheme="majorHAnsi" w:cs="Arial"/>
                                <w:noProof/>
                                <w:sz w:val="16"/>
                                <w:lang w:eastAsia="en-AU"/>
                              </w:rPr>
                              <w:t xml:space="preserve">other than the original code authors, </w:t>
                            </w:r>
                            <w:r w:rsidRPr="002707A6">
                              <w:rPr>
                                <w:rFonts w:asciiTheme="majorHAnsi" w:hAnsiTheme="majorHAnsi" w:cs="Arial"/>
                                <w:noProof/>
                                <w:sz w:val="16"/>
                                <w:lang w:eastAsia="en-AU"/>
                              </w:rPr>
                              <w:t>to make modifications to source code and incorporate those changes into their own projects.</w:t>
                            </w:r>
                            <w:r>
                              <w:rPr>
                                <w:rFonts w:asciiTheme="majorHAnsi" w:hAnsiTheme="majorHAnsi" w:cs="Arial"/>
                                <w:noProof/>
                                <w:sz w:val="16"/>
                                <w:lang w:eastAsia="en-AU"/>
                              </w:rPr>
                              <w:t xml:space="preserve"> It can be compared to proprietary software, where only the original authors can copy, inspect and alter that software.</w:t>
                            </w:r>
                          </w:p>
                          <w:p w14:paraId="4BFB7179" w14:textId="77777777" w:rsidR="001143F2" w:rsidRDefault="001143F2" w:rsidP="0094143D">
                            <w:pPr>
                              <w:spacing w:before="0"/>
                              <w:rPr>
                                <w:rFonts w:asciiTheme="majorHAnsi" w:hAnsiTheme="majorHAnsi" w:cs="Arial"/>
                                <w:noProof/>
                                <w:sz w:val="16"/>
                                <w:lang w:eastAsia="en-AU"/>
                              </w:rPr>
                            </w:pPr>
                          </w:p>
                          <w:p w14:paraId="083D0D85"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 xml:space="preserve">Open Source has delivered or contributed to some outstanding software and has become ubiquitous. Examples include: Linux, Apache, Google’s Android, Firefox, Google Chrome, WordPress, My SQL and VLC Player. </w:t>
                            </w:r>
                          </w:p>
                          <w:p w14:paraId="293C63A3" w14:textId="77777777" w:rsidR="001143F2" w:rsidRDefault="001143F2" w:rsidP="0094143D">
                            <w:pPr>
                              <w:spacing w:before="0"/>
                              <w:rPr>
                                <w:rFonts w:asciiTheme="majorHAnsi" w:hAnsiTheme="majorHAnsi" w:cs="Arial"/>
                                <w:noProof/>
                                <w:sz w:val="16"/>
                                <w:lang w:eastAsia="en-AU"/>
                              </w:rPr>
                            </w:pPr>
                          </w:p>
                          <w:p w14:paraId="0CC72029"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If the public service better used public participation – both technological and non-techological – to tap the expertise of the public, the way Open Source has for software, could it anticipate similar success?</w:t>
                            </w:r>
                          </w:p>
                          <w:p w14:paraId="4E29845C" w14:textId="77777777" w:rsidR="001143F2" w:rsidRDefault="001143F2" w:rsidP="0094143D">
                            <w:pPr>
                              <w:spacing w:before="0"/>
                              <w:rPr>
                                <w:rFonts w:asciiTheme="majorHAnsi" w:hAnsiTheme="majorHAnsi" w:cs="Arial"/>
                                <w:noProof/>
                                <w:sz w:val="16"/>
                                <w:lang w:eastAsia="en-AU"/>
                              </w:rPr>
                            </w:pPr>
                          </w:p>
                          <w:p w14:paraId="29C7917E" w14:textId="77777777" w:rsidR="001143F2" w:rsidRDefault="001143F2" w:rsidP="0094143D">
                            <w:pPr>
                              <w:spacing w:before="0"/>
                              <w:rPr>
                                <w:rFonts w:asciiTheme="majorHAnsi" w:hAnsiTheme="majorHAnsi" w:cs="Arial"/>
                                <w:noProof/>
                                <w:sz w:val="16"/>
                                <w:lang w:eastAsia="en-AU"/>
                              </w:rPr>
                            </w:pPr>
                            <w:r>
                              <w:rPr>
                                <w:rFonts w:asciiTheme="majorHAnsi" w:hAnsiTheme="majorHAnsi" w:cs="Arial"/>
                                <w:noProof/>
                                <w:sz w:val="16"/>
                                <w:lang w:eastAsia="en-AU"/>
                              </w:rPr>
                              <w:t xml:space="preserve">Sources: Open Source “What is Open Source?”, accessed September 2017. Link: </w:t>
                            </w:r>
                            <w:hyperlink r:id="rId45" w:history="1">
                              <w:r w:rsidRPr="00D4293F">
                                <w:rPr>
                                  <w:rStyle w:val="Hyperlink"/>
                                  <w:rFonts w:asciiTheme="majorHAnsi" w:hAnsiTheme="majorHAnsi" w:cs="Arial"/>
                                  <w:noProof/>
                                  <w:sz w:val="16"/>
                                  <w:lang w:eastAsia="en-AU"/>
                                </w:rPr>
                                <w:t>https://opensource.com/resources/what-open-source</w:t>
                              </w:r>
                            </w:hyperlink>
                            <w:r>
                              <w:rPr>
                                <w:rFonts w:asciiTheme="majorHAnsi" w:hAnsiTheme="majorHAnsi" w:cs="Arial"/>
                                <w:noProof/>
                                <w:sz w:val="16"/>
                                <w:lang w:eastAsia="en-AU"/>
                              </w:rPr>
                              <w:t>.</w:t>
                            </w:r>
                          </w:p>
                          <w:p w14:paraId="682560F8" w14:textId="77777777" w:rsidR="001143F2" w:rsidRDefault="001143F2" w:rsidP="0094143D">
                            <w:pPr>
                              <w:spacing w:before="0" w:after="80"/>
                              <w:rPr>
                                <w:rFonts w:asciiTheme="majorHAnsi" w:hAnsiTheme="majorHAnsi" w:cs="Arial"/>
                                <w:b/>
                                <w:noProof/>
                                <w:color w:val="44546A" w:themeColor="text2"/>
                                <w:sz w:val="20"/>
                                <w:lang w:eastAsia="en-AU"/>
                              </w:rPr>
                            </w:pPr>
                          </w:p>
                        </w:tc>
                      </w:tr>
                    </w:tbl>
                    <w:p w14:paraId="6784684B" w14:textId="77777777" w:rsidR="001143F2" w:rsidRDefault="001143F2" w:rsidP="0094143D">
                      <w:pPr>
                        <w:spacing w:before="0" w:after="80"/>
                        <w:rPr>
                          <w:rFonts w:asciiTheme="majorHAnsi" w:hAnsiTheme="majorHAnsi" w:cs="Arial"/>
                          <w:b/>
                          <w:noProof/>
                          <w:color w:val="44546A" w:themeColor="text2"/>
                          <w:sz w:val="20"/>
                          <w:lang w:eastAsia="en-AU"/>
                        </w:rPr>
                      </w:pPr>
                    </w:p>
                  </w:txbxContent>
                </v:textbox>
                <w10:wrap type="square" anchorx="margin"/>
              </v:shape>
            </w:pict>
          </mc:Fallback>
        </mc:AlternateContent>
      </w:r>
      <w:r w:rsidR="00A3578F">
        <w:t>Like Open Source software</w:t>
      </w:r>
      <w:r w:rsidR="004652EF">
        <w:t>, Wikipedia and Open Government</w:t>
      </w:r>
      <w:r w:rsidR="00A3578F">
        <w:t>,</w:t>
      </w:r>
      <w:r w:rsidR="00762DC8">
        <w:t xml:space="preserve"> public participation reaps</w:t>
      </w:r>
      <w:r w:rsidR="00A3578F">
        <w:t xml:space="preserve"> the benefits of open innovation. Business studies academic </w:t>
      </w:r>
      <w:r w:rsidR="00A3578F" w:rsidRPr="00394252">
        <w:t>Henry Chesbro</w:t>
      </w:r>
      <w:r w:rsidR="00A3578F">
        <w:t>ugh defines open innovation as ‘</w:t>
      </w:r>
      <w:r w:rsidR="00A3578F" w:rsidRPr="00394252">
        <w:t>a paradigm that assumes that firms can and should use external ideas as well as internal ideas, and internal and external paths to market, as the firms l</w:t>
      </w:r>
      <w:r w:rsidR="00A3578F">
        <w:t>ook to advance their technology’</w:t>
      </w:r>
      <w:r w:rsidR="00A3578F" w:rsidRPr="00394252">
        <w:t>.</w:t>
      </w:r>
      <w:r w:rsidR="00A3578F">
        <w:t xml:space="preserve"> </w:t>
      </w:r>
      <w:r w:rsidR="00A3578F" w:rsidRPr="00394252">
        <w:t>He goes on to explain:</w:t>
      </w:r>
      <w:r>
        <w:t xml:space="preserve"> </w:t>
      </w:r>
      <w:r w:rsidR="003A5E06">
        <w:t>‘</w:t>
      </w:r>
      <w:r w:rsidR="003A5E06" w:rsidRPr="00A05910">
        <w:t xml:space="preserve">Innovators must integrate their ideas, expertise and skills with those of others outside the organisation to deliver the result to the marketplace, using the most effective means possible. In short, firms that can harness outside ideas to advance their own businesses while leveraging their internal ideas outside their current operations will likely thrive in this new era of open </w:t>
      </w:r>
      <w:r w:rsidR="003A5E06">
        <w:t>innovation.’</w:t>
      </w:r>
      <w:r w:rsidR="003A5E06" w:rsidRPr="00A05910">
        <w:rPr>
          <w:vertAlign w:val="superscript"/>
        </w:rPr>
        <w:footnoteReference w:id="27"/>
      </w:r>
    </w:p>
    <w:p w14:paraId="72ECF881" w14:textId="77777777" w:rsidR="005B1259" w:rsidRDefault="005B1259" w:rsidP="0052682D">
      <w:pPr>
        <w:spacing w:before="0"/>
      </w:pPr>
    </w:p>
    <w:p w14:paraId="08066D12" w14:textId="77777777" w:rsidR="005B1259" w:rsidRDefault="005B1259" w:rsidP="0052682D">
      <w:pPr>
        <w:spacing w:before="0"/>
      </w:pPr>
    </w:p>
    <w:p w14:paraId="7992F6EB" w14:textId="77777777" w:rsidR="00C404D0" w:rsidRPr="00EA3B27" w:rsidRDefault="0094143D" w:rsidP="00A3578F">
      <w:pPr>
        <w:pStyle w:val="Heading6"/>
        <w:numPr>
          <w:ilvl w:val="0"/>
          <w:numId w:val="0"/>
        </w:numPr>
        <w:spacing w:before="0"/>
        <w:rPr>
          <w:b/>
          <w:i w:val="0"/>
        </w:rPr>
      </w:pPr>
      <w:r w:rsidRPr="00EA3B27">
        <w:rPr>
          <w:b/>
          <w:i w:val="0"/>
        </w:rPr>
        <w:t>T</w:t>
      </w:r>
      <w:r w:rsidR="00A3578F" w:rsidRPr="00EA3B27">
        <w:rPr>
          <w:b/>
          <w:i w:val="0"/>
        </w:rPr>
        <w:t>here are many existing public participation definitions and frameworks</w:t>
      </w:r>
    </w:p>
    <w:p w14:paraId="16179C18" w14:textId="77777777" w:rsidR="00881505" w:rsidRPr="00C404D0" w:rsidRDefault="00C30C1B" w:rsidP="00C404D0">
      <w:pPr>
        <w:pStyle w:val="BodyText"/>
        <w:jc w:val="left"/>
        <w:rPr>
          <w:rFonts w:ascii="Calibri Light" w:eastAsia="MS Gothic" w:hAnsi="Calibri Light"/>
          <w:bCs/>
          <w:color w:val="3AA2A2"/>
          <w:sz w:val="32"/>
          <w:szCs w:val="26"/>
        </w:rPr>
      </w:pPr>
      <w:r>
        <w:t>We begin by introducing the IAP2 Spectrum, one of the world’s leading public participation definitions and frameworks, and compare it with other leading frameworks.</w:t>
      </w:r>
    </w:p>
    <w:p w14:paraId="22CC0EFA" w14:textId="77777777" w:rsidR="00D217D9" w:rsidRDefault="00D217D9" w:rsidP="0052682D">
      <w:pPr>
        <w:pStyle w:val="BodyText"/>
        <w:jc w:val="left"/>
      </w:pPr>
    </w:p>
    <w:p w14:paraId="09674086" w14:textId="77777777" w:rsidR="00425E81" w:rsidRDefault="0094143D" w:rsidP="0052682D">
      <w:pPr>
        <w:pStyle w:val="BodyText"/>
        <w:jc w:val="left"/>
      </w:pPr>
      <w:r>
        <w:rPr>
          <w:noProof/>
          <w:lang w:eastAsia="en-AU"/>
        </w:rPr>
        <w:lastRenderedPageBreak/>
        <mc:AlternateContent>
          <mc:Choice Requires="wps">
            <w:drawing>
              <wp:anchor distT="45720" distB="45720" distL="114300" distR="114300" simplePos="0" relativeHeight="251658262" behindDoc="0" locked="0" layoutInCell="1" allowOverlap="1" wp14:anchorId="1A294200" wp14:editId="3BD5ACA7">
                <wp:simplePos x="0" y="0"/>
                <wp:positionH relativeFrom="margin">
                  <wp:posOffset>3475990</wp:posOffset>
                </wp:positionH>
                <wp:positionV relativeFrom="paragraph">
                  <wp:posOffset>8890</wp:posOffset>
                </wp:positionV>
                <wp:extent cx="2362200" cy="2371725"/>
                <wp:effectExtent l="0" t="0" r="0" b="952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371725"/>
                        </a:xfrm>
                        <a:prstGeom prst="rect">
                          <a:avLst/>
                        </a:prstGeom>
                        <a:solidFill>
                          <a:srgbClr val="DEEBF7"/>
                        </a:solidFill>
                        <a:ln w="9525">
                          <a:noFill/>
                          <a:miter lim="800000"/>
                          <a:headEnd/>
                          <a:tailEnd/>
                        </a:ln>
                      </wps:spPr>
                      <wps:txbx>
                        <w:txbxContent>
                          <w:p w14:paraId="2A02F21C" w14:textId="77777777" w:rsidR="001143F2" w:rsidRDefault="001143F2" w:rsidP="00B25857">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3BC88915" wp14:editId="173FAC32">
                                  <wp:extent cx="1621943" cy="66985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23894" cy="670657"/>
                                          </a:xfrm>
                                          <a:prstGeom prst="rect">
                                            <a:avLst/>
                                          </a:prstGeom>
                                        </pic:spPr>
                                      </pic:pic>
                                    </a:graphicData>
                                  </a:graphic>
                                </wp:inline>
                              </w:drawing>
                            </w:r>
                          </w:p>
                          <w:p w14:paraId="4E0EDBC9" w14:textId="77777777" w:rsidR="001143F2" w:rsidRPr="000F55D0" w:rsidRDefault="001143F2" w:rsidP="00B25857">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What is IAP2? A snapshot</w:t>
                            </w:r>
                          </w:p>
                          <w:p w14:paraId="2B129007" w14:textId="77777777" w:rsidR="001143F2" w:rsidRPr="00C4463B" w:rsidRDefault="001143F2" w:rsidP="00C4463B">
                            <w:pPr>
                              <w:spacing w:before="0"/>
                              <w:rPr>
                                <w:rFonts w:asciiTheme="majorHAnsi" w:hAnsiTheme="majorHAnsi" w:cs="Arial"/>
                                <w:noProof/>
                                <w:sz w:val="16"/>
                                <w:lang w:eastAsia="en-AU"/>
                              </w:rPr>
                            </w:pPr>
                            <w:r w:rsidRPr="00C4463B">
                              <w:rPr>
                                <w:rFonts w:asciiTheme="majorHAnsi" w:hAnsiTheme="majorHAnsi" w:cs="Arial"/>
                                <w:noProof/>
                                <w:sz w:val="16"/>
                                <w:lang w:eastAsia="en-AU"/>
                              </w:rPr>
                              <w:t xml:space="preserve">The International Association for Public Participation (IAP2) is a leading public participation organisation and peak body. It seeks to promote and improve the practice of public participation in relation to individuals, governments, institutions, and those interested in the public interest. </w:t>
                            </w:r>
                          </w:p>
                          <w:p w14:paraId="022C2680" w14:textId="77777777" w:rsidR="001143F2" w:rsidRDefault="001143F2" w:rsidP="00C4463B">
                            <w:pPr>
                              <w:spacing w:before="0"/>
                              <w:rPr>
                                <w:rFonts w:asciiTheme="majorHAnsi" w:hAnsiTheme="majorHAnsi" w:cs="Arial"/>
                                <w:noProof/>
                                <w:sz w:val="16"/>
                                <w:lang w:eastAsia="en-AU"/>
                              </w:rPr>
                            </w:pPr>
                          </w:p>
                          <w:p w14:paraId="72CDBAB0" w14:textId="77777777" w:rsidR="001143F2" w:rsidRPr="00C4463B" w:rsidRDefault="001143F2" w:rsidP="00C4463B">
                            <w:pPr>
                              <w:spacing w:before="0"/>
                              <w:rPr>
                                <w:rFonts w:asciiTheme="majorHAnsi" w:hAnsiTheme="majorHAnsi" w:cs="Arial"/>
                                <w:noProof/>
                                <w:sz w:val="16"/>
                                <w:lang w:eastAsia="en-AU"/>
                              </w:rPr>
                            </w:pPr>
                            <w:r w:rsidRPr="00C4463B">
                              <w:rPr>
                                <w:rFonts w:asciiTheme="majorHAnsi" w:hAnsiTheme="majorHAnsi" w:cs="Arial"/>
                                <w:noProof/>
                                <w:sz w:val="16"/>
                                <w:lang w:eastAsia="en-AU"/>
                              </w:rPr>
                              <w:t>Source: IAP2 ‘About IAP2’, IAP2. Last accessed August 2017: http://www.iap2.org/?page=A3.</w:t>
                            </w:r>
                          </w:p>
                          <w:p w14:paraId="597FE900" w14:textId="77777777" w:rsidR="001143F2" w:rsidRDefault="001143F2" w:rsidP="00B2585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94200" id="_x0000_s1036" type="#_x0000_t202" style="position:absolute;margin-left:273.7pt;margin-top:.7pt;width:186pt;height:186.75pt;z-index:2516582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" fillcolor="#deebf7" stroked="f">
                <v:textbox>
                  <w:txbxContent>
                    <w:p w14:paraId="2A02F21C" w14:textId="77777777" w:rsidR="001143F2" w:rsidRDefault="001143F2" w:rsidP="00B25857">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3BC88915" wp14:editId="173FAC32">
                            <wp:extent cx="1621943" cy="66985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23894" cy="670657"/>
                                    </a:xfrm>
                                    <a:prstGeom prst="rect">
                                      <a:avLst/>
                                    </a:prstGeom>
                                  </pic:spPr>
                                </pic:pic>
                              </a:graphicData>
                            </a:graphic>
                          </wp:inline>
                        </w:drawing>
                      </w:r>
                    </w:p>
                    <w:p w14:paraId="4E0EDBC9" w14:textId="77777777" w:rsidR="001143F2" w:rsidRPr="000F55D0" w:rsidRDefault="001143F2" w:rsidP="00B25857">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What is IAP2? A snapshot</w:t>
                      </w:r>
                    </w:p>
                    <w:p w14:paraId="2B129007" w14:textId="77777777" w:rsidR="001143F2" w:rsidRPr="00C4463B" w:rsidRDefault="001143F2" w:rsidP="00C4463B">
                      <w:pPr>
                        <w:spacing w:before="0"/>
                        <w:rPr>
                          <w:rFonts w:asciiTheme="majorHAnsi" w:hAnsiTheme="majorHAnsi" w:cs="Arial"/>
                          <w:noProof/>
                          <w:sz w:val="16"/>
                          <w:lang w:eastAsia="en-AU"/>
                        </w:rPr>
                      </w:pPr>
                      <w:r w:rsidRPr="00C4463B">
                        <w:rPr>
                          <w:rFonts w:asciiTheme="majorHAnsi" w:hAnsiTheme="majorHAnsi" w:cs="Arial"/>
                          <w:noProof/>
                          <w:sz w:val="16"/>
                          <w:lang w:eastAsia="en-AU"/>
                        </w:rPr>
                        <w:t xml:space="preserve">The International Association for Public Participation (IAP2) is a leading public participation organisation and peak body. It seeks to promote and improve the practice of public participation in relation to individuals, governments, institutions, and those interested in the public interest. </w:t>
                      </w:r>
                    </w:p>
                    <w:p w14:paraId="022C2680" w14:textId="77777777" w:rsidR="001143F2" w:rsidRDefault="001143F2" w:rsidP="00C4463B">
                      <w:pPr>
                        <w:spacing w:before="0"/>
                        <w:rPr>
                          <w:rFonts w:asciiTheme="majorHAnsi" w:hAnsiTheme="majorHAnsi" w:cs="Arial"/>
                          <w:noProof/>
                          <w:sz w:val="16"/>
                          <w:lang w:eastAsia="en-AU"/>
                        </w:rPr>
                      </w:pPr>
                    </w:p>
                    <w:p w14:paraId="72CDBAB0" w14:textId="77777777" w:rsidR="001143F2" w:rsidRPr="00C4463B" w:rsidRDefault="001143F2" w:rsidP="00C4463B">
                      <w:pPr>
                        <w:spacing w:before="0"/>
                        <w:rPr>
                          <w:rFonts w:asciiTheme="majorHAnsi" w:hAnsiTheme="majorHAnsi" w:cs="Arial"/>
                          <w:noProof/>
                          <w:sz w:val="16"/>
                          <w:lang w:eastAsia="en-AU"/>
                        </w:rPr>
                      </w:pPr>
                      <w:r w:rsidRPr="00C4463B">
                        <w:rPr>
                          <w:rFonts w:asciiTheme="majorHAnsi" w:hAnsiTheme="majorHAnsi" w:cs="Arial"/>
                          <w:noProof/>
                          <w:sz w:val="16"/>
                          <w:lang w:eastAsia="en-AU"/>
                        </w:rPr>
                        <w:t>Source: IAP2 ‘About IAP2’, IAP2. Last accessed August 2017: http://www.iap2.org/?page=A3.</w:t>
                      </w:r>
                    </w:p>
                    <w:p w14:paraId="597FE900" w14:textId="77777777" w:rsidR="001143F2" w:rsidRDefault="001143F2" w:rsidP="00B25857">
                      <w:pPr>
                        <w:jc w:val="center"/>
                      </w:pPr>
                    </w:p>
                  </w:txbxContent>
                </v:textbox>
                <w10:wrap type="square" anchorx="margin"/>
              </v:shape>
            </w:pict>
          </mc:Fallback>
        </mc:AlternateContent>
      </w:r>
      <w:r w:rsidR="00425E81" w:rsidRPr="005771E2">
        <w:t>The International Association for Public Participation (IAP2) provides one of the world’s most used definitions of public participation</w:t>
      </w:r>
      <w:r w:rsidR="00425E81">
        <w:t>, fleshed out by its</w:t>
      </w:r>
      <w:r w:rsidR="00425E81" w:rsidRPr="005771E2">
        <w:t xml:space="preserve"> Public Participation Spectrum</w:t>
      </w:r>
      <w:r w:rsidR="00425E81">
        <w:t xml:space="preserve">. </w:t>
      </w:r>
    </w:p>
    <w:p w14:paraId="592314E4" w14:textId="77777777" w:rsidR="00D217D9" w:rsidRPr="005771E2" w:rsidRDefault="00D217D9" w:rsidP="0052682D">
      <w:pPr>
        <w:pStyle w:val="BodyText"/>
        <w:jc w:val="left"/>
      </w:pPr>
    </w:p>
    <w:p w14:paraId="31E56238" w14:textId="77777777" w:rsidR="00425E81" w:rsidRDefault="00425E81" w:rsidP="0052682D">
      <w:pPr>
        <w:pStyle w:val="BodyText"/>
        <w:jc w:val="left"/>
        <w:rPr>
          <w:vertAlign w:val="superscript"/>
        </w:rPr>
      </w:pPr>
      <w:r w:rsidRPr="005771E2">
        <w:t>IAP2 defines public participation as ‘any process that involves the public in problem solving or decision making and that uses public input to make better decisions’.</w:t>
      </w:r>
      <w:r w:rsidRPr="005771E2">
        <w:rPr>
          <w:vertAlign w:val="superscript"/>
        </w:rPr>
        <w:footnoteReference w:id="28"/>
      </w:r>
      <w:r w:rsidRPr="005771E2">
        <w:rPr>
          <w:vertAlign w:val="superscript"/>
        </w:rPr>
        <w:t xml:space="preserve"> </w:t>
      </w:r>
    </w:p>
    <w:p w14:paraId="47F5CDB1" w14:textId="77777777" w:rsidR="00D217D9" w:rsidRDefault="00D217D9" w:rsidP="0052682D">
      <w:pPr>
        <w:pStyle w:val="BodyText"/>
        <w:jc w:val="left"/>
        <w:rPr>
          <w:vertAlign w:val="superscript"/>
        </w:rPr>
      </w:pPr>
    </w:p>
    <w:p w14:paraId="3BE0E6DA" w14:textId="77777777" w:rsidR="00425E81" w:rsidRPr="005771E2" w:rsidRDefault="00606235" w:rsidP="0052682D">
      <w:pPr>
        <w:pStyle w:val="BodyText"/>
        <w:jc w:val="left"/>
      </w:pPr>
      <w:r>
        <w:t>IAP2’s</w:t>
      </w:r>
      <w:r w:rsidR="00425E81" w:rsidRPr="005771E2">
        <w:t xml:space="preserve"> Public Participation Spectrum </w:t>
      </w:r>
      <w:r w:rsidR="005604D0">
        <w:t xml:space="preserve">is a framework that </w:t>
      </w:r>
      <w:r w:rsidR="00425E81" w:rsidRPr="005771E2">
        <w:t>expands the</w:t>
      </w:r>
      <w:r w:rsidR="005604D0">
        <w:t>ir</w:t>
      </w:r>
      <w:r w:rsidR="00425E81" w:rsidRPr="005771E2">
        <w:t xml:space="preserve"> definition</w:t>
      </w:r>
      <w:r w:rsidR="00425E81">
        <w:t>. It</w:t>
      </w:r>
      <w:r w:rsidR="00425E81" w:rsidRPr="006D7BE9">
        <w:t xml:space="preserve"> was established, in part, to create a common language and terminology for those interested in public participation processes.</w:t>
      </w:r>
      <w:r w:rsidR="00425E81" w:rsidRPr="006D7BE9">
        <w:rPr>
          <w:vertAlign w:val="superscript"/>
        </w:rPr>
        <w:footnoteReference w:id="29"/>
      </w:r>
      <w:r w:rsidR="00C53E84">
        <w:rPr>
          <w:vertAlign w:val="superscript"/>
        </w:rPr>
        <w:t xml:space="preserve"> </w:t>
      </w:r>
      <w:r w:rsidR="00425E81">
        <w:t>The Spectrum describes the public’s role in any of</w:t>
      </w:r>
      <w:r w:rsidR="00425E81" w:rsidRPr="005771E2">
        <w:t xml:space="preserve"> five forms of participation: inform; consult; involve; collaborate; and empower. </w:t>
      </w:r>
      <w:r w:rsidR="00425E81">
        <w:t>It</w:t>
      </w:r>
      <w:r w:rsidR="00425E81" w:rsidRPr="005771E2">
        <w:t xml:space="preserve"> outlines the objective of the form of engagement and what the public can expect. The IAP2 approach acknowledges that each form of participation is legitimate and depends </w:t>
      </w:r>
      <w:r w:rsidR="001C5135">
        <w:t>‘</w:t>
      </w:r>
      <w:r w:rsidR="00425E81" w:rsidRPr="005771E2">
        <w:t>on the goals, time frames, resources, and levels of concern in the decision to be made</w:t>
      </w:r>
      <w:r w:rsidR="001C5135">
        <w:t>’</w:t>
      </w:r>
      <w:r w:rsidR="00425E81" w:rsidRPr="005771E2">
        <w:t>.</w:t>
      </w:r>
      <w:r w:rsidR="00425E81" w:rsidRPr="005771E2">
        <w:rPr>
          <w:vertAlign w:val="superscript"/>
        </w:rPr>
        <w:footnoteReference w:id="30"/>
      </w:r>
      <w:r w:rsidR="00425E81" w:rsidRPr="005771E2">
        <w:rPr>
          <w:vertAlign w:val="superscript"/>
        </w:rPr>
        <w:t xml:space="preserve"> </w:t>
      </w:r>
    </w:p>
    <w:p w14:paraId="3E051415" w14:textId="77777777" w:rsidR="0094143D" w:rsidRDefault="00271C9D" w:rsidP="0052682D">
      <w:pPr>
        <w:pStyle w:val="BodyText"/>
        <w:jc w:val="left"/>
      </w:pPr>
      <w:r>
        <w:rPr>
          <w:noProof/>
          <w:lang w:eastAsia="en-AU"/>
        </w:rPr>
        <w:lastRenderedPageBreak/>
        <mc:AlternateContent>
          <mc:Choice Requires="wps">
            <w:drawing>
              <wp:anchor distT="45720" distB="45720" distL="114300" distR="114300" simplePos="0" relativeHeight="251658257" behindDoc="0" locked="0" layoutInCell="1" allowOverlap="1" wp14:anchorId="0F4D546B" wp14:editId="24AC46DE">
                <wp:simplePos x="0" y="0"/>
                <wp:positionH relativeFrom="margin">
                  <wp:align>right</wp:align>
                </wp:positionH>
                <wp:positionV relativeFrom="paragraph">
                  <wp:posOffset>184150</wp:posOffset>
                </wp:positionV>
                <wp:extent cx="5721350" cy="3449955"/>
                <wp:effectExtent l="0" t="0" r="0" b="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0" cy="3450566"/>
                        </a:xfrm>
                        <a:prstGeom prst="rect">
                          <a:avLst/>
                        </a:prstGeom>
                        <a:solidFill>
                          <a:srgbClr val="DEEBF7"/>
                        </a:solidFill>
                        <a:ln w="9525">
                          <a:noFill/>
                          <a:miter lim="800000"/>
                          <a:headEnd/>
                          <a:tailEnd/>
                        </a:ln>
                      </wps:spPr>
                      <wps:txbx>
                        <w:txbxContent>
                          <w:p w14:paraId="63CE40C6" w14:textId="77777777" w:rsidR="001143F2"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Exhibit: IAP2’s </w:t>
                            </w:r>
                            <w:r w:rsidRPr="008E6924">
                              <w:rPr>
                                <w:rFonts w:asciiTheme="majorHAnsi" w:hAnsiTheme="majorHAnsi" w:cs="Arial"/>
                                <w:b/>
                                <w:i/>
                                <w:noProof/>
                                <w:color w:val="44546A" w:themeColor="text2"/>
                                <w:sz w:val="20"/>
                                <w:lang w:eastAsia="en-AU"/>
                              </w:rPr>
                              <w:t>Public Participation spectrum</w:t>
                            </w:r>
                            <w:r w:rsidRPr="000F55D0">
                              <w:rPr>
                                <w:rFonts w:asciiTheme="majorHAnsi" w:hAnsiTheme="majorHAnsi" w:cs="Arial"/>
                                <w:b/>
                                <w:noProof/>
                                <w:color w:val="44546A" w:themeColor="text2"/>
                                <w:sz w:val="20"/>
                                <w:lang w:eastAsia="en-AU"/>
                              </w:rPr>
                              <w:t xml:space="preserve"> provides a detailed definition of </w:t>
                            </w:r>
                            <w:r>
                              <w:rPr>
                                <w:rFonts w:asciiTheme="majorHAnsi" w:hAnsiTheme="majorHAnsi" w:cs="Arial"/>
                                <w:b/>
                                <w:noProof/>
                                <w:color w:val="44546A" w:themeColor="text2"/>
                                <w:sz w:val="20"/>
                                <w:lang w:eastAsia="en-AU"/>
                              </w:rPr>
                              <w:t>a wide range</w:t>
                            </w:r>
                            <w:r w:rsidRPr="000F55D0">
                              <w:rPr>
                                <w:rFonts w:asciiTheme="majorHAnsi" w:hAnsiTheme="majorHAnsi" w:cs="Arial"/>
                                <w:b/>
                                <w:noProof/>
                                <w:color w:val="44546A" w:themeColor="text2"/>
                                <w:sz w:val="20"/>
                                <w:lang w:eastAsia="en-AU"/>
                              </w:rPr>
                              <w:t xml:space="preserve"> of public participation approaches </w:t>
                            </w:r>
                          </w:p>
                          <w:p w14:paraId="7A97D9FF" w14:textId="77777777" w:rsidR="001143F2" w:rsidRPr="000F55D0" w:rsidRDefault="001143F2" w:rsidP="0094143D">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00BDAB2C" wp14:editId="075C6286">
                                  <wp:extent cx="4865298" cy="288520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79499" cy="2893630"/>
                                          </a:xfrm>
                                          <a:prstGeom prst="rect">
                                            <a:avLst/>
                                          </a:prstGeom>
                                        </pic:spPr>
                                      </pic:pic>
                                    </a:graphicData>
                                  </a:graphic>
                                </wp:inline>
                              </w:drawing>
                            </w:r>
                          </w:p>
                          <w:p w14:paraId="2E930552" w14:textId="77777777" w:rsidR="001143F2" w:rsidRDefault="001143F2" w:rsidP="00271C9D">
                            <w:pPr>
                              <w:spacing w:before="0"/>
                              <w:rPr>
                                <w:rFonts w:ascii="Lucida Bright" w:hAnsi="Lucida Bright"/>
                                <w:sz w:val="16"/>
                                <w:szCs w:val="16"/>
                              </w:rPr>
                            </w:pPr>
                          </w:p>
                          <w:p w14:paraId="593FF407" w14:textId="77777777" w:rsidR="001143F2" w:rsidRPr="009A49FC" w:rsidRDefault="001143F2" w:rsidP="00271C9D">
                            <w:pPr>
                              <w:spacing w:befor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D546B" id="_x0000_s1037" type="#_x0000_t202" style="position:absolute;margin-left:399.3pt;margin-top:14.5pt;width:450.5pt;height:271.65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" fillcolor="#deebf7" stroked="f">
                <v:textbox>
                  <w:txbxContent>
                    <w:p w14:paraId="63CE40C6" w14:textId="77777777" w:rsidR="001143F2" w:rsidRDefault="001143F2" w:rsidP="000F55D0">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Exhibit: IAP2’s </w:t>
                      </w:r>
                      <w:r w:rsidRPr="008E6924">
                        <w:rPr>
                          <w:rFonts w:asciiTheme="majorHAnsi" w:hAnsiTheme="majorHAnsi" w:cs="Arial"/>
                          <w:b/>
                          <w:i/>
                          <w:noProof/>
                          <w:color w:val="44546A" w:themeColor="text2"/>
                          <w:sz w:val="20"/>
                          <w:lang w:eastAsia="en-AU"/>
                        </w:rPr>
                        <w:t>Public Participation spectrum</w:t>
                      </w:r>
                      <w:r w:rsidRPr="000F55D0">
                        <w:rPr>
                          <w:rFonts w:asciiTheme="majorHAnsi" w:hAnsiTheme="majorHAnsi" w:cs="Arial"/>
                          <w:b/>
                          <w:noProof/>
                          <w:color w:val="44546A" w:themeColor="text2"/>
                          <w:sz w:val="20"/>
                          <w:lang w:eastAsia="en-AU"/>
                        </w:rPr>
                        <w:t xml:space="preserve"> provides a detailed definition of </w:t>
                      </w:r>
                      <w:r>
                        <w:rPr>
                          <w:rFonts w:asciiTheme="majorHAnsi" w:hAnsiTheme="majorHAnsi" w:cs="Arial"/>
                          <w:b/>
                          <w:noProof/>
                          <w:color w:val="44546A" w:themeColor="text2"/>
                          <w:sz w:val="20"/>
                          <w:lang w:eastAsia="en-AU"/>
                        </w:rPr>
                        <w:t>a wide range</w:t>
                      </w:r>
                      <w:r w:rsidRPr="000F55D0">
                        <w:rPr>
                          <w:rFonts w:asciiTheme="majorHAnsi" w:hAnsiTheme="majorHAnsi" w:cs="Arial"/>
                          <w:b/>
                          <w:noProof/>
                          <w:color w:val="44546A" w:themeColor="text2"/>
                          <w:sz w:val="20"/>
                          <w:lang w:eastAsia="en-AU"/>
                        </w:rPr>
                        <w:t xml:space="preserve"> of public participation approaches </w:t>
                      </w:r>
                    </w:p>
                    <w:p w14:paraId="7A97D9FF" w14:textId="77777777" w:rsidR="001143F2" w:rsidRPr="000F55D0" w:rsidRDefault="001143F2" w:rsidP="0094143D">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00BDAB2C" wp14:editId="075C6286">
                            <wp:extent cx="4865298" cy="288520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79499" cy="2893630"/>
                                    </a:xfrm>
                                    <a:prstGeom prst="rect">
                                      <a:avLst/>
                                    </a:prstGeom>
                                  </pic:spPr>
                                </pic:pic>
                              </a:graphicData>
                            </a:graphic>
                          </wp:inline>
                        </w:drawing>
                      </w:r>
                    </w:p>
                    <w:p w14:paraId="2E930552" w14:textId="77777777" w:rsidR="001143F2" w:rsidRDefault="001143F2" w:rsidP="00271C9D">
                      <w:pPr>
                        <w:spacing w:before="0"/>
                        <w:rPr>
                          <w:rFonts w:ascii="Lucida Bright" w:hAnsi="Lucida Bright"/>
                          <w:sz w:val="16"/>
                          <w:szCs w:val="16"/>
                        </w:rPr>
                      </w:pPr>
                    </w:p>
                    <w:p w14:paraId="593FF407" w14:textId="77777777" w:rsidR="001143F2" w:rsidRPr="009A49FC" w:rsidRDefault="001143F2" w:rsidP="00271C9D">
                      <w:pPr>
                        <w:spacing w:before="0"/>
                        <w:jc w:val="center"/>
                      </w:pPr>
                    </w:p>
                  </w:txbxContent>
                </v:textbox>
                <w10:wrap type="square" anchorx="margin"/>
              </v:shape>
            </w:pict>
          </mc:Fallback>
        </mc:AlternateContent>
      </w:r>
    </w:p>
    <w:p w14:paraId="63E05021" w14:textId="77777777" w:rsidR="00425E81" w:rsidRDefault="00425E81" w:rsidP="0052682D">
      <w:pPr>
        <w:pStyle w:val="BodyText"/>
        <w:jc w:val="left"/>
      </w:pPr>
      <w:r w:rsidRPr="006D7BE9">
        <w:t xml:space="preserve">The IAP2 spectrum is widely used around the world and in Australia. Indeed, </w:t>
      </w:r>
      <w:r>
        <w:t>t</w:t>
      </w:r>
      <w:r w:rsidRPr="006D7BE9">
        <w:t>raditionally, engagement training adopts the Spectrum as its starting point.</w:t>
      </w:r>
      <w:r w:rsidRPr="006D7BE9">
        <w:rPr>
          <w:vertAlign w:val="superscript"/>
        </w:rPr>
        <w:footnoteReference w:id="31"/>
      </w:r>
      <w:r w:rsidRPr="006D7BE9">
        <w:t xml:space="preserve"> In addition, many government departments at both the Commonwealth and state and territory levels have adopted or adapted the Spectrum in their stakeholder</w:t>
      </w:r>
      <w:r>
        <w:t xml:space="preserve"> engagement frameworks. These include</w:t>
      </w:r>
      <w:r w:rsidRPr="006D7BE9">
        <w:t xml:space="preserve"> the Commonwealth Department of Health</w:t>
      </w:r>
      <w:r>
        <w:t xml:space="preserve">; and the </w:t>
      </w:r>
      <w:r w:rsidRPr="006D7BE9">
        <w:t>Tasmanian and New South Wales Depa</w:t>
      </w:r>
      <w:r>
        <w:t>rtments of Premier and Cabinet.</w:t>
      </w:r>
      <w:r w:rsidRPr="006D7BE9">
        <w:t xml:space="preserve"> </w:t>
      </w:r>
    </w:p>
    <w:p w14:paraId="2F6EEE69" w14:textId="77777777" w:rsidR="00D217D9" w:rsidRPr="006D7BE9" w:rsidRDefault="00D217D9" w:rsidP="0052682D">
      <w:pPr>
        <w:pStyle w:val="BodyText"/>
        <w:jc w:val="left"/>
      </w:pPr>
    </w:p>
    <w:p w14:paraId="4DBD059D" w14:textId="77777777" w:rsidR="00425E81" w:rsidRDefault="00425E81" w:rsidP="0052682D">
      <w:pPr>
        <w:spacing w:before="0"/>
      </w:pPr>
      <w:r>
        <w:t>Despite its wide application, there is not universal agreement on the value of the application of the spectrum in its entirety. IAP2 Canada is reviewing the Spectrum, and initial consultations suggest there is interest in changing it.</w:t>
      </w:r>
      <w:r>
        <w:rPr>
          <w:rStyle w:val="FootnoteReference"/>
        </w:rPr>
        <w:footnoteReference w:id="32"/>
      </w:r>
      <w:r>
        <w:t xml:space="preserve"> Similarly, participation academics Carson and Susskind question the value of the Spectrum’s inform stream in the context of public participation. Susskind also contends that the ‘empower’ stream is not practical and that government’s will rarely cede authority and in some circumstances they are legislatively prohibited from doing so.</w:t>
      </w:r>
      <w:r>
        <w:rPr>
          <w:rStyle w:val="FootnoteReference"/>
        </w:rPr>
        <w:footnoteReference w:id="33"/>
      </w:r>
      <w:r>
        <w:t xml:space="preserve"> </w:t>
      </w:r>
    </w:p>
    <w:p w14:paraId="678D3F36" w14:textId="77777777" w:rsidR="00D217D9" w:rsidRDefault="00D217D9" w:rsidP="0052682D">
      <w:pPr>
        <w:spacing w:before="0"/>
      </w:pPr>
    </w:p>
    <w:p w14:paraId="30BED907" w14:textId="77777777" w:rsidR="00425E81" w:rsidRDefault="00425E81" w:rsidP="0052682D">
      <w:pPr>
        <w:spacing w:before="0"/>
      </w:pPr>
      <w:r>
        <w:t xml:space="preserve">Some propose abandoning the IAP2 Spectrum altogether, or have developed alternative public participation definitions, spectrums and continuums. Participation academic Len Robinson, for </w:t>
      </w:r>
      <w:r>
        <w:lastRenderedPageBreak/>
        <w:t>example, goes as far as to ask ‘Is the spectrum dead?’ He argues that three</w:t>
      </w:r>
      <w:r w:rsidRPr="009D34B7">
        <w:t xml:space="preserve"> of </w:t>
      </w:r>
      <w:r>
        <w:t xml:space="preserve">the five levels in the Spectrum </w:t>
      </w:r>
      <w:r w:rsidRPr="009D34B7">
        <w:t xml:space="preserve">seem to have conceptual or reality problems. </w:t>
      </w:r>
      <w:r>
        <w:t xml:space="preserve">He believes they ‘do not make sense </w:t>
      </w:r>
      <w:r w:rsidRPr="009D34B7">
        <w:t xml:space="preserve">as intellectual categories either because they can’t be implemented or, in the case, of </w:t>
      </w:r>
      <w:r>
        <w:t>‘Inform’</w:t>
      </w:r>
      <w:r w:rsidRPr="009D34B7">
        <w:t>, aren’t actually a category of consultation</w:t>
      </w:r>
      <w:r>
        <w:t>’</w:t>
      </w:r>
      <w:r w:rsidRPr="009D34B7">
        <w:t xml:space="preserve">. </w:t>
      </w:r>
      <w:r>
        <w:t xml:space="preserve">He argues that a spectrum with only two categories, consult and involve/collaborate would be closer to reality. Importantly he suggests that there is a missing category, listening. Robinson argues that public organisations have lost contact with the public and that there would be value in simply listening without an agenda. </w:t>
      </w:r>
    </w:p>
    <w:p w14:paraId="2498B64A" w14:textId="77777777" w:rsidR="00D217D9" w:rsidRDefault="00D217D9" w:rsidP="0052682D">
      <w:pPr>
        <w:spacing w:before="0"/>
      </w:pPr>
    </w:p>
    <w:p w14:paraId="1195F912" w14:textId="77777777" w:rsidR="00425E81" w:rsidRDefault="00425E81" w:rsidP="0052682D">
      <w:pPr>
        <w:spacing w:before="0"/>
      </w:pPr>
      <w:r>
        <w:rPr>
          <w:noProof/>
          <w:lang w:eastAsia="en-AU"/>
        </w:rPr>
        <mc:AlternateContent>
          <mc:Choice Requires="wps">
            <w:drawing>
              <wp:anchor distT="45720" distB="45720" distL="114300" distR="114300" simplePos="0" relativeHeight="251658240" behindDoc="0" locked="0" layoutInCell="1" allowOverlap="1" wp14:anchorId="00277CC2" wp14:editId="05E9C43F">
                <wp:simplePos x="0" y="0"/>
                <wp:positionH relativeFrom="margin">
                  <wp:align>left</wp:align>
                </wp:positionH>
                <wp:positionV relativeFrom="paragraph">
                  <wp:posOffset>37345</wp:posOffset>
                </wp:positionV>
                <wp:extent cx="3968750" cy="2326005"/>
                <wp:effectExtent l="0" t="0" r="0" b="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0" cy="2326005"/>
                        </a:xfrm>
                        <a:prstGeom prst="rect">
                          <a:avLst/>
                        </a:prstGeom>
                        <a:solidFill>
                          <a:srgbClr val="DEEBF7"/>
                        </a:solidFill>
                        <a:ln w="9525">
                          <a:noFill/>
                          <a:miter lim="800000"/>
                          <a:headEnd/>
                          <a:tailEnd/>
                        </a:ln>
                      </wps:spPr>
                      <wps:txbx>
                        <w:txbxContent>
                          <w:p w14:paraId="57922D28"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Len Robinson’s </w:t>
                            </w:r>
                            <w:r w:rsidRPr="008E6924">
                              <w:rPr>
                                <w:rFonts w:asciiTheme="majorHAnsi" w:hAnsiTheme="majorHAnsi" w:cs="Arial"/>
                                <w:b/>
                                <w:i/>
                                <w:noProof/>
                                <w:color w:val="44546A" w:themeColor="text2"/>
                                <w:sz w:val="20"/>
                                <w:lang w:eastAsia="en-AU"/>
                              </w:rPr>
                              <w:t>Curiosity meter</w:t>
                            </w:r>
                          </w:p>
                          <w:p w14:paraId="1DDB4920" w14:textId="77777777" w:rsidR="001143F2" w:rsidRDefault="001143F2" w:rsidP="00425E81">
                            <w:r>
                              <w:rPr>
                                <w:noProof/>
                                <w:lang w:eastAsia="en-AU"/>
                              </w:rPr>
                              <w:drawing>
                                <wp:inline distT="0" distB="0" distL="0" distR="0" wp14:anchorId="7E3C503F" wp14:editId="6ADF749C">
                                  <wp:extent cx="3776980" cy="1790700"/>
                                  <wp:effectExtent l="0" t="0" r="0" b="0"/>
                                  <wp:docPr id="37" name="Picture 37" descr="Curiosity-ometer"/>
                                  <wp:cNvGraphicFramePr/>
                                  <a:graphic xmlns:a="http://schemas.openxmlformats.org/drawingml/2006/main">
                                    <a:graphicData uri="http://schemas.openxmlformats.org/drawingml/2006/picture">
                                      <pic:pic xmlns:pic="http://schemas.openxmlformats.org/drawingml/2006/picture">
                                        <pic:nvPicPr>
                                          <pic:cNvPr id="12" name="Picture 12" descr="Curiosity-ometer"/>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6980" cy="1790700"/>
                                          </a:xfrm>
                                          <a:prstGeom prst="rect">
                                            <a:avLst/>
                                          </a:prstGeom>
                                          <a:noFill/>
                                          <a:ln>
                                            <a:noFill/>
                                          </a:ln>
                                        </pic:spPr>
                                      </pic:pic>
                                    </a:graphicData>
                                  </a:graphic>
                                </wp:inline>
                              </w:drawing>
                            </w:r>
                          </w:p>
                          <w:p w14:paraId="00911231" w14:textId="77777777" w:rsidR="001143F2" w:rsidRDefault="001143F2" w:rsidP="00425E81"/>
                          <w:p w14:paraId="587392CD" w14:textId="77777777" w:rsidR="001143F2" w:rsidRDefault="001143F2" w:rsidP="00425E81">
                            <w:r w:rsidRPr="00BE0035">
                              <w:rPr>
                                <w:b/>
                                <w:bCs/>
                              </w:rPr>
                              <w:t>Exhibit: Bang the Table’s Community Engagement Triangle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77CC2" id="_x0000_s1038" type="#_x0000_t202" style="position:absolute;margin-left:0;margin-top:2.95pt;width:312.5pt;height:183.1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" fillcolor="#deebf7" stroked="f">
                <v:textbox>
                  <w:txbxContent>
                    <w:p w14:paraId="57922D28"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Len Robinson’s </w:t>
                      </w:r>
                      <w:r w:rsidRPr="008E6924">
                        <w:rPr>
                          <w:rFonts w:asciiTheme="majorHAnsi" w:hAnsiTheme="majorHAnsi" w:cs="Arial"/>
                          <w:b/>
                          <w:i/>
                          <w:noProof/>
                          <w:color w:val="44546A" w:themeColor="text2"/>
                          <w:sz w:val="20"/>
                          <w:lang w:eastAsia="en-AU"/>
                        </w:rPr>
                        <w:t>Curiosity meter</w:t>
                      </w:r>
                    </w:p>
                    <w:p w14:paraId="1DDB4920" w14:textId="77777777" w:rsidR="001143F2" w:rsidRDefault="001143F2" w:rsidP="00425E81">
                      <w:r>
                        <w:rPr>
                          <w:noProof/>
                          <w:lang w:eastAsia="en-AU"/>
                        </w:rPr>
                        <w:drawing>
                          <wp:inline distT="0" distB="0" distL="0" distR="0" wp14:anchorId="7E3C503F" wp14:editId="6ADF749C">
                            <wp:extent cx="3776980" cy="1790700"/>
                            <wp:effectExtent l="0" t="0" r="0" b="0"/>
                            <wp:docPr id="37" name="Picture 37" descr="Curiosity-ometer"/>
                            <wp:cNvGraphicFramePr/>
                            <a:graphic xmlns:a="http://schemas.openxmlformats.org/drawingml/2006/main">
                              <a:graphicData uri="http://schemas.openxmlformats.org/drawingml/2006/picture">
                                <pic:pic xmlns:pic="http://schemas.openxmlformats.org/drawingml/2006/picture">
                                  <pic:nvPicPr>
                                    <pic:cNvPr id="12" name="Picture 12" descr="Curiosity-ometer"/>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6980" cy="1790700"/>
                                    </a:xfrm>
                                    <a:prstGeom prst="rect">
                                      <a:avLst/>
                                    </a:prstGeom>
                                    <a:noFill/>
                                    <a:ln>
                                      <a:noFill/>
                                    </a:ln>
                                  </pic:spPr>
                                </pic:pic>
                              </a:graphicData>
                            </a:graphic>
                          </wp:inline>
                        </w:drawing>
                      </w:r>
                    </w:p>
                    <w:p w14:paraId="00911231" w14:textId="77777777" w:rsidR="001143F2" w:rsidRDefault="001143F2" w:rsidP="00425E81"/>
                    <w:p w14:paraId="587392CD" w14:textId="77777777" w:rsidR="001143F2" w:rsidRDefault="001143F2" w:rsidP="00425E81">
                      <w:r w:rsidRPr="00BE0035">
                        <w:rPr>
                          <w:b/>
                          <w:bCs/>
                        </w:rPr>
                        <w:t>Exhibit: Bang the Table’s Community Engagement Triangle</w:t>
                      </w:r>
                    </w:p>
                  </w:txbxContent>
                </v:textbox>
                <w10:wrap type="square" anchorx="margin"/>
              </v:shape>
            </w:pict>
          </mc:Fallback>
        </mc:AlternateContent>
      </w:r>
      <w:r w:rsidR="004937AB">
        <w:t>As an alternative, Len Robinson</w:t>
      </w:r>
      <w:r>
        <w:t xml:space="preserve"> puts forward</w:t>
      </w:r>
      <w:r w:rsidR="004937AB">
        <w:t xml:space="preserve"> ‘</w:t>
      </w:r>
      <w:r>
        <w:t>the Curiosity meter</w:t>
      </w:r>
      <w:r w:rsidR="004937AB">
        <w:t>’</w:t>
      </w:r>
      <w:r>
        <w:t>. He states ‘t</w:t>
      </w:r>
      <w:r w:rsidRPr="00A372B5">
        <w:t xml:space="preserve">he idea is: before any community consultation, honestly answer this question: </w:t>
      </w:r>
      <w:r w:rsidR="001C5135">
        <w:t>‘</w:t>
      </w:r>
      <w:r w:rsidRPr="00A372B5">
        <w:t>Where are you on the spectrum between ‘endorsement s</w:t>
      </w:r>
      <w:r>
        <w:t>eeking’ and ‘open-mindedness?</w:t>
      </w:r>
      <w:r w:rsidR="001C5135">
        <w:t>’</w:t>
      </w:r>
      <w:r>
        <w:t xml:space="preserve"> </w:t>
      </w:r>
      <w:r w:rsidRPr="00A372B5">
        <w:t>Being bracingly honest about this might reduce a lot of the wasted effort and conflict around community consultation.</w:t>
      </w:r>
      <w:r>
        <w:t>’</w:t>
      </w:r>
    </w:p>
    <w:p w14:paraId="4180E641" w14:textId="77777777" w:rsidR="00055334" w:rsidRDefault="00055334" w:rsidP="0052682D">
      <w:pPr>
        <w:spacing w:before="0"/>
      </w:pPr>
    </w:p>
    <w:p w14:paraId="090E26BB" w14:textId="77777777" w:rsidR="00425E81" w:rsidRDefault="00425E81" w:rsidP="0052682D">
      <w:pPr>
        <w:pStyle w:val="NormalWeb"/>
        <w:spacing w:before="0"/>
        <w:rPr>
          <w:rFonts w:ascii="Calibri" w:hAnsi="Calibri"/>
          <w:sz w:val="22"/>
          <w:szCs w:val="22"/>
        </w:rPr>
      </w:pPr>
      <w:r>
        <w:rPr>
          <w:rFonts w:ascii="Calibri" w:hAnsi="Calibri"/>
          <w:sz w:val="22"/>
          <w:szCs w:val="22"/>
        </w:rPr>
        <w:t>L</w:t>
      </w:r>
      <w:r w:rsidRPr="002E7053">
        <w:rPr>
          <w:rFonts w:ascii="Calibri" w:hAnsi="Calibri"/>
          <w:sz w:val="22"/>
          <w:szCs w:val="22"/>
        </w:rPr>
        <w:t xml:space="preserve">eading digital engagement company Bang the Table </w:t>
      </w:r>
      <w:r>
        <w:rPr>
          <w:rFonts w:ascii="Calibri" w:hAnsi="Calibri"/>
          <w:sz w:val="22"/>
          <w:szCs w:val="22"/>
        </w:rPr>
        <w:t xml:space="preserve">has taken another </w:t>
      </w:r>
      <w:r w:rsidRPr="002E7053">
        <w:rPr>
          <w:rFonts w:ascii="Calibri" w:hAnsi="Calibri"/>
          <w:sz w:val="22"/>
          <w:szCs w:val="22"/>
        </w:rPr>
        <w:t>approach.</w:t>
      </w:r>
      <w:r>
        <w:rPr>
          <w:rFonts w:ascii="Calibri" w:hAnsi="Calibri"/>
          <w:sz w:val="22"/>
          <w:szCs w:val="22"/>
        </w:rPr>
        <w:t xml:space="preserve"> </w:t>
      </w:r>
      <w:r w:rsidRPr="002E7053">
        <w:rPr>
          <w:rFonts w:ascii="Calibri" w:hAnsi="Calibri"/>
          <w:sz w:val="22"/>
          <w:szCs w:val="22"/>
        </w:rPr>
        <w:t>They believe that</w:t>
      </w:r>
      <w:r>
        <w:rPr>
          <w:rFonts w:ascii="Calibri" w:hAnsi="Calibri"/>
          <w:sz w:val="22"/>
          <w:szCs w:val="22"/>
        </w:rPr>
        <w:t xml:space="preserve"> community engagement is about </w:t>
      </w:r>
      <w:r w:rsidRPr="002E7053">
        <w:rPr>
          <w:rFonts w:ascii="Calibri" w:hAnsi="Calibri"/>
          <w:sz w:val="22"/>
          <w:szCs w:val="22"/>
        </w:rPr>
        <w:t>decision making, relationship development, or capacity building.</w:t>
      </w:r>
      <w:r>
        <w:rPr>
          <w:rFonts w:ascii="Calibri" w:hAnsi="Calibri"/>
          <w:sz w:val="22"/>
          <w:szCs w:val="22"/>
        </w:rPr>
        <w:t xml:space="preserve"> </w:t>
      </w:r>
      <w:r w:rsidRPr="002E7053">
        <w:rPr>
          <w:rFonts w:ascii="Calibri" w:hAnsi="Calibri"/>
          <w:sz w:val="22"/>
          <w:szCs w:val="22"/>
        </w:rPr>
        <w:t xml:space="preserve">They </w:t>
      </w:r>
      <w:r>
        <w:rPr>
          <w:rFonts w:ascii="Calibri" w:hAnsi="Calibri"/>
          <w:sz w:val="22"/>
          <w:szCs w:val="22"/>
        </w:rPr>
        <w:t>suggest ‘</w:t>
      </w:r>
      <w:r w:rsidRPr="009321FC">
        <w:rPr>
          <w:rFonts w:ascii="Calibri" w:hAnsi="Calibri"/>
          <w:sz w:val="22"/>
          <w:szCs w:val="22"/>
        </w:rPr>
        <w:t>the limitation of the</w:t>
      </w:r>
      <w:r>
        <w:rPr>
          <w:rFonts w:ascii="Calibri" w:hAnsi="Calibri"/>
          <w:sz w:val="22"/>
          <w:szCs w:val="22"/>
        </w:rPr>
        <w:t xml:space="preserve"> [IAP2]</w:t>
      </w:r>
      <w:r w:rsidRPr="009321FC">
        <w:rPr>
          <w:rFonts w:ascii="Calibri" w:hAnsi="Calibri"/>
          <w:sz w:val="22"/>
          <w:szCs w:val="22"/>
        </w:rPr>
        <w:t xml:space="preserve"> Spectrum is that it is a very useful framework for community engagement around decision-making, but is less useful for relationship development and capacity building</w:t>
      </w:r>
      <w:r>
        <w:rPr>
          <w:rFonts w:ascii="Calibri" w:hAnsi="Calibri"/>
          <w:sz w:val="22"/>
          <w:szCs w:val="22"/>
        </w:rPr>
        <w:t>’</w:t>
      </w:r>
      <w:r w:rsidRPr="009321FC">
        <w:rPr>
          <w:rFonts w:ascii="Calibri" w:hAnsi="Calibri"/>
          <w:sz w:val="22"/>
          <w:szCs w:val="22"/>
        </w:rPr>
        <w:t>.</w:t>
      </w:r>
      <w:bookmarkStart w:id="32" w:name="7"/>
      <w:bookmarkEnd w:id="32"/>
      <w:r w:rsidRPr="009321FC">
        <w:rPr>
          <w:rStyle w:val="FootnoteReference"/>
          <w:rFonts w:ascii="Calibri" w:hAnsi="Calibri"/>
          <w:sz w:val="22"/>
          <w:szCs w:val="22"/>
        </w:rPr>
        <w:footnoteReference w:id="34"/>
      </w:r>
    </w:p>
    <w:p w14:paraId="7EF0829C" w14:textId="77777777" w:rsidR="00C30C1B" w:rsidRPr="009321FC" w:rsidRDefault="00C30C1B" w:rsidP="0052682D">
      <w:pPr>
        <w:pStyle w:val="NormalWeb"/>
        <w:spacing w:before="0"/>
        <w:rPr>
          <w:rFonts w:ascii="Calibri" w:hAnsi="Calibri"/>
          <w:sz w:val="22"/>
          <w:szCs w:val="22"/>
        </w:rPr>
      </w:pPr>
    </w:p>
    <w:p w14:paraId="6BCFA117" w14:textId="77777777" w:rsidR="00425E81" w:rsidRDefault="004B34BE" w:rsidP="0052682D">
      <w:pPr>
        <w:pStyle w:val="NormalWeb"/>
        <w:spacing w:before="0"/>
        <w:rPr>
          <w:rFonts w:ascii="Calibri" w:hAnsi="Calibri"/>
          <w:sz w:val="22"/>
          <w:szCs w:val="22"/>
        </w:rPr>
      </w:pPr>
      <w:r>
        <w:rPr>
          <w:rFonts w:ascii="Calibri" w:hAnsi="Calibri"/>
          <w:noProof/>
          <w:sz w:val="22"/>
          <w:szCs w:val="22"/>
          <w:lang w:eastAsia="en-AU"/>
        </w:rPr>
        <mc:AlternateContent>
          <mc:Choice Requires="wps">
            <w:drawing>
              <wp:anchor distT="0" distB="0" distL="114300" distR="114300" simplePos="0" relativeHeight="251658272" behindDoc="0" locked="0" layoutInCell="1" allowOverlap="1" wp14:anchorId="741A46FA" wp14:editId="2F21E5D6">
                <wp:simplePos x="0" y="0"/>
                <wp:positionH relativeFrom="column">
                  <wp:posOffset>633537</wp:posOffset>
                </wp:positionH>
                <wp:positionV relativeFrom="paragraph">
                  <wp:posOffset>384175</wp:posOffset>
                </wp:positionV>
                <wp:extent cx="908050" cy="323850"/>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9080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F91B2" w14:textId="77777777" w:rsidR="001143F2" w:rsidRPr="004A35E8" w:rsidRDefault="001143F2" w:rsidP="00067BD1">
                            <w:pPr>
                              <w:spacing w:before="0"/>
                              <w:jc w:val="center"/>
                              <w:rPr>
                                <w:color w:val="000000" w:themeColor="text1"/>
                                <w:sz w:val="12"/>
                                <w:szCs w:val="12"/>
                              </w:rPr>
                            </w:pPr>
                            <w:r>
                              <w:rPr>
                                <w:color w:val="000000" w:themeColor="text1"/>
                                <w:sz w:val="12"/>
                                <w:szCs w:val="12"/>
                              </w:rPr>
                              <w:t>Decision 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A46FA" id="Text Box 242" o:spid="_x0000_s1039" type="#_x0000_t202" style="position:absolute;margin-left:49.9pt;margin-top:30.25pt;width:71.5pt;height:25.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" filled="f" stroked="f" strokeweight=".5pt">
                <v:textbox>
                  <w:txbxContent>
                    <w:p w14:paraId="29AF91B2" w14:textId="77777777" w:rsidR="001143F2" w:rsidRPr="004A35E8" w:rsidRDefault="001143F2" w:rsidP="00067BD1">
                      <w:pPr>
                        <w:spacing w:before="0"/>
                        <w:jc w:val="center"/>
                        <w:rPr>
                          <w:color w:val="000000" w:themeColor="text1"/>
                          <w:sz w:val="12"/>
                          <w:szCs w:val="12"/>
                        </w:rPr>
                      </w:pPr>
                      <w:r>
                        <w:rPr>
                          <w:color w:val="000000" w:themeColor="text1"/>
                          <w:sz w:val="12"/>
                          <w:szCs w:val="12"/>
                        </w:rPr>
                        <w:t>Decision making</w:t>
                      </w:r>
                    </w:p>
                  </w:txbxContent>
                </v:textbox>
              </v:shape>
            </w:pict>
          </mc:Fallback>
        </mc:AlternateContent>
      </w:r>
      <w:r>
        <w:rPr>
          <w:rFonts w:ascii="Calibri" w:hAnsi="Calibri"/>
          <w:noProof/>
          <w:sz w:val="22"/>
          <w:szCs w:val="22"/>
          <w:lang w:eastAsia="en-AU"/>
        </w:rPr>
        <mc:AlternateContent>
          <mc:Choice Requires="wps">
            <w:drawing>
              <wp:anchor distT="0" distB="0" distL="114300" distR="114300" simplePos="0" relativeHeight="251658273" behindDoc="0" locked="0" layoutInCell="1" allowOverlap="1" wp14:anchorId="427AFD90" wp14:editId="035E4758">
                <wp:simplePos x="0" y="0"/>
                <wp:positionH relativeFrom="margin">
                  <wp:posOffset>-56184</wp:posOffset>
                </wp:positionH>
                <wp:positionV relativeFrom="paragraph">
                  <wp:posOffset>1419860</wp:posOffset>
                </wp:positionV>
                <wp:extent cx="628650" cy="323850"/>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6286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7A44C2" w14:textId="77777777" w:rsidR="001143F2" w:rsidRPr="004A35E8" w:rsidRDefault="001143F2" w:rsidP="00067BD1">
                            <w:pPr>
                              <w:spacing w:before="0"/>
                              <w:jc w:val="center"/>
                              <w:rPr>
                                <w:color w:val="000000" w:themeColor="text1"/>
                                <w:sz w:val="12"/>
                                <w:szCs w:val="12"/>
                              </w:rPr>
                            </w:pPr>
                            <w:r>
                              <w:rPr>
                                <w:color w:val="000000" w:themeColor="text1"/>
                                <w:sz w:val="12"/>
                                <w:szCs w:val="12"/>
                              </w:rPr>
                              <w:t>Relationship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AFD90" id="Text Box 243" o:spid="_x0000_s1040" type="#_x0000_t202" style="position:absolute;margin-left:-4.4pt;margin-top:111.8pt;width:49.5pt;height:25.5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" filled="f" stroked="f" strokeweight=".5pt">
                <v:textbox>
                  <w:txbxContent>
                    <w:p w14:paraId="597A44C2" w14:textId="77777777" w:rsidR="001143F2" w:rsidRPr="004A35E8" w:rsidRDefault="001143F2" w:rsidP="00067BD1">
                      <w:pPr>
                        <w:spacing w:before="0"/>
                        <w:jc w:val="center"/>
                        <w:rPr>
                          <w:color w:val="000000" w:themeColor="text1"/>
                          <w:sz w:val="12"/>
                          <w:szCs w:val="12"/>
                        </w:rPr>
                      </w:pPr>
                      <w:r>
                        <w:rPr>
                          <w:color w:val="000000" w:themeColor="text1"/>
                          <w:sz w:val="12"/>
                          <w:szCs w:val="12"/>
                        </w:rPr>
                        <w:t>Relationship development</w:t>
                      </w:r>
                    </w:p>
                  </w:txbxContent>
                </v:textbox>
                <w10:wrap anchorx="margin"/>
              </v:shape>
            </w:pict>
          </mc:Fallback>
        </mc:AlternateContent>
      </w:r>
      <w:r>
        <w:rPr>
          <w:rFonts w:ascii="Calibri" w:hAnsi="Calibri"/>
          <w:noProof/>
          <w:sz w:val="22"/>
          <w:szCs w:val="22"/>
          <w:lang w:eastAsia="en-AU"/>
        </w:rPr>
        <mc:AlternateContent>
          <mc:Choice Requires="wps">
            <w:drawing>
              <wp:anchor distT="0" distB="0" distL="114300" distR="114300" simplePos="0" relativeHeight="251658274" behindDoc="0" locked="0" layoutInCell="1" allowOverlap="1" wp14:anchorId="52E3C020" wp14:editId="064E7E92">
                <wp:simplePos x="0" y="0"/>
                <wp:positionH relativeFrom="column">
                  <wp:posOffset>1682585</wp:posOffset>
                </wp:positionH>
                <wp:positionV relativeFrom="paragraph">
                  <wp:posOffset>1404510</wp:posOffset>
                </wp:positionV>
                <wp:extent cx="469900" cy="32385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4699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BD3E89" w14:textId="77777777" w:rsidR="001143F2" w:rsidRPr="004A35E8" w:rsidRDefault="001143F2" w:rsidP="00067BD1">
                            <w:pPr>
                              <w:spacing w:before="0"/>
                              <w:jc w:val="center"/>
                              <w:rPr>
                                <w:color w:val="000000" w:themeColor="text1"/>
                                <w:sz w:val="12"/>
                                <w:szCs w:val="12"/>
                              </w:rPr>
                            </w:pPr>
                            <w:r>
                              <w:rPr>
                                <w:color w:val="000000" w:themeColor="text1"/>
                                <w:sz w:val="12"/>
                                <w:szCs w:val="12"/>
                              </w:rPr>
                              <w:t>Capacity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3C020" id="Text Box 247" o:spid="_x0000_s1041" type="#_x0000_t202" style="position:absolute;margin-left:132.5pt;margin-top:110.6pt;width:37pt;height:25.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" filled="f" stroked="f" strokeweight=".5pt">
                <v:textbox>
                  <w:txbxContent>
                    <w:p w14:paraId="72BD3E89" w14:textId="77777777" w:rsidR="001143F2" w:rsidRPr="004A35E8" w:rsidRDefault="001143F2" w:rsidP="00067BD1">
                      <w:pPr>
                        <w:spacing w:before="0"/>
                        <w:jc w:val="center"/>
                        <w:rPr>
                          <w:color w:val="000000" w:themeColor="text1"/>
                          <w:sz w:val="12"/>
                          <w:szCs w:val="12"/>
                        </w:rPr>
                      </w:pPr>
                      <w:r>
                        <w:rPr>
                          <w:color w:val="000000" w:themeColor="text1"/>
                          <w:sz w:val="12"/>
                          <w:szCs w:val="12"/>
                        </w:rPr>
                        <w:t>Capacity building</w:t>
                      </w:r>
                    </w:p>
                  </w:txbxContent>
                </v:textbox>
              </v:shape>
            </w:pict>
          </mc:Fallback>
        </mc:AlternateContent>
      </w:r>
      <w:r w:rsidRPr="0069795E">
        <w:rPr>
          <w:rFonts w:ascii="Calibri" w:hAnsi="Calibri"/>
          <w:noProof/>
          <w:sz w:val="22"/>
          <w:szCs w:val="22"/>
          <w:lang w:eastAsia="en-AU"/>
        </w:rPr>
        <mc:AlternateContent>
          <mc:Choice Requires="wps">
            <w:drawing>
              <wp:anchor distT="45720" distB="45720" distL="114300" distR="114300" simplePos="0" relativeHeight="251658271" behindDoc="0" locked="0" layoutInCell="1" allowOverlap="1" wp14:anchorId="0C5A4C95" wp14:editId="7F38A3AD">
                <wp:simplePos x="0" y="0"/>
                <wp:positionH relativeFrom="margin">
                  <wp:align>left</wp:align>
                </wp:positionH>
                <wp:positionV relativeFrom="paragraph">
                  <wp:posOffset>46355</wp:posOffset>
                </wp:positionV>
                <wp:extent cx="2194560" cy="1820545"/>
                <wp:effectExtent l="0" t="0" r="0" b="825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820545"/>
                        </a:xfrm>
                        <a:prstGeom prst="rect">
                          <a:avLst/>
                        </a:prstGeom>
                        <a:solidFill>
                          <a:srgbClr val="DEEBF7"/>
                        </a:solidFill>
                        <a:ln w="9525">
                          <a:noFill/>
                          <a:miter lim="800000"/>
                          <a:headEnd/>
                          <a:tailEnd/>
                        </a:ln>
                      </wps:spPr>
                      <wps:txbx>
                        <w:txbxContent>
                          <w:p w14:paraId="7ECBC660" w14:textId="77777777" w:rsidR="001143F2" w:rsidRPr="000F55D0" w:rsidRDefault="001143F2" w:rsidP="00067BD1">
                            <w:pPr>
                              <w:spacing w:before="0" w:after="80"/>
                              <w:rPr>
                                <w:rFonts w:asciiTheme="majorHAnsi" w:hAnsiTheme="majorHAnsi" w:cs="Arial"/>
                                <w:b/>
                                <w:noProof/>
                                <w:color w:val="44546A" w:themeColor="text2"/>
                                <w:sz w:val="20"/>
                                <w:lang w:eastAsia="en-AU"/>
                              </w:rPr>
                            </w:pPr>
                            <w:bookmarkStart w:id="33" w:name="_Toc486930838"/>
                            <w:r w:rsidRPr="000F55D0">
                              <w:rPr>
                                <w:rFonts w:asciiTheme="majorHAnsi" w:hAnsiTheme="majorHAnsi" w:cs="Arial"/>
                                <w:b/>
                                <w:noProof/>
                                <w:color w:val="44546A" w:themeColor="text2"/>
                                <w:sz w:val="20"/>
                                <w:lang w:eastAsia="en-AU"/>
                              </w:rPr>
                              <w:t xml:space="preserve">Bang the Table’s </w:t>
                            </w:r>
                            <w:r w:rsidRPr="00587BF4">
                              <w:rPr>
                                <w:rFonts w:asciiTheme="majorHAnsi" w:hAnsiTheme="majorHAnsi" w:cs="Arial"/>
                                <w:b/>
                                <w:i/>
                                <w:noProof/>
                                <w:color w:val="44546A" w:themeColor="text2"/>
                                <w:sz w:val="20"/>
                                <w:lang w:eastAsia="en-AU"/>
                              </w:rPr>
                              <w:t>‘Community Engagement Triangle</w:t>
                            </w:r>
                            <w:bookmarkEnd w:id="33"/>
                            <w:r w:rsidRPr="00587BF4">
                              <w:rPr>
                                <w:rFonts w:asciiTheme="majorHAnsi" w:hAnsiTheme="majorHAnsi" w:cs="Arial"/>
                                <w:b/>
                                <w:i/>
                                <w:noProof/>
                                <w:color w:val="44546A" w:themeColor="text2"/>
                                <w:sz w:val="20"/>
                                <w:lang w:eastAsia="en-AU"/>
                              </w:rPr>
                              <w:t>’</w:t>
                            </w:r>
                          </w:p>
                          <w:p w14:paraId="6A865DE3" w14:textId="77777777" w:rsidR="001143F2" w:rsidRDefault="001143F2" w:rsidP="00067BD1">
                            <w:pPr>
                              <w:jc w:val="center"/>
                            </w:pPr>
                            <w:r>
                              <w:rPr>
                                <w:rFonts w:ascii="Gotham B" w:hAnsi="Gotham B" w:cs="Helvetica"/>
                                <w:noProof/>
                                <w:color w:val="222222"/>
                                <w:sz w:val="26"/>
                                <w:szCs w:val="26"/>
                                <w:lang w:eastAsia="en-AU"/>
                              </w:rPr>
                              <w:drawing>
                                <wp:inline distT="0" distB="0" distL="0" distR="0" wp14:anchorId="198986AD" wp14:editId="4C005404">
                                  <wp:extent cx="1233170" cy="1022352"/>
                                  <wp:effectExtent l="0" t="0" r="5080" b="6350"/>
                                  <wp:docPr id="38" name="Picture 38" descr="Community Engagemen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ity Engagement Triangle"/>
                                          <pic:cNvPicPr>
                                            <a:picLocks noChangeAspect="1" noChangeArrowheads="1"/>
                                          </pic:cNvPicPr>
                                        </pic:nvPicPr>
                                        <pic:blipFill rotWithShape="1">
                                          <a:blip r:embed="rId52">
                                            <a:extLst>
                                              <a:ext uri="{28A0092B-C50C-407E-A947-70E740481C1C}">
                                                <a14:useLocalDpi xmlns:a14="http://schemas.microsoft.com/office/drawing/2010/main" val="0"/>
                                              </a:ext>
                                            </a:extLst>
                                          </a:blip>
                                          <a:srcRect l="18700" t="13866" r="15694" b="16501"/>
                                          <a:stretch/>
                                        </pic:blipFill>
                                        <pic:spPr bwMode="auto">
                                          <a:xfrm>
                                            <a:off x="0" y="0"/>
                                            <a:ext cx="1239728" cy="10277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A4C95" id="_x0000_s1042" type="#_x0000_t202" style="position:absolute;margin-left:0;margin-top:3.65pt;width:172.8pt;height:143.35pt;z-index:25165827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" fillcolor="#deebf7" stroked="f">
                <v:textbox>
                  <w:txbxContent>
                    <w:p w14:paraId="7ECBC660" w14:textId="77777777" w:rsidR="001143F2" w:rsidRPr="000F55D0" w:rsidRDefault="001143F2" w:rsidP="00067BD1">
                      <w:pPr>
                        <w:spacing w:before="0" w:after="80"/>
                        <w:rPr>
                          <w:rFonts w:asciiTheme="majorHAnsi" w:hAnsiTheme="majorHAnsi" w:cs="Arial"/>
                          <w:b/>
                          <w:noProof/>
                          <w:color w:val="44546A" w:themeColor="text2"/>
                          <w:sz w:val="20"/>
                          <w:lang w:eastAsia="en-AU"/>
                        </w:rPr>
                      </w:pPr>
                      <w:bookmarkStart w:id="33" w:name="_Toc486930838"/>
                      <w:r w:rsidRPr="000F55D0">
                        <w:rPr>
                          <w:rFonts w:asciiTheme="majorHAnsi" w:hAnsiTheme="majorHAnsi" w:cs="Arial"/>
                          <w:b/>
                          <w:noProof/>
                          <w:color w:val="44546A" w:themeColor="text2"/>
                          <w:sz w:val="20"/>
                          <w:lang w:eastAsia="en-AU"/>
                        </w:rPr>
                        <w:t xml:space="preserve">Bang the Table’s </w:t>
                      </w:r>
                      <w:r w:rsidRPr="00587BF4">
                        <w:rPr>
                          <w:rFonts w:asciiTheme="majorHAnsi" w:hAnsiTheme="majorHAnsi" w:cs="Arial"/>
                          <w:b/>
                          <w:i/>
                          <w:noProof/>
                          <w:color w:val="44546A" w:themeColor="text2"/>
                          <w:sz w:val="20"/>
                          <w:lang w:eastAsia="en-AU"/>
                        </w:rPr>
                        <w:t>‘Community Engagement Triangle</w:t>
                      </w:r>
                      <w:bookmarkEnd w:id="33"/>
                      <w:r w:rsidRPr="00587BF4">
                        <w:rPr>
                          <w:rFonts w:asciiTheme="majorHAnsi" w:hAnsiTheme="majorHAnsi" w:cs="Arial"/>
                          <w:b/>
                          <w:i/>
                          <w:noProof/>
                          <w:color w:val="44546A" w:themeColor="text2"/>
                          <w:sz w:val="20"/>
                          <w:lang w:eastAsia="en-AU"/>
                        </w:rPr>
                        <w:t>’</w:t>
                      </w:r>
                    </w:p>
                    <w:p w14:paraId="6A865DE3" w14:textId="77777777" w:rsidR="001143F2" w:rsidRDefault="001143F2" w:rsidP="00067BD1">
                      <w:pPr>
                        <w:jc w:val="center"/>
                      </w:pPr>
                      <w:r>
                        <w:rPr>
                          <w:rFonts w:ascii="Gotham B" w:hAnsi="Gotham B" w:cs="Helvetica"/>
                          <w:noProof/>
                          <w:color w:val="222222"/>
                          <w:sz w:val="26"/>
                          <w:szCs w:val="26"/>
                          <w:lang w:eastAsia="en-AU"/>
                        </w:rPr>
                        <w:drawing>
                          <wp:inline distT="0" distB="0" distL="0" distR="0" wp14:anchorId="198986AD" wp14:editId="4C005404">
                            <wp:extent cx="1233170" cy="1022352"/>
                            <wp:effectExtent l="0" t="0" r="5080" b="6350"/>
                            <wp:docPr id="38" name="Picture 38" descr="Community Engagemen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ity Engagement Triangle"/>
                                    <pic:cNvPicPr>
                                      <a:picLocks noChangeAspect="1" noChangeArrowheads="1"/>
                                    </pic:cNvPicPr>
                                  </pic:nvPicPr>
                                  <pic:blipFill rotWithShape="1">
                                    <a:blip r:embed="rId53">
                                      <a:extLst>
                                        <a:ext uri="{28A0092B-C50C-407E-A947-70E740481C1C}">
                                          <a14:useLocalDpi xmlns:a14="http://schemas.microsoft.com/office/drawing/2010/main" val="0"/>
                                        </a:ext>
                                      </a:extLst>
                                    </a:blip>
                                    <a:srcRect l="18700" t="13866" r="15694" b="16501"/>
                                    <a:stretch/>
                                  </pic:blipFill>
                                  <pic:spPr bwMode="auto">
                                    <a:xfrm>
                                      <a:off x="0" y="0"/>
                                      <a:ext cx="1239728" cy="10277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425E81">
        <w:rPr>
          <w:rFonts w:ascii="Calibri" w:hAnsi="Calibri"/>
          <w:sz w:val="22"/>
          <w:szCs w:val="22"/>
        </w:rPr>
        <w:t>Bang the Table’s alternative to the Spectrum is their ‘Community engagement triangle.’ The triangle reflects three key objectives as they see them and projects can move between the three. Importantly, they argue that the triangle ‘</w:t>
      </w:r>
      <w:r w:rsidR="00425E81" w:rsidRPr="002E7053">
        <w:rPr>
          <w:rFonts w:ascii="Calibri" w:hAnsi="Calibri"/>
          <w:sz w:val="22"/>
          <w:szCs w:val="22"/>
        </w:rPr>
        <w:t xml:space="preserve">acknowledges explicitly that there is more than one potential objective from a process of community engagement. More specifically, it positions </w:t>
      </w:r>
      <w:r w:rsidR="00425E81">
        <w:rPr>
          <w:rFonts w:ascii="Calibri" w:hAnsi="Calibri"/>
          <w:sz w:val="22"/>
          <w:szCs w:val="22"/>
        </w:rPr>
        <w:t>‘</w:t>
      </w:r>
      <w:r w:rsidR="00425E81" w:rsidRPr="002E7053">
        <w:rPr>
          <w:rFonts w:ascii="Calibri" w:hAnsi="Calibri"/>
          <w:sz w:val="22"/>
          <w:szCs w:val="22"/>
        </w:rPr>
        <w:t>decision-making</w:t>
      </w:r>
      <w:r w:rsidR="00425E81">
        <w:rPr>
          <w:rFonts w:ascii="Calibri" w:hAnsi="Calibri"/>
          <w:sz w:val="22"/>
          <w:szCs w:val="22"/>
        </w:rPr>
        <w:t>’</w:t>
      </w:r>
      <w:r w:rsidR="00425E81" w:rsidRPr="002E7053">
        <w:rPr>
          <w:rFonts w:ascii="Calibri" w:hAnsi="Calibri"/>
          <w:sz w:val="22"/>
          <w:szCs w:val="22"/>
        </w:rPr>
        <w:t xml:space="preserve"> as just one of (at least) three potential objectives for the organisation. It thus helps to </w:t>
      </w:r>
      <w:r w:rsidR="00425E81">
        <w:rPr>
          <w:rFonts w:ascii="Calibri" w:hAnsi="Calibri"/>
          <w:sz w:val="22"/>
          <w:szCs w:val="22"/>
        </w:rPr>
        <w:t>‘level’</w:t>
      </w:r>
      <w:r w:rsidR="00425E81" w:rsidRPr="002E7053">
        <w:rPr>
          <w:rFonts w:ascii="Calibri" w:hAnsi="Calibri"/>
          <w:sz w:val="22"/>
          <w:szCs w:val="22"/>
        </w:rPr>
        <w:t xml:space="preserve"> or </w:t>
      </w:r>
      <w:r w:rsidR="00425E81">
        <w:rPr>
          <w:rFonts w:ascii="Calibri" w:hAnsi="Calibri"/>
          <w:sz w:val="22"/>
          <w:szCs w:val="22"/>
        </w:rPr>
        <w:t>‘</w:t>
      </w:r>
      <w:r w:rsidR="00425E81" w:rsidRPr="002E7053">
        <w:rPr>
          <w:rFonts w:ascii="Calibri" w:hAnsi="Calibri"/>
          <w:sz w:val="22"/>
          <w:szCs w:val="22"/>
        </w:rPr>
        <w:t>democrati</w:t>
      </w:r>
      <w:r w:rsidR="00425E81">
        <w:rPr>
          <w:rFonts w:ascii="Calibri" w:hAnsi="Calibri"/>
          <w:sz w:val="22"/>
          <w:szCs w:val="22"/>
        </w:rPr>
        <w:t>s</w:t>
      </w:r>
      <w:r w:rsidR="00425E81" w:rsidRPr="002E7053">
        <w:rPr>
          <w:rFonts w:ascii="Calibri" w:hAnsi="Calibri"/>
          <w:sz w:val="22"/>
          <w:szCs w:val="22"/>
        </w:rPr>
        <w:t>e</w:t>
      </w:r>
      <w:r w:rsidR="00425E81">
        <w:rPr>
          <w:rFonts w:ascii="Calibri" w:hAnsi="Calibri"/>
          <w:sz w:val="22"/>
          <w:szCs w:val="22"/>
        </w:rPr>
        <w:t>’</w:t>
      </w:r>
      <w:r w:rsidR="00425E81" w:rsidRPr="002E7053">
        <w:rPr>
          <w:rFonts w:ascii="Calibri" w:hAnsi="Calibri"/>
          <w:sz w:val="22"/>
          <w:szCs w:val="22"/>
        </w:rPr>
        <w:t xml:space="preserve"> the objectives. Each is valid. Each is actually more than </w:t>
      </w:r>
      <w:r w:rsidR="00425E81" w:rsidRPr="002E7053">
        <w:rPr>
          <w:rFonts w:ascii="Calibri" w:hAnsi="Calibri"/>
          <w:sz w:val="22"/>
          <w:szCs w:val="22"/>
        </w:rPr>
        <w:lastRenderedPageBreak/>
        <w:t>valid. Each is essential and core business for most organisations.</w:t>
      </w:r>
      <w:r w:rsidR="00425E81">
        <w:rPr>
          <w:rFonts w:ascii="Calibri" w:hAnsi="Calibri"/>
          <w:sz w:val="22"/>
          <w:szCs w:val="22"/>
        </w:rPr>
        <w:t>’</w:t>
      </w:r>
      <w:r w:rsidR="00425E81">
        <w:rPr>
          <w:rStyle w:val="FootnoteReference"/>
          <w:rFonts w:ascii="Calibri" w:hAnsi="Calibri"/>
          <w:sz w:val="22"/>
          <w:szCs w:val="22"/>
        </w:rPr>
        <w:footnoteReference w:id="35"/>
      </w:r>
    </w:p>
    <w:p w14:paraId="1763EA77" w14:textId="77777777" w:rsidR="00D217D9" w:rsidRPr="002E7053" w:rsidRDefault="00D217D9" w:rsidP="0052682D">
      <w:pPr>
        <w:pStyle w:val="NormalWeb"/>
        <w:spacing w:before="0"/>
        <w:rPr>
          <w:rFonts w:ascii="Calibri" w:hAnsi="Calibri"/>
          <w:sz w:val="22"/>
          <w:szCs w:val="22"/>
        </w:rPr>
      </w:pPr>
    </w:p>
    <w:p w14:paraId="6F269B7D" w14:textId="77777777" w:rsidR="00425E81" w:rsidRDefault="00425E81" w:rsidP="0052682D">
      <w:pPr>
        <w:spacing w:before="0"/>
      </w:pPr>
      <w:r>
        <w:t>Spectrums or continuums are not the only way to explain engagement, with others explaining public participation as a toolbox of approaches. Participation academic Jenny Stewart notes that ‘[w]</w:t>
      </w:r>
      <w:r w:rsidRPr="00F71AC5">
        <w:t>hile it has been traditional to regard engagement as a type of ‘ladder’ or, less metaphorically, as a continuum, contemporary thinking sees engagement in more fluid terms. One possible metaphor is to see engagement as a star-like arrangement of techniques and sites, with each arm of the star corresponding to a particular set of opportunities. From this perspective, types of engagement are strategies corresponding to different kinds of situations and outcomes, rather than</w:t>
      </w:r>
      <w:r>
        <w:t xml:space="preserve"> indices of power differentials</w:t>
      </w:r>
      <w:r w:rsidR="001C5135">
        <w:t>’</w:t>
      </w:r>
      <w:r>
        <w:t>.</w:t>
      </w:r>
      <w:r>
        <w:rPr>
          <w:rStyle w:val="FootnoteReference"/>
        </w:rPr>
        <w:footnoteReference w:id="36"/>
      </w:r>
    </w:p>
    <w:p w14:paraId="3727F675" w14:textId="77777777" w:rsidR="00D217D9" w:rsidRDefault="00D217D9" w:rsidP="0052682D">
      <w:pPr>
        <w:spacing w:before="0"/>
      </w:pPr>
    </w:p>
    <w:p w14:paraId="1326BDA6" w14:textId="77777777" w:rsidR="00425E81" w:rsidRPr="007B0206" w:rsidRDefault="00425E81" w:rsidP="0052682D">
      <w:pPr>
        <w:spacing w:before="0"/>
      </w:pPr>
      <w:r w:rsidRPr="007B0206">
        <w:t xml:space="preserve">In </w:t>
      </w:r>
      <w:r>
        <w:t xml:space="preserve">this </w:t>
      </w:r>
      <w:r w:rsidRPr="007B0206">
        <w:t xml:space="preserve">vein, the Ontario </w:t>
      </w:r>
      <w:r w:rsidR="00287871">
        <w:t>P</w:t>
      </w:r>
      <w:r w:rsidRPr="007B0206">
        <w:t xml:space="preserve">rovincial </w:t>
      </w:r>
      <w:r w:rsidR="00287871">
        <w:t>G</w:t>
      </w:r>
      <w:r w:rsidRPr="007B0206">
        <w:t xml:space="preserve">overnment has </w:t>
      </w:r>
      <w:r>
        <w:t xml:space="preserve">adopted a ‘star-like’ framework/participation toolbox with </w:t>
      </w:r>
      <w:r w:rsidRPr="007B0206">
        <w:t xml:space="preserve">four ways </w:t>
      </w:r>
      <w:r>
        <w:t>to engage</w:t>
      </w:r>
      <w:r w:rsidRPr="007B0206">
        <w:t>:</w:t>
      </w:r>
      <w:r>
        <w:rPr>
          <w:rStyle w:val="FootnoteReference"/>
        </w:rPr>
        <w:footnoteReference w:id="37"/>
      </w:r>
    </w:p>
    <w:p w14:paraId="5046464C" w14:textId="77777777" w:rsidR="00425E81" w:rsidRDefault="00425E81" w:rsidP="0052682D">
      <w:pPr>
        <w:pStyle w:val="ListParagraph"/>
        <w:numPr>
          <w:ilvl w:val="0"/>
          <w:numId w:val="30"/>
        </w:numPr>
        <w:spacing w:before="0"/>
        <w:contextualSpacing w:val="0"/>
      </w:pPr>
      <w:r>
        <w:rPr>
          <w:b/>
          <w:bCs/>
        </w:rPr>
        <w:t>Share -</w:t>
      </w:r>
      <w:r>
        <w:t> </w:t>
      </w:r>
      <w:r>
        <w:rPr>
          <w:lang w:val="en"/>
        </w:rPr>
        <w:t xml:space="preserve">Does government need to tell the public about a government initiative? </w:t>
      </w:r>
      <w:r>
        <w:t>People receive information about a government program or decision in an accessible way. Communication is one-way from the government to the public.</w:t>
      </w:r>
    </w:p>
    <w:p w14:paraId="3303A5E8" w14:textId="77777777" w:rsidR="00425E81" w:rsidRDefault="00425E81" w:rsidP="0052682D">
      <w:pPr>
        <w:pStyle w:val="ListParagraph"/>
        <w:numPr>
          <w:ilvl w:val="0"/>
          <w:numId w:val="30"/>
        </w:numPr>
        <w:spacing w:before="0"/>
        <w:contextualSpacing w:val="0"/>
      </w:pPr>
      <w:r>
        <w:rPr>
          <w:b/>
          <w:bCs/>
        </w:rPr>
        <w:t>Consult</w:t>
      </w:r>
      <w:r>
        <w:t xml:space="preserve"> - Does government need to gather feedback from the public about a problem? People have an opportunity to weigh-in and provide their input. Participants advocate for their views on a subject.</w:t>
      </w:r>
    </w:p>
    <w:p w14:paraId="2E007605" w14:textId="77777777" w:rsidR="00425E81" w:rsidRDefault="00425E81" w:rsidP="0052682D">
      <w:pPr>
        <w:pStyle w:val="ListParagraph"/>
        <w:numPr>
          <w:ilvl w:val="0"/>
          <w:numId w:val="30"/>
        </w:numPr>
        <w:spacing w:before="0"/>
        <w:contextualSpacing w:val="0"/>
      </w:pPr>
      <w:r>
        <w:rPr>
          <w:rStyle w:val="larger"/>
          <w:b/>
          <w:bCs/>
          <w:lang w:val="en"/>
        </w:rPr>
        <w:t>Deliberate</w:t>
      </w:r>
      <w:r>
        <w:rPr>
          <w:rStyle w:val="larger"/>
          <w:lang w:val="en"/>
        </w:rPr>
        <w:t xml:space="preserve"> - </w:t>
      </w:r>
      <w:r>
        <w:t xml:space="preserve">Does government need help‎ from the public to frame or solve a problem? </w:t>
      </w:r>
      <w:r>
        <w:rPr>
          <w:lang w:val="en"/>
        </w:rPr>
        <w:t>People help identify the issue and/or develop a strategy that the government commits to deliver. Participants take part in varying degrees to find common ground and collectively arrive at an agreement.</w:t>
      </w:r>
    </w:p>
    <w:p w14:paraId="62BC7542" w14:textId="77777777" w:rsidR="00425E81" w:rsidRPr="00D217D9" w:rsidRDefault="00425E81" w:rsidP="0052682D">
      <w:pPr>
        <w:pStyle w:val="ListParagraph"/>
        <w:numPr>
          <w:ilvl w:val="0"/>
          <w:numId w:val="30"/>
        </w:numPr>
        <w:spacing w:before="0"/>
        <w:contextualSpacing w:val="0"/>
      </w:pPr>
      <w:r>
        <w:rPr>
          <w:rStyle w:val="larger"/>
          <w:b/>
          <w:bCs/>
          <w:lang w:val="en"/>
        </w:rPr>
        <w:t>Collaborate</w:t>
      </w:r>
      <w:r>
        <w:rPr>
          <w:rStyle w:val="larger"/>
          <w:lang w:val="en"/>
        </w:rPr>
        <w:t xml:space="preserve"> - </w:t>
      </w:r>
      <w:r>
        <w:rPr>
          <w:lang w:val="en"/>
        </w:rPr>
        <w:t>Does government ‎need help from the public to find and implement a solution? People work with government to define an issue, develop and deliver solutions. Participants share decision-making and implementation of solutions.</w:t>
      </w:r>
    </w:p>
    <w:p w14:paraId="72EB3DD7" w14:textId="77777777" w:rsidR="00D217D9" w:rsidRDefault="00D217D9" w:rsidP="0052682D">
      <w:pPr>
        <w:pStyle w:val="ListParagraph"/>
        <w:spacing w:before="0"/>
        <w:contextualSpacing w:val="0"/>
      </w:pPr>
    </w:p>
    <w:p w14:paraId="45B04B47" w14:textId="77777777" w:rsidR="00425E81" w:rsidRDefault="00425E81" w:rsidP="0052682D">
      <w:pPr>
        <w:pStyle w:val="NormalWeb"/>
        <w:spacing w:before="0"/>
        <w:rPr>
          <w:rFonts w:ascii="Calibri" w:hAnsi="Calibri"/>
          <w:sz w:val="22"/>
          <w:szCs w:val="22"/>
        </w:rPr>
      </w:pPr>
      <w:r w:rsidRPr="00E15BA0">
        <w:rPr>
          <w:rFonts w:ascii="Calibri" w:hAnsi="Calibri"/>
          <w:sz w:val="22"/>
          <w:szCs w:val="22"/>
        </w:rPr>
        <w:t xml:space="preserve">The approach here is to see the ways we can engage as buckets and </w:t>
      </w:r>
      <w:r w:rsidR="00287871">
        <w:rPr>
          <w:rFonts w:ascii="Calibri" w:hAnsi="Calibri"/>
          <w:sz w:val="22"/>
          <w:szCs w:val="22"/>
        </w:rPr>
        <w:t xml:space="preserve">to draw </w:t>
      </w:r>
      <w:r w:rsidRPr="00E15BA0">
        <w:rPr>
          <w:rFonts w:ascii="Calibri" w:hAnsi="Calibri"/>
          <w:sz w:val="22"/>
          <w:szCs w:val="22"/>
        </w:rPr>
        <w:t>on a bucket depending on the need that you have identified. The Ontario framework emphasises the importance of diagnosing the problem and applying the right approach to help you solve the problem. There is no relative value assigned to the different ways to engage, it is very much horses for courses. This approach also avoids any perception associated with continuums that points on the left are less valuable than the points on the right.</w:t>
      </w:r>
      <w:r>
        <w:rPr>
          <w:rStyle w:val="FootnoteReference"/>
          <w:rFonts w:ascii="Calibri" w:hAnsi="Calibri"/>
          <w:sz w:val="22"/>
          <w:szCs w:val="22"/>
        </w:rPr>
        <w:footnoteReference w:id="38"/>
      </w:r>
    </w:p>
    <w:p w14:paraId="1744CB78" w14:textId="77777777" w:rsidR="004B34BE" w:rsidRDefault="004B34BE" w:rsidP="0052682D">
      <w:pPr>
        <w:pStyle w:val="NormalWeb"/>
        <w:spacing w:before="0"/>
        <w:rPr>
          <w:rFonts w:ascii="Calibri" w:hAnsi="Calibri"/>
          <w:sz w:val="22"/>
          <w:szCs w:val="22"/>
        </w:rPr>
      </w:pPr>
    </w:p>
    <w:p w14:paraId="453E8AEB" w14:textId="77777777" w:rsidR="00806546" w:rsidRPr="00011B65" w:rsidRDefault="006A3A1F" w:rsidP="00011B65">
      <w:pPr>
        <w:pStyle w:val="H2"/>
        <w:spacing w:before="0" w:after="0"/>
      </w:pPr>
      <w:bookmarkStart w:id="34" w:name="_Toc495915955"/>
      <w:r>
        <w:lastRenderedPageBreak/>
        <w:t>Our</w:t>
      </w:r>
      <w:r w:rsidR="00806546" w:rsidRPr="00011B65">
        <w:t xml:space="preserve"> initial ‘working’ public participation framework</w:t>
      </w:r>
      <w:bookmarkEnd w:id="34"/>
      <w:r w:rsidR="00806546" w:rsidRPr="00011B65">
        <w:t xml:space="preserve"> </w:t>
      </w:r>
    </w:p>
    <w:p w14:paraId="0B64286D" w14:textId="77777777" w:rsidR="00E444C4" w:rsidRPr="001E78AC" w:rsidRDefault="00E444C4" w:rsidP="001E78AC">
      <w:pPr>
        <w:spacing w:before="0"/>
        <w:rPr>
          <w:rFonts w:asciiTheme="majorHAnsi" w:hAnsiTheme="majorHAnsi"/>
          <w:i/>
          <w:sz w:val="30"/>
        </w:rPr>
      </w:pPr>
      <w:r w:rsidRPr="001E78AC">
        <w:rPr>
          <w:rFonts w:asciiTheme="majorHAnsi" w:hAnsiTheme="majorHAnsi"/>
          <w:i/>
          <w:sz w:val="30"/>
        </w:rPr>
        <w:t>In the project’s Create phase,</w:t>
      </w:r>
      <w:r w:rsidR="00364F19" w:rsidRPr="001E78AC">
        <w:rPr>
          <w:rFonts w:asciiTheme="majorHAnsi" w:hAnsiTheme="majorHAnsi"/>
          <w:i/>
          <w:sz w:val="30"/>
        </w:rPr>
        <w:t xml:space="preserve"> </w:t>
      </w:r>
      <w:r w:rsidR="00101424" w:rsidRPr="001E78AC">
        <w:rPr>
          <w:rFonts w:asciiTheme="majorHAnsi" w:hAnsiTheme="majorHAnsi"/>
          <w:i/>
          <w:sz w:val="30"/>
        </w:rPr>
        <w:t xml:space="preserve">and </w:t>
      </w:r>
      <w:r w:rsidR="00364F19" w:rsidRPr="001E78AC">
        <w:rPr>
          <w:rFonts w:asciiTheme="majorHAnsi" w:hAnsiTheme="majorHAnsi"/>
          <w:i/>
          <w:sz w:val="30"/>
        </w:rPr>
        <w:t xml:space="preserve">as the Open Government </w:t>
      </w:r>
      <w:r w:rsidR="004721A4" w:rsidRPr="001E78AC">
        <w:rPr>
          <w:rFonts w:asciiTheme="majorHAnsi" w:hAnsiTheme="majorHAnsi"/>
          <w:i/>
          <w:sz w:val="30"/>
        </w:rPr>
        <w:t>National Action Plan’s</w:t>
      </w:r>
      <w:r w:rsidR="00364F19" w:rsidRPr="001E78AC">
        <w:rPr>
          <w:rFonts w:asciiTheme="majorHAnsi" w:hAnsiTheme="majorHAnsi"/>
          <w:i/>
          <w:sz w:val="30"/>
        </w:rPr>
        <w:t xml:space="preserve"> Milestone 2, </w:t>
      </w:r>
      <w:r w:rsidRPr="001E78AC">
        <w:rPr>
          <w:rFonts w:asciiTheme="majorHAnsi" w:hAnsiTheme="majorHAnsi"/>
          <w:i/>
          <w:sz w:val="30"/>
        </w:rPr>
        <w:t xml:space="preserve">we </w:t>
      </w:r>
      <w:r w:rsidR="00364F19" w:rsidRPr="001E78AC">
        <w:rPr>
          <w:rFonts w:asciiTheme="majorHAnsi" w:hAnsiTheme="majorHAnsi"/>
          <w:i/>
          <w:sz w:val="30"/>
        </w:rPr>
        <w:t>will design</w:t>
      </w:r>
      <w:r w:rsidRPr="001E78AC">
        <w:rPr>
          <w:rFonts w:asciiTheme="majorHAnsi" w:hAnsiTheme="majorHAnsi"/>
          <w:i/>
          <w:sz w:val="30"/>
        </w:rPr>
        <w:t xml:space="preserve"> an original and tailored </w:t>
      </w:r>
      <w:r w:rsidR="00364F19" w:rsidRPr="001E78AC">
        <w:rPr>
          <w:rFonts w:asciiTheme="majorHAnsi" w:hAnsiTheme="majorHAnsi"/>
          <w:i/>
          <w:sz w:val="30"/>
        </w:rPr>
        <w:t xml:space="preserve">public participation </w:t>
      </w:r>
      <w:r w:rsidRPr="001E78AC">
        <w:rPr>
          <w:rFonts w:asciiTheme="majorHAnsi" w:hAnsiTheme="majorHAnsi"/>
          <w:i/>
          <w:sz w:val="30"/>
        </w:rPr>
        <w:t>framework for the APS</w:t>
      </w:r>
      <w:r w:rsidR="00011B65" w:rsidRPr="001E78AC">
        <w:rPr>
          <w:rFonts w:asciiTheme="majorHAnsi" w:hAnsiTheme="majorHAnsi"/>
          <w:i/>
          <w:sz w:val="30"/>
        </w:rPr>
        <w:t xml:space="preserve"> and its users</w:t>
      </w:r>
      <w:r w:rsidRPr="001E78AC">
        <w:rPr>
          <w:rFonts w:asciiTheme="majorHAnsi" w:hAnsiTheme="majorHAnsi"/>
          <w:i/>
          <w:sz w:val="30"/>
        </w:rPr>
        <w:t xml:space="preserve">. </w:t>
      </w:r>
    </w:p>
    <w:p w14:paraId="1C6F82EA" w14:textId="77777777" w:rsidR="00E444C4" w:rsidRPr="001E78AC" w:rsidRDefault="00E444C4" w:rsidP="001E78AC">
      <w:pPr>
        <w:spacing w:before="0"/>
        <w:rPr>
          <w:rFonts w:asciiTheme="majorHAnsi" w:hAnsiTheme="majorHAnsi"/>
          <w:i/>
          <w:sz w:val="30"/>
        </w:rPr>
      </w:pPr>
    </w:p>
    <w:p w14:paraId="7CFE1003" w14:textId="77777777" w:rsidR="00390521" w:rsidRPr="00390521" w:rsidRDefault="00364F19" w:rsidP="00390521">
      <w:pPr>
        <w:pStyle w:val="NormalWeb"/>
        <w:spacing w:before="0"/>
        <w:rPr>
          <w:rFonts w:asciiTheme="majorHAnsi" w:hAnsiTheme="majorHAnsi"/>
          <w:i/>
          <w:sz w:val="30"/>
          <w:szCs w:val="22"/>
        </w:rPr>
      </w:pPr>
      <w:r w:rsidRPr="001E78AC">
        <w:rPr>
          <w:rFonts w:asciiTheme="majorHAnsi" w:hAnsiTheme="majorHAnsi"/>
          <w:i/>
          <w:sz w:val="30"/>
          <w:szCs w:val="22"/>
        </w:rPr>
        <w:t>However, f</w:t>
      </w:r>
      <w:r w:rsidR="00F22BDD" w:rsidRPr="001E78AC">
        <w:rPr>
          <w:rFonts w:asciiTheme="majorHAnsi" w:hAnsiTheme="majorHAnsi"/>
          <w:i/>
          <w:sz w:val="30"/>
          <w:szCs w:val="22"/>
        </w:rPr>
        <w:t>or the purpose</w:t>
      </w:r>
      <w:r w:rsidR="00F80B99" w:rsidRPr="001E78AC">
        <w:rPr>
          <w:rFonts w:asciiTheme="majorHAnsi" w:hAnsiTheme="majorHAnsi"/>
          <w:i/>
          <w:sz w:val="30"/>
          <w:szCs w:val="22"/>
        </w:rPr>
        <w:t>s</w:t>
      </w:r>
      <w:r w:rsidR="00F22BDD" w:rsidRPr="001E78AC">
        <w:rPr>
          <w:rFonts w:asciiTheme="majorHAnsi" w:hAnsiTheme="majorHAnsi"/>
          <w:i/>
          <w:sz w:val="30"/>
          <w:szCs w:val="22"/>
        </w:rPr>
        <w:t xml:space="preserve"> of the Discover</w:t>
      </w:r>
      <w:r w:rsidR="006202BF" w:rsidRPr="001E78AC">
        <w:rPr>
          <w:rFonts w:asciiTheme="majorHAnsi" w:hAnsiTheme="majorHAnsi"/>
          <w:i/>
          <w:sz w:val="30"/>
          <w:szCs w:val="22"/>
        </w:rPr>
        <w:t xml:space="preserve"> phase</w:t>
      </w:r>
      <w:r w:rsidR="00EB1090" w:rsidRPr="001E78AC">
        <w:rPr>
          <w:rFonts w:asciiTheme="majorHAnsi" w:hAnsiTheme="majorHAnsi"/>
          <w:i/>
          <w:sz w:val="30"/>
          <w:szCs w:val="22"/>
        </w:rPr>
        <w:t xml:space="preserve">, </w:t>
      </w:r>
      <w:r w:rsidR="00E444C4" w:rsidRPr="001E78AC">
        <w:rPr>
          <w:rFonts w:asciiTheme="majorHAnsi" w:hAnsiTheme="majorHAnsi"/>
          <w:i/>
          <w:sz w:val="30"/>
          <w:szCs w:val="22"/>
        </w:rPr>
        <w:t xml:space="preserve">it is useful to start with a </w:t>
      </w:r>
      <w:r w:rsidR="00726142" w:rsidRPr="001E78AC">
        <w:rPr>
          <w:rFonts w:asciiTheme="majorHAnsi" w:hAnsiTheme="majorHAnsi"/>
          <w:i/>
          <w:sz w:val="30"/>
          <w:szCs w:val="22"/>
        </w:rPr>
        <w:t>working</w:t>
      </w:r>
      <w:r w:rsidR="00E444C4" w:rsidRPr="001E78AC">
        <w:rPr>
          <w:rFonts w:asciiTheme="majorHAnsi" w:hAnsiTheme="majorHAnsi"/>
          <w:i/>
          <w:sz w:val="30"/>
          <w:szCs w:val="22"/>
        </w:rPr>
        <w:t xml:space="preserve"> framework, based on international standards and best practice. </w:t>
      </w:r>
      <w:r w:rsidR="001E78AC" w:rsidRPr="00390521">
        <w:rPr>
          <w:rFonts w:asciiTheme="majorHAnsi" w:hAnsiTheme="majorHAnsi"/>
          <w:i/>
          <w:sz w:val="30"/>
          <w:szCs w:val="22"/>
        </w:rPr>
        <w:t xml:space="preserve">Our working framework is the Ontario Provincial Government’s framework. </w:t>
      </w:r>
      <w:r w:rsidR="00390521" w:rsidRPr="00390521">
        <w:rPr>
          <w:rFonts w:asciiTheme="majorHAnsi" w:hAnsiTheme="majorHAnsi"/>
          <w:i/>
          <w:sz w:val="30"/>
          <w:szCs w:val="22"/>
        </w:rPr>
        <w:t xml:space="preserve">While all of the frameworks and approaches to public participation </w:t>
      </w:r>
      <w:r w:rsidR="00390521">
        <w:rPr>
          <w:rFonts w:asciiTheme="majorHAnsi" w:hAnsiTheme="majorHAnsi"/>
          <w:i/>
          <w:sz w:val="30"/>
          <w:szCs w:val="22"/>
        </w:rPr>
        <w:t xml:space="preserve">discussed above </w:t>
      </w:r>
      <w:r w:rsidR="00390521" w:rsidRPr="00390521">
        <w:rPr>
          <w:rFonts w:asciiTheme="majorHAnsi" w:hAnsiTheme="majorHAnsi"/>
          <w:i/>
          <w:sz w:val="30"/>
          <w:szCs w:val="22"/>
        </w:rPr>
        <w:t xml:space="preserve">offer inspiration, our expert consultations and literature review indicate the Ontario Framework is well suited to the APS. </w:t>
      </w:r>
    </w:p>
    <w:p w14:paraId="39B94E75" w14:textId="77777777" w:rsidR="001E78AC" w:rsidRDefault="001E78AC" w:rsidP="001E78AC">
      <w:pPr>
        <w:spacing w:before="0"/>
        <w:rPr>
          <w:rFonts w:asciiTheme="majorHAnsi" w:hAnsiTheme="majorHAnsi"/>
          <w:i/>
          <w:sz w:val="30"/>
        </w:rPr>
      </w:pPr>
    </w:p>
    <w:p w14:paraId="1503B2A7" w14:textId="77777777" w:rsidR="00E444C4" w:rsidRPr="00390521" w:rsidRDefault="00726142" w:rsidP="001E78AC">
      <w:pPr>
        <w:spacing w:before="0"/>
      </w:pPr>
      <w:r w:rsidRPr="00390521">
        <w:t xml:space="preserve">A working framework </w:t>
      </w:r>
      <w:r w:rsidR="00F80B99" w:rsidRPr="00390521">
        <w:t>can help guide us in our work, to ensure our own public participation is good practice</w:t>
      </w:r>
      <w:r w:rsidR="00063905" w:rsidRPr="00390521">
        <w:t xml:space="preserve"> and meaningful</w:t>
      </w:r>
      <w:r w:rsidR="00F80B99" w:rsidRPr="00390521">
        <w:t xml:space="preserve">. It </w:t>
      </w:r>
      <w:r w:rsidR="00E34244" w:rsidRPr="00390521">
        <w:t xml:space="preserve">can </w:t>
      </w:r>
      <w:r w:rsidR="00F80B99" w:rsidRPr="00390521">
        <w:t xml:space="preserve">also </w:t>
      </w:r>
      <w:r w:rsidR="00E34244" w:rsidRPr="00390521">
        <w:t xml:space="preserve">help us explain public participation to stakeholders. </w:t>
      </w:r>
      <w:r w:rsidR="00F80B99" w:rsidRPr="00390521">
        <w:t>Finally, i</w:t>
      </w:r>
      <w:r w:rsidR="00E34244" w:rsidRPr="00390521">
        <w:t>t also provides a structure for our stocktake, and a lens to interpret and analyse existing public participation and our case studies (stocktake and case studies are below).</w:t>
      </w:r>
      <w:r w:rsidR="00F80B99" w:rsidRPr="00390521">
        <w:t xml:space="preserve"> </w:t>
      </w:r>
    </w:p>
    <w:p w14:paraId="49E96378" w14:textId="77777777" w:rsidR="00E444C4" w:rsidRDefault="00E444C4" w:rsidP="0052682D">
      <w:pPr>
        <w:pStyle w:val="NormalWeb"/>
        <w:spacing w:before="0"/>
        <w:rPr>
          <w:rFonts w:ascii="Calibri" w:hAnsi="Calibri"/>
          <w:sz w:val="22"/>
          <w:szCs w:val="22"/>
        </w:rPr>
      </w:pPr>
    </w:p>
    <w:p w14:paraId="1999D248" w14:textId="77777777" w:rsidR="004230DB" w:rsidRDefault="002B0757" w:rsidP="0052682D">
      <w:pPr>
        <w:pStyle w:val="NormalWeb"/>
        <w:spacing w:before="0"/>
        <w:rPr>
          <w:rFonts w:ascii="Calibri" w:hAnsi="Calibri"/>
          <w:sz w:val="22"/>
          <w:szCs w:val="22"/>
        </w:rPr>
      </w:pPr>
      <w:r>
        <w:rPr>
          <w:rFonts w:ascii="Calibri" w:hAnsi="Calibri"/>
          <w:sz w:val="22"/>
          <w:szCs w:val="22"/>
        </w:rPr>
        <w:t>W</w:t>
      </w:r>
      <w:r w:rsidR="00E444C4">
        <w:rPr>
          <w:rFonts w:ascii="Calibri" w:hAnsi="Calibri"/>
          <w:sz w:val="22"/>
          <w:szCs w:val="22"/>
        </w:rPr>
        <w:t>e are using the Ontario Provincial Government’s participation framework as our working public participation framework</w:t>
      </w:r>
      <w:r>
        <w:rPr>
          <w:rFonts w:ascii="Calibri" w:hAnsi="Calibri"/>
          <w:sz w:val="22"/>
          <w:szCs w:val="22"/>
        </w:rPr>
        <w:t>.</w:t>
      </w:r>
    </w:p>
    <w:p w14:paraId="3D24C5E9" w14:textId="77777777" w:rsidR="00E444C4" w:rsidRDefault="00E444C4" w:rsidP="0052682D">
      <w:pPr>
        <w:pStyle w:val="NormalWeb"/>
        <w:spacing w:before="0"/>
        <w:rPr>
          <w:rFonts w:ascii="Calibri" w:hAnsi="Calibri"/>
          <w:sz w:val="22"/>
          <w:szCs w:val="22"/>
        </w:rPr>
      </w:pPr>
    </w:p>
    <w:p w14:paraId="46C9467F" w14:textId="77777777" w:rsidR="00A329CC" w:rsidRDefault="00390521" w:rsidP="0052682D">
      <w:pPr>
        <w:pStyle w:val="NormalWeb"/>
        <w:spacing w:before="0"/>
        <w:rPr>
          <w:rFonts w:ascii="Calibri" w:hAnsi="Calibri"/>
          <w:sz w:val="22"/>
          <w:szCs w:val="22"/>
        </w:rPr>
      </w:pPr>
      <w:r>
        <w:rPr>
          <w:noProof/>
          <w:lang w:eastAsia="en-AU"/>
        </w:rPr>
        <mc:AlternateContent>
          <mc:Choice Requires="wps">
            <w:drawing>
              <wp:anchor distT="0" distB="0" distL="457200" distR="114300" simplePos="0" relativeHeight="251658259" behindDoc="0" locked="0" layoutInCell="0" allowOverlap="1" wp14:anchorId="3AEC22DA" wp14:editId="1001DA8B">
                <wp:simplePos x="0" y="0"/>
                <wp:positionH relativeFrom="margin">
                  <wp:align>left</wp:align>
                </wp:positionH>
                <wp:positionV relativeFrom="page">
                  <wp:posOffset>5624546</wp:posOffset>
                </wp:positionV>
                <wp:extent cx="2949575" cy="2576195"/>
                <wp:effectExtent l="0" t="0" r="3175" b="0"/>
                <wp:wrapSquare wrapText="bothSides"/>
                <wp:docPr id="165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9575" cy="2576195"/>
                        </a:xfrm>
                        <a:prstGeom prst="rect">
                          <a:avLst/>
                        </a:prstGeom>
                        <a:solidFill>
                          <a:srgbClr val="DEEBF7"/>
                        </a:solidFill>
                        <a:extLst/>
                      </wps:spPr>
                      <wps:txbx>
                        <w:txbxContent>
                          <w:tbl>
                            <w:tblPr>
                              <w:tblStyle w:val="TableGrid"/>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1"/>
                              <w:gridCol w:w="2432"/>
                            </w:tblGrid>
                            <w:tr w:rsidR="001143F2" w14:paraId="23240888" w14:textId="77777777" w:rsidTr="00AE4E9B">
                              <w:tc>
                                <w:tcPr>
                                  <w:tcW w:w="1476" w:type="dxa"/>
                                </w:tcPr>
                                <w:p w14:paraId="2E2074A0" w14:textId="77777777" w:rsidR="001143F2" w:rsidRDefault="001143F2" w:rsidP="001B4C22">
                                  <w:pPr>
                                    <w:spacing w:before="0" w:after="240"/>
                                    <w:jc w:val="both"/>
                                    <w:rPr>
                                      <w:b/>
                                      <w:bCs/>
                                      <w:color w:val="323E4F" w:themeColor="text2" w:themeShade="BF"/>
                                      <w:szCs w:val="28"/>
                                    </w:rPr>
                                  </w:pPr>
                                  <w:r w:rsidRPr="00E34244">
                                    <w:rPr>
                                      <w:b/>
                                      <w:bCs/>
                                      <w:noProof/>
                                      <w:color w:val="323E4F" w:themeColor="text2" w:themeShade="BF"/>
                                      <w:szCs w:val="28"/>
                                      <w:lang w:eastAsia="en-AU"/>
                                    </w:rPr>
                                    <w:drawing>
                                      <wp:inline distT="0" distB="0" distL="0" distR="0" wp14:anchorId="43A40DFF" wp14:editId="07B9C2BC">
                                        <wp:extent cx="1019175" cy="1058374"/>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2233" cy="1061549"/>
                                                </a:xfrm>
                                                <a:prstGeom prst="rect">
                                                  <a:avLst/>
                                                </a:prstGeom>
                                                <a:noFill/>
                                                <a:ln>
                                                  <a:noFill/>
                                                </a:ln>
                                              </pic:spPr>
                                            </pic:pic>
                                          </a:graphicData>
                                        </a:graphic>
                                      </wp:inline>
                                    </w:drawing>
                                  </w:r>
                                </w:p>
                              </w:tc>
                              <w:tc>
                                <w:tcPr>
                                  <w:tcW w:w="2777" w:type="dxa"/>
                                </w:tcPr>
                                <w:p w14:paraId="2E26D772" w14:textId="77777777" w:rsidR="001143F2" w:rsidRPr="000F55D0" w:rsidRDefault="001143F2" w:rsidP="004721A4">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 xml:space="preserve">The </w:t>
                                  </w:r>
                                  <w:r w:rsidRPr="008E6924">
                                    <w:rPr>
                                      <w:rFonts w:asciiTheme="majorHAnsi" w:hAnsiTheme="majorHAnsi" w:cs="Arial"/>
                                      <w:b/>
                                      <w:i/>
                                      <w:noProof/>
                                      <w:color w:val="44546A" w:themeColor="text2"/>
                                      <w:sz w:val="20"/>
                                      <w:lang w:eastAsia="en-AU"/>
                                    </w:rPr>
                                    <w:t>Ontario Framework</w:t>
                                  </w:r>
                                  <w:r>
                                    <w:rPr>
                                      <w:rFonts w:asciiTheme="majorHAnsi" w:hAnsiTheme="majorHAnsi" w:cs="Arial"/>
                                      <w:b/>
                                      <w:noProof/>
                                      <w:color w:val="44546A" w:themeColor="text2"/>
                                      <w:sz w:val="20"/>
                                      <w:lang w:eastAsia="en-AU"/>
                                    </w:rPr>
                                    <w:t xml:space="preserve"> is a valuable guide to public participation, because it draws on open dialogue to boost innovation</w:t>
                                  </w:r>
                                </w:p>
                              </w:tc>
                            </w:tr>
                          </w:tbl>
                          <w:p w14:paraId="38681443" w14:textId="77777777" w:rsidR="001143F2" w:rsidRPr="000F55D0" w:rsidRDefault="001143F2" w:rsidP="00E34244">
                            <w:pPr>
                              <w:spacing w:before="0"/>
                              <w:rPr>
                                <w:rFonts w:asciiTheme="majorHAnsi" w:hAnsiTheme="majorHAnsi"/>
                                <w:sz w:val="16"/>
                              </w:rPr>
                            </w:pPr>
                            <w:r w:rsidRPr="000F55D0">
                              <w:rPr>
                                <w:rFonts w:asciiTheme="majorHAnsi" w:hAnsiTheme="majorHAnsi" w:cs="Arial"/>
                                <w:noProof/>
                                <w:sz w:val="16"/>
                                <w:lang w:eastAsia="en-AU"/>
                              </w:rPr>
                              <w:drawing>
                                <wp:inline distT="0" distB="0" distL="0" distR="0" wp14:anchorId="7C706AA1" wp14:editId="7FB79580">
                                  <wp:extent cx="257175" cy="2476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E34244">
                              <w:t xml:space="preserve"> </w:t>
                            </w:r>
                            <w:r w:rsidRPr="00E34244">
                              <w:rPr>
                                <w:rFonts w:asciiTheme="majorHAnsi" w:hAnsiTheme="majorHAnsi" w:cs="Arial"/>
                                <w:noProof/>
                                <w:sz w:val="16"/>
                                <w:lang w:eastAsia="en-AU"/>
                              </w:rPr>
                              <w:t>Open Dialogue thus is a catalyst for innovation and collaboration on Open Government: If data and information are the primary resources in a knowledge society, dialogue is the refinery that allows governments, businesses, and civil societ</w:t>
                            </w:r>
                            <w:r>
                              <w:rPr>
                                <w:rFonts w:asciiTheme="majorHAnsi" w:hAnsiTheme="majorHAnsi" w:cs="Arial"/>
                                <w:noProof/>
                                <w:sz w:val="16"/>
                                <w:lang w:eastAsia="en-AU"/>
                              </w:rPr>
                              <w:t>y to find and extract the value.”</w:t>
                            </w:r>
                          </w:p>
                          <w:p w14:paraId="0BDE136D" w14:textId="77777777" w:rsidR="001143F2" w:rsidRDefault="001143F2" w:rsidP="00E34244">
                            <w:pPr>
                              <w:spacing w:before="0"/>
                              <w:jc w:val="right"/>
                              <w:rPr>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AEC22DA" id="_x0000_s1043" style="position:absolute;margin-left:0;margin-top:442.9pt;width:232.25pt;height:202.85pt;z-index:251658259;visibility:visible;mso-wrap-style:square;mso-width-percent:0;mso-height-percent:0;mso-wrap-distance-left:36pt;mso-wrap-distance-top:0;mso-wrap-distance-right:9pt;mso-wrap-distance-bottom:0;mso-position-horizontal:lef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" o:allowincell="f" fillcolor="#deebf7" stroked="f">
                <v:textbox inset="14.4pt,14.4pt,14.4pt,14.4pt">
                  <w:txbxContent>
                    <w:tbl>
                      <w:tblPr>
                        <w:tblStyle w:val="TableGrid"/>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1"/>
                        <w:gridCol w:w="2432"/>
                      </w:tblGrid>
                      <w:tr w:rsidR="001143F2" w14:paraId="23240888" w14:textId="77777777" w:rsidTr="00AE4E9B">
                        <w:tc>
                          <w:tcPr>
                            <w:tcW w:w="1476" w:type="dxa"/>
                          </w:tcPr>
                          <w:p w14:paraId="2E2074A0" w14:textId="77777777" w:rsidR="001143F2" w:rsidRDefault="001143F2" w:rsidP="001B4C22">
                            <w:pPr>
                              <w:spacing w:before="0" w:after="240"/>
                              <w:jc w:val="both"/>
                              <w:rPr>
                                <w:b/>
                                <w:bCs/>
                                <w:color w:val="323E4F" w:themeColor="text2" w:themeShade="BF"/>
                                <w:szCs w:val="28"/>
                              </w:rPr>
                            </w:pPr>
                            <w:r w:rsidRPr="00E34244">
                              <w:rPr>
                                <w:b/>
                                <w:bCs/>
                                <w:noProof/>
                                <w:color w:val="323E4F" w:themeColor="text2" w:themeShade="BF"/>
                                <w:szCs w:val="28"/>
                                <w:lang w:eastAsia="en-AU"/>
                              </w:rPr>
                              <w:drawing>
                                <wp:inline distT="0" distB="0" distL="0" distR="0" wp14:anchorId="43A40DFF" wp14:editId="07B9C2BC">
                                  <wp:extent cx="1019175" cy="1058374"/>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2233" cy="1061549"/>
                                          </a:xfrm>
                                          <a:prstGeom prst="rect">
                                            <a:avLst/>
                                          </a:prstGeom>
                                          <a:noFill/>
                                          <a:ln>
                                            <a:noFill/>
                                          </a:ln>
                                        </pic:spPr>
                                      </pic:pic>
                                    </a:graphicData>
                                  </a:graphic>
                                </wp:inline>
                              </w:drawing>
                            </w:r>
                          </w:p>
                        </w:tc>
                        <w:tc>
                          <w:tcPr>
                            <w:tcW w:w="2777" w:type="dxa"/>
                          </w:tcPr>
                          <w:p w14:paraId="2E26D772" w14:textId="77777777" w:rsidR="001143F2" w:rsidRPr="000F55D0" w:rsidRDefault="001143F2" w:rsidP="004721A4">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 xml:space="preserve">The </w:t>
                            </w:r>
                            <w:r w:rsidRPr="008E6924">
                              <w:rPr>
                                <w:rFonts w:asciiTheme="majorHAnsi" w:hAnsiTheme="majorHAnsi" w:cs="Arial"/>
                                <w:b/>
                                <w:i/>
                                <w:noProof/>
                                <w:color w:val="44546A" w:themeColor="text2"/>
                                <w:sz w:val="20"/>
                                <w:lang w:eastAsia="en-AU"/>
                              </w:rPr>
                              <w:t>Ontario Framework</w:t>
                            </w:r>
                            <w:r>
                              <w:rPr>
                                <w:rFonts w:asciiTheme="majorHAnsi" w:hAnsiTheme="majorHAnsi" w:cs="Arial"/>
                                <w:b/>
                                <w:noProof/>
                                <w:color w:val="44546A" w:themeColor="text2"/>
                                <w:sz w:val="20"/>
                                <w:lang w:eastAsia="en-AU"/>
                              </w:rPr>
                              <w:t xml:space="preserve"> is a valuable guide to public participation, because it draws on open dialogue to boost innovation</w:t>
                            </w:r>
                          </w:p>
                        </w:tc>
                      </w:tr>
                    </w:tbl>
                    <w:p w14:paraId="38681443" w14:textId="77777777" w:rsidR="001143F2" w:rsidRPr="000F55D0" w:rsidRDefault="001143F2" w:rsidP="00E34244">
                      <w:pPr>
                        <w:spacing w:before="0"/>
                        <w:rPr>
                          <w:rFonts w:asciiTheme="majorHAnsi" w:hAnsiTheme="majorHAnsi"/>
                          <w:sz w:val="16"/>
                        </w:rPr>
                      </w:pPr>
                      <w:r w:rsidRPr="000F55D0">
                        <w:rPr>
                          <w:rFonts w:asciiTheme="majorHAnsi" w:hAnsiTheme="majorHAnsi" w:cs="Arial"/>
                          <w:noProof/>
                          <w:sz w:val="16"/>
                          <w:lang w:eastAsia="en-AU"/>
                        </w:rPr>
                        <w:drawing>
                          <wp:inline distT="0" distB="0" distL="0" distR="0" wp14:anchorId="7C706AA1" wp14:editId="7FB79580">
                            <wp:extent cx="257175" cy="2476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175" cy="247650"/>
                                    </a:xfrm>
                                    <a:prstGeom prst="rect">
                                      <a:avLst/>
                                    </a:prstGeom>
                                  </pic:spPr>
                                </pic:pic>
                              </a:graphicData>
                            </a:graphic>
                          </wp:inline>
                        </w:drawing>
                      </w:r>
                      <w:r w:rsidRPr="00E34244">
                        <w:t xml:space="preserve"> </w:t>
                      </w:r>
                      <w:r w:rsidRPr="00E34244">
                        <w:rPr>
                          <w:rFonts w:asciiTheme="majorHAnsi" w:hAnsiTheme="majorHAnsi" w:cs="Arial"/>
                          <w:noProof/>
                          <w:sz w:val="16"/>
                          <w:lang w:eastAsia="en-AU"/>
                        </w:rPr>
                        <w:t>Open Dialogue thus is a catalyst for innovation and collaboration on Open Government: If data and information are the primary resources in a knowledge society, dialogue is the refinery that allows governments, businesses, and civil societ</w:t>
                      </w:r>
                      <w:r>
                        <w:rPr>
                          <w:rFonts w:asciiTheme="majorHAnsi" w:hAnsiTheme="majorHAnsi" w:cs="Arial"/>
                          <w:noProof/>
                          <w:sz w:val="16"/>
                          <w:lang w:eastAsia="en-AU"/>
                        </w:rPr>
                        <w:t>y to find and extract the value.”</w:t>
                      </w:r>
                    </w:p>
                    <w:p w14:paraId="0BDE136D" w14:textId="77777777" w:rsidR="001143F2" w:rsidRDefault="001143F2" w:rsidP="00E34244">
                      <w:pPr>
                        <w:spacing w:before="0"/>
                        <w:jc w:val="right"/>
                        <w:rPr>
                          <w:sz w:val="20"/>
                        </w:rPr>
                      </w:pPr>
                    </w:p>
                  </w:txbxContent>
                </v:textbox>
                <w10:wrap type="square" anchorx="margin" anchory="page"/>
              </v:rect>
            </w:pict>
          </mc:Fallback>
        </mc:AlternateContent>
      </w:r>
      <w:r w:rsidR="00A329CC">
        <w:rPr>
          <w:rFonts w:ascii="Calibri" w:hAnsi="Calibri"/>
          <w:sz w:val="22"/>
          <w:szCs w:val="22"/>
        </w:rPr>
        <w:t>The Ontario Framework’s</w:t>
      </w:r>
      <w:r w:rsidR="004230DB">
        <w:rPr>
          <w:rFonts w:ascii="Calibri" w:hAnsi="Calibri"/>
          <w:sz w:val="22"/>
          <w:szCs w:val="22"/>
        </w:rPr>
        <w:t xml:space="preserve"> practical emphasis on applying the right</w:t>
      </w:r>
      <w:r w:rsidR="007C782B">
        <w:rPr>
          <w:rFonts w:ascii="Calibri" w:hAnsi="Calibri"/>
          <w:sz w:val="22"/>
          <w:szCs w:val="22"/>
        </w:rPr>
        <w:t xml:space="preserve"> engagement</w:t>
      </w:r>
      <w:r w:rsidR="004230DB">
        <w:rPr>
          <w:rFonts w:ascii="Calibri" w:hAnsi="Calibri"/>
          <w:sz w:val="22"/>
          <w:szCs w:val="22"/>
        </w:rPr>
        <w:t xml:space="preserve"> approach for the right problem is valuable.</w:t>
      </w:r>
      <w:r w:rsidR="00A329CC">
        <w:rPr>
          <w:rFonts w:ascii="Calibri" w:hAnsi="Calibri"/>
          <w:sz w:val="22"/>
          <w:szCs w:val="22"/>
        </w:rPr>
        <w:t xml:space="preserve"> It acknowledges that</w:t>
      </w:r>
      <w:r w:rsidR="00A329CC" w:rsidRPr="0069795E">
        <w:rPr>
          <w:rFonts w:ascii="Calibri" w:hAnsi="Calibri"/>
          <w:sz w:val="22"/>
          <w:szCs w:val="22"/>
        </w:rPr>
        <w:t xml:space="preserve"> consultation is </w:t>
      </w:r>
      <w:r w:rsidR="00A329CC">
        <w:rPr>
          <w:rFonts w:ascii="Calibri" w:hAnsi="Calibri"/>
          <w:sz w:val="22"/>
          <w:szCs w:val="22"/>
        </w:rPr>
        <w:t>a useful tool</w:t>
      </w:r>
      <w:r w:rsidR="00A329CC" w:rsidRPr="0069795E">
        <w:rPr>
          <w:rFonts w:ascii="Calibri" w:hAnsi="Calibri"/>
          <w:sz w:val="22"/>
          <w:szCs w:val="22"/>
        </w:rPr>
        <w:t xml:space="preserve">, </w:t>
      </w:r>
      <w:r w:rsidR="00A329CC">
        <w:rPr>
          <w:rFonts w:ascii="Calibri" w:hAnsi="Calibri"/>
          <w:sz w:val="22"/>
          <w:szCs w:val="22"/>
        </w:rPr>
        <w:t xml:space="preserve">but </w:t>
      </w:r>
      <w:r w:rsidR="00A329CC" w:rsidRPr="0069795E">
        <w:rPr>
          <w:rFonts w:ascii="Calibri" w:hAnsi="Calibri"/>
          <w:sz w:val="22"/>
          <w:szCs w:val="22"/>
        </w:rPr>
        <w:t xml:space="preserve">it </w:t>
      </w:r>
      <w:r w:rsidR="00A329CC">
        <w:rPr>
          <w:rFonts w:ascii="Calibri" w:hAnsi="Calibri"/>
          <w:sz w:val="22"/>
          <w:szCs w:val="22"/>
        </w:rPr>
        <w:t xml:space="preserve">is </w:t>
      </w:r>
      <w:r w:rsidR="00A329CC" w:rsidRPr="0069795E">
        <w:rPr>
          <w:rFonts w:ascii="Calibri" w:hAnsi="Calibri"/>
          <w:sz w:val="22"/>
          <w:szCs w:val="22"/>
        </w:rPr>
        <w:t xml:space="preserve">just one </w:t>
      </w:r>
      <w:r w:rsidR="00A329CC">
        <w:rPr>
          <w:rFonts w:ascii="Calibri" w:hAnsi="Calibri"/>
          <w:sz w:val="22"/>
          <w:szCs w:val="22"/>
        </w:rPr>
        <w:t>way that</w:t>
      </w:r>
      <w:r w:rsidR="00A329CC" w:rsidRPr="0069795E">
        <w:rPr>
          <w:rFonts w:ascii="Calibri" w:hAnsi="Calibri"/>
          <w:sz w:val="22"/>
          <w:szCs w:val="22"/>
        </w:rPr>
        <w:t xml:space="preserve"> public servants can involve </w:t>
      </w:r>
      <w:r w:rsidR="00A329CC">
        <w:rPr>
          <w:rFonts w:ascii="Calibri" w:hAnsi="Calibri"/>
          <w:sz w:val="22"/>
          <w:szCs w:val="22"/>
        </w:rPr>
        <w:t xml:space="preserve">the public </w:t>
      </w:r>
      <w:r w:rsidR="00A329CC" w:rsidRPr="0069795E">
        <w:rPr>
          <w:rFonts w:ascii="Calibri" w:hAnsi="Calibri"/>
          <w:sz w:val="22"/>
          <w:szCs w:val="22"/>
        </w:rPr>
        <w:t xml:space="preserve">in policy and programmes. </w:t>
      </w:r>
    </w:p>
    <w:p w14:paraId="32A26196" w14:textId="77777777" w:rsidR="00A329CC" w:rsidRDefault="00A329CC" w:rsidP="0052682D">
      <w:pPr>
        <w:pStyle w:val="NormalWeb"/>
        <w:spacing w:before="0"/>
        <w:rPr>
          <w:rFonts w:ascii="Calibri" w:hAnsi="Calibri"/>
          <w:sz w:val="22"/>
          <w:szCs w:val="22"/>
        </w:rPr>
      </w:pPr>
    </w:p>
    <w:p w14:paraId="1A867D1A" w14:textId="77777777" w:rsidR="00AD27B1" w:rsidRDefault="00D65F29" w:rsidP="0052682D">
      <w:pPr>
        <w:pStyle w:val="NormalWeb"/>
        <w:spacing w:before="0"/>
        <w:rPr>
          <w:rFonts w:ascii="Calibri" w:hAnsi="Calibri"/>
          <w:sz w:val="22"/>
          <w:szCs w:val="22"/>
        </w:rPr>
      </w:pPr>
      <w:r>
        <w:rPr>
          <w:rFonts w:ascii="Calibri" w:hAnsi="Calibri"/>
          <w:sz w:val="22"/>
          <w:szCs w:val="22"/>
        </w:rPr>
        <w:t xml:space="preserve">It is also relevant because </w:t>
      </w:r>
      <w:r w:rsidR="00FF3096">
        <w:rPr>
          <w:rFonts w:ascii="Calibri" w:hAnsi="Calibri"/>
          <w:sz w:val="22"/>
          <w:szCs w:val="22"/>
        </w:rPr>
        <w:t>it</w:t>
      </w:r>
      <w:r w:rsidR="00AD27B1">
        <w:rPr>
          <w:rFonts w:ascii="Calibri" w:hAnsi="Calibri"/>
          <w:sz w:val="22"/>
          <w:szCs w:val="22"/>
        </w:rPr>
        <w:t xml:space="preserve"> is informed by</w:t>
      </w:r>
      <w:r>
        <w:rPr>
          <w:rFonts w:ascii="Calibri" w:hAnsi="Calibri"/>
          <w:sz w:val="22"/>
          <w:szCs w:val="22"/>
        </w:rPr>
        <w:t xml:space="preserve"> </w:t>
      </w:r>
      <w:r w:rsidR="000B1E72">
        <w:rPr>
          <w:rFonts w:ascii="Calibri" w:hAnsi="Calibri"/>
          <w:sz w:val="22"/>
          <w:szCs w:val="22"/>
        </w:rPr>
        <w:t xml:space="preserve">innovative </w:t>
      </w:r>
      <w:r w:rsidR="007C782B">
        <w:rPr>
          <w:rFonts w:ascii="Calibri" w:hAnsi="Calibri"/>
          <w:sz w:val="22"/>
          <w:szCs w:val="22"/>
        </w:rPr>
        <w:t>Open Dialogue</w:t>
      </w:r>
      <w:r w:rsidR="00AD27B1">
        <w:rPr>
          <w:rFonts w:ascii="Calibri" w:hAnsi="Calibri"/>
          <w:sz w:val="22"/>
          <w:szCs w:val="22"/>
        </w:rPr>
        <w:t xml:space="preserve"> principles</w:t>
      </w:r>
      <w:r>
        <w:rPr>
          <w:rFonts w:ascii="Calibri" w:hAnsi="Calibri"/>
          <w:sz w:val="22"/>
          <w:szCs w:val="22"/>
        </w:rPr>
        <w:t xml:space="preserve">. </w:t>
      </w:r>
      <w:r w:rsidR="000B1E72">
        <w:rPr>
          <w:rFonts w:ascii="Calibri" w:hAnsi="Calibri"/>
          <w:sz w:val="22"/>
          <w:szCs w:val="22"/>
        </w:rPr>
        <w:t xml:space="preserve">These principles ensure that the framework has a focus on innovation that makes it more likely to help public servants address the complexity in their work. </w:t>
      </w:r>
      <w:r w:rsidR="008E6924">
        <w:rPr>
          <w:rFonts w:ascii="Calibri" w:hAnsi="Calibri"/>
          <w:sz w:val="22"/>
          <w:szCs w:val="22"/>
        </w:rPr>
        <w:t xml:space="preserve">These principles are also in the spirit of Open Government. Indeed, </w:t>
      </w:r>
      <w:r w:rsidR="000C3784">
        <w:rPr>
          <w:rFonts w:ascii="Calibri" w:hAnsi="Calibri"/>
          <w:sz w:val="22"/>
          <w:szCs w:val="22"/>
        </w:rPr>
        <w:t xml:space="preserve">Don Lenihan, of Canada 2020, notes that Open Dialogue has emerged as an important component of the Open Government movement, with its two goals of increasing the effectiveness of policy decisions and outcomes and adding to the legitimacy </w:t>
      </w:r>
      <w:r w:rsidR="000C3784">
        <w:rPr>
          <w:rFonts w:ascii="Calibri" w:hAnsi="Calibri"/>
          <w:sz w:val="22"/>
          <w:szCs w:val="22"/>
        </w:rPr>
        <w:lastRenderedPageBreak/>
        <w:t>of government decisions.</w:t>
      </w:r>
      <w:r w:rsidR="000C3784" w:rsidRPr="000C3784">
        <w:rPr>
          <w:rFonts w:ascii="Calibri" w:hAnsi="Calibri"/>
          <w:sz w:val="22"/>
          <w:szCs w:val="22"/>
          <w:vertAlign w:val="superscript"/>
        </w:rPr>
        <w:t xml:space="preserve"> </w:t>
      </w:r>
      <w:r w:rsidR="000C3784" w:rsidRPr="000C3784">
        <w:rPr>
          <w:rFonts w:ascii="Calibri" w:hAnsi="Calibri"/>
          <w:sz w:val="22"/>
          <w:szCs w:val="22"/>
          <w:vertAlign w:val="superscript"/>
        </w:rPr>
        <w:footnoteReference w:id="39"/>
      </w:r>
      <w:r w:rsidR="000C3784" w:rsidRPr="000C3784">
        <w:rPr>
          <w:rFonts w:ascii="Calibri" w:hAnsi="Calibri"/>
          <w:sz w:val="22"/>
          <w:szCs w:val="22"/>
        </w:rPr>
        <w:t xml:space="preserve"> </w:t>
      </w:r>
      <w:r w:rsidR="000C3784">
        <w:rPr>
          <w:rFonts w:ascii="Calibri" w:hAnsi="Calibri"/>
          <w:sz w:val="22"/>
          <w:szCs w:val="22"/>
        </w:rPr>
        <w:t xml:space="preserve">He explains </w:t>
      </w:r>
      <w:r w:rsidR="000C3784" w:rsidRPr="0069795E">
        <w:rPr>
          <w:rFonts w:ascii="Calibri" w:hAnsi="Calibri"/>
          <w:sz w:val="22"/>
          <w:szCs w:val="22"/>
        </w:rPr>
        <w:t>that</w:t>
      </w:r>
      <w:r w:rsidR="000C3784">
        <w:rPr>
          <w:rFonts w:ascii="Calibri" w:hAnsi="Calibri"/>
          <w:sz w:val="22"/>
          <w:szCs w:val="22"/>
        </w:rPr>
        <w:t xml:space="preserve"> </w:t>
      </w:r>
      <w:r w:rsidR="000C3784" w:rsidRPr="00F80B99">
        <w:rPr>
          <w:rFonts w:ascii="Calibri" w:hAnsi="Calibri"/>
          <w:sz w:val="22"/>
          <w:szCs w:val="22"/>
        </w:rPr>
        <w:t>‘Open Dialogue fires up a conversation between different people and organisations that gets them doing things togeth</w:t>
      </w:r>
      <w:r w:rsidR="000C3784">
        <w:rPr>
          <w:rFonts w:ascii="Calibri" w:hAnsi="Calibri"/>
          <w:sz w:val="22"/>
          <w:szCs w:val="22"/>
        </w:rPr>
        <w:t xml:space="preserve">er that they could not do alone.’ He further notes that </w:t>
      </w:r>
      <w:r w:rsidR="000C3784" w:rsidRPr="000C3784">
        <w:rPr>
          <w:rFonts w:ascii="Calibri" w:hAnsi="Calibri"/>
          <w:sz w:val="22"/>
          <w:szCs w:val="22"/>
        </w:rPr>
        <w:t>that ‘Open Dialogue brings participants into the decision-making process — whether a little bit or a lot — and consultation does not.’</w:t>
      </w:r>
      <w:r w:rsidR="000C3784" w:rsidRPr="000C3784">
        <w:rPr>
          <w:rFonts w:ascii="Calibri" w:hAnsi="Calibri"/>
          <w:sz w:val="22"/>
          <w:szCs w:val="22"/>
          <w:vertAlign w:val="superscript"/>
        </w:rPr>
        <w:footnoteReference w:id="40"/>
      </w:r>
    </w:p>
    <w:p w14:paraId="347A1E78" w14:textId="77777777" w:rsidR="00537026" w:rsidRDefault="00537026" w:rsidP="0052682D">
      <w:pPr>
        <w:pStyle w:val="NormalWeb"/>
        <w:spacing w:before="0"/>
        <w:rPr>
          <w:rFonts w:ascii="Calibri" w:hAnsi="Calibri"/>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37026" w:rsidRPr="000F55D0" w14:paraId="46EAE383" w14:textId="77777777" w:rsidTr="00537026">
        <w:trPr>
          <w:cantSplit/>
          <w:jc w:val="center"/>
        </w:trPr>
        <w:tc>
          <w:tcPr>
            <w:tcW w:w="9016" w:type="dxa"/>
            <w:gridSpan w:val="2"/>
            <w:shd w:val="clear" w:color="auto" w:fill="DEEBF7"/>
          </w:tcPr>
          <w:p w14:paraId="4BEFBB22" w14:textId="77777777" w:rsidR="00537026" w:rsidRPr="000F55D0" w:rsidRDefault="00537026" w:rsidP="00537026">
            <w:pPr>
              <w:spacing w:before="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The Ontario Framework is particularly valuable because it is informed by the good practice and innovative ‘Open Dialogue’ principles – which can be contrasted with consultation principles</w:t>
            </w:r>
          </w:p>
        </w:tc>
      </w:tr>
      <w:tr w:rsidR="00537026" w:rsidRPr="000F55D0" w14:paraId="06529FD9" w14:textId="77777777" w:rsidTr="00537026">
        <w:trPr>
          <w:cantSplit/>
          <w:jc w:val="center"/>
        </w:trPr>
        <w:tc>
          <w:tcPr>
            <w:tcW w:w="4508" w:type="dxa"/>
            <w:shd w:val="clear" w:color="auto" w:fill="DEEBF7"/>
          </w:tcPr>
          <w:p w14:paraId="3C270277" w14:textId="77777777" w:rsidR="00537026" w:rsidRPr="000F55D0" w:rsidRDefault="00537026" w:rsidP="00537026">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Consultation</w:t>
            </w:r>
          </w:p>
        </w:tc>
        <w:tc>
          <w:tcPr>
            <w:tcW w:w="4508" w:type="dxa"/>
            <w:shd w:val="clear" w:color="auto" w:fill="DEEBF7"/>
          </w:tcPr>
          <w:p w14:paraId="3F965BF5" w14:textId="77777777" w:rsidR="00537026" w:rsidRPr="000F55D0" w:rsidRDefault="00537026" w:rsidP="00537026">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Open dialogue</w:t>
            </w:r>
          </w:p>
        </w:tc>
      </w:tr>
      <w:tr w:rsidR="00537026" w:rsidRPr="00A4555E" w14:paraId="3280E26E" w14:textId="77777777" w:rsidTr="00537026">
        <w:trPr>
          <w:cantSplit/>
          <w:trHeight w:val="4101"/>
          <w:jc w:val="center"/>
        </w:trPr>
        <w:tc>
          <w:tcPr>
            <w:tcW w:w="4508" w:type="dxa"/>
            <w:shd w:val="clear" w:color="auto" w:fill="DEEBF7"/>
          </w:tcPr>
          <w:p w14:paraId="2ACAF324" w14:textId="77777777" w:rsidR="00537026" w:rsidRPr="000F55D0"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0F55D0">
              <w:rPr>
                <w:rFonts w:asciiTheme="majorHAnsi" w:hAnsiTheme="majorHAnsi" w:cs="Lucida Sans"/>
                <w:sz w:val="18"/>
                <w:lang w:eastAsia="en-AU"/>
              </w:rPr>
              <w:t>Is guided by basic engagement principles.</w:t>
            </w:r>
          </w:p>
          <w:p w14:paraId="46DE8578" w14:textId="77777777" w:rsidR="00537026" w:rsidRPr="000F55D0"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0F55D0">
              <w:rPr>
                <w:rFonts w:asciiTheme="majorHAnsi" w:hAnsiTheme="majorHAnsi" w:cs="Lucida Sans"/>
                <w:sz w:val="18"/>
                <w:lang w:eastAsia="en-AU"/>
              </w:rPr>
              <w:t>Gives participants an opportunity to present their views to decision-makers, provide evidence and arguments in support of them, and reply to opposing views.</w:t>
            </w:r>
          </w:p>
          <w:p w14:paraId="61B31AD1" w14:textId="77777777" w:rsidR="00537026" w:rsidRPr="000F55D0"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0F55D0">
              <w:rPr>
                <w:rFonts w:asciiTheme="majorHAnsi" w:hAnsiTheme="majorHAnsi" w:cs="Lucida Sans"/>
                <w:sz w:val="18"/>
                <w:lang w:eastAsia="en-AU"/>
              </w:rPr>
              <w:t>Decision-makers are duty- bound to assess these positions on their merits, but they are not obliged to accept or act on them.</w:t>
            </w:r>
          </w:p>
          <w:p w14:paraId="2F18B60B" w14:textId="77777777" w:rsidR="00537026" w:rsidRPr="00287871"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inorHAnsi" w:hAnsiTheme="minorHAnsi" w:cs="Lucida Sans"/>
                <w:sz w:val="20"/>
                <w:lang w:eastAsia="en-AU"/>
              </w:rPr>
            </w:pPr>
            <w:r w:rsidRPr="000F55D0">
              <w:rPr>
                <w:rFonts w:asciiTheme="majorHAnsi" w:hAnsiTheme="majorHAnsi" w:cs="Lucida Sans"/>
                <w:sz w:val="18"/>
                <w:lang w:eastAsia="en-AU"/>
              </w:rPr>
              <w:t>Decision-makers are required to provide the rationale for their decisions.</w:t>
            </w:r>
          </w:p>
        </w:tc>
        <w:tc>
          <w:tcPr>
            <w:tcW w:w="4508" w:type="dxa"/>
            <w:shd w:val="clear" w:color="auto" w:fill="DEEBF7"/>
          </w:tcPr>
          <w:p w14:paraId="620C8FF9" w14:textId="77777777" w:rsidR="00537026" w:rsidRPr="00A3222E"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A3222E">
              <w:rPr>
                <w:rFonts w:asciiTheme="majorHAnsi" w:hAnsiTheme="majorHAnsi" w:cs="Lucida Sans"/>
                <w:sz w:val="18"/>
                <w:lang w:eastAsia="en-AU"/>
              </w:rPr>
              <w:t>Is guided by basic engagement principles.</w:t>
            </w:r>
          </w:p>
          <w:p w14:paraId="16FC2458" w14:textId="77777777" w:rsidR="00537026" w:rsidRPr="00A3222E"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A3222E">
              <w:rPr>
                <w:rFonts w:asciiTheme="majorHAnsi" w:hAnsiTheme="majorHAnsi" w:cs="Lucida Sans"/>
                <w:sz w:val="18"/>
                <w:lang w:eastAsia="en-AU"/>
              </w:rPr>
              <w:t>The engagement plan sets boundaries for how far and in what way citizens and/or stakeholders will participate in decision-making.</w:t>
            </w:r>
          </w:p>
          <w:p w14:paraId="620AF21F" w14:textId="77777777" w:rsidR="00537026" w:rsidRPr="00A3222E"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A3222E">
              <w:rPr>
                <w:rFonts w:asciiTheme="majorHAnsi" w:hAnsiTheme="majorHAnsi" w:cs="Lucida Sans"/>
                <w:sz w:val="18"/>
                <w:lang w:eastAsia="en-AU"/>
              </w:rPr>
              <w:t>The process begins by giving participants an opportunity to present their views to decision- makers, provide evidence and arguments in support of them, and reply to opposing views.</w:t>
            </w:r>
          </w:p>
          <w:p w14:paraId="58F78B44" w14:textId="77777777" w:rsidR="00537026" w:rsidRPr="00A3222E" w:rsidRDefault="00537026" w:rsidP="00537026">
            <w:pPr>
              <w:pStyle w:val="ListParagraph"/>
              <w:numPr>
                <w:ilvl w:val="0"/>
                <w:numId w:val="36"/>
              </w:numPr>
              <w:tabs>
                <w:tab w:val="left" w:pos="382"/>
              </w:tabs>
              <w:kinsoku w:val="0"/>
              <w:overflowPunct w:val="0"/>
              <w:autoSpaceDE w:val="0"/>
              <w:autoSpaceDN w:val="0"/>
              <w:adjustRightInd w:val="0"/>
              <w:spacing w:before="0" w:line="232" w:lineRule="auto"/>
              <w:ind w:left="341" w:right="476" w:hanging="142"/>
              <w:rPr>
                <w:rFonts w:asciiTheme="majorHAnsi" w:hAnsiTheme="majorHAnsi" w:cs="Lucida Sans"/>
                <w:sz w:val="18"/>
                <w:lang w:eastAsia="en-AU"/>
              </w:rPr>
            </w:pPr>
            <w:r w:rsidRPr="00A3222E">
              <w:rPr>
                <w:rFonts w:asciiTheme="majorHAnsi" w:hAnsiTheme="majorHAnsi" w:cs="Lucida Sans"/>
                <w:sz w:val="18"/>
                <w:lang w:eastAsia="en-AU"/>
              </w:rPr>
              <w:t>Once views have been presented, participants engage in deliberative discussions about the best solutions, subject to the boundaries and rules set by the plan. These participants are duty- bound to assess different options on their merits and adjust their views accordingly.</w:t>
            </w:r>
          </w:p>
          <w:p w14:paraId="2BA6A125" w14:textId="77777777" w:rsidR="00537026" w:rsidRPr="00A4555E" w:rsidRDefault="00537026" w:rsidP="00537026">
            <w:pPr>
              <w:tabs>
                <w:tab w:val="left" w:pos="382"/>
              </w:tabs>
              <w:kinsoku w:val="0"/>
              <w:overflowPunct w:val="0"/>
              <w:autoSpaceDE w:val="0"/>
              <w:autoSpaceDN w:val="0"/>
              <w:adjustRightInd w:val="0"/>
              <w:spacing w:before="0" w:line="232" w:lineRule="auto"/>
              <w:ind w:right="476"/>
              <w:rPr>
                <w:rFonts w:asciiTheme="minorHAnsi" w:hAnsiTheme="minorHAnsi" w:cs="Lucida Sans"/>
                <w:sz w:val="20"/>
                <w:lang w:eastAsia="en-AU"/>
              </w:rPr>
            </w:pPr>
          </w:p>
        </w:tc>
      </w:tr>
    </w:tbl>
    <w:p w14:paraId="157B7593" w14:textId="77777777" w:rsidR="00537026" w:rsidRDefault="00537026" w:rsidP="0052682D">
      <w:pPr>
        <w:pStyle w:val="NormalWeb"/>
        <w:spacing w:before="0"/>
        <w:rPr>
          <w:rFonts w:ascii="Calibri" w:hAnsi="Calibri"/>
          <w:sz w:val="22"/>
          <w:szCs w:val="22"/>
        </w:rPr>
      </w:pPr>
    </w:p>
    <w:p w14:paraId="3C5A3330" w14:textId="77777777" w:rsidR="00AD27B1" w:rsidRDefault="00AD27B1" w:rsidP="0052682D">
      <w:pPr>
        <w:pStyle w:val="NormalWeb"/>
        <w:spacing w:before="0"/>
        <w:rPr>
          <w:rFonts w:ascii="Calibri" w:hAnsi="Calibri"/>
          <w:sz w:val="22"/>
          <w:szCs w:val="22"/>
        </w:rPr>
      </w:pPr>
    </w:p>
    <w:p w14:paraId="6B6A8769" w14:textId="77777777" w:rsidR="00AD27B1" w:rsidRDefault="00AD27B1" w:rsidP="0052682D">
      <w:pPr>
        <w:pStyle w:val="NormalWeb"/>
        <w:spacing w:before="0"/>
        <w:rPr>
          <w:rFonts w:ascii="Calibri" w:hAnsi="Calibri"/>
          <w:sz w:val="22"/>
          <w:szCs w:val="22"/>
        </w:rPr>
      </w:pPr>
    </w:p>
    <w:p w14:paraId="70D9B237" w14:textId="77777777" w:rsidR="00A3222E" w:rsidRPr="000C3784" w:rsidRDefault="000C3784" w:rsidP="0052682D">
      <w:pPr>
        <w:pStyle w:val="NormalWeb"/>
        <w:spacing w:before="0"/>
        <w:rPr>
          <w:rFonts w:ascii="Calibri" w:hAnsi="Calibri"/>
          <w:sz w:val="22"/>
          <w:szCs w:val="22"/>
          <w:vertAlign w:val="superscript"/>
        </w:rPr>
      </w:pPr>
      <w:r w:rsidRPr="000C3784">
        <w:rPr>
          <w:rFonts w:ascii="Calibri" w:hAnsi="Calibri"/>
          <w:sz w:val="22"/>
          <w:szCs w:val="22"/>
          <w:vertAlign w:val="superscript"/>
        </w:rPr>
        <w:t xml:space="preserve"> </w:t>
      </w:r>
    </w:p>
    <w:p w14:paraId="6A96D78C" w14:textId="77777777" w:rsidR="000C3784" w:rsidRDefault="00E134D4" w:rsidP="0052682D">
      <w:pPr>
        <w:spacing w:before="0"/>
      </w:pPr>
      <w:r>
        <w:tab/>
      </w:r>
    </w:p>
    <w:p w14:paraId="37D80188" w14:textId="77777777" w:rsidR="000C3784" w:rsidRDefault="000C3784" w:rsidP="0052682D">
      <w:pPr>
        <w:spacing w:before="0"/>
      </w:pPr>
      <w:r>
        <w:br w:type="page"/>
      </w:r>
    </w:p>
    <w:p w14:paraId="74BF98EB" w14:textId="77777777" w:rsidR="007A6929" w:rsidRPr="0058633D" w:rsidRDefault="007A6929" w:rsidP="007A6929">
      <w:pPr>
        <w:keepNext/>
        <w:keepLines/>
        <w:tabs>
          <w:tab w:val="center" w:pos="3265"/>
        </w:tabs>
        <w:spacing w:before="0" w:line="280" w:lineRule="atLeast"/>
        <w:outlineLvl w:val="1"/>
        <w:rPr>
          <w:rFonts w:ascii="Calibri Light" w:eastAsia="MS Gothic" w:hAnsi="Calibri Light"/>
          <w:bCs/>
          <w:color w:val="3AA2A2"/>
          <w:sz w:val="32"/>
          <w:szCs w:val="26"/>
        </w:rPr>
      </w:pPr>
      <w:bookmarkStart w:id="35" w:name="_Toc492983324"/>
      <w:bookmarkStart w:id="36" w:name="_Toc495915956"/>
      <w:bookmarkEnd w:id="35"/>
      <w:r>
        <w:rPr>
          <w:rFonts w:ascii="Calibri Light" w:eastAsia="MS Gothic" w:hAnsi="Calibri Light"/>
          <w:bCs/>
          <w:color w:val="3AA2A2"/>
          <w:sz w:val="32"/>
          <w:szCs w:val="26"/>
        </w:rPr>
        <w:lastRenderedPageBreak/>
        <w:t>Innovative approaches to p</w:t>
      </w:r>
      <w:r w:rsidRPr="0058633D">
        <w:rPr>
          <w:rFonts w:ascii="Calibri Light" w:eastAsia="MS Gothic" w:hAnsi="Calibri Light"/>
          <w:bCs/>
          <w:color w:val="3AA2A2"/>
          <w:sz w:val="32"/>
          <w:szCs w:val="26"/>
        </w:rPr>
        <w:t>u</w:t>
      </w:r>
      <w:r>
        <w:rPr>
          <w:rFonts w:ascii="Calibri Light" w:eastAsia="MS Gothic" w:hAnsi="Calibri Light"/>
          <w:bCs/>
          <w:color w:val="3AA2A2"/>
          <w:sz w:val="32"/>
          <w:szCs w:val="26"/>
        </w:rPr>
        <w:t>blic participation are</w:t>
      </w:r>
      <w:r w:rsidRPr="0058633D">
        <w:rPr>
          <w:rFonts w:ascii="Calibri Light" w:eastAsia="MS Gothic" w:hAnsi="Calibri Light"/>
          <w:bCs/>
          <w:color w:val="3AA2A2"/>
          <w:sz w:val="32"/>
          <w:szCs w:val="26"/>
        </w:rPr>
        <w:t xml:space="preserve"> gaining a foothold in our states and territories and worldwide</w:t>
      </w:r>
    </w:p>
    <w:bookmarkEnd w:id="36"/>
    <w:p w14:paraId="2624526E" w14:textId="77777777" w:rsidR="00027F8C" w:rsidRPr="00C571C8" w:rsidRDefault="00EA3B27" w:rsidP="00C571C8">
      <w:pPr>
        <w:spacing w:before="0"/>
        <w:rPr>
          <w:rFonts w:asciiTheme="majorHAnsi" w:hAnsiTheme="majorHAnsi"/>
          <w:i/>
          <w:sz w:val="30"/>
        </w:rPr>
      </w:pPr>
      <w:r>
        <w:rPr>
          <w:noProof/>
          <w:lang w:eastAsia="en-AU"/>
        </w:rPr>
        <mc:AlternateContent>
          <mc:Choice Requires="wps">
            <w:drawing>
              <wp:anchor distT="0" distB="0" distL="457200" distR="114300" simplePos="0" relativeHeight="251658261" behindDoc="0" locked="0" layoutInCell="0" allowOverlap="1" wp14:anchorId="3229B5B4" wp14:editId="052C7E81">
                <wp:simplePos x="0" y="0"/>
                <wp:positionH relativeFrom="margin">
                  <wp:align>left</wp:align>
                </wp:positionH>
                <wp:positionV relativeFrom="margin">
                  <wp:posOffset>505460</wp:posOffset>
                </wp:positionV>
                <wp:extent cx="2997200" cy="6137910"/>
                <wp:effectExtent l="0" t="0" r="0" b="0"/>
                <wp:wrapSquare wrapText="bothSides"/>
                <wp:docPr id="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0" cy="6137910"/>
                        </a:xfrm>
                        <a:prstGeom prst="rect">
                          <a:avLst/>
                        </a:prstGeom>
                        <a:solidFill>
                          <a:srgbClr val="DEEBF7">
                            <a:alpha val="34902"/>
                          </a:srgbClr>
                        </a:solidFill>
                        <a:extLst/>
                      </wps:spPr>
                      <wps:txbx>
                        <w:txbxContent>
                          <w:p w14:paraId="390D7B47" w14:textId="77777777" w:rsidR="001143F2" w:rsidRDefault="001143F2" w:rsidP="00DC6305">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40EF48CF" wp14:editId="36C90A09">
                                  <wp:extent cx="2536712" cy="453224"/>
                                  <wp:effectExtent l="0" t="0" r="0" b="4445"/>
                                  <wp:docPr id="42" name="Picture 42" descr="https://upload.wikimedia.org/wikipedia/en/4/45/Irish_Citizens_Assembl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4/45/Irish_Citizens_Assembly_logo.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3482" cy="466940"/>
                                          </a:xfrm>
                                          <a:prstGeom prst="rect">
                                            <a:avLst/>
                                          </a:prstGeom>
                                          <a:noFill/>
                                          <a:ln>
                                            <a:noFill/>
                                          </a:ln>
                                        </pic:spPr>
                                      </pic:pic>
                                    </a:graphicData>
                                  </a:graphic>
                                </wp:inline>
                              </w:drawing>
                            </w:r>
                          </w:p>
                          <w:p w14:paraId="553F2C55" w14:textId="77777777" w:rsidR="001143F2" w:rsidRPr="000F55D0" w:rsidRDefault="001143F2" w:rsidP="00000397">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Pr>
                                <w:rFonts w:asciiTheme="majorHAnsi" w:hAnsiTheme="majorHAnsi" w:cs="Arial"/>
                                <w:b/>
                                <w:noProof/>
                                <w:color w:val="44546A" w:themeColor="text2"/>
                                <w:sz w:val="20"/>
                                <w:lang w:eastAsia="en-AU"/>
                              </w:rPr>
                              <w:t>Ireland’s Citizens’ Assembly shows how governments are looking to public participation to investigate big issues</w:t>
                            </w:r>
                          </w:p>
                          <w:p w14:paraId="7394950A" w14:textId="77777777" w:rsidR="001143F2" w:rsidRDefault="001143F2" w:rsidP="00000397">
                            <w:pPr>
                              <w:spacing w:before="0"/>
                              <w:rPr>
                                <w:rFonts w:asciiTheme="majorHAnsi" w:hAnsiTheme="majorHAnsi" w:cs="Arial"/>
                                <w:noProof/>
                                <w:sz w:val="16"/>
                                <w:lang w:eastAsia="en-AU"/>
                              </w:rPr>
                            </w:pPr>
                            <w:r w:rsidRPr="00000397">
                              <w:rPr>
                                <w:rFonts w:asciiTheme="majorHAnsi" w:hAnsiTheme="majorHAnsi" w:cs="Arial"/>
                                <w:noProof/>
                                <w:sz w:val="16"/>
                                <w:lang w:eastAsia="en-AU"/>
                              </w:rPr>
                              <w:t xml:space="preserve">The </w:t>
                            </w:r>
                            <w:r>
                              <w:rPr>
                                <w:rFonts w:asciiTheme="majorHAnsi" w:hAnsiTheme="majorHAnsi" w:cs="Arial"/>
                                <w:noProof/>
                                <w:sz w:val="16"/>
                                <w:lang w:eastAsia="en-AU"/>
                              </w:rPr>
                              <w:t xml:space="preserve">Irish </w:t>
                            </w:r>
                            <w:r w:rsidRPr="00000397">
                              <w:rPr>
                                <w:rFonts w:asciiTheme="majorHAnsi" w:hAnsiTheme="majorHAnsi" w:cs="Arial"/>
                                <w:noProof/>
                                <w:sz w:val="16"/>
                                <w:lang w:eastAsia="en-AU"/>
                              </w:rPr>
                              <w:t xml:space="preserve">Citizens' Assembly </w:t>
                            </w:r>
                            <w:r>
                              <w:rPr>
                                <w:rFonts w:asciiTheme="majorHAnsi" w:hAnsiTheme="majorHAnsi" w:cs="Arial"/>
                                <w:noProof/>
                                <w:sz w:val="16"/>
                                <w:lang w:eastAsia="en-AU"/>
                              </w:rPr>
                              <w:t xml:space="preserve">places </w:t>
                            </w:r>
                            <w:r w:rsidRPr="00000397">
                              <w:rPr>
                                <w:rFonts w:asciiTheme="majorHAnsi" w:hAnsiTheme="majorHAnsi" w:cs="Arial"/>
                                <w:noProof/>
                                <w:sz w:val="16"/>
                                <w:lang w:eastAsia="en-AU"/>
                              </w:rPr>
                              <w:t>the citizen at the heart of important legal and policy issues facing Irish society today. With the benefit of expert, impartial and factual advice</w:t>
                            </w:r>
                            <w:r>
                              <w:rPr>
                                <w:rFonts w:asciiTheme="majorHAnsi" w:hAnsiTheme="majorHAnsi" w:cs="Arial"/>
                                <w:noProof/>
                                <w:sz w:val="16"/>
                                <w:lang w:eastAsia="en-AU"/>
                              </w:rPr>
                              <w:t>,</w:t>
                            </w:r>
                            <w:r w:rsidRPr="00000397">
                              <w:rPr>
                                <w:rFonts w:asciiTheme="majorHAnsi" w:hAnsiTheme="majorHAnsi" w:cs="Arial"/>
                                <w:noProof/>
                                <w:sz w:val="16"/>
                                <w:lang w:eastAsia="en-AU"/>
                              </w:rPr>
                              <w:t xml:space="preserve"> the 100 c</w:t>
                            </w:r>
                            <w:r>
                              <w:rPr>
                                <w:rFonts w:asciiTheme="majorHAnsi" w:hAnsiTheme="majorHAnsi" w:cs="Arial"/>
                                <w:noProof/>
                                <w:sz w:val="16"/>
                                <w:lang w:eastAsia="en-AU"/>
                              </w:rPr>
                              <w:t>itizen members deliberate on:</w:t>
                            </w:r>
                          </w:p>
                          <w:p w14:paraId="26268A82"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Climate change</w:t>
                            </w:r>
                          </w:p>
                          <w:p w14:paraId="2F9C6A08"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Eighth amendment to Ireland’s constitution (abortion)</w:t>
                            </w:r>
                          </w:p>
                          <w:p w14:paraId="1E9C6F5A"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Fixed term parliaments</w:t>
                            </w:r>
                          </w:p>
                          <w:p w14:paraId="72689D3E"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Referendums process</w:t>
                            </w:r>
                          </w:p>
                          <w:p w14:paraId="326553A7"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Challenges and opportunities of an ageing population.</w:t>
                            </w:r>
                          </w:p>
                          <w:p w14:paraId="7446F885" w14:textId="77777777" w:rsidR="001143F2" w:rsidRPr="00DC6305" w:rsidRDefault="001143F2" w:rsidP="00DC6305">
                            <w:pPr>
                              <w:spacing w:before="0"/>
                              <w:rPr>
                                <w:rFonts w:asciiTheme="majorHAnsi" w:hAnsiTheme="majorHAnsi" w:cs="Arial"/>
                                <w:noProof/>
                                <w:sz w:val="16"/>
                                <w:lang w:eastAsia="en-AU"/>
                              </w:rPr>
                            </w:pPr>
                          </w:p>
                          <w:p w14:paraId="61B8F1C3"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The public can also make submissions (and has made 600 so far), and Assembly meetings (see image below) are live streamed.</w:t>
                            </w:r>
                          </w:p>
                          <w:p w14:paraId="0F1FB1F7" w14:textId="77777777" w:rsidR="001143F2" w:rsidRDefault="001143F2" w:rsidP="00000397">
                            <w:pPr>
                              <w:spacing w:before="0"/>
                              <w:rPr>
                                <w:rFonts w:asciiTheme="majorHAnsi" w:hAnsiTheme="majorHAnsi" w:cs="Arial"/>
                                <w:noProof/>
                                <w:sz w:val="16"/>
                                <w:lang w:eastAsia="en-AU"/>
                              </w:rPr>
                            </w:pPr>
                          </w:p>
                          <w:p w14:paraId="4DFB0854"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 xml:space="preserve">The Assembly’s </w:t>
                            </w:r>
                            <w:r w:rsidRPr="00000397">
                              <w:rPr>
                                <w:rFonts w:asciiTheme="majorHAnsi" w:hAnsiTheme="majorHAnsi" w:cs="Arial"/>
                                <w:noProof/>
                                <w:sz w:val="16"/>
                                <w:lang w:eastAsia="en-AU"/>
                              </w:rPr>
                              <w:t xml:space="preserve">conclusions will form the basis of a number of reports and recommendations that </w:t>
                            </w:r>
                            <w:r>
                              <w:rPr>
                                <w:rFonts w:asciiTheme="majorHAnsi" w:hAnsiTheme="majorHAnsi" w:cs="Arial"/>
                                <w:noProof/>
                                <w:sz w:val="16"/>
                                <w:lang w:eastAsia="en-AU"/>
                              </w:rPr>
                              <w:t>are</w:t>
                            </w:r>
                            <w:r w:rsidRPr="00000397">
                              <w:rPr>
                                <w:rFonts w:asciiTheme="majorHAnsi" w:hAnsiTheme="majorHAnsi" w:cs="Arial"/>
                                <w:noProof/>
                                <w:sz w:val="16"/>
                                <w:lang w:eastAsia="en-AU"/>
                              </w:rPr>
                              <w:t xml:space="preserve"> submitted to the Houses of the Oireachtas</w:t>
                            </w:r>
                            <w:r>
                              <w:rPr>
                                <w:rFonts w:asciiTheme="majorHAnsi" w:hAnsiTheme="majorHAnsi" w:cs="Arial"/>
                                <w:noProof/>
                                <w:sz w:val="16"/>
                                <w:lang w:eastAsia="en-AU"/>
                              </w:rPr>
                              <w:t xml:space="preserve"> (legislature)</w:t>
                            </w:r>
                            <w:r w:rsidRPr="00000397">
                              <w:rPr>
                                <w:rFonts w:asciiTheme="majorHAnsi" w:hAnsiTheme="majorHAnsi" w:cs="Arial"/>
                                <w:noProof/>
                                <w:sz w:val="16"/>
                                <w:lang w:eastAsia="en-AU"/>
                              </w:rPr>
                              <w:t xml:space="preserve"> for further debate by elected representatives.</w:t>
                            </w:r>
                          </w:p>
                          <w:p w14:paraId="327B4FD0" w14:textId="77777777" w:rsidR="001143F2" w:rsidRDefault="001143F2" w:rsidP="00000397">
                            <w:pPr>
                              <w:spacing w:before="0"/>
                              <w:rPr>
                                <w:rFonts w:asciiTheme="majorHAnsi" w:hAnsiTheme="majorHAnsi" w:cs="Arial"/>
                                <w:noProof/>
                                <w:sz w:val="16"/>
                                <w:lang w:eastAsia="en-AU"/>
                              </w:rPr>
                            </w:pPr>
                          </w:p>
                          <w:p w14:paraId="3FB1BB79"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 xml:space="preserve">Find out more: </w:t>
                            </w:r>
                            <w:hyperlink r:id="rId56" w:history="1">
                              <w:r w:rsidRPr="00BC6A4E">
                                <w:rPr>
                                  <w:rStyle w:val="Hyperlink"/>
                                  <w:rFonts w:asciiTheme="majorHAnsi" w:hAnsiTheme="majorHAnsi" w:cs="Arial"/>
                                  <w:noProof/>
                                  <w:sz w:val="16"/>
                                  <w:lang w:eastAsia="en-AU"/>
                                </w:rPr>
                                <w:t>https://www.citizensassembly.ie/en/About-the-Citizens-Assembly/</w:t>
                              </w:r>
                            </w:hyperlink>
                          </w:p>
                          <w:p w14:paraId="2071F3CA" w14:textId="77777777" w:rsidR="001143F2" w:rsidRDefault="001143F2" w:rsidP="00DC6305">
                            <w:pPr>
                              <w:spacing w:before="0"/>
                              <w:jc w:val="center"/>
                              <w:rPr>
                                <w:rStyle w:val="PlaceholderText"/>
                                <w:rFonts w:asciiTheme="majorHAnsi" w:hAnsiTheme="majorHAnsi" w:cs="Arial"/>
                                <w:noProof/>
                                <w:color w:val="auto"/>
                                <w:sz w:val="16"/>
                                <w:lang w:eastAsia="en-AU"/>
                              </w:rPr>
                            </w:pPr>
                            <w:r>
                              <w:rPr>
                                <w:noProof/>
                                <w:lang w:eastAsia="en-AU"/>
                              </w:rPr>
                              <w:drawing>
                                <wp:inline distT="0" distB="0" distL="0" distR="0" wp14:anchorId="5992D721" wp14:editId="71540159">
                                  <wp:extent cx="2567940" cy="1717572"/>
                                  <wp:effectExtent l="0" t="0" r="3810" b="0"/>
                                  <wp:docPr id="46" name="Picture 46" descr="http://cdn-03.independent.ie/incoming/article35246804.ece/6edf3/AUTOCROP/w620/SN%20Citizen%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03.independent.ie/incoming/article35246804.ece/6edf3/AUTOCROP/w620/SN%20Citizen%20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7940" cy="1717572"/>
                                          </a:xfrm>
                                          <a:prstGeom prst="rect">
                                            <a:avLst/>
                                          </a:prstGeom>
                                          <a:noFill/>
                                          <a:ln>
                                            <a:noFill/>
                                          </a:ln>
                                        </pic:spPr>
                                      </pic:pic>
                                    </a:graphicData>
                                  </a:graphic>
                                </wp:inline>
                              </w:drawing>
                            </w:r>
                          </w:p>
                          <w:p w14:paraId="4EA25643" w14:textId="77777777" w:rsidR="001143F2" w:rsidRPr="00027F8C" w:rsidRDefault="001143F2" w:rsidP="00000397">
                            <w:pPr>
                              <w:spacing w:before="0"/>
                              <w:rPr>
                                <w:rStyle w:val="PlaceholderText"/>
                                <w:rFonts w:asciiTheme="majorHAnsi" w:hAnsiTheme="majorHAnsi" w:cs="Arial"/>
                                <w:noProof/>
                                <w:color w:val="auto"/>
                                <w:sz w:val="10"/>
                                <w:lang w:eastAsia="en-AU"/>
                              </w:rPr>
                            </w:pPr>
                            <w:r w:rsidRPr="00027F8C">
                              <w:rPr>
                                <w:rStyle w:val="PlaceholderText"/>
                                <w:rFonts w:asciiTheme="majorHAnsi" w:hAnsiTheme="majorHAnsi" w:cs="Arial"/>
                                <w:noProof/>
                                <w:color w:val="auto"/>
                                <w:sz w:val="10"/>
                                <w:lang w:eastAsia="en-AU"/>
                              </w:rPr>
                              <w:t>Photo and additional source of information: The Irish Independent. http://www.independent.ie/irish-news/news/citizens-assembly-chair-urges-irish-abroad-and-youth-to-make-your-voices-heard-35246808.html</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229B5B4" id="_x0000_s1044" style="position:absolute;margin-left:0;margin-top:39.8pt;width:236pt;height:483.3pt;z-index:251658261;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" o:allowincell="f" fillcolor="#deebf7" stroked="f">
                <v:fill opacity="22873f"/>
                <v:textbox inset="14.4pt,14.4pt,14.4pt,14.4pt">
                  <w:txbxContent>
                    <w:p w14:paraId="390D7B47" w14:textId="77777777" w:rsidR="001143F2" w:rsidRDefault="001143F2" w:rsidP="00DC6305">
                      <w:pPr>
                        <w:spacing w:before="0" w:after="80"/>
                        <w:jc w:val="center"/>
                        <w:rPr>
                          <w:rFonts w:asciiTheme="majorHAnsi" w:hAnsiTheme="majorHAnsi" w:cs="Arial"/>
                          <w:b/>
                          <w:noProof/>
                          <w:color w:val="44546A" w:themeColor="text2"/>
                          <w:sz w:val="20"/>
                          <w:lang w:eastAsia="en-AU"/>
                        </w:rPr>
                      </w:pPr>
                      <w:r>
                        <w:rPr>
                          <w:noProof/>
                          <w:lang w:eastAsia="en-AU"/>
                        </w:rPr>
                        <w:drawing>
                          <wp:inline distT="0" distB="0" distL="0" distR="0" wp14:anchorId="40EF48CF" wp14:editId="36C90A09">
                            <wp:extent cx="2536712" cy="453224"/>
                            <wp:effectExtent l="0" t="0" r="0" b="4445"/>
                            <wp:docPr id="42" name="Picture 42" descr="https://upload.wikimedia.org/wikipedia/en/4/45/Irish_Citizens_Assembl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4/45/Irish_Citizens_Assembly_logo.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3482" cy="466940"/>
                                    </a:xfrm>
                                    <a:prstGeom prst="rect">
                                      <a:avLst/>
                                    </a:prstGeom>
                                    <a:noFill/>
                                    <a:ln>
                                      <a:noFill/>
                                    </a:ln>
                                  </pic:spPr>
                                </pic:pic>
                              </a:graphicData>
                            </a:graphic>
                          </wp:inline>
                        </w:drawing>
                      </w:r>
                    </w:p>
                    <w:p w14:paraId="553F2C55" w14:textId="77777777" w:rsidR="001143F2" w:rsidRPr="000F55D0" w:rsidRDefault="001143F2" w:rsidP="00000397">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Case study: </w:t>
                      </w:r>
                      <w:r>
                        <w:rPr>
                          <w:rFonts w:asciiTheme="majorHAnsi" w:hAnsiTheme="majorHAnsi" w:cs="Arial"/>
                          <w:b/>
                          <w:noProof/>
                          <w:color w:val="44546A" w:themeColor="text2"/>
                          <w:sz w:val="20"/>
                          <w:lang w:eastAsia="en-AU"/>
                        </w:rPr>
                        <w:t>Ireland’s Citizens’ Assembly shows how governments are looking to public participation to investigate big issues</w:t>
                      </w:r>
                    </w:p>
                    <w:p w14:paraId="7394950A" w14:textId="77777777" w:rsidR="001143F2" w:rsidRDefault="001143F2" w:rsidP="00000397">
                      <w:pPr>
                        <w:spacing w:before="0"/>
                        <w:rPr>
                          <w:rFonts w:asciiTheme="majorHAnsi" w:hAnsiTheme="majorHAnsi" w:cs="Arial"/>
                          <w:noProof/>
                          <w:sz w:val="16"/>
                          <w:lang w:eastAsia="en-AU"/>
                        </w:rPr>
                      </w:pPr>
                      <w:r w:rsidRPr="00000397">
                        <w:rPr>
                          <w:rFonts w:asciiTheme="majorHAnsi" w:hAnsiTheme="majorHAnsi" w:cs="Arial"/>
                          <w:noProof/>
                          <w:sz w:val="16"/>
                          <w:lang w:eastAsia="en-AU"/>
                        </w:rPr>
                        <w:t xml:space="preserve">The </w:t>
                      </w:r>
                      <w:r>
                        <w:rPr>
                          <w:rFonts w:asciiTheme="majorHAnsi" w:hAnsiTheme="majorHAnsi" w:cs="Arial"/>
                          <w:noProof/>
                          <w:sz w:val="16"/>
                          <w:lang w:eastAsia="en-AU"/>
                        </w:rPr>
                        <w:t xml:space="preserve">Irish </w:t>
                      </w:r>
                      <w:r w:rsidRPr="00000397">
                        <w:rPr>
                          <w:rFonts w:asciiTheme="majorHAnsi" w:hAnsiTheme="majorHAnsi" w:cs="Arial"/>
                          <w:noProof/>
                          <w:sz w:val="16"/>
                          <w:lang w:eastAsia="en-AU"/>
                        </w:rPr>
                        <w:t xml:space="preserve">Citizens' Assembly </w:t>
                      </w:r>
                      <w:r>
                        <w:rPr>
                          <w:rFonts w:asciiTheme="majorHAnsi" w:hAnsiTheme="majorHAnsi" w:cs="Arial"/>
                          <w:noProof/>
                          <w:sz w:val="16"/>
                          <w:lang w:eastAsia="en-AU"/>
                        </w:rPr>
                        <w:t xml:space="preserve">places </w:t>
                      </w:r>
                      <w:r w:rsidRPr="00000397">
                        <w:rPr>
                          <w:rFonts w:asciiTheme="majorHAnsi" w:hAnsiTheme="majorHAnsi" w:cs="Arial"/>
                          <w:noProof/>
                          <w:sz w:val="16"/>
                          <w:lang w:eastAsia="en-AU"/>
                        </w:rPr>
                        <w:t>the citizen at the heart of important legal and policy issues facing Irish society today. With the benefit of expert, impartial and factual advice</w:t>
                      </w:r>
                      <w:r>
                        <w:rPr>
                          <w:rFonts w:asciiTheme="majorHAnsi" w:hAnsiTheme="majorHAnsi" w:cs="Arial"/>
                          <w:noProof/>
                          <w:sz w:val="16"/>
                          <w:lang w:eastAsia="en-AU"/>
                        </w:rPr>
                        <w:t>,</w:t>
                      </w:r>
                      <w:r w:rsidRPr="00000397">
                        <w:rPr>
                          <w:rFonts w:asciiTheme="majorHAnsi" w:hAnsiTheme="majorHAnsi" w:cs="Arial"/>
                          <w:noProof/>
                          <w:sz w:val="16"/>
                          <w:lang w:eastAsia="en-AU"/>
                        </w:rPr>
                        <w:t xml:space="preserve"> the 100 c</w:t>
                      </w:r>
                      <w:r>
                        <w:rPr>
                          <w:rFonts w:asciiTheme="majorHAnsi" w:hAnsiTheme="majorHAnsi" w:cs="Arial"/>
                          <w:noProof/>
                          <w:sz w:val="16"/>
                          <w:lang w:eastAsia="en-AU"/>
                        </w:rPr>
                        <w:t>itizen members deliberate on:</w:t>
                      </w:r>
                    </w:p>
                    <w:p w14:paraId="26268A82"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Climate change</w:t>
                      </w:r>
                    </w:p>
                    <w:p w14:paraId="2F9C6A08"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Eighth amendment to Ireland’s constitution (abortion)</w:t>
                      </w:r>
                    </w:p>
                    <w:p w14:paraId="1E9C6F5A"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Fixed term parliaments</w:t>
                      </w:r>
                    </w:p>
                    <w:p w14:paraId="72689D3E"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Referendums process</w:t>
                      </w:r>
                    </w:p>
                    <w:p w14:paraId="326553A7" w14:textId="77777777" w:rsidR="001143F2" w:rsidRDefault="001143F2" w:rsidP="0080300E">
                      <w:pPr>
                        <w:pStyle w:val="ListParagraph"/>
                        <w:numPr>
                          <w:ilvl w:val="0"/>
                          <w:numId w:val="50"/>
                        </w:numPr>
                        <w:spacing w:before="0"/>
                        <w:ind w:left="284" w:hanging="284"/>
                        <w:rPr>
                          <w:rFonts w:asciiTheme="majorHAnsi" w:hAnsiTheme="majorHAnsi" w:cs="Arial"/>
                          <w:noProof/>
                          <w:sz w:val="16"/>
                          <w:lang w:eastAsia="en-AU"/>
                        </w:rPr>
                      </w:pPr>
                      <w:r>
                        <w:rPr>
                          <w:rFonts w:asciiTheme="majorHAnsi" w:hAnsiTheme="majorHAnsi" w:cs="Arial"/>
                          <w:noProof/>
                          <w:sz w:val="16"/>
                          <w:lang w:eastAsia="en-AU"/>
                        </w:rPr>
                        <w:t>Challenges and opportunities of an ageing population.</w:t>
                      </w:r>
                    </w:p>
                    <w:p w14:paraId="7446F885" w14:textId="77777777" w:rsidR="001143F2" w:rsidRPr="00DC6305" w:rsidRDefault="001143F2" w:rsidP="00DC6305">
                      <w:pPr>
                        <w:spacing w:before="0"/>
                        <w:rPr>
                          <w:rFonts w:asciiTheme="majorHAnsi" w:hAnsiTheme="majorHAnsi" w:cs="Arial"/>
                          <w:noProof/>
                          <w:sz w:val="16"/>
                          <w:lang w:eastAsia="en-AU"/>
                        </w:rPr>
                      </w:pPr>
                    </w:p>
                    <w:p w14:paraId="61B8F1C3"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The public can also make submissions (and has made 600 so far), and Assembly meetings (see image below) are live streamed.</w:t>
                      </w:r>
                    </w:p>
                    <w:p w14:paraId="0F1FB1F7" w14:textId="77777777" w:rsidR="001143F2" w:rsidRDefault="001143F2" w:rsidP="00000397">
                      <w:pPr>
                        <w:spacing w:before="0"/>
                        <w:rPr>
                          <w:rFonts w:asciiTheme="majorHAnsi" w:hAnsiTheme="majorHAnsi" w:cs="Arial"/>
                          <w:noProof/>
                          <w:sz w:val="16"/>
                          <w:lang w:eastAsia="en-AU"/>
                        </w:rPr>
                      </w:pPr>
                    </w:p>
                    <w:p w14:paraId="4DFB0854"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 xml:space="preserve">The Assembly’s </w:t>
                      </w:r>
                      <w:r w:rsidRPr="00000397">
                        <w:rPr>
                          <w:rFonts w:asciiTheme="majorHAnsi" w:hAnsiTheme="majorHAnsi" w:cs="Arial"/>
                          <w:noProof/>
                          <w:sz w:val="16"/>
                          <w:lang w:eastAsia="en-AU"/>
                        </w:rPr>
                        <w:t xml:space="preserve">conclusions will form the basis of a number of reports and recommendations that </w:t>
                      </w:r>
                      <w:r>
                        <w:rPr>
                          <w:rFonts w:asciiTheme="majorHAnsi" w:hAnsiTheme="majorHAnsi" w:cs="Arial"/>
                          <w:noProof/>
                          <w:sz w:val="16"/>
                          <w:lang w:eastAsia="en-AU"/>
                        </w:rPr>
                        <w:t>are</w:t>
                      </w:r>
                      <w:r w:rsidRPr="00000397">
                        <w:rPr>
                          <w:rFonts w:asciiTheme="majorHAnsi" w:hAnsiTheme="majorHAnsi" w:cs="Arial"/>
                          <w:noProof/>
                          <w:sz w:val="16"/>
                          <w:lang w:eastAsia="en-AU"/>
                        </w:rPr>
                        <w:t xml:space="preserve"> submitted to the Houses of the Oireachtas</w:t>
                      </w:r>
                      <w:r>
                        <w:rPr>
                          <w:rFonts w:asciiTheme="majorHAnsi" w:hAnsiTheme="majorHAnsi" w:cs="Arial"/>
                          <w:noProof/>
                          <w:sz w:val="16"/>
                          <w:lang w:eastAsia="en-AU"/>
                        </w:rPr>
                        <w:t xml:space="preserve"> (legislature)</w:t>
                      </w:r>
                      <w:r w:rsidRPr="00000397">
                        <w:rPr>
                          <w:rFonts w:asciiTheme="majorHAnsi" w:hAnsiTheme="majorHAnsi" w:cs="Arial"/>
                          <w:noProof/>
                          <w:sz w:val="16"/>
                          <w:lang w:eastAsia="en-AU"/>
                        </w:rPr>
                        <w:t xml:space="preserve"> for further debate by elected representatives.</w:t>
                      </w:r>
                    </w:p>
                    <w:p w14:paraId="327B4FD0" w14:textId="77777777" w:rsidR="001143F2" w:rsidRDefault="001143F2" w:rsidP="00000397">
                      <w:pPr>
                        <w:spacing w:before="0"/>
                        <w:rPr>
                          <w:rFonts w:asciiTheme="majorHAnsi" w:hAnsiTheme="majorHAnsi" w:cs="Arial"/>
                          <w:noProof/>
                          <w:sz w:val="16"/>
                          <w:lang w:eastAsia="en-AU"/>
                        </w:rPr>
                      </w:pPr>
                    </w:p>
                    <w:p w14:paraId="3FB1BB79" w14:textId="77777777" w:rsidR="001143F2" w:rsidRDefault="001143F2" w:rsidP="00000397">
                      <w:pPr>
                        <w:spacing w:before="0"/>
                        <w:rPr>
                          <w:rFonts w:asciiTheme="majorHAnsi" w:hAnsiTheme="majorHAnsi" w:cs="Arial"/>
                          <w:noProof/>
                          <w:sz w:val="16"/>
                          <w:lang w:eastAsia="en-AU"/>
                        </w:rPr>
                      </w:pPr>
                      <w:r>
                        <w:rPr>
                          <w:rFonts w:asciiTheme="majorHAnsi" w:hAnsiTheme="majorHAnsi" w:cs="Arial"/>
                          <w:noProof/>
                          <w:sz w:val="16"/>
                          <w:lang w:eastAsia="en-AU"/>
                        </w:rPr>
                        <w:t xml:space="preserve">Find out more: </w:t>
                      </w:r>
                      <w:hyperlink r:id="rId59" w:history="1">
                        <w:r w:rsidRPr="00BC6A4E">
                          <w:rPr>
                            <w:rStyle w:val="Hyperlink"/>
                            <w:rFonts w:asciiTheme="majorHAnsi" w:hAnsiTheme="majorHAnsi" w:cs="Arial"/>
                            <w:noProof/>
                            <w:sz w:val="16"/>
                            <w:lang w:eastAsia="en-AU"/>
                          </w:rPr>
                          <w:t>https://www.citizensassembly.ie/en/About-the-Citizens-Assembly/</w:t>
                        </w:r>
                      </w:hyperlink>
                    </w:p>
                    <w:p w14:paraId="2071F3CA" w14:textId="77777777" w:rsidR="001143F2" w:rsidRDefault="001143F2" w:rsidP="00DC6305">
                      <w:pPr>
                        <w:spacing w:before="0"/>
                        <w:jc w:val="center"/>
                        <w:rPr>
                          <w:rStyle w:val="PlaceholderText"/>
                          <w:rFonts w:asciiTheme="majorHAnsi" w:hAnsiTheme="majorHAnsi" w:cs="Arial"/>
                          <w:noProof/>
                          <w:color w:val="auto"/>
                          <w:sz w:val="16"/>
                          <w:lang w:eastAsia="en-AU"/>
                        </w:rPr>
                      </w:pPr>
                      <w:r>
                        <w:rPr>
                          <w:noProof/>
                          <w:lang w:eastAsia="en-AU"/>
                        </w:rPr>
                        <w:drawing>
                          <wp:inline distT="0" distB="0" distL="0" distR="0" wp14:anchorId="5992D721" wp14:editId="71540159">
                            <wp:extent cx="2567940" cy="1717572"/>
                            <wp:effectExtent l="0" t="0" r="3810" b="0"/>
                            <wp:docPr id="46" name="Picture 46" descr="http://cdn-03.independent.ie/incoming/article35246804.ece/6edf3/AUTOCROP/w620/SN%20Citizen%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03.independent.ie/incoming/article35246804.ece/6edf3/AUTOCROP/w620/SN%20Citizen%20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7940" cy="1717572"/>
                                    </a:xfrm>
                                    <a:prstGeom prst="rect">
                                      <a:avLst/>
                                    </a:prstGeom>
                                    <a:noFill/>
                                    <a:ln>
                                      <a:noFill/>
                                    </a:ln>
                                  </pic:spPr>
                                </pic:pic>
                              </a:graphicData>
                            </a:graphic>
                          </wp:inline>
                        </w:drawing>
                      </w:r>
                    </w:p>
                    <w:p w14:paraId="4EA25643" w14:textId="77777777" w:rsidR="001143F2" w:rsidRPr="00027F8C" w:rsidRDefault="001143F2" w:rsidP="00000397">
                      <w:pPr>
                        <w:spacing w:before="0"/>
                        <w:rPr>
                          <w:rStyle w:val="PlaceholderText"/>
                          <w:rFonts w:asciiTheme="majorHAnsi" w:hAnsiTheme="majorHAnsi" w:cs="Arial"/>
                          <w:noProof/>
                          <w:color w:val="auto"/>
                          <w:sz w:val="10"/>
                          <w:lang w:eastAsia="en-AU"/>
                        </w:rPr>
                      </w:pPr>
                      <w:r w:rsidRPr="00027F8C">
                        <w:rPr>
                          <w:rStyle w:val="PlaceholderText"/>
                          <w:rFonts w:asciiTheme="majorHAnsi" w:hAnsiTheme="majorHAnsi" w:cs="Arial"/>
                          <w:noProof/>
                          <w:color w:val="auto"/>
                          <w:sz w:val="10"/>
                          <w:lang w:eastAsia="en-AU"/>
                        </w:rPr>
                        <w:t>Photo and additional source of information: The Irish Independent. http://www.independent.ie/irish-news/news/citizens-assembly-chair-urges-irish-abroad-and-youth-to-make-your-voices-heard-35246808.html</w:t>
                      </w:r>
                    </w:p>
                  </w:txbxContent>
                </v:textbox>
                <w10:wrap type="square" anchorx="margin" anchory="margin"/>
              </v:rect>
            </w:pict>
          </mc:Fallback>
        </mc:AlternateContent>
      </w:r>
      <w:r w:rsidR="0030107E" w:rsidRPr="00C571C8">
        <w:rPr>
          <w:rFonts w:asciiTheme="majorHAnsi" w:hAnsiTheme="majorHAnsi"/>
          <w:i/>
          <w:sz w:val="30"/>
        </w:rPr>
        <w:t xml:space="preserve">Participedia, an online global project </w:t>
      </w:r>
      <w:r w:rsidR="00CC1E6B" w:rsidRPr="00C571C8">
        <w:rPr>
          <w:rFonts w:asciiTheme="majorHAnsi" w:hAnsiTheme="majorHAnsi"/>
          <w:i/>
          <w:sz w:val="30"/>
        </w:rPr>
        <w:t>that documents</w:t>
      </w:r>
      <w:r w:rsidR="0030107E" w:rsidRPr="00C571C8">
        <w:rPr>
          <w:rFonts w:asciiTheme="majorHAnsi" w:hAnsiTheme="majorHAnsi"/>
          <w:i/>
          <w:sz w:val="30"/>
        </w:rPr>
        <w:t xml:space="preserve"> democratic innovations</w:t>
      </w:r>
      <w:r w:rsidR="00AD2005" w:rsidRPr="00C571C8">
        <w:rPr>
          <w:rFonts w:asciiTheme="majorHAnsi" w:hAnsiTheme="majorHAnsi"/>
          <w:i/>
          <w:sz w:val="30"/>
        </w:rPr>
        <w:t>, notes there are hundreds of thousands of participatory processes occurring each year in almost every country in the world</w:t>
      </w:r>
      <w:r w:rsidR="0030107E" w:rsidRPr="00C571C8">
        <w:rPr>
          <w:rFonts w:asciiTheme="majorHAnsi" w:hAnsiTheme="majorHAnsi"/>
          <w:i/>
          <w:sz w:val="30"/>
        </w:rPr>
        <w:t>.</w:t>
      </w:r>
      <w:r w:rsidR="00827977" w:rsidRPr="00EA3B27">
        <w:rPr>
          <w:rFonts w:asciiTheme="majorHAnsi" w:hAnsiTheme="majorHAnsi"/>
          <w:i/>
          <w:sz w:val="30"/>
          <w:vertAlign w:val="superscript"/>
        </w:rPr>
        <w:footnoteReference w:id="41"/>
      </w:r>
      <w:r w:rsidR="0030107E" w:rsidRPr="00C571C8">
        <w:rPr>
          <w:rFonts w:asciiTheme="majorHAnsi" w:hAnsiTheme="majorHAnsi"/>
          <w:i/>
          <w:sz w:val="30"/>
          <w:vertAlign w:val="superscript"/>
        </w:rPr>
        <w:t xml:space="preserve"> </w:t>
      </w:r>
    </w:p>
    <w:p w14:paraId="5A7B1E9A" w14:textId="77777777" w:rsidR="00027F8C" w:rsidRDefault="00027F8C" w:rsidP="0052682D">
      <w:pPr>
        <w:spacing w:before="0" w:line="259" w:lineRule="auto"/>
      </w:pPr>
    </w:p>
    <w:p w14:paraId="4051CF37" w14:textId="77777777" w:rsidR="001044B5" w:rsidRDefault="00EF6281" w:rsidP="0052682D">
      <w:pPr>
        <w:spacing w:before="0" w:line="259" w:lineRule="auto"/>
      </w:pPr>
      <w:r>
        <w:t>Participedia</w:t>
      </w:r>
      <w:r w:rsidR="00AD2005">
        <w:t xml:space="preserve"> includes hundreds of participation case studies, including many from Australia.</w:t>
      </w:r>
      <w:r w:rsidR="00CB387B">
        <w:t xml:space="preserve"> </w:t>
      </w:r>
      <w:r w:rsidR="0007422E">
        <w:t xml:space="preserve">Public participation academic </w:t>
      </w:r>
      <w:r w:rsidR="0030107E" w:rsidRPr="00C03CD3">
        <w:t xml:space="preserve">Lucy Parry notes in Participedia that </w:t>
      </w:r>
      <w:r w:rsidR="0007422E">
        <w:t xml:space="preserve">South Australia, </w:t>
      </w:r>
      <w:r w:rsidR="0030107E" w:rsidRPr="00E94517">
        <w:t>in particular</w:t>
      </w:r>
      <w:r w:rsidR="0007422E">
        <w:t>,</w:t>
      </w:r>
      <w:r w:rsidR="0030107E" w:rsidRPr="00E94517">
        <w:t xml:space="preserve"> has wholeheartedly embraced the notion of deliberative democracy and has embarked on an ambitious raft of citizen engagement processes including several Citizens’ Juries</w:t>
      </w:r>
      <w:r w:rsidR="0030107E">
        <w:t>.</w:t>
      </w:r>
      <w:r w:rsidR="0030107E">
        <w:rPr>
          <w:rStyle w:val="FootnoteReference"/>
        </w:rPr>
        <w:footnoteReference w:id="42"/>
      </w:r>
      <w:r w:rsidR="00E134D4" w:rsidRPr="00E134D4">
        <w:rPr>
          <w:noProof/>
          <w:lang w:eastAsia="en-AU"/>
        </w:rPr>
        <w:t xml:space="preserve"> </w:t>
      </w:r>
      <w:r w:rsidR="001044B5">
        <w:rPr>
          <w:noProof/>
          <w:lang w:eastAsia="en-AU"/>
        </w:rPr>
        <w:t xml:space="preserve">Other examples include </w:t>
      </w:r>
      <w:r w:rsidR="001044B5">
        <w:t xml:space="preserve">the Noosa Community Juries, Darebin Participatory Budgeting, City of Melbourne People’s Panel, Geraldton 2029 and Beyond the Western Australian Freight Network Review. </w:t>
      </w:r>
    </w:p>
    <w:p w14:paraId="1D873F95" w14:textId="77777777" w:rsidR="001044B5" w:rsidRDefault="001044B5" w:rsidP="0052682D">
      <w:pPr>
        <w:spacing w:before="0" w:line="259" w:lineRule="auto"/>
      </w:pPr>
    </w:p>
    <w:p w14:paraId="689EFF5C" w14:textId="77777777" w:rsidR="00DC6305" w:rsidRDefault="00DC6305" w:rsidP="0052682D">
      <w:pPr>
        <w:spacing w:before="0" w:line="259" w:lineRule="auto"/>
      </w:pPr>
    </w:p>
    <w:p w14:paraId="36B74A28" w14:textId="77777777" w:rsidR="00DC6305" w:rsidRDefault="00DC6305" w:rsidP="0052682D">
      <w:pPr>
        <w:spacing w:before="0"/>
      </w:pPr>
      <w:r>
        <w:br w:type="page"/>
      </w:r>
    </w:p>
    <w:p w14:paraId="30A4C34A" w14:textId="77777777" w:rsidR="009D14C8" w:rsidRDefault="00DC6305" w:rsidP="0052682D">
      <w:pPr>
        <w:spacing w:before="0" w:line="259" w:lineRule="auto"/>
      </w:pPr>
      <w:r>
        <w:rPr>
          <w:noProof/>
          <w:lang w:eastAsia="en-AU"/>
        </w:rPr>
        <w:lastRenderedPageBreak/>
        <mc:AlternateContent>
          <mc:Choice Requires="wps">
            <w:drawing>
              <wp:anchor distT="0" distB="0" distL="457200" distR="114300" simplePos="0" relativeHeight="251658258" behindDoc="0" locked="0" layoutInCell="0" allowOverlap="1" wp14:anchorId="16FDD29D" wp14:editId="228589E8">
                <wp:simplePos x="0" y="0"/>
                <wp:positionH relativeFrom="margin">
                  <wp:align>left</wp:align>
                </wp:positionH>
                <wp:positionV relativeFrom="margin">
                  <wp:posOffset>1069340</wp:posOffset>
                </wp:positionV>
                <wp:extent cx="1880870" cy="4913630"/>
                <wp:effectExtent l="0" t="0" r="0" b="1270"/>
                <wp:wrapSquare wrapText="bothSides"/>
                <wp:docPr id="2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0870" cy="4913630"/>
                        </a:xfrm>
                        <a:prstGeom prst="rect">
                          <a:avLst/>
                        </a:prstGeom>
                        <a:solidFill>
                          <a:srgbClr val="DEEBF7">
                            <a:alpha val="34902"/>
                          </a:srgbClr>
                        </a:solidFill>
                        <a:extLst/>
                      </wps:spPr>
                      <wps:txbx>
                        <w:txbxContent>
                          <w:p w14:paraId="19BFC9EB" w14:textId="77777777" w:rsidR="001143F2" w:rsidRDefault="001143F2" w:rsidP="009D14C8">
                            <w:pPr>
                              <w:spacing w:before="0" w:after="80"/>
                              <w:jc w:val="center"/>
                              <w:rPr>
                                <w:noProof/>
                                <w:lang w:eastAsia="en-AU"/>
                              </w:rPr>
                            </w:pPr>
                            <w:r>
                              <w:rPr>
                                <w:noProof/>
                                <w:lang w:eastAsia="en-AU"/>
                              </w:rPr>
                              <w:drawing>
                                <wp:inline distT="0" distB="0" distL="0" distR="0" wp14:anchorId="3EC4B6E8" wp14:editId="1BA9BAA0">
                                  <wp:extent cx="1019175" cy="9048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19175" cy="904875"/>
                                          </a:xfrm>
                                          <a:prstGeom prst="rect">
                                            <a:avLst/>
                                          </a:prstGeom>
                                        </pic:spPr>
                                      </pic:pic>
                                    </a:graphicData>
                                  </a:graphic>
                                </wp:inline>
                              </w:drawing>
                            </w:r>
                          </w:p>
                          <w:p w14:paraId="6DB20786" w14:textId="77777777" w:rsidR="001143F2" w:rsidRDefault="001143F2" w:rsidP="00E134D4">
                            <w:pPr>
                              <w:spacing w:before="0" w:after="80"/>
                              <w:rPr>
                                <w:rFonts w:asciiTheme="majorHAnsi" w:hAnsiTheme="majorHAnsi" w:cs="Arial"/>
                                <w:b/>
                                <w:noProof/>
                                <w:color w:val="44546A" w:themeColor="text2"/>
                                <w:sz w:val="20"/>
                                <w:lang w:eastAsia="en-AU"/>
                              </w:rPr>
                            </w:pPr>
                            <w:r>
                              <w:rPr>
                                <w:noProof/>
                                <w:lang w:eastAsia="en-AU"/>
                              </w:rPr>
                              <w:drawing>
                                <wp:inline distT="0" distB="0" distL="0" distR="0" wp14:anchorId="59694585" wp14:editId="369CDE67">
                                  <wp:extent cx="1463675" cy="257810"/>
                                  <wp:effectExtent l="0" t="0" r="317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63675" cy="257810"/>
                                          </a:xfrm>
                                          <a:prstGeom prst="rect">
                                            <a:avLst/>
                                          </a:prstGeom>
                                        </pic:spPr>
                                      </pic:pic>
                                    </a:graphicData>
                                  </a:graphic>
                                </wp:inline>
                              </w:drawing>
                            </w:r>
                          </w:p>
                          <w:p w14:paraId="61D780A3" w14:textId="77777777" w:rsidR="001143F2" w:rsidRPr="000F55D0" w:rsidRDefault="001143F2" w:rsidP="00E134D4">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Case study: Western Australian Partnership Forum</w:t>
                            </w:r>
                          </w:p>
                          <w:p w14:paraId="236EC8DB" w14:textId="77777777" w:rsidR="001143F2" w:rsidRPr="000F55D0" w:rsidRDefault="001143F2" w:rsidP="00E134D4">
                            <w:pPr>
                              <w:spacing w:before="0"/>
                              <w:rPr>
                                <w:rFonts w:asciiTheme="majorHAnsi" w:hAnsiTheme="majorHAnsi" w:cs="Arial"/>
                                <w:noProof/>
                                <w:sz w:val="16"/>
                                <w:lang w:eastAsia="en-AU"/>
                              </w:rPr>
                            </w:pPr>
                            <w:r w:rsidRPr="000F55D0">
                              <w:rPr>
                                <w:rFonts w:asciiTheme="majorHAnsi" w:hAnsiTheme="majorHAnsi" w:cs="Arial"/>
                                <w:noProof/>
                                <w:sz w:val="16"/>
                                <w:lang w:eastAsia="en-AU"/>
                              </w:rPr>
                              <w:t>The Western Australian Partnership Forum brings together leaders from State Government agencies and the not-for-profit community sector, and consumer advocates, to improve outcomes for all Western Australians.</w:t>
                            </w:r>
                          </w:p>
                          <w:p w14:paraId="6C1C32A7" w14:textId="77777777" w:rsidR="001143F2" w:rsidRPr="000F55D0" w:rsidRDefault="001143F2" w:rsidP="00E134D4">
                            <w:pPr>
                              <w:spacing w:before="0"/>
                              <w:rPr>
                                <w:rFonts w:asciiTheme="majorHAnsi" w:hAnsiTheme="majorHAnsi" w:cs="Arial"/>
                                <w:noProof/>
                                <w:sz w:val="16"/>
                                <w:lang w:eastAsia="en-AU"/>
                              </w:rPr>
                            </w:pPr>
                          </w:p>
                          <w:p w14:paraId="10D01A3F" w14:textId="77777777" w:rsidR="001143F2" w:rsidRPr="000F55D0" w:rsidRDefault="001143F2" w:rsidP="00E134D4">
                            <w:pPr>
                              <w:spacing w:before="0"/>
                              <w:rPr>
                                <w:rFonts w:asciiTheme="majorHAnsi" w:hAnsiTheme="majorHAnsi" w:cs="Arial"/>
                                <w:noProof/>
                                <w:sz w:val="16"/>
                                <w:lang w:eastAsia="en-AU"/>
                              </w:rPr>
                            </w:pPr>
                            <w:r w:rsidRPr="000F55D0">
                              <w:rPr>
                                <w:rFonts w:asciiTheme="majorHAnsi" w:hAnsiTheme="majorHAnsi" w:cs="Arial"/>
                                <w:noProof/>
                                <w:sz w:val="16"/>
                                <w:lang w:eastAsia="en-AU"/>
                              </w:rPr>
                              <w:t>The Partnership Forum has adopted a set of principles and behaviours to govern and facilitate the partnership between the public and not-for-profit community sectors. Some of the important elements of the partnership are a collaborative approach, interdependence, mutual respect, trust and recognising the value and contribution of both sectors</w:t>
                            </w:r>
                            <w:r>
                              <w:rPr>
                                <w:rFonts w:asciiTheme="majorHAnsi" w:hAnsiTheme="majorHAnsi" w:cs="Arial"/>
                                <w:noProof/>
                                <w:sz w:val="16"/>
                                <w:lang w:eastAsia="en-AU"/>
                              </w:rPr>
                              <w:t>.</w:t>
                            </w:r>
                          </w:p>
                          <w:p w14:paraId="1A8B93D1" w14:textId="77777777" w:rsidR="001143F2" w:rsidRDefault="001143F2" w:rsidP="00E134D4">
                            <w:pPr>
                              <w:rPr>
                                <w:rStyle w:val="PlaceholderText"/>
                                <w:color w:val="323E4F" w:themeColor="text2" w:themeShade="BF"/>
                              </w:rPr>
                            </w:pP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0</wp14:pctHeight>
                </wp14:sizeRelV>
              </wp:anchor>
            </w:drawing>
          </mc:Choice>
          <mc:Fallback>
            <w:pict>
              <v:rect w14:anchorId="16FDD29D" id="_x0000_s1045" style="position:absolute;margin-left:0;margin-top:84.2pt;width:148.1pt;height:386.9pt;z-index:251658258;visibility:visible;mso-wrap-style:square;mso-width-percent:242;mso-height-percent:0;mso-wrap-distance-left:36pt;mso-wrap-distance-top:0;mso-wrap-distance-right:9pt;mso-wrap-distance-bottom:0;mso-position-horizontal:left;mso-position-horizontal-relative:margin;mso-position-vertical:absolute;mso-position-vertical-relative:margin;mso-width-percent:242;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" o:allowincell="f" fillcolor="#deebf7" stroked="f">
                <v:fill opacity="22873f"/>
                <v:textbox inset="14.4pt,14.4pt,14.4pt,14.4pt">
                  <w:txbxContent>
                    <w:p w14:paraId="19BFC9EB" w14:textId="77777777" w:rsidR="001143F2" w:rsidRDefault="001143F2" w:rsidP="009D14C8">
                      <w:pPr>
                        <w:spacing w:before="0" w:after="80"/>
                        <w:jc w:val="center"/>
                        <w:rPr>
                          <w:noProof/>
                          <w:lang w:eastAsia="en-AU"/>
                        </w:rPr>
                      </w:pPr>
                      <w:r>
                        <w:rPr>
                          <w:noProof/>
                          <w:lang w:eastAsia="en-AU"/>
                        </w:rPr>
                        <w:drawing>
                          <wp:inline distT="0" distB="0" distL="0" distR="0" wp14:anchorId="3EC4B6E8" wp14:editId="1BA9BAA0">
                            <wp:extent cx="1019175" cy="9048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19175" cy="904875"/>
                                    </a:xfrm>
                                    <a:prstGeom prst="rect">
                                      <a:avLst/>
                                    </a:prstGeom>
                                  </pic:spPr>
                                </pic:pic>
                              </a:graphicData>
                            </a:graphic>
                          </wp:inline>
                        </w:drawing>
                      </w:r>
                    </w:p>
                    <w:p w14:paraId="6DB20786" w14:textId="77777777" w:rsidR="001143F2" w:rsidRDefault="001143F2" w:rsidP="00E134D4">
                      <w:pPr>
                        <w:spacing w:before="0" w:after="80"/>
                        <w:rPr>
                          <w:rFonts w:asciiTheme="majorHAnsi" w:hAnsiTheme="majorHAnsi" w:cs="Arial"/>
                          <w:b/>
                          <w:noProof/>
                          <w:color w:val="44546A" w:themeColor="text2"/>
                          <w:sz w:val="20"/>
                          <w:lang w:eastAsia="en-AU"/>
                        </w:rPr>
                      </w:pPr>
                      <w:r>
                        <w:rPr>
                          <w:noProof/>
                          <w:lang w:eastAsia="en-AU"/>
                        </w:rPr>
                        <w:drawing>
                          <wp:inline distT="0" distB="0" distL="0" distR="0" wp14:anchorId="59694585" wp14:editId="369CDE67">
                            <wp:extent cx="1463675" cy="257810"/>
                            <wp:effectExtent l="0" t="0" r="317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63675" cy="257810"/>
                                    </a:xfrm>
                                    <a:prstGeom prst="rect">
                                      <a:avLst/>
                                    </a:prstGeom>
                                  </pic:spPr>
                                </pic:pic>
                              </a:graphicData>
                            </a:graphic>
                          </wp:inline>
                        </w:drawing>
                      </w:r>
                    </w:p>
                    <w:p w14:paraId="61D780A3" w14:textId="77777777" w:rsidR="001143F2" w:rsidRPr="000F55D0" w:rsidRDefault="001143F2" w:rsidP="00E134D4">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Case study: Western Australian Partnership Forum</w:t>
                      </w:r>
                    </w:p>
                    <w:p w14:paraId="236EC8DB" w14:textId="77777777" w:rsidR="001143F2" w:rsidRPr="000F55D0" w:rsidRDefault="001143F2" w:rsidP="00E134D4">
                      <w:pPr>
                        <w:spacing w:before="0"/>
                        <w:rPr>
                          <w:rFonts w:asciiTheme="majorHAnsi" w:hAnsiTheme="majorHAnsi" w:cs="Arial"/>
                          <w:noProof/>
                          <w:sz w:val="16"/>
                          <w:lang w:eastAsia="en-AU"/>
                        </w:rPr>
                      </w:pPr>
                      <w:r w:rsidRPr="000F55D0">
                        <w:rPr>
                          <w:rFonts w:asciiTheme="majorHAnsi" w:hAnsiTheme="majorHAnsi" w:cs="Arial"/>
                          <w:noProof/>
                          <w:sz w:val="16"/>
                          <w:lang w:eastAsia="en-AU"/>
                        </w:rPr>
                        <w:t>The Western Australian Partnership Forum brings together leaders from State Government agencies and the not-for-profit community sector, and consumer advocates, to improve outcomes for all Western Australians.</w:t>
                      </w:r>
                    </w:p>
                    <w:p w14:paraId="6C1C32A7" w14:textId="77777777" w:rsidR="001143F2" w:rsidRPr="000F55D0" w:rsidRDefault="001143F2" w:rsidP="00E134D4">
                      <w:pPr>
                        <w:spacing w:before="0"/>
                        <w:rPr>
                          <w:rFonts w:asciiTheme="majorHAnsi" w:hAnsiTheme="majorHAnsi" w:cs="Arial"/>
                          <w:noProof/>
                          <w:sz w:val="16"/>
                          <w:lang w:eastAsia="en-AU"/>
                        </w:rPr>
                      </w:pPr>
                    </w:p>
                    <w:p w14:paraId="10D01A3F" w14:textId="77777777" w:rsidR="001143F2" w:rsidRPr="000F55D0" w:rsidRDefault="001143F2" w:rsidP="00E134D4">
                      <w:pPr>
                        <w:spacing w:before="0"/>
                        <w:rPr>
                          <w:rFonts w:asciiTheme="majorHAnsi" w:hAnsiTheme="majorHAnsi" w:cs="Arial"/>
                          <w:noProof/>
                          <w:sz w:val="16"/>
                          <w:lang w:eastAsia="en-AU"/>
                        </w:rPr>
                      </w:pPr>
                      <w:r w:rsidRPr="000F55D0">
                        <w:rPr>
                          <w:rFonts w:asciiTheme="majorHAnsi" w:hAnsiTheme="majorHAnsi" w:cs="Arial"/>
                          <w:noProof/>
                          <w:sz w:val="16"/>
                          <w:lang w:eastAsia="en-AU"/>
                        </w:rPr>
                        <w:t>The Partnership Forum has adopted a set of principles and behaviours to govern and facilitate the partnership between the public and not-for-profit community sectors. Some of the important elements of the partnership are a collaborative approach, interdependence, mutual respect, trust and recognising the value and contribution of both sectors</w:t>
                      </w:r>
                      <w:r>
                        <w:rPr>
                          <w:rFonts w:asciiTheme="majorHAnsi" w:hAnsiTheme="majorHAnsi" w:cs="Arial"/>
                          <w:noProof/>
                          <w:sz w:val="16"/>
                          <w:lang w:eastAsia="en-AU"/>
                        </w:rPr>
                        <w:t>.</w:t>
                      </w:r>
                    </w:p>
                    <w:p w14:paraId="1A8B93D1" w14:textId="77777777" w:rsidR="001143F2" w:rsidRDefault="001143F2" w:rsidP="00E134D4">
                      <w:pPr>
                        <w:rPr>
                          <w:rStyle w:val="PlaceholderText"/>
                          <w:color w:val="323E4F" w:themeColor="text2" w:themeShade="BF"/>
                        </w:rPr>
                      </w:pPr>
                    </w:p>
                  </w:txbxContent>
                </v:textbox>
                <w10:wrap type="square" anchorx="margin" anchory="margin"/>
              </v:rect>
            </w:pict>
          </mc:Fallback>
        </mc:AlternateContent>
      </w:r>
      <w:r w:rsidR="00EF6281">
        <w:t>While public participation</w:t>
      </w:r>
      <w:r w:rsidR="00537026">
        <w:t>,</w:t>
      </w:r>
      <w:r w:rsidR="00EF6281">
        <w:t xml:space="preserve"> in one form or another</w:t>
      </w:r>
      <w:r w:rsidR="00537026">
        <w:t>,</w:t>
      </w:r>
      <w:r w:rsidR="00EF6281">
        <w:t xml:space="preserve"> </w:t>
      </w:r>
      <w:r w:rsidR="00537026">
        <w:t xml:space="preserve">has </w:t>
      </w:r>
      <w:r w:rsidR="00EF6281">
        <w:t>long been a feature of public services in Australia, s</w:t>
      </w:r>
      <w:r w:rsidR="00AD2005">
        <w:t xml:space="preserve">ystematic </w:t>
      </w:r>
      <w:r w:rsidR="007E641B">
        <w:t xml:space="preserve">applications of public participation, including frameworks, </w:t>
      </w:r>
      <w:r w:rsidR="00AD2005">
        <w:t xml:space="preserve">are </w:t>
      </w:r>
      <w:r w:rsidR="00EF6281">
        <w:t>starting to gain</w:t>
      </w:r>
      <w:r w:rsidR="007E641B">
        <w:t xml:space="preserve"> hold</w:t>
      </w:r>
      <w:r w:rsidR="00AD2005">
        <w:t xml:space="preserve">. </w:t>
      </w:r>
      <w:r w:rsidR="005C03B5">
        <w:t xml:space="preserve">Most of the states and territories already </w:t>
      </w:r>
      <w:r w:rsidR="001044B5">
        <w:t xml:space="preserve">have </w:t>
      </w:r>
      <w:r w:rsidR="005C03B5">
        <w:t>public participation</w:t>
      </w:r>
      <w:r w:rsidR="001044B5">
        <w:t xml:space="preserve"> frameworks, or in the case of Victoria, are looking to establish one. </w:t>
      </w:r>
      <w:r w:rsidR="005C03B5">
        <w:t>The Victorian Auditor-</w:t>
      </w:r>
      <w:r w:rsidR="00152C3C" w:rsidRPr="00152C3C">
        <w:t>General</w:t>
      </w:r>
      <w:r w:rsidR="005C03B5">
        <w:t>’s 2017</w:t>
      </w:r>
      <w:r w:rsidR="00152C3C" w:rsidRPr="00152C3C">
        <w:t xml:space="preserve"> report into public participation found</w:t>
      </w:r>
      <w:r w:rsidR="00152C3C">
        <w:t xml:space="preserve"> that </w:t>
      </w:r>
      <w:r w:rsidR="00FA7CFD">
        <w:t xml:space="preserve">unlike </w:t>
      </w:r>
      <w:r w:rsidR="00152C3C" w:rsidRPr="00152C3C">
        <w:t>the Australian Capital Territory, New South Wales, Queensland, South Australia and Tasmania</w:t>
      </w:r>
      <w:r w:rsidR="00FA7CFD">
        <w:t>, Victoria does not have</w:t>
      </w:r>
      <w:r w:rsidR="00152C3C" w:rsidRPr="00152C3C">
        <w:t xml:space="preserve"> a current whole</w:t>
      </w:r>
      <w:r w:rsidR="00152C3C" w:rsidRPr="00152C3C">
        <w:noBreakHyphen/>
        <w:t>of</w:t>
      </w:r>
      <w:r w:rsidR="00152C3C" w:rsidRPr="00152C3C">
        <w:noBreakHyphen/>
        <w:t>government framework for public participation</w:t>
      </w:r>
      <w:r w:rsidR="00152C3C">
        <w:t>.</w:t>
      </w:r>
      <w:r w:rsidR="00CB387B">
        <w:t xml:space="preserve"> </w:t>
      </w:r>
      <w:r w:rsidR="0058291F">
        <w:t>As a result, t</w:t>
      </w:r>
      <w:r w:rsidR="00FA7CFD">
        <w:t xml:space="preserve">he report </w:t>
      </w:r>
      <w:r w:rsidR="005C03B5">
        <w:t>found that</w:t>
      </w:r>
      <w:r w:rsidR="00FA7CFD">
        <w:t xml:space="preserve"> an opportunity is being missed in helping to </w:t>
      </w:r>
      <w:r w:rsidR="00FA7CFD" w:rsidRPr="00152C3C">
        <w:t>establish a consistent understanding of public participation responsibilities and priorities</w:t>
      </w:r>
      <w:r w:rsidR="00FA7CFD">
        <w:t xml:space="preserve"> as well as contributing to greater </w:t>
      </w:r>
      <w:r w:rsidR="00FA7CFD" w:rsidRPr="00152C3C">
        <w:t xml:space="preserve">consistency </w:t>
      </w:r>
      <w:r w:rsidR="00BA0D68">
        <w:t>‘</w:t>
      </w:r>
      <w:r w:rsidR="00FA7CFD" w:rsidRPr="00BA0D68">
        <w:t xml:space="preserve">in activities and terminology across the </w:t>
      </w:r>
      <w:r w:rsidR="003C30F6">
        <w:t>Victorian Public Service</w:t>
      </w:r>
      <w:r w:rsidR="00FA7CFD" w:rsidRPr="00BA0D68">
        <w:t>—for example, the term 'co</w:t>
      </w:r>
      <w:r w:rsidR="00FA7CFD" w:rsidRPr="00BA0D68">
        <w:noBreakHyphen/>
        <w:t>design' is used differently across departments</w:t>
      </w:r>
      <w:r w:rsidR="00BA0D68">
        <w:t>.’</w:t>
      </w:r>
      <w:r w:rsidR="00FA7CFD" w:rsidRPr="00BA0D68">
        <w:rPr>
          <w:rStyle w:val="FootnoteReference"/>
        </w:rPr>
        <w:footnoteReference w:id="43"/>
      </w:r>
      <w:r w:rsidR="005C03B5">
        <w:t xml:space="preserve"> </w:t>
      </w:r>
    </w:p>
    <w:p w14:paraId="3BE4B0CB" w14:textId="77777777" w:rsidR="009D14C8" w:rsidRDefault="009D14C8" w:rsidP="0052682D">
      <w:pPr>
        <w:spacing w:before="0" w:line="259" w:lineRule="auto"/>
      </w:pPr>
    </w:p>
    <w:p w14:paraId="4F5F3D74" w14:textId="77777777" w:rsidR="001812A3" w:rsidRPr="001812A3" w:rsidRDefault="005C03B5" w:rsidP="0052682D">
      <w:pPr>
        <w:spacing w:before="0" w:line="259" w:lineRule="auto"/>
      </w:pPr>
      <w:r>
        <w:t>Similarly, a</w:t>
      </w:r>
      <w:r w:rsidR="001812A3" w:rsidRPr="001812A3">
        <w:t xml:space="preserve"> 2014 report by the Council for Social Services NSW </w:t>
      </w:r>
      <w:r>
        <w:t xml:space="preserve">(NCOSS) </w:t>
      </w:r>
      <w:r w:rsidR="001812A3" w:rsidRPr="001812A3">
        <w:t xml:space="preserve">into participation in NSW found that the NSW State Government </w:t>
      </w:r>
      <w:r w:rsidR="001C5135">
        <w:t>‘</w:t>
      </w:r>
      <w:r w:rsidR="001812A3" w:rsidRPr="001812A3">
        <w:t>has made a high-level commitment to give the community a say in the State Plan (Goal 32, NSW2021). Recent initiatives have focused on devolved local decision-making, customer service reform, collaboration, and enhanced digital engagement. These are positive steps to improve the way government engages with citizens, particularly in relation to service delivery</w:t>
      </w:r>
      <w:r w:rsidR="001C5135">
        <w:t>’</w:t>
      </w:r>
      <w:r w:rsidR="001812A3" w:rsidRPr="001812A3">
        <w:t>.</w:t>
      </w:r>
      <w:r w:rsidR="001812A3">
        <w:rPr>
          <w:rStyle w:val="FootnoteReference"/>
        </w:rPr>
        <w:footnoteReference w:id="44"/>
      </w:r>
    </w:p>
    <w:p w14:paraId="13C55F96" w14:textId="77777777" w:rsidR="00280E78" w:rsidRDefault="00280E78" w:rsidP="0052682D">
      <w:pPr>
        <w:spacing w:before="0" w:line="259" w:lineRule="auto"/>
      </w:pPr>
    </w:p>
    <w:p w14:paraId="15F0CC2B" w14:textId="77777777" w:rsidR="00DC6305" w:rsidRDefault="00DC6305" w:rsidP="0052682D">
      <w:pPr>
        <w:spacing w:before="0"/>
        <w:rPr>
          <w:rFonts w:ascii="Calibri Light" w:eastAsia="MS Gothic" w:hAnsi="Calibri Light"/>
          <w:bCs/>
          <w:color w:val="3AA2A2"/>
          <w:sz w:val="32"/>
          <w:szCs w:val="26"/>
        </w:rPr>
      </w:pPr>
      <w:r>
        <w:br w:type="page"/>
      </w:r>
    </w:p>
    <w:p w14:paraId="51D55CD2" w14:textId="77777777" w:rsidR="00AD2005" w:rsidRDefault="00AD2005" w:rsidP="0052682D">
      <w:pPr>
        <w:pStyle w:val="H2"/>
        <w:tabs>
          <w:tab w:val="center" w:pos="3265"/>
        </w:tabs>
        <w:spacing w:before="0" w:after="0"/>
      </w:pPr>
      <w:bookmarkStart w:id="37" w:name="_Toc495915957"/>
      <w:r>
        <w:lastRenderedPageBreak/>
        <w:t xml:space="preserve">Case studies: </w:t>
      </w:r>
      <w:r w:rsidR="00CE7C66">
        <w:t xml:space="preserve">Examples of </w:t>
      </w:r>
      <w:r w:rsidR="00106090">
        <w:t xml:space="preserve">good practice </w:t>
      </w:r>
      <w:r w:rsidR="00CE7C66">
        <w:t>p</w:t>
      </w:r>
      <w:r>
        <w:t xml:space="preserve">ublic participation </w:t>
      </w:r>
      <w:r w:rsidR="00CE7C66">
        <w:t>in Australia</w:t>
      </w:r>
      <w:bookmarkEnd w:id="37"/>
    </w:p>
    <w:p w14:paraId="0156BDE8" w14:textId="77777777" w:rsidR="007F294C" w:rsidRPr="006027D3" w:rsidRDefault="000B1E72" w:rsidP="0052682D">
      <w:pPr>
        <w:spacing w:before="0"/>
        <w:rPr>
          <w:rFonts w:asciiTheme="majorHAnsi" w:hAnsiTheme="majorHAnsi"/>
          <w:i/>
          <w:sz w:val="30"/>
        </w:rPr>
      </w:pPr>
      <w:r w:rsidRPr="006027D3">
        <w:rPr>
          <w:rFonts w:asciiTheme="majorHAnsi" w:hAnsiTheme="majorHAnsi"/>
          <w:i/>
          <w:sz w:val="30"/>
        </w:rPr>
        <w:t>As noted above, p</w:t>
      </w:r>
      <w:r w:rsidR="00CE7C66" w:rsidRPr="006027D3">
        <w:rPr>
          <w:rFonts w:asciiTheme="majorHAnsi" w:hAnsiTheme="majorHAnsi"/>
          <w:i/>
          <w:sz w:val="30"/>
        </w:rPr>
        <w:t>ublic participation is not brand new to Australia</w:t>
      </w:r>
      <w:r w:rsidR="00EF6281" w:rsidRPr="006027D3">
        <w:rPr>
          <w:rFonts w:asciiTheme="majorHAnsi" w:hAnsiTheme="majorHAnsi"/>
          <w:i/>
          <w:sz w:val="30"/>
        </w:rPr>
        <w:t xml:space="preserve">. </w:t>
      </w:r>
      <w:r w:rsidR="007F294C" w:rsidRPr="006027D3">
        <w:rPr>
          <w:rFonts w:asciiTheme="majorHAnsi" w:hAnsiTheme="majorHAnsi"/>
          <w:i/>
          <w:sz w:val="30"/>
        </w:rPr>
        <w:t>Indeed, there are case studies spread throughout this report of excellent public participation in Australia.</w:t>
      </w:r>
    </w:p>
    <w:p w14:paraId="77C02A0C" w14:textId="77777777" w:rsidR="007F294C" w:rsidRPr="006027D3" w:rsidRDefault="007F294C" w:rsidP="0052682D">
      <w:pPr>
        <w:spacing w:before="0"/>
        <w:rPr>
          <w:rFonts w:asciiTheme="majorHAnsi" w:hAnsiTheme="majorHAnsi"/>
          <w:i/>
          <w:sz w:val="30"/>
        </w:rPr>
      </w:pPr>
    </w:p>
    <w:p w14:paraId="2219F41E" w14:textId="77777777" w:rsidR="00EF6281" w:rsidRPr="006027D3" w:rsidRDefault="006027D3" w:rsidP="0052682D">
      <w:pPr>
        <w:spacing w:before="0"/>
        <w:rPr>
          <w:rFonts w:asciiTheme="majorHAnsi" w:hAnsiTheme="majorHAnsi"/>
          <w:i/>
          <w:sz w:val="30"/>
        </w:rPr>
      </w:pPr>
      <w:r>
        <w:rPr>
          <w:rFonts w:asciiTheme="majorHAnsi" w:hAnsiTheme="majorHAnsi"/>
          <w:i/>
          <w:sz w:val="30"/>
        </w:rPr>
        <w:t>Below, w</w:t>
      </w:r>
      <w:r w:rsidR="00EF6281" w:rsidRPr="006027D3">
        <w:rPr>
          <w:rFonts w:asciiTheme="majorHAnsi" w:hAnsiTheme="majorHAnsi"/>
          <w:i/>
          <w:sz w:val="30"/>
        </w:rPr>
        <w:t xml:space="preserve">e have </w:t>
      </w:r>
      <w:r w:rsidR="007F294C" w:rsidRPr="006027D3">
        <w:rPr>
          <w:rFonts w:asciiTheme="majorHAnsi" w:hAnsiTheme="majorHAnsi"/>
          <w:i/>
          <w:sz w:val="30"/>
        </w:rPr>
        <w:t xml:space="preserve">also </w:t>
      </w:r>
      <w:r w:rsidR="00EF6281" w:rsidRPr="006027D3">
        <w:rPr>
          <w:rFonts w:asciiTheme="majorHAnsi" w:hAnsiTheme="majorHAnsi"/>
          <w:i/>
          <w:sz w:val="30"/>
        </w:rPr>
        <w:t>included</w:t>
      </w:r>
      <w:r w:rsidR="00CE7C66" w:rsidRPr="006027D3">
        <w:rPr>
          <w:rFonts w:asciiTheme="majorHAnsi" w:hAnsiTheme="majorHAnsi"/>
          <w:i/>
          <w:sz w:val="30"/>
        </w:rPr>
        <w:t xml:space="preserve"> four </w:t>
      </w:r>
      <w:r w:rsidR="007417AB" w:rsidRPr="006027D3">
        <w:rPr>
          <w:rFonts w:asciiTheme="majorHAnsi" w:hAnsiTheme="majorHAnsi"/>
          <w:i/>
          <w:sz w:val="30"/>
        </w:rPr>
        <w:t xml:space="preserve">detailed </w:t>
      </w:r>
      <w:r w:rsidR="00EF6281" w:rsidRPr="006027D3">
        <w:rPr>
          <w:rFonts w:asciiTheme="majorHAnsi" w:hAnsiTheme="majorHAnsi"/>
          <w:i/>
          <w:sz w:val="30"/>
        </w:rPr>
        <w:t xml:space="preserve">Australian </w:t>
      </w:r>
      <w:r w:rsidR="00CE7C66" w:rsidRPr="006027D3">
        <w:rPr>
          <w:rFonts w:asciiTheme="majorHAnsi" w:hAnsiTheme="majorHAnsi"/>
          <w:i/>
          <w:sz w:val="30"/>
        </w:rPr>
        <w:t>case studies of good pra</w:t>
      </w:r>
      <w:r w:rsidR="00EF6281" w:rsidRPr="006027D3">
        <w:rPr>
          <w:rFonts w:asciiTheme="majorHAnsi" w:hAnsiTheme="majorHAnsi"/>
          <w:i/>
          <w:sz w:val="30"/>
        </w:rPr>
        <w:t>ctice participation in Australia, to give a sense of what is already happening in Australian governments</w:t>
      </w:r>
      <w:r>
        <w:rPr>
          <w:rFonts w:asciiTheme="majorHAnsi" w:hAnsiTheme="majorHAnsi"/>
          <w:i/>
          <w:sz w:val="30"/>
        </w:rPr>
        <w:t xml:space="preserve"> and how sophisticated</w:t>
      </w:r>
      <w:r w:rsidR="00890D87">
        <w:rPr>
          <w:rFonts w:asciiTheme="majorHAnsi" w:hAnsiTheme="majorHAnsi"/>
          <w:i/>
          <w:sz w:val="30"/>
        </w:rPr>
        <w:t>, achievable</w:t>
      </w:r>
      <w:r>
        <w:rPr>
          <w:rFonts w:asciiTheme="majorHAnsi" w:hAnsiTheme="majorHAnsi"/>
          <w:i/>
          <w:sz w:val="30"/>
        </w:rPr>
        <w:t xml:space="preserve"> and effective public participation can be</w:t>
      </w:r>
      <w:r w:rsidR="007F294C" w:rsidRPr="006027D3">
        <w:rPr>
          <w:rFonts w:asciiTheme="majorHAnsi" w:hAnsiTheme="majorHAnsi"/>
          <w:i/>
          <w:sz w:val="30"/>
        </w:rPr>
        <w:t>.</w:t>
      </w:r>
    </w:p>
    <w:p w14:paraId="58B6D52D" w14:textId="77777777" w:rsidR="00EF6281" w:rsidRPr="008C6FD6" w:rsidRDefault="00EF6281" w:rsidP="0052682D">
      <w:pPr>
        <w:spacing w:before="0"/>
      </w:pPr>
    </w:p>
    <w:p w14:paraId="791CF49D" w14:textId="77777777" w:rsidR="00A377CE" w:rsidRPr="00890D87" w:rsidRDefault="00A377CE" w:rsidP="0052682D">
      <w:pPr>
        <w:pStyle w:val="Tablecellheading"/>
        <w:jc w:val="left"/>
        <w:rPr>
          <w:b/>
          <w:sz w:val="26"/>
        </w:rPr>
      </w:pPr>
      <w:r w:rsidRPr="00890D87">
        <w:rPr>
          <w:b/>
          <w:sz w:val="26"/>
        </w:rPr>
        <w:t>Case study: Your SAy</w:t>
      </w:r>
      <w:r w:rsidR="00743114" w:rsidRPr="00890D87">
        <w:rPr>
          <w:b/>
          <w:sz w:val="26"/>
        </w:rPr>
        <w:t xml:space="preserve"> – showing just how </w:t>
      </w:r>
      <w:r w:rsidR="00890D87" w:rsidRPr="00890D87">
        <w:rPr>
          <w:b/>
          <w:sz w:val="26"/>
        </w:rPr>
        <w:t>comprehensive</w:t>
      </w:r>
      <w:r w:rsidR="00743114" w:rsidRPr="00890D87">
        <w:rPr>
          <w:b/>
          <w:sz w:val="26"/>
        </w:rPr>
        <w:t xml:space="preserve"> and effective public participation can be</w:t>
      </w:r>
    </w:p>
    <w:p w14:paraId="66E11FFF" w14:textId="77777777" w:rsidR="00A377CE" w:rsidRDefault="00A377CE" w:rsidP="0052682D">
      <w:pPr>
        <w:spacing w:before="0"/>
      </w:pPr>
      <w:r w:rsidRPr="00A377CE">
        <w:rPr>
          <w:b/>
        </w:rPr>
        <w:t>Engagement type</w:t>
      </w:r>
      <w:r w:rsidRPr="00A377CE">
        <w:t>: Comprehensive public participation, including information sharing, consultation, deliberation, and collaboration initiatives.</w:t>
      </w:r>
    </w:p>
    <w:p w14:paraId="6595684E" w14:textId="77777777" w:rsidR="00A377CE" w:rsidRDefault="009B57D5" w:rsidP="0052682D">
      <w:pPr>
        <w:spacing w:before="0"/>
      </w:pPr>
      <w:r w:rsidRPr="00A377CE">
        <w:rPr>
          <w:b/>
          <w:i/>
          <w:noProof/>
          <w:lang w:eastAsia="en-AU"/>
        </w:rPr>
        <mc:AlternateContent>
          <mc:Choice Requires="wps">
            <w:drawing>
              <wp:anchor distT="45720" distB="45720" distL="114300" distR="114300" simplePos="0" relativeHeight="251658250" behindDoc="0" locked="0" layoutInCell="1" allowOverlap="1" wp14:anchorId="78085DF2" wp14:editId="740916DB">
                <wp:simplePos x="0" y="0"/>
                <wp:positionH relativeFrom="margin">
                  <wp:align>left</wp:align>
                </wp:positionH>
                <wp:positionV relativeFrom="paragraph">
                  <wp:posOffset>173990</wp:posOffset>
                </wp:positionV>
                <wp:extent cx="1477645" cy="542925"/>
                <wp:effectExtent l="0" t="0" r="8255"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542925"/>
                        </a:xfrm>
                        <a:prstGeom prst="rect">
                          <a:avLst/>
                        </a:prstGeom>
                        <a:solidFill>
                          <a:srgbClr val="DEEBF7"/>
                        </a:solidFill>
                        <a:ln w="9525">
                          <a:noFill/>
                          <a:miter lim="800000"/>
                          <a:headEnd/>
                          <a:tailEnd/>
                        </a:ln>
                      </wps:spPr>
                      <wps:txbx>
                        <w:txbxContent>
                          <w:p w14:paraId="1679349D" w14:textId="77777777" w:rsidR="001143F2" w:rsidRDefault="001143F2" w:rsidP="009B57D5">
                            <w:pPr>
                              <w:kinsoku w:val="0"/>
                              <w:overflowPunct w:val="0"/>
                              <w:spacing w:before="0"/>
                              <w:jc w:val="center"/>
                            </w:pPr>
                            <w:r>
                              <w:rPr>
                                <w:noProof/>
                                <w:lang w:eastAsia="en-AU"/>
                              </w:rPr>
                              <w:drawing>
                                <wp:inline distT="0" distB="0" distL="0" distR="0" wp14:anchorId="3B0CDC27" wp14:editId="776689A0">
                                  <wp:extent cx="1285875" cy="42481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285875" cy="424815"/>
                                          </a:xfrm>
                                          <a:prstGeom prst="rect">
                                            <a:avLst/>
                                          </a:prstGeom>
                                        </pic:spPr>
                                      </pic:pic>
                                    </a:graphicData>
                                  </a:graphic>
                                </wp:inline>
                              </w:drawing>
                            </w:r>
                          </w:p>
                          <w:p w14:paraId="42E42C99" w14:textId="77777777" w:rsidR="001143F2" w:rsidRDefault="001143F2" w:rsidP="00022FB9">
                            <w:pPr>
                              <w:kinsoku w:val="0"/>
                              <w:overflowPunct w:val="0"/>
                            </w:pPr>
                          </w:p>
                          <w:p w14:paraId="468FC0F3" w14:textId="77777777" w:rsidR="001143F2" w:rsidRPr="008E738B" w:rsidRDefault="001143F2" w:rsidP="00022FB9">
                            <w:pPr>
                              <w:kinsoku w:val="0"/>
                              <w:overflowPunct w:val="0"/>
                              <w:rPr>
                                <w:rFonts w:ascii="Lucida Sans" w:hAnsi="Lucida Sans" w:cs="Lucida Sans"/>
                                <w:color w:val="4D4D4F"/>
                                <w:sz w:val="29"/>
                                <w:szCs w:val="29"/>
                              </w:rPr>
                            </w:pPr>
                          </w:p>
                          <w:p w14:paraId="13E9FC2D" w14:textId="77777777" w:rsidR="001143F2" w:rsidRDefault="001143F2" w:rsidP="00022F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5DF2" id="_x0000_s1046" type="#_x0000_t202" style="position:absolute;margin-left:0;margin-top:13.7pt;width:116.35pt;height:42.75pt;z-index:25165825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" fillcolor="#deebf7" stroked="f">
                <v:textbox>
                  <w:txbxContent>
                    <w:p w14:paraId="1679349D" w14:textId="77777777" w:rsidR="001143F2" w:rsidRDefault="001143F2" w:rsidP="009B57D5">
                      <w:pPr>
                        <w:kinsoku w:val="0"/>
                        <w:overflowPunct w:val="0"/>
                        <w:spacing w:before="0"/>
                        <w:jc w:val="center"/>
                      </w:pPr>
                      <w:r>
                        <w:rPr>
                          <w:noProof/>
                          <w:lang w:eastAsia="en-AU"/>
                        </w:rPr>
                        <w:drawing>
                          <wp:inline distT="0" distB="0" distL="0" distR="0" wp14:anchorId="3B0CDC27" wp14:editId="776689A0">
                            <wp:extent cx="1285875" cy="42481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85875" cy="424815"/>
                                    </a:xfrm>
                                    <a:prstGeom prst="rect">
                                      <a:avLst/>
                                    </a:prstGeom>
                                  </pic:spPr>
                                </pic:pic>
                              </a:graphicData>
                            </a:graphic>
                          </wp:inline>
                        </w:drawing>
                      </w:r>
                    </w:p>
                    <w:p w14:paraId="42E42C99" w14:textId="77777777" w:rsidR="001143F2" w:rsidRDefault="001143F2" w:rsidP="00022FB9">
                      <w:pPr>
                        <w:kinsoku w:val="0"/>
                        <w:overflowPunct w:val="0"/>
                      </w:pPr>
                    </w:p>
                    <w:p w14:paraId="468FC0F3" w14:textId="77777777" w:rsidR="001143F2" w:rsidRPr="008E738B" w:rsidRDefault="001143F2" w:rsidP="00022FB9">
                      <w:pPr>
                        <w:kinsoku w:val="0"/>
                        <w:overflowPunct w:val="0"/>
                        <w:rPr>
                          <w:rFonts w:ascii="Lucida Sans" w:hAnsi="Lucida Sans" w:cs="Lucida Sans"/>
                          <w:color w:val="4D4D4F"/>
                          <w:sz w:val="29"/>
                          <w:szCs w:val="29"/>
                        </w:rPr>
                      </w:pPr>
                    </w:p>
                    <w:p w14:paraId="13E9FC2D" w14:textId="77777777" w:rsidR="001143F2" w:rsidRDefault="001143F2" w:rsidP="00022FB9"/>
                  </w:txbxContent>
                </v:textbox>
                <w10:wrap type="square" anchorx="margin"/>
              </v:shape>
            </w:pict>
          </mc:Fallback>
        </mc:AlternateContent>
      </w:r>
      <w:r w:rsidR="00A377CE" w:rsidRPr="00A377CE">
        <w:t> </w:t>
      </w:r>
    </w:p>
    <w:p w14:paraId="2FCF5D0A" w14:textId="77777777" w:rsidR="00A377CE" w:rsidRPr="00A377CE" w:rsidRDefault="00A377CE" w:rsidP="0052682D">
      <w:pPr>
        <w:spacing w:before="0"/>
        <w:rPr>
          <w:b/>
        </w:rPr>
      </w:pPr>
      <w:r w:rsidRPr="00A377CE">
        <w:rPr>
          <w:b/>
        </w:rPr>
        <w:t>Who is involved? Where?</w:t>
      </w:r>
    </w:p>
    <w:p w14:paraId="41312744" w14:textId="77777777" w:rsidR="00A377CE" w:rsidRDefault="00A377CE" w:rsidP="0052682D">
      <w:pPr>
        <w:spacing w:before="0"/>
      </w:pPr>
      <w:r>
        <w:t xml:space="preserve">Your SAy is an initiative of the South Australian Government, administered out of its Department of Premier and Cabinet. </w:t>
      </w:r>
    </w:p>
    <w:p w14:paraId="15BC455B" w14:textId="77777777" w:rsidR="00A377CE" w:rsidRDefault="00A377CE" w:rsidP="0052682D">
      <w:pPr>
        <w:spacing w:before="0"/>
      </w:pPr>
      <w:r>
        <w:t> </w:t>
      </w:r>
    </w:p>
    <w:p w14:paraId="72BD6BE1" w14:textId="77777777" w:rsidR="00A377CE" w:rsidRPr="00A377CE" w:rsidRDefault="00A377CE" w:rsidP="0052682D">
      <w:pPr>
        <w:spacing w:before="0"/>
        <w:rPr>
          <w:b/>
        </w:rPr>
      </w:pPr>
      <w:r w:rsidRPr="00A377CE">
        <w:rPr>
          <w:b/>
        </w:rPr>
        <w:t xml:space="preserve">Why was it started? </w:t>
      </w:r>
    </w:p>
    <w:p w14:paraId="67E07CF0" w14:textId="77777777" w:rsidR="00A377CE" w:rsidRPr="00A377CE" w:rsidRDefault="00A377CE" w:rsidP="0052682D">
      <w:pPr>
        <w:spacing w:before="0"/>
      </w:pPr>
      <w:r w:rsidRPr="00A377CE">
        <w:t xml:space="preserve">YourSAy offers a platform to deliver a comprehensive and integrated set of initiatives to provide </w:t>
      </w:r>
      <w:r>
        <w:t xml:space="preserve">people </w:t>
      </w:r>
      <w:r w:rsidRPr="00A377CE">
        <w:t xml:space="preserve">with </w:t>
      </w:r>
      <w:r>
        <w:t xml:space="preserve">opportunity to be involved in the decisions that affect their lives. It is part of the South Australian Government’s ‘Reforming Democracy: Deciding, designing and delivering together’ policy. </w:t>
      </w:r>
      <w:r w:rsidRPr="00A377CE">
        <w:t>Key objectives are:</w:t>
      </w:r>
    </w:p>
    <w:p w14:paraId="2A25FA1A" w14:textId="77777777" w:rsidR="00A377CE" w:rsidRPr="00A377CE" w:rsidRDefault="00A377CE" w:rsidP="0052682D">
      <w:pPr>
        <w:pStyle w:val="ListParagraph"/>
        <w:numPr>
          <w:ilvl w:val="0"/>
          <w:numId w:val="36"/>
        </w:numPr>
        <w:spacing w:before="0"/>
      </w:pPr>
      <w:r w:rsidRPr="00A377CE">
        <w:t>To take deliberative practices to scale using digital engagement across a range of different programs (Fund My’s below)</w:t>
      </w:r>
      <w:r>
        <w:t>;</w:t>
      </w:r>
    </w:p>
    <w:p w14:paraId="0DF8750A" w14:textId="77777777" w:rsidR="00A377CE" w:rsidRPr="00A377CE" w:rsidRDefault="00A377CE" w:rsidP="0052682D">
      <w:pPr>
        <w:pStyle w:val="ListParagraph"/>
        <w:numPr>
          <w:ilvl w:val="0"/>
          <w:numId w:val="36"/>
        </w:numPr>
        <w:spacing w:before="0"/>
      </w:pPr>
      <w:r w:rsidRPr="00A377CE">
        <w:t>To involve large numbers of the community - over 67,000 people have actively registered to influe</w:t>
      </w:r>
      <w:r>
        <w:t>nce decision-making on YourSAy; and</w:t>
      </w:r>
    </w:p>
    <w:p w14:paraId="0FAEBFF3" w14:textId="77777777" w:rsidR="00A377CE" w:rsidRPr="00A377CE" w:rsidRDefault="00A377CE" w:rsidP="0052682D">
      <w:pPr>
        <w:pStyle w:val="ListParagraph"/>
        <w:numPr>
          <w:ilvl w:val="0"/>
          <w:numId w:val="36"/>
        </w:numPr>
        <w:spacing w:before="0"/>
      </w:pPr>
      <w:r w:rsidRPr="00A377CE">
        <w:t>Bring new ideas and expertise to inform better decision-making by employing open innovation techniques.</w:t>
      </w:r>
    </w:p>
    <w:p w14:paraId="3E069369" w14:textId="77777777" w:rsidR="00A377CE" w:rsidRDefault="00A377CE" w:rsidP="0052682D">
      <w:pPr>
        <w:spacing w:before="0"/>
      </w:pPr>
      <w:r w:rsidRPr="00A377CE">
        <w:t> </w:t>
      </w:r>
    </w:p>
    <w:p w14:paraId="1D51FD96" w14:textId="77777777" w:rsidR="00A377CE" w:rsidRPr="00A377CE" w:rsidRDefault="00A377CE" w:rsidP="0052682D">
      <w:pPr>
        <w:spacing w:before="0"/>
        <w:rPr>
          <w:b/>
        </w:rPr>
      </w:pPr>
      <w:r w:rsidRPr="00A377CE">
        <w:rPr>
          <w:b/>
        </w:rPr>
        <w:t>How does it work?</w:t>
      </w:r>
    </w:p>
    <w:p w14:paraId="6D7A202F" w14:textId="77777777" w:rsidR="00A377CE" w:rsidRDefault="00A377CE" w:rsidP="0052682D">
      <w:pPr>
        <w:spacing w:before="0"/>
      </w:pPr>
      <w:r>
        <w:t>Raft of public participation initiatives, including:</w:t>
      </w:r>
    </w:p>
    <w:p w14:paraId="013189DD" w14:textId="77777777" w:rsidR="004046D1" w:rsidRPr="004046D1" w:rsidRDefault="00B2619D" w:rsidP="0052682D">
      <w:pPr>
        <w:pStyle w:val="ListParagraph"/>
        <w:numPr>
          <w:ilvl w:val="0"/>
          <w:numId w:val="36"/>
        </w:numPr>
        <w:spacing w:before="0"/>
      </w:pPr>
      <w:hyperlink r:id="rId67" w:history="1">
        <w:r w:rsidR="004046D1" w:rsidRPr="004046D1">
          <w:rPr>
            <w:u w:val="single"/>
          </w:rPr>
          <w:t>Fund My Neighbourhood</w:t>
        </w:r>
      </w:hyperlink>
      <w:r w:rsidR="004046D1" w:rsidRPr="004046D1">
        <w:t xml:space="preserve"> – A $40 million participatory budgeting initiative which gives everyday South Australians the power to nominate and choose neigh</w:t>
      </w:r>
      <w:r w:rsidR="00877750">
        <w:t>bourhood improvement projects. </w:t>
      </w:r>
      <w:r w:rsidR="004046D1" w:rsidRPr="004046D1">
        <w:t>Applications for Fund My Neighbourhood closed on 8 September 2017. A total of 2</w:t>
      </w:r>
      <w:r w:rsidR="00877750">
        <w:t>,</w:t>
      </w:r>
      <w:r w:rsidR="004046D1" w:rsidRPr="004046D1">
        <w:t>475 applications were received. Community voting commences on 18 October and will be open until mid-November.</w:t>
      </w:r>
      <w:r w:rsidR="00562C37">
        <w:t xml:space="preserve"> </w:t>
      </w:r>
      <w:r w:rsidR="004046D1" w:rsidRPr="004046D1">
        <w:t>Voting is online by community members in localised areas.</w:t>
      </w:r>
      <w:r w:rsidR="00562C37">
        <w:t xml:space="preserve"> </w:t>
      </w:r>
      <w:r w:rsidR="004046D1" w:rsidRPr="004046D1">
        <w:t>A smart tool/pin drop expands to the closest 30 projects and enables participants to ch</w:t>
      </w:r>
      <w:r w:rsidR="00877750">
        <w:t>o</w:t>
      </w:r>
      <w:r w:rsidR="004046D1" w:rsidRPr="004046D1">
        <w:t xml:space="preserve">ose three projects to support on an interactive map </w:t>
      </w:r>
      <w:hyperlink r:id="rId68" w:history="1">
        <w:r w:rsidR="004046D1" w:rsidRPr="004046D1">
          <w:t>https://fundmyneighbourhood.yoursay.sa.gov.au/</w:t>
        </w:r>
      </w:hyperlink>
      <w:r w:rsidR="00E30CE1">
        <w:t>.</w:t>
      </w:r>
    </w:p>
    <w:p w14:paraId="64828E38" w14:textId="77777777" w:rsidR="00A377CE" w:rsidRDefault="00A377CE" w:rsidP="0052682D">
      <w:pPr>
        <w:spacing w:before="0"/>
      </w:pPr>
    </w:p>
    <w:p w14:paraId="7F96D741" w14:textId="77777777" w:rsidR="00A377CE" w:rsidRDefault="00B2619D" w:rsidP="0052682D">
      <w:pPr>
        <w:pStyle w:val="ListParagraph"/>
        <w:numPr>
          <w:ilvl w:val="0"/>
          <w:numId w:val="36"/>
        </w:numPr>
        <w:spacing w:before="0"/>
      </w:pPr>
      <w:hyperlink r:id="rId69" w:history="1">
        <w:r w:rsidR="00A377CE" w:rsidRPr="00A377CE">
          <w:rPr>
            <w:u w:val="single"/>
          </w:rPr>
          <w:t>Fund My Community</w:t>
        </w:r>
      </w:hyperlink>
      <w:r w:rsidR="00A377CE">
        <w:t xml:space="preserve"> – A $1</w:t>
      </w:r>
      <w:r w:rsidR="007F294C">
        <w:t xml:space="preserve"> </w:t>
      </w:r>
      <w:r w:rsidR="00A377CE">
        <w:t xml:space="preserve">million annual </w:t>
      </w:r>
      <w:r w:rsidR="007F294C">
        <w:t>participatory budgeting programme</w:t>
      </w:r>
      <w:r w:rsidR="00A377CE">
        <w:t> for commun</w:t>
      </w:r>
      <w:r w:rsidR="007F294C">
        <w:t xml:space="preserve">ity organisations to alleviate </w:t>
      </w:r>
      <w:r w:rsidR="00A377CE">
        <w:t>disadvantage. Over 7,500 people have participated (using a bespoke smart tool) to allocate funding to decide which projects receive funding.</w:t>
      </w:r>
      <w:r w:rsidR="00562C37">
        <w:t xml:space="preserve"> </w:t>
      </w:r>
      <w:r w:rsidR="00A377CE">
        <w:t>Final deci</w:t>
      </w:r>
      <w:r w:rsidR="007F294C">
        <w:t>sion rests with the community. </w:t>
      </w:r>
      <w:r w:rsidR="00A377CE">
        <w:t xml:space="preserve">Three rounds have delivered savings for Government – 90% efficiency in grants processing costs, significant communications dividends and a streamlined process for applicants. This program won the </w:t>
      </w:r>
      <w:r w:rsidR="00A377CE" w:rsidRPr="00A377CE">
        <w:t>2017 United National Award</w:t>
      </w:r>
      <w:r w:rsidR="00A377CE">
        <w:t xml:space="preserve"> for Excellence in Public Service (</w:t>
      </w:r>
      <w:r w:rsidR="00E30CE1">
        <w:t xml:space="preserve">The </w:t>
      </w:r>
      <w:r w:rsidR="00A377CE">
        <w:t>Hague).</w:t>
      </w:r>
      <w:r w:rsidR="00562C37">
        <w:t xml:space="preserve"> </w:t>
      </w:r>
    </w:p>
    <w:p w14:paraId="58CCC6E8" w14:textId="77777777" w:rsidR="00A377CE" w:rsidRDefault="00A377CE" w:rsidP="0052682D">
      <w:pPr>
        <w:spacing w:before="0"/>
      </w:pPr>
    </w:p>
    <w:p w14:paraId="42F79A82" w14:textId="77777777" w:rsidR="00A377CE" w:rsidRDefault="00A377CE" w:rsidP="0052682D">
      <w:pPr>
        <w:pStyle w:val="ListParagraph"/>
        <w:numPr>
          <w:ilvl w:val="0"/>
          <w:numId w:val="36"/>
        </w:numPr>
        <w:spacing w:before="0"/>
      </w:pPr>
      <w:r w:rsidRPr="00A377CE">
        <w:rPr>
          <w:u w:val="single"/>
        </w:rPr>
        <w:t>Fund my Idea</w:t>
      </w:r>
      <w:r w:rsidRPr="00A377CE">
        <w:t>: Incorporating elements of place-based and participatory budgeting approaches, it provides a simple mechanism through which local communities nominate project ideas to benefit the region. Local people are then involved in deciding which projects are funded. Through the ten regional Fund My Idea programmes to date, 318 ideas were voted on with 22,667 votes cast.</w:t>
      </w:r>
      <w:r w:rsidR="00562C37">
        <w:t xml:space="preserve"> </w:t>
      </w:r>
      <w:r w:rsidRPr="00A377CE">
        <w:t xml:space="preserve">A total of 21 community-driven projects have received a share of $500,000. In metropolitan rounds of Fund My Idea, 142 ideas were voted on with 11,355 votes cast. A total of 7 community-driven projects received a share of $143,000. See: </w:t>
      </w:r>
      <w:hyperlink r:id="rId70" w:history="1">
        <w:r w:rsidRPr="00A377CE">
          <w:t>https://yoursay.sa.gov.au/initiatives/fund-my-idea</w:t>
        </w:r>
      </w:hyperlink>
      <w:r w:rsidRPr="00A377CE">
        <w:t>.</w:t>
      </w:r>
    </w:p>
    <w:p w14:paraId="2FEF3A1B" w14:textId="77777777" w:rsidR="00B242A9" w:rsidRDefault="00B242A9" w:rsidP="0052682D">
      <w:pPr>
        <w:pStyle w:val="ListParagraph"/>
      </w:pPr>
    </w:p>
    <w:p w14:paraId="0794DF3A" w14:textId="77777777" w:rsidR="00A377CE" w:rsidRDefault="00A377CE" w:rsidP="0052682D">
      <w:pPr>
        <w:pStyle w:val="ListParagraph"/>
        <w:numPr>
          <w:ilvl w:val="0"/>
          <w:numId w:val="36"/>
        </w:numPr>
        <w:spacing w:before="0"/>
      </w:pPr>
      <w:r w:rsidRPr="00BD2580">
        <w:rPr>
          <w:u w:val="single"/>
        </w:rPr>
        <w:t>Open State Festival</w:t>
      </w:r>
      <w:r w:rsidR="00BD2580">
        <w:t> (consultation/</w:t>
      </w:r>
      <w:r w:rsidRPr="00A377CE">
        <w:t>sol</w:t>
      </w:r>
      <w:r w:rsidR="00BD2580">
        <w:t>ving problems through co-design/</w:t>
      </w:r>
      <w:r w:rsidRPr="00A377CE">
        <w:t xml:space="preserve">info sharing): 10-day festival of events, exploring how collaboration, innovation, ideas and enterprise can address the complex challenges of the future. 2016 event attracted 25,000 attendances at 60 events. </w:t>
      </w:r>
      <w:r w:rsidR="00BD2580" w:rsidRPr="00A377CE">
        <w:t>This year there are six themes: Future Food, Future Human, Future Enterprise, Future Planet, Future Cities and Future</w:t>
      </w:r>
      <w:r w:rsidR="00BD2580">
        <w:t xml:space="preserve"> Democracy with over 165 events. </w:t>
      </w:r>
      <w:r w:rsidR="004E5CC0">
        <w:t>See: </w:t>
      </w:r>
      <w:hyperlink r:id="rId71" w:history="1">
        <w:r w:rsidR="004E5CC0" w:rsidRPr="00BC6A4E">
          <w:rPr>
            <w:rStyle w:val="Hyperlink"/>
          </w:rPr>
          <w:t>https://openstate.com.au/about-open-state</w:t>
        </w:r>
      </w:hyperlink>
      <w:r w:rsidR="004E5CC0">
        <w:t>.</w:t>
      </w:r>
      <w:r w:rsidRPr="00A377CE">
        <w:t xml:space="preserve"> </w:t>
      </w:r>
    </w:p>
    <w:p w14:paraId="75445722" w14:textId="77777777" w:rsidR="00B242A9" w:rsidRDefault="00B242A9" w:rsidP="0052682D">
      <w:pPr>
        <w:pStyle w:val="ListParagraph"/>
      </w:pPr>
    </w:p>
    <w:p w14:paraId="59CFB3DA" w14:textId="77777777" w:rsidR="00A377CE" w:rsidRDefault="00A377CE" w:rsidP="0052682D">
      <w:pPr>
        <w:pStyle w:val="ListParagraph"/>
        <w:numPr>
          <w:ilvl w:val="0"/>
          <w:numId w:val="36"/>
        </w:numPr>
        <w:spacing w:before="0"/>
      </w:pPr>
      <w:r w:rsidRPr="00BD2580">
        <w:rPr>
          <w:u w:val="single"/>
        </w:rPr>
        <w:t>Open Innovation Challenges</w:t>
      </w:r>
      <w:r w:rsidRPr="00A377CE">
        <w:t xml:space="preserve"> </w:t>
      </w:r>
      <w:r w:rsidR="007F294C">
        <w:t xml:space="preserve">– For example, </w:t>
      </w:r>
      <w:r w:rsidRPr="00A377CE">
        <w:t>Share</w:t>
      </w:r>
      <w:r w:rsidR="004E5CC0">
        <w:t xml:space="preserve"> </w:t>
      </w:r>
      <w:r w:rsidRPr="00A377CE">
        <w:t>– sparking new collaborative enterprise using open innovation methods.</w:t>
      </w:r>
      <w:r w:rsidR="00562C37">
        <w:t xml:space="preserve"> </w:t>
      </w:r>
      <w:r w:rsidRPr="00A377CE">
        <w:t xml:space="preserve">Over $300,000 of entrepreneurial activity will be funded through challenges. </w:t>
      </w:r>
      <w:r w:rsidR="004E5CC0">
        <w:t xml:space="preserve">See: </w:t>
      </w:r>
      <w:hyperlink r:id="rId72" w:history="1">
        <w:r w:rsidR="004E5CC0" w:rsidRPr="00A377CE">
          <w:t>https://share.yoursay.sa.gov.au/</w:t>
        </w:r>
      </w:hyperlink>
      <w:r w:rsidR="004E5CC0">
        <w:t>.</w:t>
      </w:r>
    </w:p>
    <w:p w14:paraId="10339FD2" w14:textId="77777777" w:rsidR="00B242A9" w:rsidRPr="00A377CE" w:rsidRDefault="00B242A9" w:rsidP="0052682D">
      <w:pPr>
        <w:pStyle w:val="ListParagraph"/>
      </w:pPr>
    </w:p>
    <w:p w14:paraId="2786E4CD" w14:textId="77777777" w:rsidR="00A377CE" w:rsidRDefault="00BD2580" w:rsidP="0052682D">
      <w:pPr>
        <w:pStyle w:val="ListParagraph"/>
        <w:numPr>
          <w:ilvl w:val="0"/>
          <w:numId w:val="36"/>
        </w:numPr>
        <w:spacing w:before="0"/>
      </w:pPr>
      <w:r w:rsidRPr="00BD2580">
        <w:rPr>
          <w:u w:val="single"/>
        </w:rPr>
        <w:t>C</w:t>
      </w:r>
      <w:r w:rsidR="007F294C">
        <w:rPr>
          <w:u w:val="single"/>
        </w:rPr>
        <w:t>itizen</w:t>
      </w:r>
      <w:r w:rsidRPr="00BD2580">
        <w:rPr>
          <w:u w:val="single"/>
        </w:rPr>
        <w:t xml:space="preserve"> juries</w:t>
      </w:r>
      <w:r w:rsidRPr="00BD2580">
        <w:t>:</w:t>
      </w:r>
      <w:r>
        <w:t xml:space="preserve"> </w:t>
      </w:r>
      <w:r w:rsidR="00A377CE" w:rsidRPr="00A377CE">
        <w:t xml:space="preserve">Charging everyday South Australians with finding innovative ideas and solutions to complex issues that have become polarised in the community, including Dog and cat management; and Sharing the roads safely. The Dog and </w:t>
      </w:r>
      <w:r w:rsidR="007F294C">
        <w:t>C</w:t>
      </w:r>
      <w:r w:rsidR="00A377CE" w:rsidRPr="00A377CE">
        <w:t xml:space="preserve">at management Citizen Jury contributed to legislative change to reduce the number of unwanted dogs and cats that are euthanised each year. See: </w:t>
      </w:r>
      <w:hyperlink r:id="rId73" w:history="1">
        <w:r w:rsidR="00A377CE" w:rsidRPr="00A377CE">
          <w:t>https://yoursay.sa.gov.au/initiatives/citizens-jury</w:t>
        </w:r>
      </w:hyperlink>
      <w:r w:rsidR="00A377CE" w:rsidRPr="00A377CE">
        <w:t>.</w:t>
      </w:r>
    </w:p>
    <w:p w14:paraId="7D045812" w14:textId="77777777" w:rsidR="00A377CE" w:rsidRDefault="00A377CE" w:rsidP="0052682D">
      <w:pPr>
        <w:spacing w:before="0"/>
      </w:pPr>
      <w:r w:rsidRPr="00A377CE">
        <w:t> </w:t>
      </w:r>
    </w:p>
    <w:p w14:paraId="2AB3B54F" w14:textId="77777777" w:rsidR="000B1E72" w:rsidRDefault="00A377CE" w:rsidP="000B1E72">
      <w:pPr>
        <w:spacing w:before="0"/>
      </w:pPr>
      <w:r w:rsidRPr="000B1E72">
        <w:t>Further information</w:t>
      </w:r>
      <w:r w:rsidRPr="00A377CE">
        <w:t xml:space="preserve">: </w:t>
      </w:r>
      <w:hyperlink r:id="rId74" w:history="1">
        <w:r w:rsidRPr="00A377CE">
          <w:t>https://yoursay.sa.gov.au/</w:t>
        </w:r>
      </w:hyperlink>
      <w:bookmarkStart w:id="38" w:name="_Toc492983326"/>
      <w:r w:rsidR="000B1E72">
        <w:t>.</w:t>
      </w:r>
    </w:p>
    <w:p w14:paraId="4B3F5A76" w14:textId="77777777" w:rsidR="000B1E72" w:rsidRDefault="000B1E72" w:rsidP="000B1E72">
      <w:pPr>
        <w:spacing w:before="0"/>
      </w:pPr>
    </w:p>
    <w:p w14:paraId="587E34A3" w14:textId="77777777" w:rsidR="004002B6" w:rsidRPr="00890D87" w:rsidRDefault="000B1E72" w:rsidP="00890D87">
      <w:pPr>
        <w:pStyle w:val="Tablecellheading"/>
        <w:jc w:val="left"/>
        <w:rPr>
          <w:b/>
          <w:sz w:val="26"/>
        </w:rPr>
      </w:pPr>
      <w:r w:rsidRPr="00890D87">
        <w:rPr>
          <w:b/>
          <w:sz w:val="26"/>
        </w:rPr>
        <w:t>C</w:t>
      </w:r>
      <w:r w:rsidR="00F92776" w:rsidRPr="00890D87">
        <w:rPr>
          <w:b/>
          <w:sz w:val="26"/>
        </w:rPr>
        <w:t>ase study</w:t>
      </w:r>
      <w:r w:rsidR="004002B6" w:rsidRPr="00890D87">
        <w:rPr>
          <w:b/>
          <w:sz w:val="26"/>
        </w:rPr>
        <w:t>: Empowered Communities</w:t>
      </w:r>
      <w:r w:rsidR="009B57D5" w:rsidRPr="00890D87">
        <w:rPr>
          <w:b/>
          <w:sz w:val="26"/>
        </w:rPr>
        <w:t xml:space="preserve"> – participation as a novel approach to Indigenous affairs</w:t>
      </w:r>
    </w:p>
    <w:p w14:paraId="7CB62DE6" w14:textId="77777777" w:rsidR="004002B6" w:rsidRDefault="00A021EA" w:rsidP="0052682D">
      <w:pPr>
        <w:autoSpaceDE w:val="0"/>
        <w:autoSpaceDN w:val="0"/>
        <w:spacing w:before="0"/>
      </w:pPr>
      <w:r w:rsidRPr="00CB1F57">
        <w:rPr>
          <w:i/>
          <w:noProof/>
          <w:lang w:eastAsia="en-AU"/>
        </w:rPr>
        <mc:AlternateContent>
          <mc:Choice Requires="wps">
            <w:drawing>
              <wp:anchor distT="45720" distB="45720" distL="114300" distR="114300" simplePos="0" relativeHeight="251658248" behindDoc="0" locked="0" layoutInCell="1" allowOverlap="1" wp14:anchorId="1BBEB8D6" wp14:editId="7EC5A528">
                <wp:simplePos x="0" y="0"/>
                <wp:positionH relativeFrom="margin">
                  <wp:align>left</wp:align>
                </wp:positionH>
                <wp:positionV relativeFrom="paragraph">
                  <wp:posOffset>52829</wp:posOffset>
                </wp:positionV>
                <wp:extent cx="1477645" cy="1009650"/>
                <wp:effectExtent l="0" t="0" r="8255" b="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009650"/>
                        </a:xfrm>
                        <a:prstGeom prst="rect">
                          <a:avLst/>
                        </a:prstGeom>
                        <a:solidFill>
                          <a:srgbClr val="DEEBF7"/>
                        </a:solidFill>
                        <a:ln w="9525">
                          <a:noFill/>
                          <a:miter lim="800000"/>
                          <a:headEnd/>
                          <a:tailEnd/>
                        </a:ln>
                      </wps:spPr>
                      <wps:txbx>
                        <w:txbxContent>
                          <w:p w14:paraId="3CD61605" w14:textId="77777777" w:rsidR="001143F2" w:rsidRDefault="001143F2" w:rsidP="00A021EA">
                            <w:pPr>
                              <w:kinsoku w:val="0"/>
                              <w:overflowPunct w:val="0"/>
                              <w:jc w:val="center"/>
                            </w:pPr>
                            <w:r>
                              <w:rPr>
                                <w:noProof/>
                                <w:lang w:eastAsia="en-AU"/>
                              </w:rPr>
                              <w:drawing>
                                <wp:inline distT="0" distB="0" distL="0" distR="0" wp14:anchorId="33BAA793" wp14:editId="1ABB9456">
                                  <wp:extent cx="1285875" cy="608330"/>
                                  <wp:effectExtent l="0" t="0" r="952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285875" cy="608330"/>
                                          </a:xfrm>
                                          <a:prstGeom prst="rect">
                                            <a:avLst/>
                                          </a:prstGeom>
                                        </pic:spPr>
                                      </pic:pic>
                                    </a:graphicData>
                                  </a:graphic>
                                </wp:inline>
                              </w:drawing>
                            </w:r>
                          </w:p>
                          <w:p w14:paraId="7C178AB1" w14:textId="77777777" w:rsidR="001143F2" w:rsidRDefault="001143F2" w:rsidP="00A021EA">
                            <w:pPr>
                              <w:kinsoku w:val="0"/>
                              <w:overflowPunct w:val="0"/>
                            </w:pPr>
                          </w:p>
                          <w:p w14:paraId="2E309014" w14:textId="77777777" w:rsidR="001143F2" w:rsidRPr="008E738B" w:rsidRDefault="001143F2" w:rsidP="00A021EA">
                            <w:pPr>
                              <w:kinsoku w:val="0"/>
                              <w:overflowPunct w:val="0"/>
                              <w:rPr>
                                <w:rFonts w:ascii="Lucida Sans" w:hAnsi="Lucida Sans" w:cs="Lucida Sans"/>
                                <w:color w:val="4D4D4F"/>
                                <w:sz w:val="29"/>
                                <w:szCs w:val="29"/>
                              </w:rPr>
                            </w:pPr>
                          </w:p>
                          <w:p w14:paraId="181418C6" w14:textId="77777777" w:rsidR="001143F2" w:rsidRDefault="001143F2" w:rsidP="00A021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EB8D6" id="_x0000_s1047" type="#_x0000_t202" style="position:absolute;margin-left:0;margin-top:4.15pt;width:116.35pt;height:79.5pt;z-index:251658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" fillcolor="#deebf7" stroked="f">
                <v:textbox>
                  <w:txbxContent>
                    <w:p w14:paraId="3CD61605" w14:textId="77777777" w:rsidR="001143F2" w:rsidRDefault="001143F2" w:rsidP="00A021EA">
                      <w:pPr>
                        <w:kinsoku w:val="0"/>
                        <w:overflowPunct w:val="0"/>
                        <w:jc w:val="center"/>
                      </w:pPr>
                      <w:r>
                        <w:rPr>
                          <w:noProof/>
                          <w:lang w:eastAsia="en-AU"/>
                        </w:rPr>
                        <w:drawing>
                          <wp:inline distT="0" distB="0" distL="0" distR="0" wp14:anchorId="33BAA793" wp14:editId="1ABB9456">
                            <wp:extent cx="1285875" cy="608330"/>
                            <wp:effectExtent l="0" t="0" r="952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285875" cy="608330"/>
                                    </a:xfrm>
                                    <a:prstGeom prst="rect">
                                      <a:avLst/>
                                    </a:prstGeom>
                                  </pic:spPr>
                                </pic:pic>
                              </a:graphicData>
                            </a:graphic>
                          </wp:inline>
                        </w:drawing>
                      </w:r>
                    </w:p>
                    <w:p w14:paraId="7C178AB1" w14:textId="77777777" w:rsidR="001143F2" w:rsidRDefault="001143F2" w:rsidP="00A021EA">
                      <w:pPr>
                        <w:kinsoku w:val="0"/>
                        <w:overflowPunct w:val="0"/>
                      </w:pPr>
                    </w:p>
                    <w:p w14:paraId="2E309014" w14:textId="77777777" w:rsidR="001143F2" w:rsidRPr="008E738B" w:rsidRDefault="001143F2" w:rsidP="00A021EA">
                      <w:pPr>
                        <w:kinsoku w:val="0"/>
                        <w:overflowPunct w:val="0"/>
                        <w:rPr>
                          <w:rFonts w:ascii="Lucida Sans" w:hAnsi="Lucida Sans" w:cs="Lucida Sans"/>
                          <w:color w:val="4D4D4F"/>
                          <w:sz w:val="29"/>
                          <w:szCs w:val="29"/>
                        </w:rPr>
                      </w:pPr>
                    </w:p>
                    <w:p w14:paraId="181418C6" w14:textId="77777777" w:rsidR="001143F2" w:rsidRDefault="001143F2" w:rsidP="00A021EA"/>
                  </w:txbxContent>
                </v:textbox>
                <w10:wrap type="square" anchorx="margin"/>
              </v:shape>
            </w:pict>
          </mc:Fallback>
        </mc:AlternateContent>
      </w:r>
      <w:r w:rsidR="004002B6" w:rsidRPr="00D71741">
        <w:rPr>
          <w:b/>
        </w:rPr>
        <w:t>Engagement type:</w:t>
      </w:r>
      <w:r w:rsidR="004002B6">
        <w:t xml:space="preserve"> Collaborative – the process empowers Indigenous communities </w:t>
      </w:r>
      <w:r w:rsidR="004002B6" w:rsidRPr="0065099B">
        <w:t xml:space="preserve">to </w:t>
      </w:r>
      <w:r w:rsidR="004002B6">
        <w:t xml:space="preserve">work with government to </w:t>
      </w:r>
      <w:r w:rsidR="004002B6" w:rsidRPr="00B92746">
        <w:t>find and implement solution</w:t>
      </w:r>
      <w:r w:rsidR="004002B6">
        <w:t>s.</w:t>
      </w:r>
    </w:p>
    <w:p w14:paraId="740BC4D7" w14:textId="77777777" w:rsidR="008E777C" w:rsidRDefault="008E777C" w:rsidP="0052682D">
      <w:pPr>
        <w:spacing w:before="0"/>
        <w:rPr>
          <w:b/>
        </w:rPr>
      </w:pPr>
    </w:p>
    <w:p w14:paraId="028B68B7" w14:textId="77777777" w:rsidR="00FB6601" w:rsidRDefault="004002B6" w:rsidP="0052682D">
      <w:pPr>
        <w:spacing w:before="0"/>
      </w:pPr>
      <w:r w:rsidRPr="00D71741">
        <w:rPr>
          <w:b/>
        </w:rPr>
        <w:t>Who is involved? Where?</w:t>
      </w:r>
      <w:r w:rsidR="00AD4DFE">
        <w:rPr>
          <w:b/>
        </w:rPr>
        <w:t xml:space="preserve"> </w:t>
      </w:r>
      <w:r w:rsidR="00FB6601">
        <w:t>Indigenous leaders from eight regions across Australia (</w:t>
      </w:r>
      <w:r w:rsidR="00FB6601" w:rsidRPr="006C4043">
        <w:t>urban, regional and remote</w:t>
      </w:r>
      <w:r w:rsidR="00FB6601">
        <w:t>), in collaboration with the Department of Prime Minister and Cabinet (lead), other Commonwealth agencies, relevant state government agencies, and corporate support.</w:t>
      </w:r>
    </w:p>
    <w:p w14:paraId="393CEAA8" w14:textId="77777777" w:rsidR="00FB6601" w:rsidRPr="00DC6764" w:rsidRDefault="00FB6601" w:rsidP="0052682D">
      <w:r w:rsidRPr="00DC6764">
        <w:t xml:space="preserve">The eight regions </w:t>
      </w:r>
      <w:r>
        <w:t>are</w:t>
      </w:r>
      <w:r w:rsidRPr="00DC6764">
        <w:t xml:space="preserve">: </w:t>
      </w:r>
    </w:p>
    <w:p w14:paraId="7102EF05" w14:textId="77777777" w:rsidR="00FB6601" w:rsidRPr="008E5FE3" w:rsidRDefault="00FB6601" w:rsidP="0052682D">
      <w:pPr>
        <w:numPr>
          <w:ilvl w:val="0"/>
          <w:numId w:val="31"/>
        </w:numPr>
        <w:shd w:val="clear" w:color="auto" w:fill="FFFFFF"/>
        <w:spacing w:before="0"/>
        <w:rPr>
          <w:color w:val="000000" w:themeColor="text1"/>
        </w:rPr>
      </w:pPr>
      <w:r w:rsidRPr="008E5FE3">
        <w:rPr>
          <w:color w:val="000000" w:themeColor="text1"/>
        </w:rPr>
        <w:t>Cape York, in Queensland</w:t>
      </w:r>
      <w:r w:rsidR="00F55DEB">
        <w:rPr>
          <w:color w:val="000000" w:themeColor="text1"/>
        </w:rPr>
        <w:t>;</w:t>
      </w:r>
      <w:r w:rsidRPr="008E5FE3">
        <w:rPr>
          <w:color w:val="000000" w:themeColor="text1"/>
        </w:rPr>
        <w:t xml:space="preserve"> </w:t>
      </w:r>
    </w:p>
    <w:p w14:paraId="1898884F" w14:textId="77777777" w:rsidR="00FB6601" w:rsidRPr="008E5FE3" w:rsidRDefault="00FB6601" w:rsidP="0052682D">
      <w:pPr>
        <w:numPr>
          <w:ilvl w:val="0"/>
          <w:numId w:val="31"/>
        </w:numPr>
        <w:shd w:val="clear" w:color="auto" w:fill="FFFFFF"/>
        <w:spacing w:before="0"/>
        <w:rPr>
          <w:color w:val="000000" w:themeColor="text1"/>
        </w:rPr>
      </w:pPr>
      <w:r w:rsidRPr="008E5FE3">
        <w:rPr>
          <w:color w:val="000000" w:themeColor="text1"/>
        </w:rPr>
        <w:lastRenderedPageBreak/>
        <w:t>Central Coast and Inner Sydney, in New So</w:t>
      </w:r>
      <w:r w:rsidR="00F55DEB">
        <w:rPr>
          <w:color w:val="000000" w:themeColor="text1"/>
        </w:rPr>
        <w:t>uth Wales;</w:t>
      </w:r>
    </w:p>
    <w:p w14:paraId="2EB1EAFC" w14:textId="77777777" w:rsidR="00FB6601" w:rsidRPr="008E5FE3" w:rsidRDefault="00FB6601" w:rsidP="0052682D">
      <w:pPr>
        <w:numPr>
          <w:ilvl w:val="0"/>
          <w:numId w:val="31"/>
        </w:numPr>
        <w:shd w:val="clear" w:color="auto" w:fill="FFFFFF"/>
        <w:spacing w:before="0"/>
        <w:rPr>
          <w:color w:val="000000" w:themeColor="text1"/>
        </w:rPr>
      </w:pPr>
      <w:r w:rsidRPr="008E5FE3">
        <w:rPr>
          <w:color w:val="000000" w:themeColor="text1"/>
        </w:rPr>
        <w:t>Goulburn Murray, in Victoria</w:t>
      </w:r>
      <w:r w:rsidR="00F55DEB">
        <w:rPr>
          <w:color w:val="000000" w:themeColor="text1"/>
        </w:rPr>
        <w:t>;</w:t>
      </w:r>
    </w:p>
    <w:p w14:paraId="7A90866E" w14:textId="77777777" w:rsidR="00FB6601" w:rsidRPr="008E5FE3" w:rsidRDefault="00FB6601" w:rsidP="0052682D">
      <w:pPr>
        <w:numPr>
          <w:ilvl w:val="0"/>
          <w:numId w:val="31"/>
        </w:numPr>
        <w:shd w:val="clear" w:color="auto" w:fill="FFFFFF"/>
        <w:spacing w:before="0"/>
        <w:rPr>
          <w:color w:val="000000" w:themeColor="text1"/>
        </w:rPr>
      </w:pPr>
      <w:r w:rsidRPr="008E5FE3">
        <w:rPr>
          <w:color w:val="000000" w:themeColor="text1"/>
        </w:rPr>
        <w:t>East Kimberley and West Kimberley, in Western Australia</w:t>
      </w:r>
      <w:r w:rsidR="00F55DEB">
        <w:rPr>
          <w:color w:val="000000" w:themeColor="text1"/>
        </w:rPr>
        <w:t>;</w:t>
      </w:r>
    </w:p>
    <w:p w14:paraId="158235B5" w14:textId="77777777" w:rsidR="00FB6601" w:rsidRPr="008E5FE3" w:rsidRDefault="00FB6601" w:rsidP="0052682D">
      <w:pPr>
        <w:numPr>
          <w:ilvl w:val="0"/>
          <w:numId w:val="31"/>
        </w:numPr>
        <w:shd w:val="clear" w:color="auto" w:fill="FFFFFF"/>
        <w:spacing w:before="0"/>
        <w:rPr>
          <w:color w:val="000000" w:themeColor="text1"/>
        </w:rPr>
      </w:pPr>
      <w:r w:rsidRPr="008E5FE3">
        <w:rPr>
          <w:color w:val="000000" w:themeColor="text1"/>
        </w:rPr>
        <w:t>Ngaanyatjarra Pitjantjatjara Yankunytjatjara (NPY) Lands, in Central Australia (a cross-border region, SA/WA/NT)</w:t>
      </w:r>
      <w:r w:rsidR="00F55DEB">
        <w:rPr>
          <w:color w:val="000000" w:themeColor="text1"/>
        </w:rPr>
        <w:t>; and</w:t>
      </w:r>
    </w:p>
    <w:p w14:paraId="3F530B17" w14:textId="77777777" w:rsidR="00FB6601" w:rsidRDefault="00FB6601" w:rsidP="0052682D">
      <w:pPr>
        <w:numPr>
          <w:ilvl w:val="0"/>
          <w:numId w:val="31"/>
        </w:numPr>
        <w:shd w:val="clear" w:color="auto" w:fill="FFFFFF"/>
        <w:spacing w:before="0"/>
        <w:rPr>
          <w:color w:val="000000" w:themeColor="text1"/>
        </w:rPr>
      </w:pPr>
      <w:r w:rsidRPr="008E5FE3">
        <w:rPr>
          <w:color w:val="000000" w:themeColor="text1"/>
        </w:rPr>
        <w:t>North East Arnhem Land, in the Northern Territory</w:t>
      </w:r>
      <w:r w:rsidR="008E5FE3">
        <w:rPr>
          <w:color w:val="000000" w:themeColor="text1"/>
        </w:rPr>
        <w:t>.</w:t>
      </w:r>
    </w:p>
    <w:p w14:paraId="6FDD3CE1" w14:textId="77777777" w:rsidR="008E5FE3" w:rsidRDefault="008E5FE3" w:rsidP="0052682D">
      <w:pPr>
        <w:shd w:val="clear" w:color="auto" w:fill="FFFFFF"/>
        <w:spacing w:before="0"/>
        <w:rPr>
          <w:color w:val="000000" w:themeColor="text1"/>
        </w:rPr>
      </w:pPr>
    </w:p>
    <w:p w14:paraId="1575878A" w14:textId="77777777" w:rsidR="004002B6" w:rsidRPr="004A17F6" w:rsidRDefault="004002B6" w:rsidP="0052682D">
      <w:pPr>
        <w:spacing w:before="0"/>
        <w:rPr>
          <w:rFonts w:cs="HelveticaNeue-Roman"/>
          <w:i/>
          <w:color w:val="414142"/>
        </w:rPr>
      </w:pPr>
      <w:r w:rsidRPr="00D71741">
        <w:rPr>
          <w:b/>
        </w:rPr>
        <w:t xml:space="preserve">Why was it started? </w:t>
      </w:r>
    </w:p>
    <w:p w14:paraId="58DD8017" w14:textId="77777777" w:rsidR="00FB6601" w:rsidRDefault="00FB6601" w:rsidP="0052682D">
      <w:pPr>
        <w:autoSpaceDE w:val="0"/>
        <w:autoSpaceDN w:val="0"/>
        <w:adjustRightInd w:val="0"/>
        <w:spacing w:before="0"/>
      </w:pPr>
      <w:r>
        <w:t xml:space="preserve">Indigenous leaders in the eight regions identified a need for a </w:t>
      </w:r>
      <w:r w:rsidRPr="004C2C3E">
        <w:t>fundamental</w:t>
      </w:r>
      <w:r>
        <w:t xml:space="preserve"> shift </w:t>
      </w:r>
      <w:r w:rsidRPr="00FB6601">
        <w:t>away from the traditional social policy framework in which Indigenous Affairs has been conducted, to a comprehensive Indigenous Empowerment agenda. It is based on the premise that Indigenous Australians have a right to development, which includes economic, social and cultural development as families, individuals and communities and as Indigenous peoples.</w:t>
      </w:r>
      <w:r w:rsidR="00F52AC6">
        <w:t xml:space="preserve"> </w:t>
      </w:r>
      <w:r w:rsidRPr="00FB6601">
        <w:t>Working together, with support from Jawun Corporate Partnerships and government, the leaders prepared a report on how to</w:t>
      </w:r>
      <w:r w:rsidRPr="004C2C3E">
        <w:t xml:space="preserve"> empower Indigenous </w:t>
      </w:r>
      <w:r>
        <w:t>people so they can have greater influence and control over the decisions that affect their lives.</w:t>
      </w:r>
    </w:p>
    <w:p w14:paraId="4487CCB8" w14:textId="77777777" w:rsidR="00FB6601" w:rsidRDefault="00F52AC6" w:rsidP="0052682D">
      <w:pPr>
        <w:tabs>
          <w:tab w:val="left" w:pos="3441"/>
        </w:tabs>
        <w:autoSpaceDE w:val="0"/>
        <w:autoSpaceDN w:val="0"/>
        <w:adjustRightInd w:val="0"/>
        <w:spacing w:before="0"/>
      </w:pPr>
      <w:r>
        <w:tab/>
      </w:r>
    </w:p>
    <w:p w14:paraId="28C58AEF" w14:textId="77777777" w:rsidR="00FB6601" w:rsidRPr="00FB6601" w:rsidRDefault="00FB6601" w:rsidP="0052682D">
      <w:pPr>
        <w:autoSpaceDE w:val="0"/>
        <w:autoSpaceDN w:val="0"/>
        <w:adjustRightInd w:val="0"/>
        <w:spacing w:before="0"/>
      </w:pPr>
      <w:r>
        <w:t xml:space="preserve">The </w:t>
      </w:r>
      <w:r w:rsidRPr="00FB6601">
        <w:t xml:space="preserve">Empowered Communities: Empowered Peoples </w:t>
      </w:r>
      <w:r>
        <w:t xml:space="preserve">Design Report was provided to Government in </w:t>
      </w:r>
      <w:r w:rsidRPr="00FB6601">
        <w:t xml:space="preserve">March 2015. It outlines a plan for a long-term, transformational reform requiring a new partnership of Indigenous leaders, governments and corporate leaders in order to succeed, with all partners prepared to play their roles in a different way. </w:t>
      </w:r>
    </w:p>
    <w:p w14:paraId="3D6FAF5E" w14:textId="77777777" w:rsidR="00FB6601" w:rsidRDefault="00FB6601" w:rsidP="0052682D">
      <w:pPr>
        <w:autoSpaceDE w:val="0"/>
        <w:autoSpaceDN w:val="0"/>
        <w:adjustRightInd w:val="0"/>
        <w:spacing w:before="0"/>
      </w:pPr>
    </w:p>
    <w:p w14:paraId="00A77A00" w14:textId="77777777" w:rsidR="00FB6601" w:rsidRPr="00FB6601" w:rsidRDefault="00FB6601" w:rsidP="0052682D">
      <w:pPr>
        <w:autoSpaceDE w:val="0"/>
        <w:autoSpaceDN w:val="0"/>
        <w:adjustRightInd w:val="0"/>
        <w:spacing w:before="0"/>
      </w:pPr>
      <w:r>
        <w:t>In December 2015, the Commonwealth Government committed to supporting implementation of the Empowered Communities initiative in the eight regions.</w:t>
      </w:r>
    </w:p>
    <w:p w14:paraId="3400051A" w14:textId="77777777" w:rsidR="008E777C" w:rsidRDefault="008E777C" w:rsidP="0052682D">
      <w:pPr>
        <w:spacing w:before="0"/>
        <w:rPr>
          <w:b/>
        </w:rPr>
      </w:pPr>
    </w:p>
    <w:p w14:paraId="7FD08BA3" w14:textId="77777777" w:rsidR="004002B6" w:rsidRPr="00D71741" w:rsidRDefault="004002B6" w:rsidP="0052682D">
      <w:pPr>
        <w:spacing w:before="0"/>
        <w:rPr>
          <w:b/>
        </w:rPr>
      </w:pPr>
      <w:r w:rsidRPr="00D71741">
        <w:rPr>
          <w:b/>
        </w:rPr>
        <w:t xml:space="preserve">How does it work? </w:t>
      </w:r>
    </w:p>
    <w:p w14:paraId="7E89E5B5" w14:textId="77777777" w:rsidR="00FB6601" w:rsidRDefault="00FB6601" w:rsidP="0052682D">
      <w:pPr>
        <w:autoSpaceDE w:val="0"/>
        <w:autoSpaceDN w:val="0"/>
        <w:adjustRightInd w:val="0"/>
        <w:spacing w:before="0"/>
      </w:pPr>
      <w:r>
        <w:t>The Indigenous leaders are working with their communities and other stakeholders</w:t>
      </w:r>
      <w:r w:rsidRPr="00FB6601">
        <w:t xml:space="preserve"> to identify local needs, priorities and aspirations. These feed into long term </w:t>
      </w:r>
      <w:r>
        <w:t>development agendas that address social, cultural and economic development.</w:t>
      </w:r>
    </w:p>
    <w:p w14:paraId="0B3E5229" w14:textId="77777777" w:rsidR="00FB6601" w:rsidRDefault="00FB6601" w:rsidP="0052682D">
      <w:pPr>
        <w:autoSpaceDE w:val="0"/>
        <w:autoSpaceDN w:val="0"/>
        <w:adjustRightInd w:val="0"/>
        <w:spacing w:before="0"/>
      </w:pPr>
    </w:p>
    <w:p w14:paraId="70E296AE" w14:textId="77777777" w:rsidR="00FB6601" w:rsidRDefault="00FB6601" w:rsidP="0052682D">
      <w:pPr>
        <w:autoSpaceDE w:val="0"/>
        <w:autoSpaceDN w:val="0"/>
        <w:adjustRightInd w:val="0"/>
        <w:spacing w:before="0"/>
      </w:pPr>
      <w:r w:rsidRPr="00FB6601">
        <w:t xml:space="preserve">Government support includes funding ‘backbone organisations’ in EC regions to provide critical capability for Indigenous leaders to drive implementation. </w:t>
      </w:r>
      <w:r>
        <w:t xml:space="preserve">The Government has also provided data and funding information to support collaboration on planning and joint decision-making about discretionary investment in the regions, and co-design of solutions to address community-identified priorities. PM&amp;C Regional Network is supporting this effort on the ground. </w:t>
      </w:r>
    </w:p>
    <w:p w14:paraId="3FBB7C5C" w14:textId="77777777" w:rsidR="008E777C" w:rsidRDefault="008E777C" w:rsidP="0052682D">
      <w:pPr>
        <w:autoSpaceDE w:val="0"/>
        <w:autoSpaceDN w:val="0"/>
        <w:adjustRightInd w:val="0"/>
        <w:spacing w:before="0"/>
        <w:rPr>
          <w:b/>
          <w:lang w:val="en"/>
        </w:rPr>
      </w:pPr>
    </w:p>
    <w:p w14:paraId="169EA5AC" w14:textId="77777777" w:rsidR="00CE79DB" w:rsidRDefault="004002B6" w:rsidP="0052682D">
      <w:pPr>
        <w:autoSpaceDE w:val="0"/>
        <w:autoSpaceDN w:val="0"/>
        <w:adjustRightInd w:val="0"/>
        <w:spacing w:before="0"/>
        <w:rPr>
          <w:rStyle w:val="Hyperlink"/>
          <w:lang w:val="en"/>
        </w:rPr>
      </w:pPr>
      <w:r w:rsidRPr="00186133">
        <w:rPr>
          <w:b/>
          <w:lang w:val="en"/>
        </w:rPr>
        <w:t>Further information:</w:t>
      </w:r>
      <w:r>
        <w:rPr>
          <w:lang w:val="en"/>
        </w:rPr>
        <w:t xml:space="preserve"> </w:t>
      </w:r>
      <w:hyperlink r:id="rId77" w:history="1">
        <w:r w:rsidR="00FB6601" w:rsidRPr="005F4AD2">
          <w:rPr>
            <w:rStyle w:val="Hyperlink"/>
            <w:lang w:val="en"/>
          </w:rPr>
          <w:t>https://www.pmc.gov.au/indigenous-affairs/empowered-communities</w:t>
        </w:r>
      </w:hyperlink>
    </w:p>
    <w:p w14:paraId="5F467F90" w14:textId="77777777" w:rsidR="00F36829" w:rsidRPr="00890D87" w:rsidRDefault="00CE79DB" w:rsidP="00890D87">
      <w:pPr>
        <w:pStyle w:val="Tablecellheading"/>
        <w:jc w:val="left"/>
        <w:rPr>
          <w:b/>
          <w:sz w:val="26"/>
        </w:rPr>
      </w:pPr>
      <w:r w:rsidRPr="00890D87">
        <w:rPr>
          <w:b/>
          <w:sz w:val="26"/>
        </w:rPr>
        <w:lastRenderedPageBreak/>
        <w:t>C</w:t>
      </w:r>
      <w:r w:rsidR="00F36829" w:rsidRPr="00890D87">
        <w:rPr>
          <w:b/>
          <w:sz w:val="26"/>
        </w:rPr>
        <w:t xml:space="preserve">ase study: Try, Test and Learn Fund </w:t>
      </w:r>
      <w:r w:rsidR="009B57D5" w:rsidRPr="00890D87">
        <w:rPr>
          <w:b/>
          <w:sz w:val="26"/>
        </w:rPr>
        <w:t>– working with users to develop a system that works for them</w:t>
      </w:r>
    </w:p>
    <w:p w14:paraId="2E98AD7A" w14:textId="77777777" w:rsidR="00F36829" w:rsidRDefault="00F36829" w:rsidP="0052682D">
      <w:pPr>
        <w:autoSpaceDE w:val="0"/>
        <w:autoSpaceDN w:val="0"/>
        <w:spacing w:before="0"/>
        <w:rPr>
          <w:rFonts w:ascii="Segoe UI" w:hAnsi="Segoe UI" w:cs="Segoe UI"/>
          <w:color w:val="000000"/>
          <w:sz w:val="20"/>
          <w:szCs w:val="20"/>
        </w:rPr>
      </w:pPr>
      <w:r w:rsidRPr="00CB1F57">
        <w:rPr>
          <w:i/>
          <w:noProof/>
          <w:lang w:eastAsia="en-AU"/>
        </w:rPr>
        <mc:AlternateContent>
          <mc:Choice Requires="wps">
            <w:drawing>
              <wp:anchor distT="45720" distB="45720" distL="114300" distR="114300" simplePos="0" relativeHeight="251658249" behindDoc="0" locked="0" layoutInCell="1" allowOverlap="1" wp14:anchorId="7F5DF14E" wp14:editId="51FF2E41">
                <wp:simplePos x="0" y="0"/>
                <wp:positionH relativeFrom="margin">
                  <wp:align>left</wp:align>
                </wp:positionH>
                <wp:positionV relativeFrom="paragraph">
                  <wp:posOffset>87271</wp:posOffset>
                </wp:positionV>
                <wp:extent cx="1477645" cy="1828800"/>
                <wp:effectExtent l="0" t="0" r="8255"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828800"/>
                        </a:xfrm>
                        <a:prstGeom prst="rect">
                          <a:avLst/>
                        </a:prstGeom>
                        <a:solidFill>
                          <a:srgbClr val="DEEBF7"/>
                        </a:solidFill>
                        <a:ln w="9525">
                          <a:noFill/>
                          <a:miter lim="800000"/>
                          <a:headEnd/>
                          <a:tailEnd/>
                        </a:ln>
                      </wps:spPr>
                      <wps:txbx>
                        <w:txbxContent>
                          <w:p w14:paraId="6A3095E8" w14:textId="77777777" w:rsidR="001143F2" w:rsidRDefault="001143F2" w:rsidP="00F36829">
                            <w:pPr>
                              <w:kinsoku w:val="0"/>
                              <w:overflowPunct w:val="0"/>
                              <w:jc w:val="center"/>
                              <w:rPr>
                                <w:noProof/>
                                <w:lang w:eastAsia="en-AU"/>
                              </w:rPr>
                            </w:pPr>
                            <w:r>
                              <w:rPr>
                                <w:noProof/>
                                <w:lang w:eastAsia="en-AU"/>
                              </w:rPr>
                              <w:drawing>
                                <wp:inline distT="0" distB="0" distL="0" distR="0" wp14:anchorId="29366A3B" wp14:editId="27961BBF">
                                  <wp:extent cx="1285875" cy="116963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285875" cy="1169638"/>
                                          </a:xfrm>
                                          <a:prstGeom prst="rect">
                                            <a:avLst/>
                                          </a:prstGeom>
                                        </pic:spPr>
                                      </pic:pic>
                                    </a:graphicData>
                                  </a:graphic>
                                </wp:inline>
                              </w:drawing>
                            </w:r>
                          </w:p>
                          <w:p w14:paraId="64F3D4EC" w14:textId="77777777" w:rsidR="001143F2" w:rsidRPr="006A3C9B" w:rsidRDefault="001143F2" w:rsidP="006A3C9B">
                            <w:pPr>
                              <w:spacing w:before="0" w:after="80"/>
                              <w:rPr>
                                <w:rFonts w:asciiTheme="majorHAnsi" w:hAnsiTheme="majorHAnsi" w:cs="Arial"/>
                                <w:b/>
                                <w:noProof/>
                                <w:color w:val="44546A" w:themeColor="text2"/>
                                <w:sz w:val="20"/>
                                <w:lang w:eastAsia="en-AU"/>
                              </w:rPr>
                            </w:pPr>
                            <w:r w:rsidRPr="006A3C9B">
                              <w:rPr>
                                <w:rFonts w:asciiTheme="majorHAnsi" w:hAnsiTheme="majorHAnsi" w:cs="Arial"/>
                                <w:b/>
                                <w:noProof/>
                                <w:color w:val="44546A" w:themeColor="text2"/>
                                <w:sz w:val="20"/>
                                <w:lang w:eastAsia="en-AU"/>
                              </w:rPr>
                              <w:t>Try, Test and Learn Fund</w:t>
                            </w:r>
                          </w:p>
                          <w:p w14:paraId="793C544C" w14:textId="77777777" w:rsidR="001143F2" w:rsidRDefault="001143F2" w:rsidP="00F36829">
                            <w:pPr>
                              <w:kinsoku w:val="0"/>
                              <w:overflowPunct w:val="0"/>
                            </w:pPr>
                          </w:p>
                          <w:p w14:paraId="1A7ADD66" w14:textId="77777777" w:rsidR="001143F2" w:rsidRPr="008E738B" w:rsidRDefault="001143F2" w:rsidP="00F36829">
                            <w:pPr>
                              <w:kinsoku w:val="0"/>
                              <w:overflowPunct w:val="0"/>
                              <w:rPr>
                                <w:rFonts w:ascii="Lucida Sans" w:hAnsi="Lucida Sans" w:cs="Lucida Sans"/>
                                <w:color w:val="4D4D4F"/>
                                <w:sz w:val="29"/>
                                <w:szCs w:val="29"/>
                              </w:rPr>
                            </w:pPr>
                          </w:p>
                          <w:p w14:paraId="768C5A35" w14:textId="77777777" w:rsidR="001143F2" w:rsidRDefault="001143F2" w:rsidP="00F368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DF14E" id="_x0000_s1048" type="#_x0000_t202" style="position:absolute;margin-left:0;margin-top:6.85pt;width:116.35pt;height:2in;z-index:2516582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" fillcolor="#deebf7" stroked="f">
                <v:textbox>
                  <w:txbxContent>
                    <w:p w14:paraId="6A3095E8" w14:textId="77777777" w:rsidR="001143F2" w:rsidRDefault="001143F2" w:rsidP="00F36829">
                      <w:pPr>
                        <w:kinsoku w:val="0"/>
                        <w:overflowPunct w:val="0"/>
                        <w:jc w:val="center"/>
                        <w:rPr>
                          <w:noProof/>
                          <w:lang w:eastAsia="en-AU"/>
                        </w:rPr>
                      </w:pPr>
                      <w:r>
                        <w:rPr>
                          <w:noProof/>
                          <w:lang w:eastAsia="en-AU"/>
                        </w:rPr>
                        <w:drawing>
                          <wp:inline distT="0" distB="0" distL="0" distR="0" wp14:anchorId="29366A3B" wp14:editId="27961BBF">
                            <wp:extent cx="1285875" cy="116963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285875" cy="1169638"/>
                                    </a:xfrm>
                                    <a:prstGeom prst="rect">
                                      <a:avLst/>
                                    </a:prstGeom>
                                  </pic:spPr>
                                </pic:pic>
                              </a:graphicData>
                            </a:graphic>
                          </wp:inline>
                        </w:drawing>
                      </w:r>
                    </w:p>
                    <w:p w14:paraId="64F3D4EC" w14:textId="77777777" w:rsidR="001143F2" w:rsidRPr="006A3C9B" w:rsidRDefault="001143F2" w:rsidP="006A3C9B">
                      <w:pPr>
                        <w:spacing w:before="0" w:after="80"/>
                        <w:rPr>
                          <w:rFonts w:asciiTheme="majorHAnsi" w:hAnsiTheme="majorHAnsi" w:cs="Arial"/>
                          <w:b/>
                          <w:noProof/>
                          <w:color w:val="44546A" w:themeColor="text2"/>
                          <w:sz w:val="20"/>
                          <w:lang w:eastAsia="en-AU"/>
                        </w:rPr>
                      </w:pPr>
                      <w:r w:rsidRPr="006A3C9B">
                        <w:rPr>
                          <w:rFonts w:asciiTheme="majorHAnsi" w:hAnsiTheme="majorHAnsi" w:cs="Arial"/>
                          <w:b/>
                          <w:noProof/>
                          <w:color w:val="44546A" w:themeColor="text2"/>
                          <w:sz w:val="20"/>
                          <w:lang w:eastAsia="en-AU"/>
                        </w:rPr>
                        <w:t>Try, Test and Learn Fund</w:t>
                      </w:r>
                    </w:p>
                    <w:p w14:paraId="793C544C" w14:textId="77777777" w:rsidR="001143F2" w:rsidRDefault="001143F2" w:rsidP="00F36829">
                      <w:pPr>
                        <w:kinsoku w:val="0"/>
                        <w:overflowPunct w:val="0"/>
                      </w:pPr>
                    </w:p>
                    <w:p w14:paraId="1A7ADD66" w14:textId="77777777" w:rsidR="001143F2" w:rsidRPr="008E738B" w:rsidRDefault="001143F2" w:rsidP="00F36829">
                      <w:pPr>
                        <w:kinsoku w:val="0"/>
                        <w:overflowPunct w:val="0"/>
                        <w:rPr>
                          <w:rFonts w:ascii="Lucida Sans" w:hAnsi="Lucida Sans" w:cs="Lucida Sans"/>
                          <w:color w:val="4D4D4F"/>
                          <w:sz w:val="29"/>
                          <w:szCs w:val="29"/>
                        </w:rPr>
                      </w:pPr>
                    </w:p>
                    <w:p w14:paraId="768C5A35" w14:textId="77777777" w:rsidR="001143F2" w:rsidRDefault="001143F2" w:rsidP="00F36829"/>
                  </w:txbxContent>
                </v:textbox>
                <w10:wrap type="square" anchorx="margin"/>
              </v:shape>
            </w:pict>
          </mc:Fallback>
        </mc:AlternateContent>
      </w:r>
      <w:r w:rsidRPr="00D71741">
        <w:rPr>
          <w:b/>
        </w:rPr>
        <w:t>Engagement type:</w:t>
      </w:r>
      <w:r>
        <w:t xml:space="preserve"> </w:t>
      </w:r>
      <w:r w:rsidR="002D39D3">
        <w:t>Variety of collaborative and d</w:t>
      </w:r>
      <w:r>
        <w:t xml:space="preserve">eliberative </w:t>
      </w:r>
      <w:r w:rsidR="002D39D3">
        <w:t>engagements</w:t>
      </w:r>
      <w:r w:rsidRPr="007B3CA8">
        <w:t>.</w:t>
      </w:r>
      <w:r>
        <w:rPr>
          <w:rFonts w:ascii="Segoe UI" w:hAnsi="Segoe UI" w:cs="Segoe UI"/>
          <w:color w:val="000000"/>
          <w:sz w:val="20"/>
          <w:szCs w:val="20"/>
        </w:rPr>
        <w:t xml:space="preserve"> </w:t>
      </w:r>
    </w:p>
    <w:p w14:paraId="3243E5F5" w14:textId="77777777" w:rsidR="008E777C" w:rsidRDefault="008E777C" w:rsidP="0052682D">
      <w:pPr>
        <w:autoSpaceDE w:val="0"/>
        <w:autoSpaceDN w:val="0"/>
        <w:spacing w:before="0"/>
      </w:pPr>
    </w:p>
    <w:p w14:paraId="71D9AA2A" w14:textId="77777777" w:rsidR="00F36829" w:rsidRPr="00D71741" w:rsidRDefault="005D1AD8" w:rsidP="0052682D">
      <w:pPr>
        <w:spacing w:before="0"/>
        <w:rPr>
          <w:b/>
        </w:rPr>
      </w:pPr>
      <w:r>
        <w:rPr>
          <w:b/>
        </w:rPr>
        <w:t>Who is involved?</w:t>
      </w:r>
    </w:p>
    <w:p w14:paraId="4661F602" w14:textId="77777777" w:rsidR="00CD5FD3" w:rsidRDefault="00F36829" w:rsidP="0052682D">
      <w:pPr>
        <w:spacing w:before="0"/>
      </w:pPr>
      <w:r>
        <w:t>The Department of Social Services</w:t>
      </w:r>
      <w:r w:rsidR="007B3CA8">
        <w:t xml:space="preserve"> (DSS)</w:t>
      </w:r>
      <w:r>
        <w:t xml:space="preserve">, and </w:t>
      </w:r>
      <w:r w:rsidR="00CD5FD3">
        <w:t>three initial priority groups: young parents; young carers; and young students at risk of long-term unemployment.</w:t>
      </w:r>
    </w:p>
    <w:p w14:paraId="3727822B" w14:textId="77777777" w:rsidR="008E777C" w:rsidRDefault="008E777C" w:rsidP="0052682D">
      <w:pPr>
        <w:spacing w:before="0"/>
      </w:pPr>
    </w:p>
    <w:p w14:paraId="01B9847D" w14:textId="77777777" w:rsidR="00F36829" w:rsidRPr="00D71741" w:rsidRDefault="00F36829" w:rsidP="0052682D">
      <w:pPr>
        <w:spacing w:before="0"/>
        <w:rPr>
          <w:b/>
        </w:rPr>
      </w:pPr>
      <w:r w:rsidRPr="00D71741">
        <w:rPr>
          <w:b/>
        </w:rPr>
        <w:t xml:space="preserve">Why was it started? </w:t>
      </w:r>
    </w:p>
    <w:p w14:paraId="451C7338" w14:textId="77777777" w:rsidR="00F36829" w:rsidRDefault="007B3CA8" w:rsidP="0052682D">
      <w:pPr>
        <w:spacing w:before="0"/>
      </w:pPr>
      <w:r w:rsidRPr="000A06AE">
        <w:t>The $96.1 millio</w:t>
      </w:r>
      <w:r>
        <w:t xml:space="preserve">n Try, Test and Learn Fund </w:t>
      </w:r>
      <w:r w:rsidR="005D1AD8">
        <w:t>trials</w:t>
      </w:r>
      <w:r w:rsidR="00CD5FD3">
        <w:t xml:space="preserve"> new or innovative approaches to assist some of the most vulnerable in society into stable, sustainable employment. </w:t>
      </w:r>
    </w:p>
    <w:p w14:paraId="6F7D13F2" w14:textId="77777777" w:rsidR="007B3CA8" w:rsidRDefault="00F36829" w:rsidP="0052682D">
      <w:pPr>
        <w:spacing w:before="0"/>
      </w:pPr>
      <w:r w:rsidRPr="00D71741">
        <w:rPr>
          <w:b/>
        </w:rPr>
        <w:t xml:space="preserve">How does it work? </w:t>
      </w:r>
    </w:p>
    <w:p w14:paraId="2C730B46" w14:textId="77777777" w:rsidR="007B3CA8" w:rsidRDefault="000A3617" w:rsidP="0052682D">
      <w:pPr>
        <w:spacing w:before="0"/>
      </w:pPr>
      <w:r w:rsidRPr="007B3CA8">
        <w:rPr>
          <w:u w:val="single"/>
        </w:rPr>
        <w:t>Open submissions process</w:t>
      </w:r>
      <w:r w:rsidR="007B3CA8" w:rsidRPr="007B3CA8">
        <w:t>:</w:t>
      </w:r>
      <w:r w:rsidR="007B3CA8">
        <w:t xml:space="preserve"> In December 2016, t</w:t>
      </w:r>
      <w:r w:rsidR="00C43EF5">
        <w:t xml:space="preserve">he Fund opened with a public call for submissions, which welcomed ideas from community organisations, businesses, and individuals. </w:t>
      </w:r>
    </w:p>
    <w:p w14:paraId="548446AF" w14:textId="77777777" w:rsidR="007B3CA8" w:rsidRDefault="007B3CA8" w:rsidP="0052682D">
      <w:pPr>
        <w:spacing w:before="0"/>
      </w:pPr>
    </w:p>
    <w:p w14:paraId="719881A3" w14:textId="77777777" w:rsidR="00C43EF5" w:rsidRDefault="00C43EF5" w:rsidP="0052682D">
      <w:pPr>
        <w:spacing w:before="0"/>
      </w:pPr>
      <w:r>
        <w:t>Through this process, the Department received 389 ideas, 294 of which were found eligible for further consideration.</w:t>
      </w:r>
      <w:r w:rsidR="007B3CA8">
        <w:t xml:space="preserve"> </w:t>
      </w:r>
      <w:r>
        <w:t>Ideas submitted to the Fund were published on the Department’s consultative platform, DSS Engage</w:t>
      </w:r>
      <w:r w:rsidR="007B3CA8">
        <w:t xml:space="preserve"> (</w:t>
      </w:r>
      <w:r w:rsidR="007B3CA8" w:rsidRPr="007B3CA8">
        <w:t>https://engage.dss.gov.au/</w:t>
      </w:r>
      <w:r w:rsidR="007B3CA8">
        <w:t>)</w:t>
      </w:r>
      <w:r>
        <w:t xml:space="preserve">. This </w:t>
      </w:r>
      <w:r w:rsidR="007B3CA8">
        <w:t>improved</w:t>
      </w:r>
      <w:r>
        <w:t xml:space="preserve"> the transparency of ideas being submitted and facilitate</w:t>
      </w:r>
      <w:r w:rsidR="007B3CA8">
        <w:t>d</w:t>
      </w:r>
      <w:r>
        <w:t xml:space="preserve"> collaboration between idea proponents. </w:t>
      </w:r>
      <w:r w:rsidR="007B3CA8">
        <w:t xml:space="preserve">DSS </w:t>
      </w:r>
      <w:r>
        <w:t>also operated an online forum, where interested individuals could discuss solutions for the priority groups.</w:t>
      </w:r>
    </w:p>
    <w:p w14:paraId="02B230CC" w14:textId="77777777" w:rsidR="007B3CA8" w:rsidRDefault="007B3CA8" w:rsidP="0052682D">
      <w:pPr>
        <w:spacing w:before="0"/>
      </w:pPr>
    </w:p>
    <w:p w14:paraId="0906A8DA" w14:textId="77777777" w:rsidR="007B3CA8" w:rsidRDefault="00C43EF5" w:rsidP="0052682D">
      <w:pPr>
        <w:spacing w:before="0"/>
      </w:pPr>
      <w:r>
        <w:t>A summary of each eligible idea was published on DSS Engage. To further encourage collaboration and innovation, idea proponents were encouraged through a newsletter and the Try, Test and Learn Handbook to read the ideas and contact others to discuss possible collaboration. New or</w:t>
      </w:r>
      <w:r w:rsidR="00DD1DF8">
        <w:t xml:space="preserve"> refined ideas could be </w:t>
      </w:r>
      <w:r>
        <w:t>submitted following any collaboration.</w:t>
      </w:r>
    </w:p>
    <w:p w14:paraId="5F886326" w14:textId="77777777" w:rsidR="007B3CA8" w:rsidRDefault="007B3CA8" w:rsidP="0052682D">
      <w:pPr>
        <w:spacing w:before="0"/>
      </w:pPr>
    </w:p>
    <w:p w14:paraId="0E50A33B" w14:textId="77777777" w:rsidR="00C43EF5" w:rsidRDefault="007B3CA8" w:rsidP="0052682D">
      <w:pPr>
        <w:spacing w:before="0"/>
      </w:pPr>
      <w:r w:rsidRPr="007B3CA8">
        <w:rPr>
          <w:u w:val="single"/>
        </w:rPr>
        <w:t xml:space="preserve">Policy </w:t>
      </w:r>
      <w:r w:rsidR="00DD1DF8">
        <w:rPr>
          <w:u w:val="single"/>
        </w:rPr>
        <w:t>H</w:t>
      </w:r>
      <w:r w:rsidRPr="007B3CA8">
        <w:rPr>
          <w:u w:val="single"/>
        </w:rPr>
        <w:t>ack</w:t>
      </w:r>
      <w:r>
        <w:t xml:space="preserve">: </w:t>
      </w:r>
      <w:r w:rsidR="00C43EF5">
        <w:t xml:space="preserve">To assist with idea generation, a Policy Hack event was held in Melbourne on 10 February 2017. The Hack included 93 participants, including representatives from community organisations, businesses, other </w:t>
      </w:r>
      <w:r w:rsidR="009F3E0C">
        <w:t>g</w:t>
      </w:r>
      <w:r w:rsidR="00C43EF5">
        <w:t xml:space="preserve">overnment agencies, academics, and representatives from the three priority groups. </w:t>
      </w:r>
      <w:r w:rsidR="00DD1DF8">
        <w:t>E</w:t>
      </w:r>
      <w:r w:rsidR="00C43EF5">
        <w:t xml:space="preserve">ach team produced a policy proposal that was submitted into the broader </w:t>
      </w:r>
      <w:r>
        <w:t>submission process for the Fund.</w:t>
      </w:r>
    </w:p>
    <w:p w14:paraId="4692D158" w14:textId="77777777" w:rsidR="007B3CA8" w:rsidRDefault="007B3CA8" w:rsidP="0052682D">
      <w:pPr>
        <w:spacing w:before="0"/>
      </w:pPr>
    </w:p>
    <w:p w14:paraId="0975FEAE" w14:textId="77777777" w:rsidR="00C43EF5" w:rsidRDefault="00C43EF5" w:rsidP="0052682D">
      <w:pPr>
        <w:spacing w:before="0"/>
      </w:pPr>
      <w:r>
        <w:t xml:space="preserve">Eligible ideas submitted through the public call for submissions and the Policy Hack were then assessed for their effectiveness, suitability for trial, and their level of innovation. After shortlisting, more </w:t>
      </w:r>
      <w:r w:rsidR="00DD1DF8">
        <w:t xml:space="preserve">than 35 ideas were taken to a Committee of </w:t>
      </w:r>
      <w:r>
        <w:t>relevant Commo</w:t>
      </w:r>
      <w:r w:rsidR="00DD1DF8">
        <w:t xml:space="preserve">nwealth Government departments, </w:t>
      </w:r>
      <w:r>
        <w:t>for their consideration.</w:t>
      </w:r>
    </w:p>
    <w:p w14:paraId="0EB8074C" w14:textId="77777777" w:rsidR="00C43EF5" w:rsidRDefault="00C43EF5" w:rsidP="0052682D">
      <w:pPr>
        <w:spacing w:before="0"/>
      </w:pPr>
    </w:p>
    <w:p w14:paraId="44FC96EC" w14:textId="77777777" w:rsidR="00C43EF5" w:rsidRDefault="000A3617" w:rsidP="0052682D">
      <w:pPr>
        <w:spacing w:before="0"/>
      </w:pPr>
      <w:r w:rsidRPr="00CD54E2">
        <w:rPr>
          <w:u w:val="single"/>
        </w:rPr>
        <w:t>Co-development</w:t>
      </w:r>
      <w:r w:rsidR="00CD54E2" w:rsidRPr="00CD54E2">
        <w:t>:</w:t>
      </w:r>
      <w:r w:rsidR="00CD54E2">
        <w:t xml:space="preserve"> </w:t>
      </w:r>
      <w:r w:rsidR="00C43EF5">
        <w:t xml:space="preserve">Shortlisted ideas progressed to the Fund’s co-development phase, where </w:t>
      </w:r>
      <w:r w:rsidR="00EB209E">
        <w:t>DSS</w:t>
      </w:r>
      <w:r w:rsidR="00C43EF5">
        <w:t xml:space="preserve"> worked closely with the idea proponents to refine their idea. In many cases, multiple similar or complementary ideas were combined during co-development, to assist in the development of a more robust and comprehensive proposal. This meant that the Department had to collaborate with many idea proponents on each proposal.</w:t>
      </w:r>
    </w:p>
    <w:p w14:paraId="2936AAEF" w14:textId="77777777" w:rsidR="00DD1DF8" w:rsidRDefault="00DD1DF8" w:rsidP="0052682D">
      <w:pPr>
        <w:spacing w:before="0"/>
      </w:pPr>
    </w:p>
    <w:p w14:paraId="31486C71" w14:textId="77777777" w:rsidR="000A3617" w:rsidRDefault="00C43EF5" w:rsidP="0052682D">
      <w:pPr>
        <w:spacing w:before="0" w:after="160" w:line="252" w:lineRule="auto"/>
      </w:pPr>
      <w:r>
        <w:t xml:space="preserve">Twenty-six workshops, site visits and focus groups were held in Canberra, Mildura, Darwin, Hobart, Sydney, Melbourne, Brisbane and Adelaide between 10 April and 28 April 2017. Co-development </w:t>
      </w:r>
      <w:r>
        <w:lastRenderedPageBreak/>
        <w:t>activities involved a broad range of stakeholder representatives, including service providers (both non-for-profit and private), peak bodies, academics from the Department’s Expert Advisory Panel, government representatives and representatives from each priority group.</w:t>
      </w:r>
    </w:p>
    <w:p w14:paraId="4274E7D1" w14:textId="77777777" w:rsidR="00E70C90" w:rsidRDefault="00F36829" w:rsidP="0052682D">
      <w:pPr>
        <w:spacing w:before="0"/>
      </w:pPr>
      <w:r>
        <w:rPr>
          <w:b/>
        </w:rPr>
        <w:t xml:space="preserve">Further information: </w:t>
      </w:r>
      <w:hyperlink r:id="rId80" w:history="1">
        <w:r w:rsidRPr="00F25CCF">
          <w:rPr>
            <w:rStyle w:val="Hyperlink"/>
          </w:rPr>
          <w:t>https://www.dss.gov.au/review-of-australias-welfare-system/australian-priority-investment-approach-to-welfare/try-test-and-learn-fund</w:t>
        </w:r>
      </w:hyperlink>
      <w:r w:rsidR="00562C37">
        <w:rPr>
          <w:b/>
        </w:rPr>
        <w:t xml:space="preserve"> </w:t>
      </w:r>
      <w:r w:rsidR="00022FB9" w:rsidRPr="00022FB9">
        <w:t>and</w:t>
      </w:r>
      <w:r w:rsidR="00022FB9">
        <w:rPr>
          <w:b/>
        </w:rPr>
        <w:t xml:space="preserve"> </w:t>
      </w:r>
      <w:hyperlink r:id="rId81" w:history="1">
        <w:r w:rsidR="00E70C90" w:rsidRPr="003804E6">
          <w:rPr>
            <w:rStyle w:val="Hyperlink"/>
          </w:rPr>
          <w:t>https://engage.dss.gov.au/try-test-and-learn-fund/try-test-and-learn-fund-discuss/</w:t>
        </w:r>
      </w:hyperlink>
      <w:r w:rsidR="00E70C90">
        <w:t>.</w:t>
      </w:r>
    </w:p>
    <w:p w14:paraId="19EE22AE" w14:textId="77777777" w:rsidR="00CE79DB" w:rsidRDefault="00CE79DB" w:rsidP="00CE79DB">
      <w:pPr>
        <w:spacing w:before="0"/>
      </w:pPr>
    </w:p>
    <w:p w14:paraId="5FB53A4F" w14:textId="77777777" w:rsidR="003103D8" w:rsidRPr="00890D87" w:rsidRDefault="003103D8" w:rsidP="00890D87">
      <w:pPr>
        <w:pStyle w:val="Tablecellheading"/>
        <w:jc w:val="left"/>
        <w:rPr>
          <w:b/>
          <w:sz w:val="26"/>
        </w:rPr>
      </w:pPr>
      <w:r w:rsidRPr="00890D87">
        <w:rPr>
          <w:b/>
          <w:sz w:val="26"/>
        </w:rPr>
        <w:t xml:space="preserve">Case study: IP NOVA </w:t>
      </w:r>
      <w:r w:rsidR="009B57D5" w:rsidRPr="00890D87">
        <w:rPr>
          <w:b/>
          <w:sz w:val="26"/>
        </w:rPr>
        <w:t>– How an idea from GovHack developed into a valuable Intellectual property resource</w:t>
      </w:r>
    </w:p>
    <w:p w14:paraId="468AE561" w14:textId="77777777" w:rsidR="003103D8" w:rsidRDefault="003103D8" w:rsidP="0052682D">
      <w:pPr>
        <w:spacing w:before="0"/>
      </w:pPr>
      <w:r w:rsidRPr="00CB1F57">
        <w:rPr>
          <w:i/>
          <w:noProof/>
          <w:lang w:eastAsia="en-AU"/>
        </w:rPr>
        <mc:AlternateContent>
          <mc:Choice Requires="wps">
            <w:drawing>
              <wp:anchor distT="45720" distB="45720" distL="114300" distR="114300" simplePos="0" relativeHeight="251658263" behindDoc="0" locked="0" layoutInCell="1" allowOverlap="1" wp14:anchorId="459E4343" wp14:editId="63873E66">
                <wp:simplePos x="0" y="0"/>
                <wp:positionH relativeFrom="margin">
                  <wp:align>left</wp:align>
                </wp:positionH>
                <wp:positionV relativeFrom="paragraph">
                  <wp:posOffset>24524</wp:posOffset>
                </wp:positionV>
                <wp:extent cx="1477645" cy="1390650"/>
                <wp:effectExtent l="0" t="0" r="8255"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390650"/>
                        </a:xfrm>
                        <a:prstGeom prst="rect">
                          <a:avLst/>
                        </a:prstGeom>
                        <a:solidFill>
                          <a:srgbClr val="DEEBF7"/>
                        </a:solidFill>
                        <a:ln w="9525">
                          <a:noFill/>
                          <a:miter lim="800000"/>
                          <a:headEnd/>
                          <a:tailEnd/>
                        </a:ln>
                      </wps:spPr>
                      <wps:txbx>
                        <w:txbxContent>
                          <w:p w14:paraId="65AEB6A0" w14:textId="77777777" w:rsidR="001143F2" w:rsidRDefault="001143F2" w:rsidP="003103D8">
                            <w:pPr>
                              <w:kinsoku w:val="0"/>
                              <w:overflowPunct w:val="0"/>
                              <w:jc w:val="center"/>
                            </w:pPr>
                            <w:r>
                              <w:rPr>
                                <w:noProof/>
                                <w:lang w:eastAsia="en-AU"/>
                              </w:rPr>
                              <w:drawing>
                                <wp:inline distT="0" distB="0" distL="0" distR="0" wp14:anchorId="44B33EB6" wp14:editId="2B799B2B">
                                  <wp:extent cx="1231236" cy="1038225"/>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50136" b="4268"/>
                                          <a:stretch/>
                                        </pic:blipFill>
                                        <pic:spPr bwMode="auto">
                                          <a:xfrm>
                                            <a:off x="0" y="0"/>
                                            <a:ext cx="1235075" cy="1041462"/>
                                          </a:xfrm>
                                          <a:prstGeom prst="rect">
                                            <a:avLst/>
                                          </a:prstGeom>
                                          <a:ln>
                                            <a:noFill/>
                                          </a:ln>
                                          <a:extLst>
                                            <a:ext uri="{53640926-AAD7-44D8-BBD7-CCE9431645EC}">
                                              <a14:shadowObscured xmlns:a14="http://schemas.microsoft.com/office/drawing/2010/main"/>
                                            </a:ext>
                                          </a:extLst>
                                        </pic:spPr>
                                      </pic:pic>
                                    </a:graphicData>
                                  </a:graphic>
                                </wp:inline>
                              </w:drawing>
                            </w:r>
                          </w:p>
                          <w:p w14:paraId="7AA10EF6" w14:textId="77777777" w:rsidR="001143F2" w:rsidRDefault="001143F2" w:rsidP="003103D8">
                            <w:pPr>
                              <w:kinsoku w:val="0"/>
                              <w:overflowPunct w:val="0"/>
                              <w:jc w:val="center"/>
                            </w:pPr>
                            <w:r>
                              <w:rPr>
                                <w:noProof/>
                                <w:lang w:eastAsia="en-AU"/>
                              </w:rPr>
                              <w:drawing>
                                <wp:inline distT="0" distB="0" distL="0" distR="0" wp14:anchorId="73428C4C" wp14:editId="5B0D2AFB">
                                  <wp:extent cx="1285875" cy="55499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85875" cy="554990"/>
                                          </a:xfrm>
                                          <a:prstGeom prst="rect">
                                            <a:avLst/>
                                          </a:prstGeom>
                                        </pic:spPr>
                                      </pic:pic>
                                    </a:graphicData>
                                  </a:graphic>
                                </wp:inline>
                              </w:drawing>
                            </w:r>
                          </w:p>
                          <w:p w14:paraId="0FC7DBD2" w14:textId="77777777" w:rsidR="001143F2" w:rsidRDefault="001143F2" w:rsidP="003103D8">
                            <w:pPr>
                              <w:kinsoku w:val="0"/>
                              <w:overflowPunct w:val="0"/>
                            </w:pPr>
                          </w:p>
                          <w:p w14:paraId="0148C2DC" w14:textId="77777777" w:rsidR="001143F2" w:rsidRPr="008E738B" w:rsidRDefault="001143F2" w:rsidP="003103D8">
                            <w:pPr>
                              <w:kinsoku w:val="0"/>
                              <w:overflowPunct w:val="0"/>
                              <w:rPr>
                                <w:rFonts w:ascii="Lucida Sans" w:hAnsi="Lucida Sans" w:cs="Lucida Sans"/>
                                <w:color w:val="4D4D4F"/>
                                <w:sz w:val="29"/>
                                <w:szCs w:val="29"/>
                              </w:rPr>
                            </w:pPr>
                          </w:p>
                          <w:p w14:paraId="5F6834E8" w14:textId="77777777" w:rsidR="001143F2" w:rsidRDefault="001143F2" w:rsidP="003103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E4343" id="_x0000_s1049" type="#_x0000_t202" style="position:absolute;margin-left:0;margin-top:1.95pt;width:116.35pt;height:109.5pt;z-index:25165826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" fillcolor="#deebf7" stroked="f">
                <v:textbox>
                  <w:txbxContent>
                    <w:p w14:paraId="65AEB6A0" w14:textId="77777777" w:rsidR="001143F2" w:rsidRDefault="001143F2" w:rsidP="003103D8">
                      <w:pPr>
                        <w:kinsoku w:val="0"/>
                        <w:overflowPunct w:val="0"/>
                        <w:jc w:val="center"/>
                      </w:pPr>
                      <w:r>
                        <w:rPr>
                          <w:noProof/>
                          <w:lang w:eastAsia="en-AU"/>
                        </w:rPr>
                        <w:drawing>
                          <wp:inline distT="0" distB="0" distL="0" distR="0" wp14:anchorId="44B33EB6" wp14:editId="2B799B2B">
                            <wp:extent cx="1231236" cy="1038225"/>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50136" b="4268"/>
                                    <a:stretch/>
                                  </pic:blipFill>
                                  <pic:spPr bwMode="auto">
                                    <a:xfrm>
                                      <a:off x="0" y="0"/>
                                      <a:ext cx="1235075" cy="1041462"/>
                                    </a:xfrm>
                                    <a:prstGeom prst="rect">
                                      <a:avLst/>
                                    </a:prstGeom>
                                    <a:ln>
                                      <a:noFill/>
                                    </a:ln>
                                    <a:extLst>
                                      <a:ext uri="{53640926-AAD7-44D8-BBD7-CCE9431645EC}">
                                        <a14:shadowObscured xmlns:a14="http://schemas.microsoft.com/office/drawing/2010/main"/>
                                      </a:ext>
                                    </a:extLst>
                                  </pic:spPr>
                                </pic:pic>
                              </a:graphicData>
                            </a:graphic>
                          </wp:inline>
                        </w:drawing>
                      </w:r>
                    </w:p>
                    <w:p w14:paraId="7AA10EF6" w14:textId="77777777" w:rsidR="001143F2" w:rsidRDefault="001143F2" w:rsidP="003103D8">
                      <w:pPr>
                        <w:kinsoku w:val="0"/>
                        <w:overflowPunct w:val="0"/>
                        <w:jc w:val="center"/>
                      </w:pPr>
                      <w:r>
                        <w:rPr>
                          <w:noProof/>
                          <w:lang w:eastAsia="en-AU"/>
                        </w:rPr>
                        <w:drawing>
                          <wp:inline distT="0" distB="0" distL="0" distR="0" wp14:anchorId="73428C4C" wp14:editId="5B0D2AFB">
                            <wp:extent cx="1285875" cy="55499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285875" cy="554990"/>
                                    </a:xfrm>
                                    <a:prstGeom prst="rect">
                                      <a:avLst/>
                                    </a:prstGeom>
                                  </pic:spPr>
                                </pic:pic>
                              </a:graphicData>
                            </a:graphic>
                          </wp:inline>
                        </w:drawing>
                      </w:r>
                    </w:p>
                    <w:p w14:paraId="0FC7DBD2" w14:textId="77777777" w:rsidR="001143F2" w:rsidRDefault="001143F2" w:rsidP="003103D8">
                      <w:pPr>
                        <w:kinsoku w:val="0"/>
                        <w:overflowPunct w:val="0"/>
                      </w:pPr>
                    </w:p>
                    <w:p w14:paraId="0148C2DC" w14:textId="77777777" w:rsidR="001143F2" w:rsidRPr="008E738B" w:rsidRDefault="001143F2" w:rsidP="003103D8">
                      <w:pPr>
                        <w:kinsoku w:val="0"/>
                        <w:overflowPunct w:val="0"/>
                        <w:rPr>
                          <w:rFonts w:ascii="Lucida Sans" w:hAnsi="Lucida Sans" w:cs="Lucida Sans"/>
                          <w:color w:val="4D4D4F"/>
                          <w:sz w:val="29"/>
                          <w:szCs w:val="29"/>
                        </w:rPr>
                      </w:pPr>
                    </w:p>
                    <w:p w14:paraId="5F6834E8" w14:textId="77777777" w:rsidR="001143F2" w:rsidRDefault="001143F2" w:rsidP="003103D8"/>
                  </w:txbxContent>
                </v:textbox>
                <w10:wrap type="square" anchorx="margin"/>
              </v:shape>
            </w:pict>
          </mc:Fallback>
        </mc:AlternateContent>
      </w:r>
      <w:r w:rsidRPr="00D71741">
        <w:rPr>
          <w:b/>
        </w:rPr>
        <w:t>Engagement type:</w:t>
      </w:r>
      <w:r>
        <w:t xml:space="preserve"> Information sharing.</w:t>
      </w:r>
    </w:p>
    <w:p w14:paraId="598E9DAB" w14:textId="77777777" w:rsidR="003103D8" w:rsidRDefault="003103D8" w:rsidP="0052682D">
      <w:pPr>
        <w:spacing w:before="0"/>
        <w:rPr>
          <w:b/>
        </w:rPr>
      </w:pPr>
      <w:r>
        <w:rPr>
          <w:b/>
        </w:rPr>
        <w:t>What is it?</w:t>
      </w:r>
    </w:p>
    <w:p w14:paraId="4F438462" w14:textId="77777777" w:rsidR="003103D8" w:rsidRDefault="003103D8" w:rsidP="0052682D">
      <w:pPr>
        <w:autoSpaceDE w:val="0"/>
        <w:autoSpaceDN w:val="0"/>
        <w:adjustRightInd w:val="0"/>
        <w:spacing w:before="0"/>
      </w:pPr>
      <w:r w:rsidRPr="002A64C8">
        <w:rPr>
          <w:b/>
        </w:rPr>
        <w:t>IP NOVA</w:t>
      </w:r>
      <w:r w:rsidRPr="00643F88">
        <w:t xml:space="preserve"> is a free cloud-based data visualisation tool that enables anyone to explore the IP landscape based on IP Australia’s </w:t>
      </w:r>
      <w:r>
        <w:t xml:space="preserve">open government </w:t>
      </w:r>
      <w:r w:rsidRPr="00643F88">
        <w:t>data (IPGOD).</w:t>
      </w:r>
      <w:r w:rsidRPr="00A17980">
        <w:t xml:space="preserve"> </w:t>
      </w:r>
      <w:r>
        <w:t>The simplicity of the tool and the power of its search capabilities allow users to find answers on IP data within minutes.</w:t>
      </w:r>
      <w:r w:rsidR="00562C37">
        <w:t xml:space="preserve"> </w:t>
      </w:r>
    </w:p>
    <w:p w14:paraId="6C3A8694" w14:textId="77777777" w:rsidR="003103D8" w:rsidRDefault="003103D8" w:rsidP="0052682D">
      <w:pPr>
        <w:spacing w:before="0"/>
        <w:rPr>
          <w:b/>
        </w:rPr>
      </w:pPr>
    </w:p>
    <w:p w14:paraId="1C49D9F3" w14:textId="77777777" w:rsidR="003103D8" w:rsidRDefault="003103D8" w:rsidP="0052682D">
      <w:pPr>
        <w:spacing w:before="0"/>
        <w:rPr>
          <w:b/>
        </w:rPr>
      </w:pPr>
      <w:r w:rsidRPr="00D71741">
        <w:rPr>
          <w:b/>
        </w:rPr>
        <w:t xml:space="preserve">Who </w:t>
      </w:r>
      <w:r>
        <w:rPr>
          <w:b/>
        </w:rPr>
        <w:t>has been</w:t>
      </w:r>
      <w:r w:rsidRPr="00D71741">
        <w:rPr>
          <w:b/>
        </w:rPr>
        <w:t xml:space="preserve"> involved? </w:t>
      </w:r>
    </w:p>
    <w:p w14:paraId="583AEE42" w14:textId="77777777" w:rsidR="003103D8" w:rsidRDefault="003103D8" w:rsidP="0052682D">
      <w:pPr>
        <w:autoSpaceDE w:val="0"/>
        <w:autoSpaceDN w:val="0"/>
        <w:adjustRightInd w:val="0"/>
        <w:spacing w:before="0"/>
      </w:pPr>
      <w:r w:rsidRPr="00F36829">
        <w:t xml:space="preserve">IP Australia undertook a targeted stakeholder consultation, and co-designed the product through a number of workshops with users, sponsors and product developers. These workshops focused on understanding the problem, developing requirements and meeting user needs. </w:t>
      </w:r>
    </w:p>
    <w:p w14:paraId="67D32F8B" w14:textId="77777777" w:rsidR="003103D8" w:rsidRPr="00F36829" w:rsidRDefault="003103D8" w:rsidP="0052682D">
      <w:pPr>
        <w:autoSpaceDE w:val="0"/>
        <w:autoSpaceDN w:val="0"/>
        <w:adjustRightInd w:val="0"/>
        <w:spacing w:before="0"/>
      </w:pPr>
    </w:p>
    <w:p w14:paraId="2BD3D1F9" w14:textId="77777777" w:rsidR="003103D8" w:rsidRDefault="003103D8" w:rsidP="0052682D">
      <w:pPr>
        <w:autoSpaceDE w:val="0"/>
        <w:autoSpaceDN w:val="0"/>
        <w:adjustRightInd w:val="0"/>
        <w:spacing w:before="0"/>
      </w:pPr>
      <w:r w:rsidRPr="00F36829">
        <w:t>The beta version of IP NOVA was released on 22 October 2016 to collect feedback. This feedback is being used to improve the product and ensure it meets the needs of its users, before a final version is released in 2018.</w:t>
      </w:r>
    </w:p>
    <w:p w14:paraId="782AF533" w14:textId="77777777" w:rsidR="003103D8" w:rsidRDefault="003103D8" w:rsidP="0052682D">
      <w:pPr>
        <w:autoSpaceDE w:val="0"/>
        <w:autoSpaceDN w:val="0"/>
        <w:adjustRightInd w:val="0"/>
        <w:spacing w:before="0"/>
      </w:pPr>
    </w:p>
    <w:p w14:paraId="230DAB20" w14:textId="77777777" w:rsidR="003103D8" w:rsidRDefault="003103D8" w:rsidP="0052682D">
      <w:pPr>
        <w:spacing w:before="0"/>
        <w:rPr>
          <w:b/>
        </w:rPr>
      </w:pPr>
      <w:r w:rsidRPr="00D71741">
        <w:rPr>
          <w:b/>
        </w:rPr>
        <w:t xml:space="preserve">Why was it started? </w:t>
      </w:r>
    </w:p>
    <w:p w14:paraId="5E6ABF5E" w14:textId="77777777" w:rsidR="003103D8" w:rsidRDefault="003103D8" w:rsidP="0052682D">
      <w:pPr>
        <w:autoSpaceDE w:val="0"/>
        <w:autoSpaceDN w:val="0"/>
        <w:adjustRightInd w:val="0"/>
        <w:spacing w:before="0"/>
      </w:pPr>
      <w:r>
        <w:t xml:space="preserve">The </w:t>
      </w:r>
      <w:r w:rsidRPr="002A64C8">
        <w:rPr>
          <w:b/>
        </w:rPr>
        <w:t>IP Nova</w:t>
      </w:r>
      <w:r>
        <w:t xml:space="preserve"> idea originated at the 2015 GovHack competition and offers a visually appealing method to provide self-service analytics on IP data with an easy to use interface.</w:t>
      </w:r>
      <w:r w:rsidRPr="00F36829">
        <w:t xml:space="preserve"> </w:t>
      </w:r>
      <w:r w:rsidRPr="00FE5AB0">
        <w:t xml:space="preserve">IP NOVA </w:t>
      </w:r>
      <w:r>
        <w:t>allows</w:t>
      </w:r>
      <w:r w:rsidRPr="00FE5AB0">
        <w:t xml:space="preserve"> massive amounts of data </w:t>
      </w:r>
      <w:r>
        <w:t xml:space="preserve">to </w:t>
      </w:r>
      <w:r w:rsidRPr="00FE5AB0">
        <w:t xml:space="preserve">be </w:t>
      </w:r>
      <w:r>
        <w:t>easily</w:t>
      </w:r>
      <w:r w:rsidRPr="00FE5AB0">
        <w:t xml:space="preserve"> explored, analysed and visualised to create new insights,</w:t>
      </w:r>
      <w:r>
        <w:t xml:space="preserve"> </w:t>
      </w:r>
      <w:r w:rsidRPr="00FE5AB0">
        <w:t>enable new collaboration and drive better business decisions</w:t>
      </w:r>
      <w:r w:rsidRPr="00F36829">
        <w:t>.</w:t>
      </w:r>
    </w:p>
    <w:p w14:paraId="403C63B2" w14:textId="77777777" w:rsidR="003103D8" w:rsidRDefault="003103D8" w:rsidP="0052682D">
      <w:pPr>
        <w:autoSpaceDE w:val="0"/>
        <w:autoSpaceDN w:val="0"/>
        <w:adjustRightInd w:val="0"/>
        <w:spacing w:before="0"/>
      </w:pPr>
    </w:p>
    <w:p w14:paraId="67C988BD" w14:textId="77777777" w:rsidR="003103D8" w:rsidRDefault="003103D8" w:rsidP="0052682D">
      <w:pPr>
        <w:spacing w:before="0"/>
        <w:rPr>
          <w:b/>
        </w:rPr>
      </w:pPr>
      <w:r>
        <w:rPr>
          <w:b/>
        </w:rPr>
        <w:t>How does it work?</w:t>
      </w:r>
    </w:p>
    <w:p w14:paraId="398FBC23" w14:textId="77777777" w:rsidR="003103D8" w:rsidRPr="00F36829" w:rsidRDefault="003103D8" w:rsidP="0052682D">
      <w:pPr>
        <w:autoSpaceDE w:val="0"/>
        <w:autoSpaceDN w:val="0"/>
        <w:adjustRightInd w:val="0"/>
        <w:spacing w:before="0"/>
      </w:pPr>
      <w:r w:rsidRPr="002A64C8">
        <w:rPr>
          <w:b/>
        </w:rPr>
        <w:t>IP NOVA’s</w:t>
      </w:r>
      <w:r w:rsidRPr="00F36829">
        <w:t xml:space="preserve"> visually immersive search engine enables data discovery across all registered patents, trademarks and plant breeder's rights in Australia over the last 35 years.</w:t>
      </w:r>
      <w:r>
        <w:t xml:space="preserve"> The search mechanics for IP NOVA are fully customisable and include intuitive search suggestions, along with detailed help for more advanced users. Data visualisation is offered against the search results instantaneously. </w:t>
      </w:r>
    </w:p>
    <w:p w14:paraId="5A315FC2" w14:textId="77777777" w:rsidR="003103D8" w:rsidRDefault="003103D8" w:rsidP="0052682D">
      <w:pPr>
        <w:spacing w:before="0"/>
        <w:rPr>
          <w:lang w:val="en"/>
        </w:rPr>
      </w:pPr>
    </w:p>
    <w:p w14:paraId="33337589" w14:textId="77777777" w:rsidR="003103D8" w:rsidRPr="005B4770" w:rsidRDefault="003103D8" w:rsidP="0052682D">
      <w:pPr>
        <w:spacing w:before="0"/>
        <w:rPr>
          <w:lang w:val="en"/>
        </w:rPr>
      </w:pPr>
      <w:r w:rsidRPr="005B4770">
        <w:rPr>
          <w:lang w:val="en"/>
        </w:rPr>
        <w:t xml:space="preserve">IP NOVA is updated every week and </w:t>
      </w:r>
      <w:r>
        <w:rPr>
          <w:lang w:val="en"/>
        </w:rPr>
        <w:t>searches can be based on</w:t>
      </w:r>
      <w:r w:rsidRPr="005B4770">
        <w:rPr>
          <w:lang w:val="en"/>
        </w:rPr>
        <w:t>:</w:t>
      </w:r>
    </w:p>
    <w:p w14:paraId="5830DD5D" w14:textId="77777777" w:rsidR="003103D8" w:rsidRPr="00C07C9B" w:rsidRDefault="003103D8" w:rsidP="0052682D">
      <w:pPr>
        <w:pStyle w:val="ListParagraph"/>
        <w:numPr>
          <w:ilvl w:val="0"/>
          <w:numId w:val="38"/>
        </w:numPr>
        <w:spacing w:before="0"/>
      </w:pPr>
      <w:r w:rsidRPr="00C07C9B">
        <w:t xml:space="preserve">locations, including countries, states, localities and electorates, </w:t>
      </w:r>
    </w:p>
    <w:p w14:paraId="65A91565" w14:textId="77777777" w:rsidR="003103D8" w:rsidRPr="00C07C9B" w:rsidRDefault="003103D8" w:rsidP="0052682D">
      <w:pPr>
        <w:pStyle w:val="ListParagraph"/>
        <w:numPr>
          <w:ilvl w:val="0"/>
          <w:numId w:val="38"/>
        </w:numPr>
        <w:spacing w:before="0"/>
      </w:pPr>
      <w:r w:rsidRPr="00C07C9B">
        <w:t>applicant names and unique identifier,</w:t>
      </w:r>
    </w:p>
    <w:p w14:paraId="22A6B104" w14:textId="77777777" w:rsidR="003103D8" w:rsidRPr="00C07C9B" w:rsidRDefault="003103D8" w:rsidP="0052682D">
      <w:pPr>
        <w:pStyle w:val="ListParagraph"/>
        <w:numPr>
          <w:ilvl w:val="0"/>
          <w:numId w:val="38"/>
        </w:numPr>
        <w:spacing w:before="0"/>
      </w:pPr>
      <w:r w:rsidRPr="00C07C9B">
        <w:t xml:space="preserve">keywords, </w:t>
      </w:r>
    </w:p>
    <w:p w14:paraId="6FE19A73" w14:textId="77777777" w:rsidR="003103D8" w:rsidRPr="00C07C9B" w:rsidRDefault="003103D8" w:rsidP="0052682D">
      <w:pPr>
        <w:pStyle w:val="ListParagraph"/>
        <w:numPr>
          <w:ilvl w:val="0"/>
          <w:numId w:val="38"/>
        </w:numPr>
        <w:spacing w:before="0"/>
      </w:pPr>
      <w:r w:rsidRPr="00C07C9B">
        <w:t xml:space="preserve">technology and other classes, </w:t>
      </w:r>
    </w:p>
    <w:p w14:paraId="3CEF303A" w14:textId="77777777" w:rsidR="003103D8" w:rsidRDefault="003103D8" w:rsidP="0052682D">
      <w:pPr>
        <w:pStyle w:val="ListParagraph"/>
        <w:numPr>
          <w:ilvl w:val="0"/>
          <w:numId w:val="38"/>
        </w:numPr>
        <w:spacing w:before="0"/>
      </w:pPr>
      <w:r w:rsidRPr="00C07C9B">
        <w:t>IP fields such as current status and filing date.</w:t>
      </w:r>
      <w:r w:rsidR="00562C37">
        <w:t xml:space="preserve"> </w:t>
      </w:r>
    </w:p>
    <w:p w14:paraId="3F1A040D" w14:textId="77777777" w:rsidR="003103D8" w:rsidRDefault="003103D8" w:rsidP="0052682D">
      <w:pPr>
        <w:spacing w:before="0"/>
      </w:pPr>
    </w:p>
    <w:p w14:paraId="641A3E89" w14:textId="77777777" w:rsidR="002027CB" w:rsidRDefault="003103D8" w:rsidP="0052682D">
      <w:pPr>
        <w:spacing w:before="0"/>
        <w:rPr>
          <w:rFonts w:ascii="Calibri Light" w:eastAsia="MS Gothic" w:hAnsi="Calibri Light"/>
          <w:bCs/>
          <w:color w:val="3AA2A2"/>
          <w:sz w:val="32"/>
          <w:szCs w:val="26"/>
        </w:rPr>
      </w:pPr>
      <w:r>
        <w:rPr>
          <w:rFonts w:ascii="Segoe UI" w:hAnsi="Segoe UI" w:cs="Segoe UI"/>
          <w:b/>
          <w:color w:val="000000"/>
          <w:sz w:val="20"/>
          <w:szCs w:val="20"/>
        </w:rPr>
        <w:t>Find out more</w:t>
      </w:r>
      <w:r w:rsidRPr="00CD1612">
        <w:rPr>
          <w:rFonts w:ascii="Segoe UI" w:hAnsi="Segoe UI" w:cs="Segoe UI"/>
          <w:b/>
          <w:color w:val="000000"/>
          <w:sz w:val="20"/>
          <w:szCs w:val="20"/>
        </w:rPr>
        <w:t xml:space="preserve">: </w:t>
      </w:r>
      <w:hyperlink r:id="rId85" w:history="1">
        <w:r w:rsidRPr="00224159">
          <w:rPr>
            <w:rStyle w:val="Hyperlink"/>
            <w:lang w:val="en"/>
          </w:rPr>
          <w:t>https://ipnova.ipaustralia.gov.au/</w:t>
        </w:r>
      </w:hyperlink>
      <w:r w:rsidR="00693207">
        <w:rPr>
          <w:lang w:val="en"/>
        </w:rPr>
        <w:t>.</w:t>
      </w:r>
      <w:r w:rsidR="002027CB">
        <w:br w:type="page"/>
      </w:r>
    </w:p>
    <w:p w14:paraId="5DDE097A" w14:textId="77777777" w:rsidR="00F811C9" w:rsidRDefault="00522BA0" w:rsidP="0052682D">
      <w:pPr>
        <w:pStyle w:val="H2"/>
        <w:spacing w:before="0" w:after="0"/>
      </w:pPr>
      <w:bookmarkStart w:id="39" w:name="_Toc495915958"/>
      <w:r>
        <w:lastRenderedPageBreak/>
        <w:t>S</w:t>
      </w:r>
      <w:r w:rsidR="00F811C9">
        <w:t>o what is the problem?</w:t>
      </w:r>
      <w:bookmarkEnd w:id="38"/>
      <w:bookmarkEnd w:id="39"/>
      <w:r w:rsidR="00F811C9">
        <w:t xml:space="preserve"> </w:t>
      </w:r>
    </w:p>
    <w:p w14:paraId="2A1E62E4" w14:textId="77777777" w:rsidR="00F811C9" w:rsidRDefault="00755E1B" w:rsidP="0052682D">
      <w:pPr>
        <w:spacing w:before="0"/>
        <w:rPr>
          <w:rFonts w:asciiTheme="majorHAnsi" w:hAnsiTheme="majorHAnsi"/>
          <w:i/>
          <w:sz w:val="30"/>
        </w:rPr>
      </w:pPr>
      <w:r w:rsidRPr="006027D3">
        <w:rPr>
          <w:rFonts w:asciiTheme="majorHAnsi" w:hAnsiTheme="majorHAnsi"/>
          <w:i/>
          <w:sz w:val="30"/>
        </w:rPr>
        <w:t>A</w:t>
      </w:r>
      <w:r w:rsidR="00F811C9" w:rsidRPr="006027D3">
        <w:rPr>
          <w:rFonts w:asciiTheme="majorHAnsi" w:hAnsiTheme="majorHAnsi"/>
          <w:i/>
          <w:sz w:val="30"/>
        </w:rPr>
        <w:t xml:space="preserve">doption of deliberative process at the Commonwealth level has been relatively low when compared with local and </w:t>
      </w:r>
      <w:r w:rsidR="00522BA0" w:rsidRPr="006027D3">
        <w:rPr>
          <w:rFonts w:asciiTheme="majorHAnsi" w:hAnsiTheme="majorHAnsi"/>
          <w:i/>
          <w:sz w:val="30"/>
        </w:rPr>
        <w:t>s</w:t>
      </w:r>
      <w:r w:rsidR="00F811C9" w:rsidRPr="006027D3">
        <w:rPr>
          <w:rFonts w:asciiTheme="majorHAnsi" w:hAnsiTheme="majorHAnsi"/>
          <w:i/>
          <w:sz w:val="30"/>
        </w:rPr>
        <w:t>tate government.</w:t>
      </w:r>
      <w:r w:rsidR="00092EB8">
        <w:rPr>
          <w:rFonts w:asciiTheme="majorHAnsi" w:hAnsiTheme="majorHAnsi"/>
          <w:i/>
          <w:sz w:val="30"/>
        </w:rPr>
        <w:t xml:space="preserve"> </w:t>
      </w:r>
      <w:r w:rsidR="00F811C9" w:rsidRPr="006027D3">
        <w:rPr>
          <w:rFonts w:asciiTheme="majorHAnsi" w:hAnsiTheme="majorHAnsi"/>
          <w:i/>
          <w:sz w:val="30"/>
        </w:rPr>
        <w:t xml:space="preserve">If greater engagement and participation with the community have been shown to improve both government decision making and the level of confidence in those decisions, why haven’t we adopted it more at the Commonwealth level? </w:t>
      </w:r>
    </w:p>
    <w:p w14:paraId="6AC488F0" w14:textId="77777777" w:rsidR="000A6B3D" w:rsidRDefault="000A6B3D" w:rsidP="0052682D">
      <w:pPr>
        <w:spacing w:before="0"/>
        <w:rPr>
          <w:rFonts w:asciiTheme="majorHAnsi" w:hAnsiTheme="majorHAnsi"/>
          <w:i/>
          <w:sz w:val="30"/>
        </w:rPr>
      </w:pPr>
    </w:p>
    <w:p w14:paraId="10C63D4D" w14:textId="77777777" w:rsidR="00092EB8" w:rsidRPr="00092EB8" w:rsidRDefault="00092EB8" w:rsidP="00092EB8">
      <w:pPr>
        <w:spacing w:before="0"/>
        <w:rPr>
          <w:rFonts w:asciiTheme="majorHAnsi" w:hAnsiTheme="majorHAnsi"/>
          <w:i/>
          <w:sz w:val="30"/>
        </w:rPr>
      </w:pPr>
      <w:r w:rsidRPr="006027D3">
        <w:rPr>
          <w:rFonts w:asciiTheme="majorHAnsi" w:hAnsiTheme="majorHAnsi"/>
          <w:i/>
          <w:noProof/>
          <w:sz w:val="30"/>
          <w:lang w:eastAsia="en-AU"/>
        </w:rPr>
        <mc:AlternateContent>
          <mc:Choice Requires="wps">
            <w:drawing>
              <wp:anchor distT="0" distB="0" distL="457200" distR="114300" simplePos="0" relativeHeight="251658243" behindDoc="0" locked="0" layoutInCell="0" allowOverlap="1" wp14:anchorId="5671BFD2" wp14:editId="64D8C34A">
                <wp:simplePos x="0" y="0"/>
                <wp:positionH relativeFrom="margin">
                  <wp:align>right</wp:align>
                </wp:positionH>
                <wp:positionV relativeFrom="margin">
                  <wp:posOffset>1884045</wp:posOffset>
                </wp:positionV>
                <wp:extent cx="2315210" cy="5985510"/>
                <wp:effectExtent l="0" t="0" r="8890" b="0"/>
                <wp:wrapSquare wrapText="bothSides"/>
                <wp:docPr id="1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5210" cy="5985510"/>
                        </a:xfrm>
                        <a:prstGeom prst="rect">
                          <a:avLst/>
                        </a:prstGeom>
                        <a:solidFill>
                          <a:srgbClr val="DEEBF7"/>
                        </a:solidFill>
                        <a:ln>
                          <a:noFill/>
                        </a:ln>
                        <a:extLst/>
                      </wps:spPr>
                      <wps:txbx>
                        <w:txbxContent>
                          <w:p w14:paraId="323FE2CB"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An insight into the problem? An academic study of the </w:t>
                            </w:r>
                            <w:r>
                              <w:rPr>
                                <w:rFonts w:asciiTheme="majorHAnsi" w:hAnsiTheme="majorHAnsi" w:cs="Arial"/>
                                <w:b/>
                                <w:noProof/>
                                <w:color w:val="44546A" w:themeColor="text2"/>
                                <w:sz w:val="20"/>
                                <w:lang w:eastAsia="en-AU"/>
                              </w:rPr>
                              <w:t xml:space="preserve">abandoned </w:t>
                            </w:r>
                            <w:r w:rsidRPr="000F55D0">
                              <w:rPr>
                                <w:rFonts w:asciiTheme="majorHAnsi" w:hAnsiTheme="majorHAnsi" w:cs="Arial"/>
                                <w:b/>
                                <w:noProof/>
                                <w:color w:val="44546A" w:themeColor="text2"/>
                                <w:sz w:val="20"/>
                                <w:lang w:eastAsia="en-AU"/>
                              </w:rPr>
                              <w:t>Climate Change Citizens’ Assembly, 2010</w:t>
                            </w:r>
                          </w:p>
                          <w:p w14:paraId="57EC4CC7" w14:textId="77777777" w:rsidR="001143F2" w:rsidRDefault="001143F2" w:rsidP="00390A0E">
                            <w:pPr>
                              <w:spacing w:before="0"/>
                              <w:rPr>
                                <w:rFonts w:asciiTheme="majorHAnsi" w:hAnsiTheme="majorHAnsi" w:cs="Arial"/>
                                <w:noProof/>
                                <w:sz w:val="16"/>
                                <w:lang w:eastAsia="en-AU"/>
                              </w:rPr>
                            </w:pPr>
                            <w:r w:rsidRPr="000F55D0">
                              <w:rPr>
                                <w:rFonts w:asciiTheme="majorHAnsi" w:hAnsiTheme="majorHAnsi" w:cs="Arial"/>
                                <w:noProof/>
                                <w:sz w:val="16"/>
                                <w:lang w:eastAsia="en-AU"/>
                              </w:rPr>
                              <w:t>In 2010, the Gillard Government announced a Citizens’ Assembly to address the issue of climate change. The initiative generated signifi</w:t>
                            </w:r>
                            <w:r>
                              <w:rPr>
                                <w:rFonts w:asciiTheme="majorHAnsi" w:hAnsiTheme="majorHAnsi" w:cs="Arial"/>
                                <w:noProof/>
                                <w:sz w:val="16"/>
                                <w:lang w:eastAsia="en-AU"/>
                              </w:rPr>
                              <w:t xml:space="preserve">cant controversy and criticism, </w:t>
                            </w:r>
                            <w:r w:rsidRPr="000F55D0">
                              <w:rPr>
                                <w:rFonts w:asciiTheme="majorHAnsi" w:hAnsiTheme="majorHAnsi" w:cs="Arial"/>
                                <w:noProof/>
                                <w:sz w:val="16"/>
                                <w:lang w:eastAsia="en-AU"/>
                              </w:rPr>
                              <w:t xml:space="preserve">even though there is nothing intrinsically wrong with deliberative citizen assembly models. </w:t>
                            </w:r>
                          </w:p>
                          <w:p w14:paraId="1F4A4FA1" w14:textId="77777777" w:rsidR="001143F2" w:rsidRDefault="001143F2" w:rsidP="00390A0E">
                            <w:pPr>
                              <w:spacing w:before="0"/>
                              <w:rPr>
                                <w:rFonts w:asciiTheme="majorHAnsi" w:hAnsiTheme="majorHAnsi" w:cs="Arial"/>
                                <w:noProof/>
                                <w:sz w:val="16"/>
                                <w:lang w:eastAsia="en-AU"/>
                              </w:rPr>
                            </w:pPr>
                          </w:p>
                          <w:p w14:paraId="00DD8518" w14:textId="77777777" w:rsidR="001143F2" w:rsidRPr="000F55D0" w:rsidRDefault="001143F2" w:rsidP="00390A0E">
                            <w:pPr>
                              <w:spacing w:before="0"/>
                              <w:rPr>
                                <w:rFonts w:asciiTheme="majorHAnsi" w:hAnsiTheme="majorHAnsi" w:cs="Arial"/>
                                <w:noProof/>
                                <w:sz w:val="16"/>
                                <w:lang w:eastAsia="en-AU"/>
                              </w:rPr>
                            </w:pPr>
                            <w:r w:rsidRPr="000F55D0">
                              <w:rPr>
                                <w:rFonts w:asciiTheme="majorHAnsi" w:hAnsiTheme="majorHAnsi" w:cs="Arial"/>
                                <w:noProof/>
                                <w:sz w:val="16"/>
                                <w:lang w:eastAsia="en-AU"/>
                              </w:rPr>
                              <w:t>To understand the backlash, an academic study analysed 200 media articles and summarised criticisms as follows:</w:t>
                            </w:r>
                          </w:p>
                          <w:p w14:paraId="4D47A6A3"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 assembly was a threat to democracy – undermining elected representatives.</w:t>
                            </w:r>
                          </w:p>
                          <w:p w14:paraId="50D0888B"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 assembly was an abrogation of duty – a ‘cop out’ or ‘gimmick’ cynically designed to ‘neutralise’ a controversial issue.</w:t>
                            </w:r>
                          </w:p>
                          <w:p w14:paraId="6B130CD1"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There were procedural objections – how would it work? What information would participants get? Who will appoint them?</w:t>
                            </w:r>
                          </w:p>
                          <w:p w14:paraId="54DFA356" w14:textId="77777777" w:rsidR="001143F2" w:rsidRPr="000F55D0" w:rsidRDefault="001143F2" w:rsidP="00D20E4E">
                            <w:pPr>
                              <w:spacing w:before="0"/>
                              <w:rPr>
                                <w:rFonts w:asciiTheme="majorHAnsi" w:hAnsiTheme="majorHAnsi" w:cs="Arial"/>
                                <w:noProof/>
                                <w:sz w:val="16"/>
                                <w:lang w:eastAsia="en-AU"/>
                              </w:rPr>
                            </w:pPr>
                          </w:p>
                          <w:p w14:paraId="228A0C5C" w14:textId="77777777" w:rsidR="001143F2" w:rsidRDefault="001143F2" w:rsidP="00D20E4E">
                            <w:pPr>
                              <w:spacing w:before="0"/>
                              <w:rPr>
                                <w:rFonts w:asciiTheme="majorHAnsi" w:hAnsiTheme="majorHAnsi" w:cs="Arial"/>
                                <w:noProof/>
                                <w:sz w:val="16"/>
                                <w:lang w:eastAsia="en-AU"/>
                              </w:rPr>
                            </w:pPr>
                            <w:r w:rsidRPr="000F55D0">
                              <w:rPr>
                                <w:rFonts w:asciiTheme="majorHAnsi" w:hAnsiTheme="majorHAnsi" w:cs="Arial"/>
                                <w:noProof/>
                                <w:sz w:val="16"/>
                                <w:lang w:eastAsia="en-AU"/>
                              </w:rPr>
                              <w:t>The study found most concerns didn’t have a basis in the academic evidence. But they noted that highly politicised and high profile issues might be beyond deliberative engagement and that there needs to be awareness of opposition to deliberative citizen engagement by Australia’s opinion elite.</w:t>
                            </w:r>
                          </w:p>
                          <w:p w14:paraId="2508F167" w14:textId="77777777" w:rsidR="001143F2" w:rsidRPr="000F55D0" w:rsidRDefault="001143F2" w:rsidP="00D20E4E">
                            <w:pPr>
                              <w:spacing w:before="0"/>
                              <w:rPr>
                                <w:rFonts w:asciiTheme="majorHAnsi" w:hAnsiTheme="majorHAnsi" w:cs="Arial"/>
                                <w:noProof/>
                                <w:sz w:val="16"/>
                                <w:lang w:eastAsia="en-AU"/>
                              </w:rPr>
                            </w:pPr>
                          </w:p>
                          <w:p w14:paraId="6321B6EF" w14:textId="77777777" w:rsidR="001143F2" w:rsidRPr="009B57D5" w:rsidRDefault="001143F2" w:rsidP="009B57D5">
                            <w:pPr>
                              <w:spacing w:before="0"/>
                              <w:rPr>
                                <w:rFonts w:asciiTheme="majorHAnsi" w:hAnsiTheme="majorHAnsi" w:cs="Arial"/>
                                <w:noProof/>
                                <w:sz w:val="16"/>
                                <w:lang w:eastAsia="en-AU"/>
                              </w:rPr>
                            </w:pPr>
                            <w:r w:rsidRPr="009B57D5">
                              <w:rPr>
                                <w:rFonts w:asciiTheme="majorHAnsi" w:hAnsiTheme="majorHAnsi" w:cs="Arial"/>
                                <w:noProof/>
                                <w:sz w:val="16"/>
                                <w:lang w:eastAsia="en-AU"/>
                              </w:rPr>
                              <w:t>Source: John Boswell, Simon Niemeyer, Carolyn Hendriks ‘Julia Gillard's Citizens' Assembly Proposal for Australia: A Deliberative Democratic Analysis’, Australian Journal of Political Science, Australian National University, 2013.</w:t>
                            </w:r>
                          </w:p>
                          <w:p w14:paraId="1F73E9B5" w14:textId="77777777" w:rsidR="001143F2" w:rsidRPr="00390A0E" w:rsidRDefault="001143F2" w:rsidP="00390A0E">
                            <w:pPr>
                              <w:spacing w:before="0"/>
                              <w:rPr>
                                <w:rStyle w:val="PlaceholderText"/>
                                <w:color w:val="323E4F" w:themeColor="text2" w:themeShade="BF"/>
                                <w:sz w:val="24"/>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671BFD2" id="_x0000_s1050" style="position:absolute;margin-left:131.1pt;margin-top:148.35pt;width:182.3pt;height:471.3pt;z-index:251658243;visibility:visible;mso-wrap-style:square;mso-width-percent:0;mso-height-percent:0;mso-wrap-distance-left:36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" o:allowincell="f" fillcolor="#deebf7" stroked="f">
                <v:textbox inset="14.4pt,14.4pt,14.4pt,14.4pt">
                  <w:txbxContent>
                    <w:p w14:paraId="323FE2CB"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An insight into the problem? An academic study of the </w:t>
                      </w:r>
                      <w:r>
                        <w:rPr>
                          <w:rFonts w:asciiTheme="majorHAnsi" w:hAnsiTheme="majorHAnsi" w:cs="Arial"/>
                          <w:b/>
                          <w:noProof/>
                          <w:color w:val="44546A" w:themeColor="text2"/>
                          <w:sz w:val="20"/>
                          <w:lang w:eastAsia="en-AU"/>
                        </w:rPr>
                        <w:t xml:space="preserve">abandoned </w:t>
                      </w:r>
                      <w:r w:rsidRPr="000F55D0">
                        <w:rPr>
                          <w:rFonts w:asciiTheme="majorHAnsi" w:hAnsiTheme="majorHAnsi" w:cs="Arial"/>
                          <w:b/>
                          <w:noProof/>
                          <w:color w:val="44546A" w:themeColor="text2"/>
                          <w:sz w:val="20"/>
                          <w:lang w:eastAsia="en-AU"/>
                        </w:rPr>
                        <w:t>Climate Change Citizens’ Assembly, 2010</w:t>
                      </w:r>
                    </w:p>
                    <w:p w14:paraId="57EC4CC7" w14:textId="77777777" w:rsidR="001143F2" w:rsidRDefault="001143F2" w:rsidP="00390A0E">
                      <w:pPr>
                        <w:spacing w:before="0"/>
                        <w:rPr>
                          <w:rFonts w:asciiTheme="majorHAnsi" w:hAnsiTheme="majorHAnsi" w:cs="Arial"/>
                          <w:noProof/>
                          <w:sz w:val="16"/>
                          <w:lang w:eastAsia="en-AU"/>
                        </w:rPr>
                      </w:pPr>
                      <w:r w:rsidRPr="000F55D0">
                        <w:rPr>
                          <w:rFonts w:asciiTheme="majorHAnsi" w:hAnsiTheme="majorHAnsi" w:cs="Arial"/>
                          <w:noProof/>
                          <w:sz w:val="16"/>
                          <w:lang w:eastAsia="en-AU"/>
                        </w:rPr>
                        <w:t>In 2010, the Gillard Government announced a Citizens’ Assembly to address the issue of climate change. The initiative generated signifi</w:t>
                      </w:r>
                      <w:r>
                        <w:rPr>
                          <w:rFonts w:asciiTheme="majorHAnsi" w:hAnsiTheme="majorHAnsi" w:cs="Arial"/>
                          <w:noProof/>
                          <w:sz w:val="16"/>
                          <w:lang w:eastAsia="en-AU"/>
                        </w:rPr>
                        <w:t xml:space="preserve">cant controversy and criticism, </w:t>
                      </w:r>
                      <w:r w:rsidRPr="000F55D0">
                        <w:rPr>
                          <w:rFonts w:asciiTheme="majorHAnsi" w:hAnsiTheme="majorHAnsi" w:cs="Arial"/>
                          <w:noProof/>
                          <w:sz w:val="16"/>
                          <w:lang w:eastAsia="en-AU"/>
                        </w:rPr>
                        <w:t xml:space="preserve">even though there is nothing intrinsically wrong with deliberative citizen assembly models. </w:t>
                      </w:r>
                    </w:p>
                    <w:p w14:paraId="1F4A4FA1" w14:textId="77777777" w:rsidR="001143F2" w:rsidRDefault="001143F2" w:rsidP="00390A0E">
                      <w:pPr>
                        <w:spacing w:before="0"/>
                        <w:rPr>
                          <w:rFonts w:asciiTheme="majorHAnsi" w:hAnsiTheme="majorHAnsi" w:cs="Arial"/>
                          <w:noProof/>
                          <w:sz w:val="16"/>
                          <w:lang w:eastAsia="en-AU"/>
                        </w:rPr>
                      </w:pPr>
                    </w:p>
                    <w:p w14:paraId="00DD8518" w14:textId="77777777" w:rsidR="001143F2" w:rsidRPr="000F55D0" w:rsidRDefault="001143F2" w:rsidP="00390A0E">
                      <w:pPr>
                        <w:spacing w:before="0"/>
                        <w:rPr>
                          <w:rFonts w:asciiTheme="majorHAnsi" w:hAnsiTheme="majorHAnsi" w:cs="Arial"/>
                          <w:noProof/>
                          <w:sz w:val="16"/>
                          <w:lang w:eastAsia="en-AU"/>
                        </w:rPr>
                      </w:pPr>
                      <w:r w:rsidRPr="000F55D0">
                        <w:rPr>
                          <w:rFonts w:asciiTheme="majorHAnsi" w:hAnsiTheme="majorHAnsi" w:cs="Arial"/>
                          <w:noProof/>
                          <w:sz w:val="16"/>
                          <w:lang w:eastAsia="en-AU"/>
                        </w:rPr>
                        <w:t>To understand the backlash, an academic study analysed 200 media articles and summarised criticisms as follows:</w:t>
                      </w:r>
                    </w:p>
                    <w:p w14:paraId="4D47A6A3"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 assembly was a threat to democracy – undermining elected representatives.</w:t>
                      </w:r>
                    </w:p>
                    <w:p w14:paraId="50D0888B"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 assembly was an abrogation of duty – a ‘cop out’ or ‘gimmick’ cynically designed to ‘neutralise’ a controversial issue.</w:t>
                      </w:r>
                    </w:p>
                    <w:p w14:paraId="6B130CD1" w14:textId="77777777" w:rsidR="001143F2" w:rsidRPr="000F55D0" w:rsidRDefault="001143F2" w:rsidP="007B3CA8">
                      <w:pPr>
                        <w:pStyle w:val="ListParagraph"/>
                        <w:numPr>
                          <w:ilvl w:val="0"/>
                          <w:numId w:val="32"/>
                        </w:numPr>
                        <w:spacing w:before="0"/>
                        <w:ind w:left="414" w:hanging="357"/>
                        <w:rPr>
                          <w:rFonts w:asciiTheme="majorHAnsi" w:hAnsiTheme="majorHAnsi"/>
                          <w:color w:val="000000" w:themeColor="text1"/>
                          <w:sz w:val="16"/>
                          <w:szCs w:val="16"/>
                        </w:rPr>
                      </w:pPr>
                      <w:r w:rsidRPr="000F55D0">
                        <w:rPr>
                          <w:rFonts w:asciiTheme="majorHAnsi" w:hAnsiTheme="majorHAnsi"/>
                          <w:color w:val="000000" w:themeColor="text1"/>
                          <w:sz w:val="16"/>
                          <w:szCs w:val="16"/>
                        </w:rPr>
                        <w:t>There were procedural objections – how would it work? What information would participants get? Who will appoint them?</w:t>
                      </w:r>
                    </w:p>
                    <w:p w14:paraId="54DFA356" w14:textId="77777777" w:rsidR="001143F2" w:rsidRPr="000F55D0" w:rsidRDefault="001143F2" w:rsidP="00D20E4E">
                      <w:pPr>
                        <w:spacing w:before="0"/>
                        <w:rPr>
                          <w:rFonts w:asciiTheme="majorHAnsi" w:hAnsiTheme="majorHAnsi" w:cs="Arial"/>
                          <w:noProof/>
                          <w:sz w:val="16"/>
                          <w:lang w:eastAsia="en-AU"/>
                        </w:rPr>
                      </w:pPr>
                    </w:p>
                    <w:p w14:paraId="228A0C5C" w14:textId="77777777" w:rsidR="001143F2" w:rsidRDefault="001143F2" w:rsidP="00D20E4E">
                      <w:pPr>
                        <w:spacing w:before="0"/>
                        <w:rPr>
                          <w:rFonts w:asciiTheme="majorHAnsi" w:hAnsiTheme="majorHAnsi" w:cs="Arial"/>
                          <w:noProof/>
                          <w:sz w:val="16"/>
                          <w:lang w:eastAsia="en-AU"/>
                        </w:rPr>
                      </w:pPr>
                      <w:r w:rsidRPr="000F55D0">
                        <w:rPr>
                          <w:rFonts w:asciiTheme="majorHAnsi" w:hAnsiTheme="majorHAnsi" w:cs="Arial"/>
                          <w:noProof/>
                          <w:sz w:val="16"/>
                          <w:lang w:eastAsia="en-AU"/>
                        </w:rPr>
                        <w:t>The study found most concerns didn’t have a basis in the academic evidence. But they noted that highly politicised and high profile issues might be beyond deliberative engagement and that there needs to be awareness of opposition to deliberative citizen engagement by Australia’s opinion elite.</w:t>
                      </w:r>
                    </w:p>
                    <w:p w14:paraId="2508F167" w14:textId="77777777" w:rsidR="001143F2" w:rsidRPr="000F55D0" w:rsidRDefault="001143F2" w:rsidP="00D20E4E">
                      <w:pPr>
                        <w:spacing w:before="0"/>
                        <w:rPr>
                          <w:rFonts w:asciiTheme="majorHAnsi" w:hAnsiTheme="majorHAnsi" w:cs="Arial"/>
                          <w:noProof/>
                          <w:sz w:val="16"/>
                          <w:lang w:eastAsia="en-AU"/>
                        </w:rPr>
                      </w:pPr>
                    </w:p>
                    <w:p w14:paraId="6321B6EF" w14:textId="77777777" w:rsidR="001143F2" w:rsidRPr="009B57D5" w:rsidRDefault="001143F2" w:rsidP="009B57D5">
                      <w:pPr>
                        <w:spacing w:before="0"/>
                        <w:rPr>
                          <w:rFonts w:asciiTheme="majorHAnsi" w:hAnsiTheme="majorHAnsi" w:cs="Arial"/>
                          <w:noProof/>
                          <w:sz w:val="16"/>
                          <w:lang w:eastAsia="en-AU"/>
                        </w:rPr>
                      </w:pPr>
                      <w:r w:rsidRPr="009B57D5">
                        <w:rPr>
                          <w:rFonts w:asciiTheme="majorHAnsi" w:hAnsiTheme="majorHAnsi" w:cs="Arial"/>
                          <w:noProof/>
                          <w:sz w:val="16"/>
                          <w:lang w:eastAsia="en-AU"/>
                        </w:rPr>
                        <w:t>Source: John Boswell, Simon Niemeyer, Carolyn Hendriks ‘Julia Gillard's Citizens' Assembly Proposal for Australia: A Deliberative Democratic Analysis’, Australian Journal of Political Science, Australian National University, 2013.</w:t>
                      </w:r>
                    </w:p>
                    <w:p w14:paraId="1F73E9B5" w14:textId="77777777" w:rsidR="001143F2" w:rsidRPr="00390A0E" w:rsidRDefault="001143F2" w:rsidP="00390A0E">
                      <w:pPr>
                        <w:spacing w:before="0"/>
                        <w:rPr>
                          <w:rStyle w:val="PlaceholderText"/>
                          <w:color w:val="323E4F" w:themeColor="text2" w:themeShade="BF"/>
                          <w:sz w:val="24"/>
                        </w:rPr>
                      </w:pPr>
                    </w:p>
                  </w:txbxContent>
                </v:textbox>
                <w10:wrap type="square" anchorx="margin" anchory="margin"/>
              </v:rect>
            </w:pict>
          </mc:Fallback>
        </mc:AlternateContent>
      </w:r>
      <w:r w:rsidRPr="00092EB8">
        <w:rPr>
          <w:rFonts w:asciiTheme="majorHAnsi" w:hAnsiTheme="majorHAnsi"/>
          <w:i/>
          <w:sz w:val="30"/>
        </w:rPr>
        <w:t xml:space="preserve">The APS is less active in respect of engagement and participation with the community due to: </w:t>
      </w:r>
    </w:p>
    <w:p w14:paraId="202A6BD8" w14:textId="77777777" w:rsidR="00092EB8" w:rsidRPr="00092EB8" w:rsidRDefault="00092EB8" w:rsidP="00092EB8">
      <w:pPr>
        <w:pStyle w:val="ListParagraph"/>
        <w:numPr>
          <w:ilvl w:val="0"/>
          <w:numId w:val="38"/>
        </w:numPr>
        <w:spacing w:before="0"/>
        <w:rPr>
          <w:rFonts w:asciiTheme="majorHAnsi" w:hAnsiTheme="majorHAnsi"/>
          <w:i/>
          <w:sz w:val="30"/>
        </w:rPr>
      </w:pPr>
      <w:r w:rsidRPr="00092EB8">
        <w:rPr>
          <w:rFonts w:asciiTheme="majorHAnsi" w:hAnsiTheme="majorHAnsi"/>
          <w:i/>
          <w:sz w:val="30"/>
        </w:rPr>
        <w:t>Lack of awareness of t</w:t>
      </w:r>
      <w:r>
        <w:rPr>
          <w:rFonts w:asciiTheme="majorHAnsi" w:hAnsiTheme="majorHAnsi"/>
          <w:i/>
          <w:sz w:val="30"/>
        </w:rPr>
        <w:t>he practices that are available;</w:t>
      </w:r>
    </w:p>
    <w:p w14:paraId="16781224" w14:textId="77777777" w:rsidR="00092EB8" w:rsidRPr="00092EB8" w:rsidRDefault="00092EB8" w:rsidP="00092EB8">
      <w:pPr>
        <w:pStyle w:val="ListParagraph"/>
        <w:numPr>
          <w:ilvl w:val="0"/>
          <w:numId w:val="38"/>
        </w:numPr>
        <w:spacing w:before="0"/>
        <w:rPr>
          <w:rFonts w:asciiTheme="majorHAnsi" w:hAnsiTheme="majorHAnsi"/>
          <w:i/>
          <w:sz w:val="30"/>
        </w:rPr>
      </w:pPr>
      <w:r w:rsidRPr="00092EB8">
        <w:rPr>
          <w:rFonts w:asciiTheme="majorHAnsi" w:hAnsiTheme="majorHAnsi"/>
          <w:i/>
          <w:sz w:val="30"/>
        </w:rPr>
        <w:t>Lack of confidence in the potential benefits to decision making from such activities relative to the time and cost involved;</w:t>
      </w:r>
    </w:p>
    <w:p w14:paraId="175CAC4C" w14:textId="77777777" w:rsidR="00092EB8" w:rsidRPr="00092EB8" w:rsidRDefault="00092EB8" w:rsidP="00092EB8">
      <w:pPr>
        <w:pStyle w:val="ListParagraph"/>
        <w:numPr>
          <w:ilvl w:val="0"/>
          <w:numId w:val="38"/>
        </w:numPr>
        <w:spacing w:before="0"/>
        <w:rPr>
          <w:rFonts w:asciiTheme="majorHAnsi" w:hAnsiTheme="majorHAnsi"/>
          <w:i/>
          <w:sz w:val="30"/>
        </w:rPr>
      </w:pPr>
      <w:r w:rsidRPr="00092EB8">
        <w:rPr>
          <w:rFonts w:asciiTheme="majorHAnsi" w:hAnsiTheme="majorHAnsi"/>
          <w:i/>
          <w:sz w:val="30"/>
        </w:rPr>
        <w:t>Lack of capability to execute such activities in an effective way.</w:t>
      </w:r>
    </w:p>
    <w:p w14:paraId="594AA272" w14:textId="77777777" w:rsidR="00C07C9B" w:rsidRDefault="00C07C9B" w:rsidP="0052682D">
      <w:pPr>
        <w:spacing w:before="0"/>
      </w:pPr>
    </w:p>
    <w:p w14:paraId="1F46CA28" w14:textId="77777777" w:rsidR="00F811C9" w:rsidRDefault="00E251D6" w:rsidP="0052682D">
      <w:pPr>
        <w:spacing w:before="0"/>
      </w:pPr>
      <w:r>
        <w:t>The</w:t>
      </w:r>
      <w:r w:rsidR="004042C7">
        <w:t xml:space="preserve"> first part of the paper detailed</w:t>
      </w:r>
      <w:r>
        <w:t xml:space="preserve"> our secondary research – findings </w:t>
      </w:r>
      <w:r w:rsidR="00CE7C66">
        <w:t>from consultation with experts</w:t>
      </w:r>
      <w:r w:rsidR="00DF3000">
        <w:t xml:space="preserve"> and </w:t>
      </w:r>
      <w:r>
        <w:t xml:space="preserve">our literature review. </w:t>
      </w:r>
      <w:r w:rsidR="00DF3000">
        <w:t>This research</w:t>
      </w:r>
      <w:r>
        <w:t xml:space="preserve"> </w:t>
      </w:r>
      <w:r w:rsidR="00F811C9">
        <w:t>suggest</w:t>
      </w:r>
      <w:r>
        <w:t>s</w:t>
      </w:r>
      <w:r w:rsidR="00F811C9">
        <w:t xml:space="preserve"> that the problem that the framework is to address can be stated as follows:</w:t>
      </w:r>
    </w:p>
    <w:p w14:paraId="79C612BB" w14:textId="77777777" w:rsidR="00C07C9B" w:rsidRDefault="00C07C9B" w:rsidP="0052682D">
      <w:pPr>
        <w:spacing w:before="0"/>
      </w:pPr>
    </w:p>
    <w:p w14:paraId="3EC98499" w14:textId="77777777" w:rsidR="00F811C9" w:rsidRDefault="00F811C9" w:rsidP="0052682D">
      <w:pPr>
        <w:spacing w:before="0"/>
        <w:rPr>
          <w:i/>
          <w:iCs/>
        </w:rPr>
      </w:pPr>
      <w:r>
        <w:rPr>
          <w:i/>
          <w:iCs/>
        </w:rPr>
        <w:t>The Australian Public Service is missing opportunities to develop more innovative and valued solutions to complex public policy problems due to a lack of effective engagement with the expertise available in the business, academic and the general community.</w:t>
      </w:r>
      <w:r w:rsidR="00C53E84">
        <w:rPr>
          <w:i/>
          <w:iCs/>
        </w:rPr>
        <w:t xml:space="preserve"> </w:t>
      </w:r>
      <w:r>
        <w:rPr>
          <w:i/>
          <w:iCs/>
        </w:rPr>
        <w:t>By not engaging more effectively the APS is potentially missing the chance to improve both government decision making and the level of confidence in those decisions.</w:t>
      </w:r>
      <w:r w:rsidR="00562C37">
        <w:rPr>
          <w:i/>
          <w:iCs/>
        </w:rPr>
        <w:t xml:space="preserve"> </w:t>
      </w:r>
    </w:p>
    <w:p w14:paraId="53F0B460" w14:textId="77777777" w:rsidR="00C07C9B" w:rsidRDefault="00C07C9B" w:rsidP="0052682D">
      <w:pPr>
        <w:spacing w:before="0"/>
        <w:rPr>
          <w:i/>
          <w:iCs/>
        </w:rPr>
      </w:pPr>
    </w:p>
    <w:p w14:paraId="5444BC10" w14:textId="77777777" w:rsidR="00F811C9" w:rsidRDefault="00F811C9" w:rsidP="0052682D">
      <w:pPr>
        <w:spacing w:before="0"/>
        <w:rPr>
          <w:i/>
          <w:iCs/>
        </w:rPr>
      </w:pPr>
      <w:r>
        <w:rPr>
          <w:i/>
          <w:iCs/>
        </w:rPr>
        <w:t xml:space="preserve">Australia has a strong international reputation for engagement and participation based in large part to the activities undertaken at the state and local levels. Why is the APS less likely to utilise the </w:t>
      </w:r>
      <w:r>
        <w:rPr>
          <w:i/>
          <w:iCs/>
        </w:rPr>
        <w:lastRenderedPageBreak/>
        <w:t>broader spectrum of engagement activities? What are the barriers to the Commonwealth utilising a broader range of engagement activities and what would be the conditions that would see the Commonwealth better utili</w:t>
      </w:r>
      <w:r w:rsidR="00C07C9B">
        <w:rPr>
          <w:i/>
          <w:iCs/>
        </w:rPr>
        <w:t>se the full range of approaches.</w:t>
      </w:r>
    </w:p>
    <w:p w14:paraId="6BEF8EF2" w14:textId="77777777" w:rsidR="00C07C9B" w:rsidRDefault="00C07C9B" w:rsidP="0052682D">
      <w:pPr>
        <w:spacing w:before="0"/>
      </w:pPr>
    </w:p>
    <w:p w14:paraId="604BD1A6" w14:textId="77777777" w:rsidR="00F811C9" w:rsidRDefault="00F811C9" w:rsidP="0052682D">
      <w:pPr>
        <w:spacing w:before="0"/>
      </w:pPr>
      <w:r>
        <w:t>Our hypothesis is that:</w:t>
      </w:r>
    </w:p>
    <w:p w14:paraId="57B6B155" w14:textId="77777777" w:rsidR="00755E1B" w:rsidRDefault="00755E1B" w:rsidP="0052682D">
      <w:pPr>
        <w:spacing w:before="0"/>
      </w:pPr>
    </w:p>
    <w:p w14:paraId="16BDF687" w14:textId="77777777" w:rsidR="00755E1B" w:rsidRPr="00755E1B" w:rsidRDefault="00755E1B" w:rsidP="0052682D">
      <w:pPr>
        <w:spacing w:before="0"/>
        <w:rPr>
          <w:b/>
          <w:i/>
        </w:rPr>
      </w:pPr>
      <w:r w:rsidRPr="00755E1B">
        <w:rPr>
          <w:b/>
          <w:i/>
        </w:rPr>
        <w:t>The APS is less active in respect of engagement and participation with the community due to</w:t>
      </w:r>
      <w:r w:rsidR="00CE79DB">
        <w:rPr>
          <w:b/>
          <w:i/>
        </w:rPr>
        <w:t>:</w:t>
      </w:r>
      <w:r w:rsidRPr="00755E1B">
        <w:rPr>
          <w:b/>
          <w:i/>
        </w:rPr>
        <w:t xml:space="preserve"> </w:t>
      </w:r>
    </w:p>
    <w:p w14:paraId="10A75B0F" w14:textId="77777777" w:rsidR="00755E1B" w:rsidRDefault="00755E1B" w:rsidP="0052682D">
      <w:pPr>
        <w:spacing w:before="0"/>
      </w:pPr>
    </w:p>
    <w:p w14:paraId="7F5D02E5" w14:textId="77777777" w:rsidR="00B05EFB" w:rsidRPr="00755E1B" w:rsidRDefault="00CE79DB" w:rsidP="0052682D">
      <w:pPr>
        <w:pStyle w:val="ListParagraph"/>
        <w:numPr>
          <w:ilvl w:val="0"/>
          <w:numId w:val="38"/>
        </w:numPr>
        <w:spacing w:before="0"/>
        <w:rPr>
          <w:b/>
          <w:i/>
        </w:rPr>
      </w:pPr>
      <w:r>
        <w:rPr>
          <w:b/>
          <w:i/>
        </w:rPr>
        <w:t xml:space="preserve">Lack of </w:t>
      </w:r>
      <w:r w:rsidR="00B05EFB" w:rsidRPr="00755E1B">
        <w:rPr>
          <w:b/>
          <w:i/>
        </w:rPr>
        <w:t>awareness of the practices that are available:</w:t>
      </w:r>
    </w:p>
    <w:p w14:paraId="2E451117" w14:textId="77777777" w:rsidR="00B05EFB" w:rsidRDefault="00B05EFB" w:rsidP="0052682D">
      <w:pPr>
        <w:spacing w:before="0"/>
      </w:pPr>
    </w:p>
    <w:p w14:paraId="2AAD699C" w14:textId="77777777" w:rsidR="00B05EFB" w:rsidRDefault="00B05EFB" w:rsidP="0052682D">
      <w:pPr>
        <w:spacing w:before="0"/>
      </w:pPr>
      <w:r>
        <w:t>Public participation has been around a long time. Consultation and information sharing tools have been regularly used since the 1970s. While collaboration and deliberation might be relatively less common, they haven’t emerged recently either. Systematic approaches to public participation go back at least to 1969,</w:t>
      </w:r>
      <w:r>
        <w:rPr>
          <w:rStyle w:val="FootnoteReference"/>
        </w:rPr>
        <w:footnoteReference w:id="45"/>
      </w:r>
      <w:r>
        <w:t xml:space="preserve"> and deliberation has been a mainstream idea in political science and policy studies since the 1980s.</w:t>
      </w:r>
      <w:r>
        <w:rPr>
          <w:rStyle w:val="FootnoteReference"/>
        </w:rPr>
        <w:footnoteReference w:id="46"/>
      </w:r>
      <w:r>
        <w:t xml:space="preserve"> Engagement is becoming increasingly professionalised. For example, there is a public participation association – IAP2 Australasia, which, among other things, advocates on behalf of its members; includes a register of engagement consultancies; and offers training certificate</w:t>
      </w:r>
      <w:r w:rsidR="00E30CE1">
        <w:t>s</w:t>
      </w:r>
      <w:r>
        <w:t xml:space="preserve"> in engagement and participation.</w:t>
      </w:r>
    </w:p>
    <w:p w14:paraId="59B95FBC" w14:textId="77777777" w:rsidR="00B05EFB" w:rsidRDefault="00B05EFB" w:rsidP="0052682D">
      <w:pPr>
        <w:spacing w:before="0"/>
      </w:pPr>
    </w:p>
    <w:p w14:paraId="379A95E0" w14:textId="77777777" w:rsidR="00B05EFB" w:rsidRDefault="00B05EFB" w:rsidP="0052682D">
      <w:pPr>
        <w:spacing w:before="0"/>
      </w:pPr>
      <w:r>
        <w:t xml:space="preserve">Yet </w:t>
      </w:r>
      <w:r w:rsidR="00E30CE1">
        <w:t>our problem identification research</w:t>
      </w:r>
      <w:r>
        <w:t xml:space="preserve"> suggest that most public servants have never heard of public participation; and tend to think of engagement as the more formal consultation mechanisms such as issues papers. Where tools such as the IAP2 spectrum are used</w:t>
      </w:r>
      <w:r w:rsidR="00DF3000">
        <w:t>,</w:t>
      </w:r>
      <w:r>
        <w:t xml:space="preserve"> it tends to be in specific communications and stakeholder engagement teams with little penetration into agencies.</w:t>
      </w:r>
    </w:p>
    <w:p w14:paraId="40747F67" w14:textId="77777777" w:rsidR="00C07C9B" w:rsidRDefault="00C07C9B" w:rsidP="0052682D">
      <w:pPr>
        <w:spacing w:before="0"/>
      </w:pPr>
    </w:p>
    <w:p w14:paraId="504861C4" w14:textId="77777777" w:rsidR="00F811C9" w:rsidRPr="00755E1B" w:rsidRDefault="00CE79DB" w:rsidP="0052682D">
      <w:pPr>
        <w:pStyle w:val="ListParagraph"/>
        <w:numPr>
          <w:ilvl w:val="0"/>
          <w:numId w:val="38"/>
        </w:numPr>
        <w:spacing w:before="0"/>
        <w:rPr>
          <w:b/>
          <w:i/>
        </w:rPr>
      </w:pPr>
      <w:r>
        <w:rPr>
          <w:b/>
          <w:i/>
        </w:rPr>
        <w:t xml:space="preserve">Lack of </w:t>
      </w:r>
      <w:r w:rsidR="00F811C9" w:rsidRPr="00755E1B">
        <w:rPr>
          <w:b/>
          <w:i/>
        </w:rPr>
        <w:t>confidence in the potential benefits to decision making from such activities relative to the time and cost involved;</w:t>
      </w:r>
    </w:p>
    <w:p w14:paraId="03DB83C2" w14:textId="77777777" w:rsidR="00C07C9B" w:rsidRDefault="00C07C9B" w:rsidP="0052682D">
      <w:pPr>
        <w:pStyle w:val="ListParagraph"/>
        <w:spacing w:before="0"/>
      </w:pPr>
    </w:p>
    <w:p w14:paraId="00D50C82" w14:textId="6AA2A03E" w:rsidR="00F811C9" w:rsidRDefault="007A6929" w:rsidP="0052682D">
      <w:pPr>
        <w:spacing w:before="0"/>
      </w:pPr>
      <w:r>
        <w:t xml:space="preserve">The more deliberative and collaborative approaches to engagement and participation can make a significant call on time and resources and if not executed well may lead to a perception that the outcome was not worth the effort. </w:t>
      </w:r>
      <w:r w:rsidRPr="00165EB0">
        <w:rPr>
          <w:bCs/>
        </w:rPr>
        <w:t xml:space="preserve">Our initial </w:t>
      </w:r>
      <w:r>
        <w:rPr>
          <w:bCs/>
        </w:rPr>
        <w:t>expert consultations also suggests that</w:t>
      </w:r>
      <w:r w:rsidRPr="00165EB0">
        <w:rPr>
          <w:bCs/>
        </w:rPr>
        <w:t xml:space="preserve"> some public servants do not see </w:t>
      </w:r>
      <w:r>
        <w:rPr>
          <w:bCs/>
        </w:rPr>
        <w:t>much</w:t>
      </w:r>
      <w:r w:rsidRPr="00165EB0">
        <w:rPr>
          <w:bCs/>
        </w:rPr>
        <w:t xml:space="preserve"> value in further engagement with the public and have little confidence in the expertise of citizens</w:t>
      </w:r>
      <w:r>
        <w:t xml:space="preserve">. </w:t>
      </w:r>
    </w:p>
    <w:p w14:paraId="084D76ED" w14:textId="77777777" w:rsidR="00F811C9" w:rsidRPr="00755E1B" w:rsidRDefault="00755E1B" w:rsidP="0052682D">
      <w:pPr>
        <w:pStyle w:val="ListParagraph"/>
        <w:numPr>
          <w:ilvl w:val="0"/>
          <w:numId w:val="38"/>
        </w:numPr>
        <w:spacing w:before="0"/>
        <w:rPr>
          <w:b/>
          <w:i/>
        </w:rPr>
      </w:pPr>
      <w:r>
        <w:rPr>
          <w:b/>
          <w:i/>
        </w:rPr>
        <w:t xml:space="preserve">Lack of </w:t>
      </w:r>
      <w:r w:rsidR="00F811C9" w:rsidRPr="00755E1B">
        <w:rPr>
          <w:b/>
          <w:i/>
        </w:rPr>
        <w:t>capability to execute such activities in an effective way.</w:t>
      </w:r>
    </w:p>
    <w:p w14:paraId="1ED80F35" w14:textId="77777777" w:rsidR="00F811C9" w:rsidRDefault="00F811C9" w:rsidP="0052682D">
      <w:pPr>
        <w:pStyle w:val="ListParagraph"/>
        <w:spacing w:before="0"/>
        <w:contextualSpacing w:val="0"/>
      </w:pPr>
    </w:p>
    <w:p w14:paraId="61CC3091" w14:textId="77777777" w:rsidR="007A6929" w:rsidRPr="00E128F7" w:rsidRDefault="007A6929" w:rsidP="007A6929">
      <w:pPr>
        <w:spacing w:before="0"/>
        <w:rPr>
          <w:bCs/>
        </w:rPr>
      </w:pPr>
      <w:r>
        <w:rPr>
          <w:bCs/>
        </w:rPr>
        <w:t>The more innovative approaches to engagement do require a level of expertise to execute well that may be in short supply across the APS.  Poor execution of engagements can lead to a lack of results in turn fuelling views that there is little value in further engagement, making the situation worse.</w:t>
      </w:r>
    </w:p>
    <w:p w14:paraId="744B5C6A" w14:textId="77777777" w:rsidR="009D21C1" w:rsidRDefault="009D21C1" w:rsidP="0052682D">
      <w:pPr>
        <w:spacing w:before="0"/>
        <w:rPr>
          <w:bCs/>
        </w:rPr>
      </w:pPr>
    </w:p>
    <w:p w14:paraId="0A25358A" w14:textId="77777777" w:rsidR="009D21C1" w:rsidRDefault="00F811C9" w:rsidP="0052682D">
      <w:pPr>
        <w:spacing w:before="0"/>
        <w:rPr>
          <w:bCs/>
        </w:rPr>
      </w:pPr>
      <w:r w:rsidRPr="00165EB0">
        <w:rPr>
          <w:bCs/>
        </w:rPr>
        <w:t>Others are more willing</w:t>
      </w:r>
      <w:r w:rsidR="009D21C1">
        <w:rPr>
          <w:bCs/>
        </w:rPr>
        <w:t>,</w:t>
      </w:r>
      <w:r w:rsidRPr="00165EB0">
        <w:rPr>
          <w:bCs/>
        </w:rPr>
        <w:t xml:space="preserve"> but don’t know how</w:t>
      </w:r>
      <w:r w:rsidR="009D21C1">
        <w:rPr>
          <w:bCs/>
        </w:rPr>
        <w:t xml:space="preserve"> to do more meaningful engagement</w:t>
      </w:r>
    </w:p>
    <w:p w14:paraId="50839951" w14:textId="77777777" w:rsidR="009D21C1" w:rsidRDefault="009D21C1" w:rsidP="0052682D">
      <w:pPr>
        <w:spacing w:before="0"/>
        <w:rPr>
          <w:bCs/>
        </w:rPr>
      </w:pPr>
    </w:p>
    <w:p w14:paraId="639D9C61" w14:textId="77777777" w:rsidR="00F811C9" w:rsidRPr="00490C77" w:rsidRDefault="009D21C1" w:rsidP="0052682D">
      <w:pPr>
        <w:spacing w:before="0"/>
      </w:pPr>
      <w:r>
        <w:rPr>
          <w:bCs/>
        </w:rPr>
        <w:lastRenderedPageBreak/>
        <w:t>As a result, when we do engage, we are not executing it well. Also, a lack of results from engagement can fuel views that there is little value in further engagement, making the situation worse.</w:t>
      </w:r>
    </w:p>
    <w:p w14:paraId="30851AEB" w14:textId="77777777" w:rsidR="00982E00" w:rsidRDefault="00912607" w:rsidP="00912607">
      <w:pPr>
        <w:pStyle w:val="H1"/>
        <w:spacing w:before="0" w:after="0"/>
        <w:rPr>
          <w:b/>
          <w:sz w:val="74"/>
        </w:rPr>
      </w:pPr>
      <w:bookmarkStart w:id="40" w:name="_Toc495915959"/>
      <w:bookmarkStart w:id="41" w:name="_Toc492983327"/>
      <w:r w:rsidRPr="00912607">
        <w:rPr>
          <w:b/>
          <w:sz w:val="74"/>
        </w:rPr>
        <w:t xml:space="preserve">Chapter </w:t>
      </w:r>
      <w:r>
        <w:rPr>
          <w:b/>
          <w:sz w:val="74"/>
        </w:rPr>
        <w:t>two</w:t>
      </w:r>
      <w:r w:rsidRPr="00912607">
        <w:rPr>
          <w:b/>
          <w:sz w:val="74"/>
        </w:rPr>
        <w:t>:</w:t>
      </w:r>
      <w:bookmarkEnd w:id="40"/>
      <w:r w:rsidR="00BE1276">
        <w:rPr>
          <w:b/>
          <w:sz w:val="74"/>
        </w:rPr>
        <w:t xml:space="preserve"> </w:t>
      </w:r>
    </w:p>
    <w:p w14:paraId="7D666F80" w14:textId="77777777" w:rsidR="00912607" w:rsidRDefault="00BE1276" w:rsidP="00912607">
      <w:pPr>
        <w:pStyle w:val="H1"/>
        <w:spacing w:before="0" w:after="0"/>
        <w:rPr>
          <w:sz w:val="74"/>
        </w:rPr>
      </w:pPr>
      <w:bookmarkStart w:id="42" w:name="_Toc495915960"/>
      <w:r>
        <w:rPr>
          <w:sz w:val="74"/>
        </w:rPr>
        <w:t>W</w:t>
      </w:r>
      <w:r w:rsidR="00912607">
        <w:rPr>
          <w:sz w:val="74"/>
        </w:rPr>
        <w:t>hy does the problem occur</w:t>
      </w:r>
      <w:r w:rsidR="00912607" w:rsidRPr="00912607">
        <w:rPr>
          <w:sz w:val="74"/>
        </w:rPr>
        <w:t>?</w:t>
      </w:r>
      <w:bookmarkEnd w:id="42"/>
    </w:p>
    <w:p w14:paraId="5DD0824D" w14:textId="77777777" w:rsidR="006D6138" w:rsidRPr="00231491" w:rsidRDefault="006F5757" w:rsidP="00231491">
      <w:pPr>
        <w:spacing w:before="0"/>
        <w:rPr>
          <w:rFonts w:asciiTheme="majorHAnsi" w:hAnsiTheme="majorHAnsi"/>
          <w:i/>
          <w:sz w:val="30"/>
        </w:rPr>
      </w:pPr>
      <w:r>
        <w:rPr>
          <w:rFonts w:asciiTheme="majorHAnsi" w:hAnsiTheme="majorHAnsi"/>
          <w:i/>
          <w:sz w:val="30"/>
        </w:rPr>
        <w:t>W</w:t>
      </w:r>
      <w:r w:rsidR="001025FB" w:rsidRPr="00231491">
        <w:rPr>
          <w:rFonts w:asciiTheme="majorHAnsi" w:hAnsiTheme="majorHAnsi"/>
          <w:i/>
          <w:sz w:val="30"/>
        </w:rPr>
        <w:t xml:space="preserve">e </w:t>
      </w:r>
      <w:r>
        <w:rPr>
          <w:rFonts w:asciiTheme="majorHAnsi" w:hAnsiTheme="majorHAnsi"/>
          <w:i/>
          <w:sz w:val="30"/>
        </w:rPr>
        <w:t xml:space="preserve">conducted </w:t>
      </w:r>
      <w:r w:rsidR="00F13673">
        <w:rPr>
          <w:rFonts w:asciiTheme="majorHAnsi" w:hAnsiTheme="majorHAnsi"/>
          <w:i/>
          <w:sz w:val="30"/>
        </w:rPr>
        <w:t xml:space="preserve">user research: </w:t>
      </w:r>
      <w:r>
        <w:rPr>
          <w:rFonts w:asciiTheme="majorHAnsi" w:hAnsiTheme="majorHAnsi"/>
          <w:i/>
          <w:sz w:val="30"/>
        </w:rPr>
        <w:t>ethnographic interviews of</w:t>
      </w:r>
      <w:r w:rsidR="001025FB" w:rsidRPr="00231491">
        <w:rPr>
          <w:rFonts w:asciiTheme="majorHAnsi" w:hAnsiTheme="majorHAnsi"/>
          <w:i/>
          <w:sz w:val="30"/>
        </w:rPr>
        <w:t xml:space="preserve"> 75 ‘users’ of APS public participation – public servants and members of the public – to explore why the problem occurs from their point of view.</w:t>
      </w:r>
    </w:p>
    <w:p w14:paraId="2323A71B" w14:textId="77777777" w:rsidR="001025FB" w:rsidRDefault="008F4BC3" w:rsidP="008F4BC3">
      <w:pPr>
        <w:pStyle w:val="BodyText"/>
        <w:tabs>
          <w:tab w:val="clear" w:pos="2617"/>
          <w:tab w:val="left" w:pos="5081"/>
        </w:tabs>
        <w:jc w:val="left"/>
      </w:pPr>
      <w:r>
        <w:tab/>
      </w:r>
    </w:p>
    <w:p w14:paraId="29CE7633" w14:textId="77777777" w:rsidR="00F13673" w:rsidRPr="00F13673" w:rsidRDefault="0024236E" w:rsidP="00F13673">
      <w:pPr>
        <w:spacing w:before="0"/>
        <w:rPr>
          <w:rFonts w:asciiTheme="majorHAnsi" w:hAnsiTheme="majorHAnsi"/>
          <w:i/>
          <w:sz w:val="30"/>
        </w:rPr>
      </w:pPr>
      <w:r>
        <w:rPr>
          <w:rFonts w:asciiTheme="majorHAnsi" w:hAnsiTheme="majorHAnsi"/>
          <w:i/>
          <w:sz w:val="30"/>
        </w:rPr>
        <w:t>The</w:t>
      </w:r>
      <w:r w:rsidR="008F4BC3">
        <w:rPr>
          <w:rFonts w:asciiTheme="majorHAnsi" w:hAnsiTheme="majorHAnsi"/>
          <w:i/>
          <w:sz w:val="30"/>
        </w:rPr>
        <w:t>re’s many</w:t>
      </w:r>
      <w:r>
        <w:rPr>
          <w:rFonts w:asciiTheme="majorHAnsi" w:hAnsiTheme="majorHAnsi"/>
          <w:i/>
          <w:sz w:val="30"/>
        </w:rPr>
        <w:t xml:space="preserve"> reasons why </w:t>
      </w:r>
      <w:r w:rsidR="008F4BC3">
        <w:rPr>
          <w:rFonts w:asciiTheme="majorHAnsi" w:hAnsiTheme="majorHAnsi"/>
          <w:i/>
          <w:sz w:val="30"/>
        </w:rPr>
        <w:t>our users</w:t>
      </w:r>
      <w:r>
        <w:rPr>
          <w:rFonts w:asciiTheme="majorHAnsi" w:hAnsiTheme="majorHAnsi"/>
          <w:i/>
          <w:sz w:val="30"/>
        </w:rPr>
        <w:t xml:space="preserve"> are </w:t>
      </w:r>
      <w:r w:rsidR="00AB4735">
        <w:rPr>
          <w:rFonts w:asciiTheme="majorHAnsi" w:hAnsiTheme="majorHAnsi"/>
          <w:i/>
          <w:sz w:val="30"/>
        </w:rPr>
        <w:t xml:space="preserve">often </w:t>
      </w:r>
      <w:r>
        <w:rPr>
          <w:rFonts w:asciiTheme="majorHAnsi" w:hAnsiTheme="majorHAnsi"/>
          <w:i/>
          <w:sz w:val="30"/>
        </w:rPr>
        <w:t>not aware of public participation</w:t>
      </w:r>
      <w:r w:rsidR="008F4BC3">
        <w:rPr>
          <w:rFonts w:asciiTheme="majorHAnsi" w:hAnsiTheme="majorHAnsi"/>
          <w:i/>
          <w:sz w:val="30"/>
        </w:rPr>
        <w:t>, and why they often lack the confidence and capability to try it</w:t>
      </w:r>
      <w:r>
        <w:rPr>
          <w:rFonts w:asciiTheme="majorHAnsi" w:hAnsiTheme="majorHAnsi"/>
          <w:i/>
          <w:sz w:val="30"/>
        </w:rPr>
        <w:t xml:space="preserve">. </w:t>
      </w:r>
      <w:r w:rsidR="00F13673" w:rsidRPr="00F13673">
        <w:rPr>
          <w:rFonts w:asciiTheme="majorHAnsi" w:hAnsiTheme="majorHAnsi"/>
          <w:i/>
          <w:sz w:val="30"/>
        </w:rPr>
        <w:t xml:space="preserve">The APS interviews showed that awareness and practical experience of how to engage the community beyond traditional information sharing and consultation approaches is patchy across the APS. Consultation often has an emphasis on obtaining buy in rather than accessing expertise. There is hesitation in applying more deliberative and collaborative approaches, in part due to a perception of risk and a lack of value for the effort required. Sometimes external constraints such as legal or parliamentary processes exclude more open dialogue. </w:t>
      </w:r>
    </w:p>
    <w:p w14:paraId="70994FA0" w14:textId="77777777" w:rsidR="00F13673" w:rsidRDefault="00F13673" w:rsidP="00F13673">
      <w:pPr>
        <w:spacing w:before="0"/>
      </w:pPr>
    </w:p>
    <w:p w14:paraId="4490A9CE" w14:textId="77777777" w:rsidR="00F13673" w:rsidRDefault="00F13673" w:rsidP="00F13673">
      <w:pPr>
        <w:spacing w:before="0"/>
        <w:rPr>
          <w:rFonts w:asciiTheme="majorHAnsi" w:hAnsiTheme="majorHAnsi"/>
          <w:i/>
          <w:sz w:val="30"/>
        </w:rPr>
      </w:pPr>
      <w:r w:rsidRPr="00F13673">
        <w:rPr>
          <w:rFonts w:asciiTheme="majorHAnsi" w:hAnsiTheme="majorHAnsi"/>
          <w:i/>
          <w:sz w:val="30"/>
        </w:rPr>
        <w:t>From the perspective of the community, they see themselves as having specific expertise with unique and useful perspectives to bring to the table on matters of public policy and that it is in the public interest for them to do so. There is a level of scepticism with the motivations of government engagement. The community is pragmatic and realistic, they are aware of and appreciate some of the constraints that public servants face.</w:t>
      </w:r>
    </w:p>
    <w:p w14:paraId="7CCF2743" w14:textId="77777777" w:rsidR="00F13673" w:rsidRDefault="00F13673" w:rsidP="00F13673">
      <w:pPr>
        <w:spacing w:before="0"/>
        <w:rPr>
          <w:rFonts w:asciiTheme="majorHAnsi" w:hAnsiTheme="majorHAnsi"/>
          <w:i/>
          <w:sz w:val="30"/>
        </w:rPr>
      </w:pPr>
    </w:p>
    <w:p w14:paraId="322236F8" w14:textId="77777777" w:rsidR="00F13673" w:rsidRDefault="00F13673" w:rsidP="00F13673">
      <w:pPr>
        <w:spacing w:before="0"/>
        <w:rPr>
          <w:rFonts w:asciiTheme="majorHAnsi" w:hAnsiTheme="majorHAnsi"/>
          <w:i/>
          <w:sz w:val="30"/>
        </w:rPr>
      </w:pPr>
      <w:r w:rsidRPr="005E4449">
        <w:rPr>
          <w:rFonts w:asciiTheme="majorHAnsi" w:hAnsiTheme="majorHAnsi"/>
          <w:i/>
          <w:sz w:val="30"/>
        </w:rPr>
        <w:t>Our users and their needs are also nuanced and myriad. Our ‘personas’ – hypothetical archetypes of actual users – show that APS staff have different risk appetites for adopting more public participation, and</w:t>
      </w:r>
      <w:r>
        <w:rPr>
          <w:rFonts w:asciiTheme="majorHAnsi" w:hAnsiTheme="majorHAnsi"/>
          <w:i/>
          <w:sz w:val="30"/>
        </w:rPr>
        <w:t xml:space="preserve"> they should form the basis of any </w:t>
      </w:r>
      <w:r w:rsidRPr="005E4449">
        <w:rPr>
          <w:rFonts w:asciiTheme="majorHAnsi" w:hAnsiTheme="majorHAnsi"/>
          <w:i/>
          <w:sz w:val="30"/>
        </w:rPr>
        <w:t>strategy to encourage adoption. They also show that the members of the public are, in principle, quite motivated to get more involved in the APS’</w:t>
      </w:r>
      <w:r>
        <w:rPr>
          <w:rFonts w:asciiTheme="majorHAnsi" w:hAnsiTheme="majorHAnsi"/>
          <w:i/>
          <w:sz w:val="30"/>
        </w:rPr>
        <w:t xml:space="preserve"> work. But they have differing motivations, </w:t>
      </w:r>
      <w:r>
        <w:rPr>
          <w:rFonts w:asciiTheme="majorHAnsi" w:hAnsiTheme="majorHAnsi"/>
          <w:i/>
          <w:sz w:val="30"/>
        </w:rPr>
        <w:lastRenderedPageBreak/>
        <w:t xml:space="preserve">constraints and expertise to bring. This should </w:t>
      </w:r>
      <w:r w:rsidRPr="005E4449">
        <w:rPr>
          <w:rFonts w:asciiTheme="majorHAnsi" w:hAnsiTheme="majorHAnsi"/>
          <w:i/>
          <w:sz w:val="30"/>
        </w:rPr>
        <w:t>be factored into messaging and targeting of our public participation</w:t>
      </w:r>
      <w:r>
        <w:rPr>
          <w:rFonts w:asciiTheme="majorHAnsi" w:hAnsiTheme="majorHAnsi"/>
          <w:i/>
          <w:sz w:val="30"/>
        </w:rPr>
        <w:t xml:space="preserve"> to make the most of it</w:t>
      </w:r>
      <w:r w:rsidRPr="005E4449">
        <w:rPr>
          <w:rFonts w:asciiTheme="majorHAnsi" w:hAnsiTheme="majorHAnsi"/>
          <w:i/>
          <w:sz w:val="30"/>
        </w:rPr>
        <w:t xml:space="preserve">. </w:t>
      </w:r>
    </w:p>
    <w:p w14:paraId="65A384DC" w14:textId="77777777" w:rsidR="00F13673" w:rsidRPr="00F13673" w:rsidRDefault="00F13673" w:rsidP="00F13673">
      <w:pPr>
        <w:spacing w:before="0"/>
        <w:rPr>
          <w:rFonts w:asciiTheme="majorHAnsi" w:hAnsiTheme="majorHAnsi"/>
          <w:i/>
          <w:sz w:val="30"/>
        </w:rPr>
      </w:pPr>
      <w:r w:rsidRPr="00F13673">
        <w:rPr>
          <w:rFonts w:asciiTheme="majorHAnsi" w:hAnsiTheme="majorHAnsi"/>
          <w:i/>
          <w:sz w:val="30"/>
        </w:rPr>
        <w:t xml:space="preserve"> </w:t>
      </w:r>
    </w:p>
    <w:p w14:paraId="4D2CD1AD" w14:textId="77777777" w:rsidR="00F13673" w:rsidRPr="00F13673" w:rsidRDefault="00F13673" w:rsidP="00F13673">
      <w:pPr>
        <w:spacing w:before="0"/>
        <w:rPr>
          <w:rFonts w:asciiTheme="majorHAnsi" w:hAnsiTheme="majorHAnsi"/>
          <w:i/>
          <w:sz w:val="30"/>
        </w:rPr>
      </w:pPr>
      <w:r w:rsidRPr="00F13673">
        <w:rPr>
          <w:rFonts w:asciiTheme="majorHAnsi" w:hAnsiTheme="majorHAnsi"/>
          <w:i/>
          <w:sz w:val="30"/>
        </w:rPr>
        <w:t xml:space="preserve">The insights from the user research were supported by the findings of a stocktake of current engagement practices across thirteen APS departments. While the APS engages the public in a wide variety of ways, the majority of engagement practices focus on information sharing and consultation. Many of the practices, such as submissions processes and feedback mechanisms, were transactional in nature and did not engender a sense of valuing an ongoing relationship with the community. </w:t>
      </w:r>
    </w:p>
    <w:p w14:paraId="4B74A6F3" w14:textId="77777777" w:rsidR="00754235" w:rsidRDefault="00754235" w:rsidP="00231491">
      <w:pPr>
        <w:spacing w:before="0"/>
        <w:rPr>
          <w:rFonts w:asciiTheme="majorHAnsi" w:hAnsiTheme="majorHAnsi"/>
          <w:i/>
          <w:sz w:val="30"/>
        </w:rPr>
      </w:pPr>
    </w:p>
    <w:p w14:paraId="55358E98" w14:textId="77777777" w:rsidR="00D350EF" w:rsidRPr="00912607" w:rsidRDefault="00D350EF" w:rsidP="005E4449">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30"/>
      </w:tblGrid>
      <w:tr w:rsidR="00912607" w14:paraId="1C6768C1" w14:textId="77777777" w:rsidTr="00D350EF">
        <w:tc>
          <w:tcPr>
            <w:tcW w:w="3686" w:type="dxa"/>
            <w:shd w:val="clear" w:color="auto" w:fill="DEEAF6" w:themeFill="accent1" w:themeFillTint="33"/>
          </w:tcPr>
          <w:p w14:paraId="02AC40A7" w14:textId="77777777" w:rsidR="00912607" w:rsidRPr="00912607" w:rsidRDefault="00912607" w:rsidP="00EE0957">
            <w:pPr>
              <w:spacing w:before="0"/>
              <w:rPr>
                <w:rFonts w:ascii="Times New Roman" w:hAnsi="Times New Roman"/>
                <w:b/>
                <w:noProof/>
                <w:sz w:val="94"/>
                <w:lang w:eastAsia="en-AU"/>
              </w:rPr>
            </w:pPr>
            <w:r w:rsidRPr="00912607">
              <w:rPr>
                <w:rFonts w:ascii="Times New Roman" w:hAnsi="Times New Roman"/>
                <w:b/>
                <w:noProof/>
                <w:sz w:val="94"/>
                <w:lang w:eastAsia="en-AU"/>
              </w:rPr>
              <w:t>“</w:t>
            </w:r>
          </w:p>
          <w:p w14:paraId="2538FB92" w14:textId="77777777" w:rsidR="003B51D8" w:rsidRDefault="003B51D8" w:rsidP="00EE0957">
            <w:pPr>
              <w:spacing w:before="0"/>
              <w:rPr>
                <w:rFonts w:asciiTheme="majorHAnsi" w:hAnsiTheme="majorHAnsi" w:cs="Arial"/>
                <w:noProof/>
                <w:sz w:val="34"/>
                <w:lang w:eastAsia="en-AU"/>
              </w:rPr>
            </w:pPr>
            <w:r>
              <w:rPr>
                <w:rFonts w:asciiTheme="majorHAnsi" w:hAnsiTheme="majorHAnsi" w:cs="Arial"/>
                <w:noProof/>
                <w:sz w:val="34"/>
                <w:lang w:eastAsia="en-AU"/>
              </w:rPr>
              <w:t>W</w:t>
            </w:r>
            <w:r w:rsidRPr="003B51D8">
              <w:rPr>
                <w:rFonts w:asciiTheme="majorHAnsi" w:hAnsiTheme="majorHAnsi" w:cs="Arial"/>
                <w:noProof/>
                <w:sz w:val="34"/>
                <w:lang w:eastAsia="en-AU"/>
              </w:rPr>
              <w:t xml:space="preserve">e don’t know what problem we should be working on </w:t>
            </w:r>
            <w:r>
              <w:rPr>
                <w:rFonts w:asciiTheme="majorHAnsi" w:hAnsiTheme="majorHAnsi" w:cs="Arial"/>
                <w:noProof/>
                <w:sz w:val="34"/>
                <w:lang w:eastAsia="en-AU"/>
              </w:rPr>
              <w:t xml:space="preserve">until we understand our users. </w:t>
            </w:r>
            <w:r w:rsidRPr="003B51D8">
              <w:rPr>
                <w:rFonts w:asciiTheme="majorHAnsi" w:hAnsiTheme="majorHAnsi" w:cs="Arial"/>
                <w:noProof/>
                <w:sz w:val="34"/>
                <w:lang w:eastAsia="en-AU"/>
              </w:rPr>
              <w:t>The process isn’t about having a problem as given, we need to deeply understand those who we want to serve first</w:t>
            </w:r>
            <w:r>
              <w:rPr>
                <w:rFonts w:asciiTheme="majorHAnsi" w:hAnsiTheme="majorHAnsi" w:cs="Arial"/>
                <w:noProof/>
                <w:sz w:val="34"/>
                <w:lang w:eastAsia="en-AU"/>
              </w:rPr>
              <w:t>.</w:t>
            </w:r>
          </w:p>
          <w:p w14:paraId="1617CCA9" w14:textId="77777777" w:rsidR="00C11ED8" w:rsidRPr="00C11ED8" w:rsidRDefault="00C11ED8" w:rsidP="00EE0957">
            <w:pPr>
              <w:spacing w:before="0"/>
              <w:rPr>
                <w:rFonts w:asciiTheme="majorHAnsi" w:hAnsiTheme="majorHAnsi" w:cs="Arial"/>
                <w:noProof/>
                <w:sz w:val="20"/>
                <w:lang w:eastAsia="en-AU"/>
              </w:rPr>
            </w:pPr>
            <w:r w:rsidRPr="00C11ED8">
              <w:rPr>
                <w:rFonts w:asciiTheme="majorHAnsi" w:hAnsiTheme="majorHAnsi" w:cs="Arial"/>
                <w:noProof/>
                <w:sz w:val="20"/>
                <w:lang w:eastAsia="en-AU"/>
              </w:rPr>
              <w:t>IDEO</w:t>
            </w:r>
          </w:p>
          <w:p w14:paraId="2A1337DA" w14:textId="77777777" w:rsidR="00912607" w:rsidRPr="00BA12E1" w:rsidRDefault="00912607" w:rsidP="00EE0957">
            <w:pPr>
              <w:spacing w:before="0"/>
              <w:rPr>
                <w:rFonts w:asciiTheme="majorHAnsi" w:hAnsiTheme="majorHAnsi"/>
                <w:sz w:val="20"/>
              </w:rPr>
            </w:pPr>
          </w:p>
          <w:p w14:paraId="3E527279" w14:textId="77777777" w:rsidR="00912607" w:rsidRDefault="00912607" w:rsidP="00EE0957">
            <w:pPr>
              <w:spacing w:before="0"/>
            </w:pPr>
          </w:p>
        </w:tc>
        <w:tc>
          <w:tcPr>
            <w:tcW w:w="5330" w:type="dxa"/>
            <w:shd w:val="clear" w:color="auto" w:fill="DEEAF6" w:themeFill="accent1" w:themeFillTint="33"/>
          </w:tcPr>
          <w:p w14:paraId="7BFE6259" w14:textId="77777777" w:rsidR="0064045C" w:rsidRPr="0064045C" w:rsidRDefault="0064045C" w:rsidP="00305B90">
            <w:pPr>
              <w:pStyle w:val="Bodytext-Indent"/>
              <w:spacing w:before="180"/>
              <w:ind w:left="0"/>
              <w:jc w:val="left"/>
              <w:rPr>
                <w:b/>
              </w:rPr>
            </w:pPr>
            <w:r w:rsidRPr="0064045C">
              <w:rPr>
                <w:b/>
              </w:rPr>
              <w:t>Chapter process overview</w:t>
            </w:r>
          </w:p>
          <w:p w14:paraId="690FDABA" w14:textId="77777777" w:rsidR="00912607" w:rsidRDefault="00912607" w:rsidP="00305B90">
            <w:pPr>
              <w:pStyle w:val="Bodytext-Indent"/>
              <w:spacing w:before="180"/>
              <w:ind w:left="0"/>
              <w:jc w:val="left"/>
            </w:pPr>
            <w:r w:rsidRPr="004F4056">
              <w:t xml:space="preserve">The Problem Identification stage defined </w:t>
            </w:r>
            <w:r w:rsidRPr="00EC012B">
              <w:rPr>
                <w:u w:val="single"/>
              </w:rPr>
              <w:t>what</w:t>
            </w:r>
            <w:r>
              <w:t xml:space="preserve"> </w:t>
            </w:r>
            <w:r w:rsidR="00BE1276">
              <w:t xml:space="preserve">is </w:t>
            </w:r>
            <w:r w:rsidRPr="004F4056">
              <w:t>the real issue we’re trying to solve</w:t>
            </w:r>
            <w:r>
              <w:t xml:space="preserve"> is</w:t>
            </w:r>
            <w:r w:rsidRPr="004F4056">
              <w:t xml:space="preserve">. </w:t>
            </w:r>
          </w:p>
          <w:p w14:paraId="20470F14" w14:textId="77777777" w:rsidR="00912607" w:rsidRDefault="00912607" w:rsidP="00912607">
            <w:pPr>
              <w:pStyle w:val="BodyText"/>
              <w:jc w:val="left"/>
            </w:pPr>
          </w:p>
          <w:p w14:paraId="611A2F41" w14:textId="77777777" w:rsidR="00912607" w:rsidRDefault="00912607" w:rsidP="00912607">
            <w:pPr>
              <w:pStyle w:val="BodyText"/>
              <w:jc w:val="left"/>
            </w:pPr>
            <w:r w:rsidRPr="004F4056">
              <w:t xml:space="preserve">The Empathise stage </w:t>
            </w:r>
            <w:r>
              <w:t xml:space="preserve">explores </w:t>
            </w:r>
            <w:r w:rsidRPr="00EC012B">
              <w:rPr>
                <w:u w:val="single"/>
              </w:rPr>
              <w:t>why</w:t>
            </w:r>
            <w:r>
              <w:t xml:space="preserve"> this issue occurs – discovering users’ explicit and implicit needs so they can be met through design solutions. </w:t>
            </w:r>
            <w:r w:rsidR="00E1476D">
              <w:t xml:space="preserve">After all, users </w:t>
            </w:r>
            <w:r w:rsidR="001025FB">
              <w:t>will</w:t>
            </w:r>
            <w:r w:rsidR="00E1476D">
              <w:t xml:space="preserve"> </w:t>
            </w:r>
            <w:r w:rsidR="001025FB">
              <w:t xml:space="preserve">probably not adopt </w:t>
            </w:r>
            <w:r w:rsidR="00E1476D">
              <w:t>a framework that doesn’t meet their needs.</w:t>
            </w:r>
          </w:p>
          <w:p w14:paraId="4493CB45" w14:textId="77777777" w:rsidR="00912607" w:rsidRDefault="00912607" w:rsidP="00912607">
            <w:pPr>
              <w:pStyle w:val="BodyText"/>
              <w:jc w:val="left"/>
            </w:pPr>
          </w:p>
          <w:p w14:paraId="74E9FD2A" w14:textId="77777777" w:rsidR="00912607" w:rsidRDefault="00912607" w:rsidP="00912607">
            <w:pPr>
              <w:pStyle w:val="BodyText"/>
              <w:jc w:val="left"/>
            </w:pPr>
            <w:r>
              <w:t>It is about gathering qualitative primary data to provide a deep understanding of the users of public participation – both public servants and the public. It combines with the Problem Identification stage’s secondary data</w:t>
            </w:r>
            <w:r w:rsidRPr="004F4056">
              <w:t xml:space="preserve">. </w:t>
            </w:r>
            <w:r>
              <w:t xml:space="preserve">This way, we build a more complete evidence base to inform solutions that can </w:t>
            </w:r>
            <w:r w:rsidRPr="002937F9">
              <w:t>drive the behavioural change to encourage public participation in the APS.</w:t>
            </w:r>
          </w:p>
          <w:p w14:paraId="4FA23210" w14:textId="77777777" w:rsidR="00912607" w:rsidRDefault="00912607" w:rsidP="00912607">
            <w:pPr>
              <w:spacing w:before="0"/>
            </w:pPr>
          </w:p>
        </w:tc>
      </w:tr>
    </w:tbl>
    <w:bookmarkStart w:id="43" w:name="_Toc495915961"/>
    <w:p w14:paraId="462A7EE4" w14:textId="77777777" w:rsidR="006F5A59" w:rsidRDefault="009B219B" w:rsidP="00237D60">
      <w:pPr>
        <w:pStyle w:val="H2"/>
        <w:spacing w:before="0" w:after="0"/>
      </w:pPr>
      <w:r>
        <w:rPr>
          <w:noProof/>
          <w:lang w:eastAsia="en-AU"/>
        </w:rPr>
        <w:lastRenderedPageBreak/>
        <mc:AlternateContent>
          <mc:Choice Requires="wps">
            <w:drawing>
              <wp:anchor distT="0" distB="0" distL="457200" distR="114300" simplePos="0" relativeHeight="251658242" behindDoc="0" locked="0" layoutInCell="0" allowOverlap="1" wp14:anchorId="6AC8CC37" wp14:editId="344F4E1F">
                <wp:simplePos x="0" y="0"/>
                <wp:positionH relativeFrom="margin">
                  <wp:align>right</wp:align>
                </wp:positionH>
                <wp:positionV relativeFrom="margin">
                  <wp:posOffset>13335</wp:posOffset>
                </wp:positionV>
                <wp:extent cx="1880870" cy="4859020"/>
                <wp:effectExtent l="0" t="0" r="0" b="0"/>
                <wp:wrapSquare wrapText="bothSides"/>
                <wp:docPr id="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0870" cy="4859079"/>
                        </a:xfrm>
                        <a:prstGeom prst="rect">
                          <a:avLst/>
                        </a:prstGeom>
                        <a:solidFill>
                          <a:srgbClr val="DEEBF7"/>
                        </a:solidFill>
                        <a:ln>
                          <a:noFill/>
                        </a:ln>
                        <a:extLst/>
                      </wps:spPr>
                      <wps:txbx>
                        <w:txbxContent>
                          <w:p w14:paraId="03050623"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What </w:t>
                            </w:r>
                            <w:r>
                              <w:rPr>
                                <w:rFonts w:asciiTheme="majorHAnsi" w:hAnsiTheme="majorHAnsi" w:cs="Arial"/>
                                <w:b/>
                                <w:noProof/>
                                <w:color w:val="44546A" w:themeColor="text2"/>
                                <w:sz w:val="20"/>
                                <w:lang w:eastAsia="en-AU"/>
                              </w:rPr>
                              <w:t>do we mean by</w:t>
                            </w:r>
                            <w:r w:rsidRPr="000F55D0">
                              <w:rPr>
                                <w:rFonts w:asciiTheme="majorHAnsi" w:hAnsiTheme="majorHAnsi" w:cs="Arial"/>
                                <w:b/>
                                <w:noProof/>
                                <w:color w:val="44546A" w:themeColor="text2"/>
                                <w:sz w:val="20"/>
                                <w:lang w:eastAsia="en-AU"/>
                              </w:rPr>
                              <w:t xml:space="preserve"> ‘ethnographic user interviews’?</w:t>
                            </w:r>
                          </w:p>
                          <w:p w14:paraId="72C92056" w14:textId="77777777" w:rsidR="001143F2" w:rsidRPr="000F55D0" w:rsidRDefault="001143F2" w:rsidP="009B219B">
                            <w:pPr>
                              <w:spacing w:after="120"/>
                              <w:contextualSpacing/>
                              <w:rPr>
                                <w:rFonts w:asciiTheme="majorHAnsi" w:hAnsiTheme="majorHAnsi"/>
                                <w:sz w:val="16"/>
                                <w:szCs w:val="16"/>
                              </w:rPr>
                            </w:pPr>
                            <w:r w:rsidRPr="000F55D0">
                              <w:rPr>
                                <w:rFonts w:asciiTheme="majorHAnsi" w:hAnsiTheme="majorHAnsi"/>
                                <w:sz w:val="16"/>
                                <w:szCs w:val="16"/>
                              </w:rPr>
                              <w:t>They are with ‘</w:t>
                            </w:r>
                            <w:r w:rsidRPr="000F55D0">
                              <w:rPr>
                                <w:rFonts w:asciiTheme="majorHAnsi" w:hAnsiTheme="majorHAnsi"/>
                                <w:b/>
                                <w:sz w:val="16"/>
                                <w:szCs w:val="16"/>
                              </w:rPr>
                              <w:t>users’</w:t>
                            </w:r>
                            <w:r w:rsidRPr="000F55D0">
                              <w:rPr>
                                <w:rFonts w:asciiTheme="majorHAnsi" w:hAnsiTheme="majorHAnsi"/>
                                <w:sz w:val="16"/>
                                <w:szCs w:val="16"/>
                              </w:rPr>
                              <w:t xml:space="preserve">, that is, people who are actually involved in public participation (or might be, if it became more widespread). </w:t>
                            </w:r>
                          </w:p>
                          <w:p w14:paraId="28EA8938" w14:textId="77777777" w:rsidR="001143F2" w:rsidRPr="000F55D0" w:rsidRDefault="001143F2" w:rsidP="009B219B">
                            <w:pPr>
                              <w:spacing w:after="120"/>
                              <w:contextualSpacing/>
                              <w:rPr>
                                <w:rFonts w:asciiTheme="majorHAnsi" w:hAnsiTheme="majorHAnsi"/>
                                <w:sz w:val="16"/>
                                <w:szCs w:val="16"/>
                              </w:rPr>
                            </w:pPr>
                          </w:p>
                          <w:p w14:paraId="489EEB35" w14:textId="77777777" w:rsidR="001143F2" w:rsidRPr="000F55D0" w:rsidRDefault="001143F2" w:rsidP="009B219B">
                            <w:pPr>
                              <w:contextualSpacing/>
                              <w:rPr>
                                <w:rFonts w:asciiTheme="majorHAnsi" w:hAnsiTheme="majorHAnsi"/>
                                <w:sz w:val="16"/>
                                <w:szCs w:val="16"/>
                              </w:rPr>
                            </w:pPr>
                            <w:r w:rsidRPr="000F55D0">
                              <w:rPr>
                                <w:rFonts w:asciiTheme="majorHAnsi" w:hAnsiTheme="majorHAnsi"/>
                                <w:sz w:val="16"/>
                                <w:szCs w:val="16"/>
                              </w:rPr>
                              <w:t>They are ‘</w:t>
                            </w:r>
                            <w:r w:rsidRPr="000F55D0">
                              <w:rPr>
                                <w:rFonts w:asciiTheme="majorHAnsi" w:hAnsiTheme="majorHAnsi"/>
                                <w:b/>
                                <w:sz w:val="16"/>
                                <w:szCs w:val="16"/>
                              </w:rPr>
                              <w:t>interviews’</w:t>
                            </w:r>
                            <w:r w:rsidRPr="000F55D0">
                              <w:rPr>
                                <w:rFonts w:asciiTheme="majorHAnsi" w:hAnsiTheme="majorHAnsi"/>
                                <w:sz w:val="16"/>
                                <w:szCs w:val="16"/>
                              </w:rPr>
                              <w:t xml:space="preserve"> in the sense that:</w:t>
                            </w:r>
                          </w:p>
                          <w:p w14:paraId="13B21D22" w14:textId="77777777" w:rsidR="001143F2" w:rsidRPr="000F55D0" w:rsidRDefault="001143F2" w:rsidP="007B3CA8">
                            <w:pPr>
                              <w:pStyle w:val="ListParagraph"/>
                              <w:numPr>
                                <w:ilvl w:val="0"/>
                                <w:numId w:val="36"/>
                              </w:numPr>
                              <w:spacing w:before="0" w:after="120"/>
                              <w:ind w:left="142" w:hanging="142"/>
                              <w:rPr>
                                <w:rFonts w:asciiTheme="majorHAnsi" w:hAnsiTheme="majorHAnsi"/>
                                <w:sz w:val="16"/>
                                <w:szCs w:val="16"/>
                              </w:rPr>
                            </w:pPr>
                            <w:r w:rsidRPr="000F55D0">
                              <w:rPr>
                                <w:rFonts w:asciiTheme="majorHAnsi" w:hAnsiTheme="majorHAnsi"/>
                                <w:sz w:val="16"/>
                                <w:szCs w:val="16"/>
                              </w:rPr>
                              <w:t>They were usually with one user, with a lead interviewer and a scribe, as opposed to a group conversation;</w:t>
                            </w:r>
                          </w:p>
                          <w:p w14:paraId="331462C4" w14:textId="77777777" w:rsidR="001143F2" w:rsidRPr="000F55D0" w:rsidRDefault="001143F2" w:rsidP="007B3CA8">
                            <w:pPr>
                              <w:pStyle w:val="ListParagraph"/>
                              <w:numPr>
                                <w:ilvl w:val="0"/>
                                <w:numId w:val="36"/>
                              </w:numPr>
                              <w:spacing w:after="120"/>
                              <w:ind w:left="142" w:hanging="142"/>
                              <w:rPr>
                                <w:rFonts w:asciiTheme="majorHAnsi" w:hAnsiTheme="majorHAnsi"/>
                                <w:sz w:val="16"/>
                                <w:szCs w:val="16"/>
                              </w:rPr>
                            </w:pPr>
                            <w:r w:rsidRPr="000F55D0">
                              <w:rPr>
                                <w:rFonts w:asciiTheme="majorHAnsi" w:hAnsiTheme="majorHAnsi"/>
                                <w:sz w:val="16"/>
                                <w:szCs w:val="16"/>
                              </w:rPr>
                              <w:t>Had open ended questions, rather than direct questions like a survey or a roundtable consultation; and</w:t>
                            </w:r>
                          </w:p>
                          <w:p w14:paraId="301DC2A2" w14:textId="77777777" w:rsidR="001143F2" w:rsidRPr="000F55D0" w:rsidRDefault="001143F2" w:rsidP="007B3CA8">
                            <w:pPr>
                              <w:pStyle w:val="ListParagraph"/>
                              <w:numPr>
                                <w:ilvl w:val="0"/>
                                <w:numId w:val="36"/>
                              </w:numPr>
                              <w:spacing w:after="120"/>
                              <w:ind w:left="142" w:hanging="142"/>
                              <w:rPr>
                                <w:rFonts w:asciiTheme="majorHAnsi" w:hAnsiTheme="majorHAnsi"/>
                                <w:sz w:val="16"/>
                                <w:szCs w:val="16"/>
                              </w:rPr>
                            </w:pPr>
                            <w:r w:rsidRPr="000F55D0">
                              <w:rPr>
                                <w:rFonts w:asciiTheme="majorHAnsi" w:hAnsiTheme="majorHAnsi"/>
                                <w:sz w:val="16"/>
                                <w:szCs w:val="16"/>
                              </w:rPr>
                              <w:t>interviewees spoke for the vast majority of the interview.</w:t>
                            </w:r>
                          </w:p>
                          <w:p w14:paraId="00C09AFF" w14:textId="77777777" w:rsidR="001143F2" w:rsidRDefault="001143F2" w:rsidP="009B219B">
                            <w:pPr>
                              <w:spacing w:after="120"/>
                              <w:rPr>
                                <w:rFonts w:asciiTheme="majorHAnsi" w:hAnsiTheme="majorHAnsi"/>
                                <w:sz w:val="16"/>
                                <w:szCs w:val="16"/>
                              </w:rPr>
                            </w:pPr>
                            <w:r w:rsidRPr="000F55D0">
                              <w:rPr>
                                <w:rFonts w:asciiTheme="majorHAnsi" w:hAnsiTheme="majorHAnsi"/>
                                <w:sz w:val="16"/>
                                <w:szCs w:val="16"/>
                              </w:rPr>
                              <w:t>They are also ‘</w:t>
                            </w:r>
                            <w:r w:rsidRPr="000F55D0">
                              <w:rPr>
                                <w:rFonts w:asciiTheme="majorHAnsi" w:hAnsiTheme="majorHAnsi"/>
                                <w:b/>
                                <w:sz w:val="16"/>
                                <w:szCs w:val="16"/>
                              </w:rPr>
                              <w:t>ethnographic’</w:t>
                            </w:r>
                            <w:r w:rsidRPr="000F55D0">
                              <w:rPr>
                                <w:rFonts w:asciiTheme="majorHAnsi" w:hAnsiTheme="majorHAnsi"/>
                                <w:sz w:val="16"/>
                                <w:szCs w:val="16"/>
                              </w:rPr>
                              <w:t xml:space="preserve"> in the sense that they</w:t>
                            </w:r>
                            <w:r>
                              <w:rPr>
                                <w:rFonts w:asciiTheme="majorHAnsi" w:hAnsiTheme="majorHAnsi"/>
                                <w:sz w:val="16"/>
                                <w:szCs w:val="16"/>
                              </w:rPr>
                              <w:t xml:space="preserve"> focus on studying people and cultures, from the point of view of the subject of the study. They also</w:t>
                            </w:r>
                            <w:r w:rsidRPr="000F55D0">
                              <w:rPr>
                                <w:rFonts w:asciiTheme="majorHAnsi" w:hAnsiTheme="majorHAnsi"/>
                                <w:sz w:val="16"/>
                                <w:szCs w:val="16"/>
                              </w:rPr>
                              <w:t xml:space="preserve"> usually took place in the user’s own work environment – the place where their participation efforts actually occur. This is subtle, but often environments and the artefacts in them trigger memories and contextualise user experience.</w:t>
                            </w:r>
                          </w:p>
                          <w:p w14:paraId="7806C974" w14:textId="77777777" w:rsidR="001143F2" w:rsidRPr="000D08EC" w:rsidRDefault="001143F2" w:rsidP="000D08EC">
                            <w:pPr>
                              <w:spacing w:before="0"/>
                              <w:contextualSpacing/>
                              <w:rPr>
                                <w:rStyle w:val="PlaceholderText"/>
                                <w:rFonts w:asciiTheme="majorHAnsi" w:hAnsiTheme="majorHAnsi"/>
                                <w:color w:val="auto"/>
                                <w:sz w:val="16"/>
                                <w:szCs w:val="16"/>
                              </w:rPr>
                            </w:pPr>
                            <w:r w:rsidRPr="000D08EC">
                              <w:rPr>
                                <w:rFonts w:asciiTheme="majorHAnsi" w:hAnsiTheme="majorHAnsi"/>
                                <w:sz w:val="16"/>
                                <w:szCs w:val="16"/>
                              </w:rPr>
                              <w:t xml:space="preserve">The discussion guides for user interviews are at </w:t>
                            </w:r>
                            <w:r w:rsidRPr="000D08EC">
                              <w:rPr>
                                <w:rFonts w:asciiTheme="majorHAnsi" w:hAnsiTheme="majorHAnsi"/>
                                <w:sz w:val="16"/>
                                <w:szCs w:val="16"/>
                                <w:u w:val="single"/>
                              </w:rPr>
                              <w:t>Attachment A</w:t>
                            </w:r>
                            <w:r>
                              <w:rPr>
                                <w:rFonts w:asciiTheme="majorHAnsi" w:hAnsiTheme="majorHAnsi"/>
                                <w:sz w:val="16"/>
                                <w:szCs w:val="16"/>
                              </w:rPr>
                              <w:t xml:space="preserve">. </w:t>
                            </w: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0</wp14:pctHeight>
                </wp14:sizeRelV>
              </wp:anchor>
            </w:drawing>
          </mc:Choice>
          <mc:Fallback>
            <w:pict>
              <v:rect w14:anchorId="6AC8CC37" id="_x0000_s1051" style="position:absolute;margin-left:96.9pt;margin-top:1.05pt;width:148.1pt;height:382.6pt;z-index:251658242;visibility:visible;mso-wrap-style:square;mso-width-percent:242;mso-height-percent:0;mso-wrap-distance-left:36pt;mso-wrap-distance-top:0;mso-wrap-distance-right:9pt;mso-wrap-distance-bottom:0;mso-position-horizontal:right;mso-position-horizontal-relative:margin;mso-position-vertical:absolute;mso-position-vertical-relative:margin;mso-width-percent:242;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" o:allowincell="f" fillcolor="#deebf7" stroked="f">
                <v:textbox inset="14.4pt,14.4pt,14.4pt,14.4pt">
                  <w:txbxContent>
                    <w:p w14:paraId="03050623" w14:textId="77777777" w:rsidR="001143F2" w:rsidRPr="000F55D0" w:rsidRDefault="001143F2" w:rsidP="00236D9F">
                      <w:pPr>
                        <w:spacing w:before="0" w:after="80"/>
                        <w:rPr>
                          <w:rFonts w:asciiTheme="majorHAnsi" w:hAnsiTheme="majorHAnsi" w:cs="Arial"/>
                          <w:b/>
                          <w:noProof/>
                          <w:color w:val="44546A" w:themeColor="text2"/>
                          <w:sz w:val="20"/>
                          <w:lang w:eastAsia="en-AU"/>
                        </w:rPr>
                      </w:pPr>
                      <w:r w:rsidRPr="000F55D0">
                        <w:rPr>
                          <w:rFonts w:asciiTheme="majorHAnsi" w:hAnsiTheme="majorHAnsi" w:cs="Arial"/>
                          <w:b/>
                          <w:noProof/>
                          <w:color w:val="44546A" w:themeColor="text2"/>
                          <w:sz w:val="20"/>
                          <w:lang w:eastAsia="en-AU"/>
                        </w:rPr>
                        <w:t xml:space="preserve">What </w:t>
                      </w:r>
                      <w:r>
                        <w:rPr>
                          <w:rFonts w:asciiTheme="majorHAnsi" w:hAnsiTheme="majorHAnsi" w:cs="Arial"/>
                          <w:b/>
                          <w:noProof/>
                          <w:color w:val="44546A" w:themeColor="text2"/>
                          <w:sz w:val="20"/>
                          <w:lang w:eastAsia="en-AU"/>
                        </w:rPr>
                        <w:t>do we mean by</w:t>
                      </w:r>
                      <w:r w:rsidRPr="000F55D0">
                        <w:rPr>
                          <w:rFonts w:asciiTheme="majorHAnsi" w:hAnsiTheme="majorHAnsi" w:cs="Arial"/>
                          <w:b/>
                          <w:noProof/>
                          <w:color w:val="44546A" w:themeColor="text2"/>
                          <w:sz w:val="20"/>
                          <w:lang w:eastAsia="en-AU"/>
                        </w:rPr>
                        <w:t xml:space="preserve"> ‘ethnographic user interviews’?</w:t>
                      </w:r>
                    </w:p>
                    <w:p w14:paraId="72C92056" w14:textId="77777777" w:rsidR="001143F2" w:rsidRPr="000F55D0" w:rsidRDefault="001143F2" w:rsidP="009B219B">
                      <w:pPr>
                        <w:spacing w:after="120"/>
                        <w:contextualSpacing/>
                        <w:rPr>
                          <w:rFonts w:asciiTheme="majorHAnsi" w:hAnsiTheme="majorHAnsi"/>
                          <w:sz w:val="16"/>
                          <w:szCs w:val="16"/>
                        </w:rPr>
                      </w:pPr>
                      <w:r w:rsidRPr="000F55D0">
                        <w:rPr>
                          <w:rFonts w:asciiTheme="majorHAnsi" w:hAnsiTheme="majorHAnsi"/>
                          <w:sz w:val="16"/>
                          <w:szCs w:val="16"/>
                        </w:rPr>
                        <w:t>They are with ‘</w:t>
                      </w:r>
                      <w:r w:rsidRPr="000F55D0">
                        <w:rPr>
                          <w:rFonts w:asciiTheme="majorHAnsi" w:hAnsiTheme="majorHAnsi"/>
                          <w:b/>
                          <w:sz w:val="16"/>
                          <w:szCs w:val="16"/>
                        </w:rPr>
                        <w:t>users’</w:t>
                      </w:r>
                      <w:r w:rsidRPr="000F55D0">
                        <w:rPr>
                          <w:rFonts w:asciiTheme="majorHAnsi" w:hAnsiTheme="majorHAnsi"/>
                          <w:sz w:val="16"/>
                          <w:szCs w:val="16"/>
                        </w:rPr>
                        <w:t xml:space="preserve">, that is, people who are actually involved in public participation (or might be, if it became more widespread). </w:t>
                      </w:r>
                    </w:p>
                    <w:p w14:paraId="28EA8938" w14:textId="77777777" w:rsidR="001143F2" w:rsidRPr="000F55D0" w:rsidRDefault="001143F2" w:rsidP="009B219B">
                      <w:pPr>
                        <w:spacing w:after="120"/>
                        <w:contextualSpacing/>
                        <w:rPr>
                          <w:rFonts w:asciiTheme="majorHAnsi" w:hAnsiTheme="majorHAnsi"/>
                          <w:sz w:val="16"/>
                          <w:szCs w:val="16"/>
                        </w:rPr>
                      </w:pPr>
                    </w:p>
                    <w:p w14:paraId="489EEB35" w14:textId="77777777" w:rsidR="001143F2" w:rsidRPr="000F55D0" w:rsidRDefault="001143F2" w:rsidP="009B219B">
                      <w:pPr>
                        <w:contextualSpacing/>
                        <w:rPr>
                          <w:rFonts w:asciiTheme="majorHAnsi" w:hAnsiTheme="majorHAnsi"/>
                          <w:sz w:val="16"/>
                          <w:szCs w:val="16"/>
                        </w:rPr>
                      </w:pPr>
                      <w:r w:rsidRPr="000F55D0">
                        <w:rPr>
                          <w:rFonts w:asciiTheme="majorHAnsi" w:hAnsiTheme="majorHAnsi"/>
                          <w:sz w:val="16"/>
                          <w:szCs w:val="16"/>
                        </w:rPr>
                        <w:t>They are ‘</w:t>
                      </w:r>
                      <w:r w:rsidRPr="000F55D0">
                        <w:rPr>
                          <w:rFonts w:asciiTheme="majorHAnsi" w:hAnsiTheme="majorHAnsi"/>
                          <w:b/>
                          <w:sz w:val="16"/>
                          <w:szCs w:val="16"/>
                        </w:rPr>
                        <w:t>interviews’</w:t>
                      </w:r>
                      <w:r w:rsidRPr="000F55D0">
                        <w:rPr>
                          <w:rFonts w:asciiTheme="majorHAnsi" w:hAnsiTheme="majorHAnsi"/>
                          <w:sz w:val="16"/>
                          <w:szCs w:val="16"/>
                        </w:rPr>
                        <w:t xml:space="preserve"> in the sense that:</w:t>
                      </w:r>
                    </w:p>
                    <w:p w14:paraId="13B21D22" w14:textId="77777777" w:rsidR="001143F2" w:rsidRPr="000F55D0" w:rsidRDefault="001143F2" w:rsidP="007B3CA8">
                      <w:pPr>
                        <w:pStyle w:val="ListParagraph"/>
                        <w:numPr>
                          <w:ilvl w:val="0"/>
                          <w:numId w:val="36"/>
                        </w:numPr>
                        <w:spacing w:before="0" w:after="120"/>
                        <w:ind w:left="142" w:hanging="142"/>
                        <w:rPr>
                          <w:rFonts w:asciiTheme="majorHAnsi" w:hAnsiTheme="majorHAnsi"/>
                          <w:sz w:val="16"/>
                          <w:szCs w:val="16"/>
                        </w:rPr>
                      </w:pPr>
                      <w:r w:rsidRPr="000F55D0">
                        <w:rPr>
                          <w:rFonts w:asciiTheme="majorHAnsi" w:hAnsiTheme="majorHAnsi"/>
                          <w:sz w:val="16"/>
                          <w:szCs w:val="16"/>
                        </w:rPr>
                        <w:t>They were usually with one user, with a lead interviewer and a scribe, as opposed to a group conversation;</w:t>
                      </w:r>
                    </w:p>
                    <w:p w14:paraId="331462C4" w14:textId="77777777" w:rsidR="001143F2" w:rsidRPr="000F55D0" w:rsidRDefault="001143F2" w:rsidP="007B3CA8">
                      <w:pPr>
                        <w:pStyle w:val="ListParagraph"/>
                        <w:numPr>
                          <w:ilvl w:val="0"/>
                          <w:numId w:val="36"/>
                        </w:numPr>
                        <w:spacing w:after="120"/>
                        <w:ind w:left="142" w:hanging="142"/>
                        <w:rPr>
                          <w:rFonts w:asciiTheme="majorHAnsi" w:hAnsiTheme="majorHAnsi"/>
                          <w:sz w:val="16"/>
                          <w:szCs w:val="16"/>
                        </w:rPr>
                      </w:pPr>
                      <w:r w:rsidRPr="000F55D0">
                        <w:rPr>
                          <w:rFonts w:asciiTheme="majorHAnsi" w:hAnsiTheme="majorHAnsi"/>
                          <w:sz w:val="16"/>
                          <w:szCs w:val="16"/>
                        </w:rPr>
                        <w:t>Had open ended questions, rather than direct questions like a survey or a roundtable consultation; and</w:t>
                      </w:r>
                    </w:p>
                    <w:p w14:paraId="301DC2A2" w14:textId="77777777" w:rsidR="001143F2" w:rsidRPr="000F55D0" w:rsidRDefault="001143F2" w:rsidP="007B3CA8">
                      <w:pPr>
                        <w:pStyle w:val="ListParagraph"/>
                        <w:numPr>
                          <w:ilvl w:val="0"/>
                          <w:numId w:val="36"/>
                        </w:numPr>
                        <w:spacing w:after="120"/>
                        <w:ind w:left="142" w:hanging="142"/>
                        <w:rPr>
                          <w:rFonts w:asciiTheme="majorHAnsi" w:hAnsiTheme="majorHAnsi"/>
                          <w:sz w:val="16"/>
                          <w:szCs w:val="16"/>
                        </w:rPr>
                      </w:pPr>
                      <w:r w:rsidRPr="000F55D0">
                        <w:rPr>
                          <w:rFonts w:asciiTheme="majorHAnsi" w:hAnsiTheme="majorHAnsi"/>
                          <w:sz w:val="16"/>
                          <w:szCs w:val="16"/>
                        </w:rPr>
                        <w:t>interviewees spoke for the vast majority of the interview.</w:t>
                      </w:r>
                    </w:p>
                    <w:p w14:paraId="00C09AFF" w14:textId="77777777" w:rsidR="001143F2" w:rsidRDefault="001143F2" w:rsidP="009B219B">
                      <w:pPr>
                        <w:spacing w:after="120"/>
                        <w:rPr>
                          <w:rFonts w:asciiTheme="majorHAnsi" w:hAnsiTheme="majorHAnsi"/>
                          <w:sz w:val="16"/>
                          <w:szCs w:val="16"/>
                        </w:rPr>
                      </w:pPr>
                      <w:r w:rsidRPr="000F55D0">
                        <w:rPr>
                          <w:rFonts w:asciiTheme="majorHAnsi" w:hAnsiTheme="majorHAnsi"/>
                          <w:sz w:val="16"/>
                          <w:szCs w:val="16"/>
                        </w:rPr>
                        <w:t>They are also ‘</w:t>
                      </w:r>
                      <w:r w:rsidRPr="000F55D0">
                        <w:rPr>
                          <w:rFonts w:asciiTheme="majorHAnsi" w:hAnsiTheme="majorHAnsi"/>
                          <w:b/>
                          <w:sz w:val="16"/>
                          <w:szCs w:val="16"/>
                        </w:rPr>
                        <w:t>ethnographic’</w:t>
                      </w:r>
                      <w:r w:rsidRPr="000F55D0">
                        <w:rPr>
                          <w:rFonts w:asciiTheme="majorHAnsi" w:hAnsiTheme="majorHAnsi"/>
                          <w:sz w:val="16"/>
                          <w:szCs w:val="16"/>
                        </w:rPr>
                        <w:t xml:space="preserve"> in the sense that they</w:t>
                      </w:r>
                      <w:r>
                        <w:rPr>
                          <w:rFonts w:asciiTheme="majorHAnsi" w:hAnsiTheme="majorHAnsi"/>
                          <w:sz w:val="16"/>
                          <w:szCs w:val="16"/>
                        </w:rPr>
                        <w:t xml:space="preserve"> focus on studying people and cultures, from the point of view of the subject of the study. They also</w:t>
                      </w:r>
                      <w:r w:rsidRPr="000F55D0">
                        <w:rPr>
                          <w:rFonts w:asciiTheme="majorHAnsi" w:hAnsiTheme="majorHAnsi"/>
                          <w:sz w:val="16"/>
                          <w:szCs w:val="16"/>
                        </w:rPr>
                        <w:t xml:space="preserve"> usually took place in the user’s own work environment – the place where their participation efforts actually occur. This is subtle, but often environments and the artefacts in them trigger memories and contextualise user experience.</w:t>
                      </w:r>
                    </w:p>
                    <w:p w14:paraId="7806C974" w14:textId="77777777" w:rsidR="001143F2" w:rsidRPr="000D08EC" w:rsidRDefault="001143F2" w:rsidP="000D08EC">
                      <w:pPr>
                        <w:spacing w:before="0"/>
                        <w:contextualSpacing/>
                        <w:rPr>
                          <w:rStyle w:val="PlaceholderText"/>
                          <w:rFonts w:asciiTheme="majorHAnsi" w:hAnsiTheme="majorHAnsi"/>
                          <w:color w:val="auto"/>
                          <w:sz w:val="16"/>
                          <w:szCs w:val="16"/>
                        </w:rPr>
                      </w:pPr>
                      <w:r w:rsidRPr="000D08EC">
                        <w:rPr>
                          <w:rFonts w:asciiTheme="majorHAnsi" w:hAnsiTheme="majorHAnsi"/>
                          <w:sz w:val="16"/>
                          <w:szCs w:val="16"/>
                        </w:rPr>
                        <w:t xml:space="preserve">The discussion guides for user interviews are at </w:t>
                      </w:r>
                      <w:r w:rsidRPr="000D08EC">
                        <w:rPr>
                          <w:rFonts w:asciiTheme="majorHAnsi" w:hAnsiTheme="majorHAnsi"/>
                          <w:sz w:val="16"/>
                          <w:szCs w:val="16"/>
                          <w:u w:val="single"/>
                        </w:rPr>
                        <w:t>Attachment A</w:t>
                      </w:r>
                      <w:r>
                        <w:rPr>
                          <w:rFonts w:asciiTheme="majorHAnsi" w:hAnsiTheme="majorHAnsi"/>
                          <w:sz w:val="16"/>
                          <w:szCs w:val="16"/>
                        </w:rPr>
                        <w:t xml:space="preserve">. </w:t>
                      </w:r>
                    </w:p>
                  </w:txbxContent>
                </v:textbox>
                <w10:wrap type="square" anchorx="margin" anchory="margin"/>
              </v:rect>
            </w:pict>
          </mc:Fallback>
        </mc:AlternateContent>
      </w:r>
      <w:r w:rsidR="00912607">
        <w:t>User research methodology</w:t>
      </w:r>
      <w:bookmarkEnd w:id="43"/>
    </w:p>
    <w:bookmarkEnd w:id="41"/>
    <w:p w14:paraId="6752D54E" w14:textId="77777777" w:rsidR="00347182" w:rsidRDefault="007547D1" w:rsidP="0052682D">
      <w:pPr>
        <w:spacing w:before="0"/>
        <w:contextualSpacing/>
      </w:pPr>
      <w:r>
        <w:t xml:space="preserve">The main method to gather primary data was ethnographic user interviews. They are </w:t>
      </w:r>
      <w:r w:rsidRPr="00750460">
        <w:t>about empathy</w:t>
      </w:r>
      <w:r>
        <w:t xml:space="preserve"> - building</w:t>
      </w:r>
      <w:r w:rsidRPr="00750460">
        <w:t xml:space="preserve"> a </w:t>
      </w:r>
      <w:r>
        <w:t xml:space="preserve">rich </w:t>
      </w:r>
      <w:r w:rsidRPr="00750460">
        <w:t xml:space="preserve">understanding of </w:t>
      </w:r>
      <w:r>
        <w:t>users’ experience of public participation</w:t>
      </w:r>
      <w:r w:rsidR="00B4275E">
        <w:t>. This helps us understand</w:t>
      </w:r>
      <w:r>
        <w:t xml:space="preserve"> </w:t>
      </w:r>
      <w:r w:rsidRPr="00750460">
        <w:t xml:space="preserve">how and why </w:t>
      </w:r>
      <w:r>
        <w:t xml:space="preserve">public participation </w:t>
      </w:r>
      <w:r w:rsidRPr="00750460">
        <w:t xml:space="preserve">works </w:t>
      </w:r>
      <w:r>
        <w:t xml:space="preserve">(or fails to work) </w:t>
      </w:r>
      <w:r w:rsidR="00B4275E">
        <w:t xml:space="preserve">on the ground, and what </w:t>
      </w:r>
      <w:r w:rsidR="00022204">
        <w:t>should change</w:t>
      </w:r>
      <w:r w:rsidR="00B4275E">
        <w:t xml:space="preserve"> to </w:t>
      </w:r>
      <w:r w:rsidR="00022204">
        <w:t xml:space="preserve">encourage </w:t>
      </w:r>
      <w:r w:rsidR="00B4275E">
        <w:t>users to do more and better participation.</w:t>
      </w:r>
      <w:r w:rsidR="00347182">
        <w:t xml:space="preserve"> </w:t>
      </w:r>
    </w:p>
    <w:p w14:paraId="6FCE016D" w14:textId="77777777" w:rsidR="006B0744" w:rsidRDefault="006B0744" w:rsidP="0052682D">
      <w:pPr>
        <w:spacing w:before="0"/>
        <w:contextualSpacing/>
      </w:pPr>
    </w:p>
    <w:p w14:paraId="4D19A89C" w14:textId="77777777" w:rsidR="006B0744" w:rsidRDefault="006B0744" w:rsidP="0052682D">
      <w:pPr>
        <w:spacing w:before="0"/>
        <w:contextualSpacing/>
      </w:pPr>
      <w:r>
        <w:t xml:space="preserve">We consider both APS employees and members of the public to be ‘users’. This is because </w:t>
      </w:r>
      <w:r w:rsidR="006D405B">
        <w:t xml:space="preserve">we will need to reach both of them to improve public participation, particularly to encourage </w:t>
      </w:r>
      <w:r w:rsidR="005C5514">
        <w:t xml:space="preserve">adoption of </w:t>
      </w:r>
      <w:r w:rsidR="006D405B">
        <w:t xml:space="preserve">more and better public participation. </w:t>
      </w:r>
    </w:p>
    <w:p w14:paraId="6C6645CE" w14:textId="77777777" w:rsidR="00C07C9B" w:rsidRDefault="00C07C9B" w:rsidP="0052682D">
      <w:pPr>
        <w:spacing w:before="0"/>
        <w:contextualSpacing/>
      </w:pPr>
    </w:p>
    <w:p w14:paraId="2A90E793" w14:textId="77777777" w:rsidR="002937F9" w:rsidRDefault="009A742F" w:rsidP="0052682D">
      <w:pPr>
        <w:spacing w:before="0"/>
      </w:pPr>
      <w:r>
        <w:t>User interviews</w:t>
      </w:r>
      <w:r w:rsidR="005360AE">
        <w:t xml:space="preserve"> </w:t>
      </w:r>
      <w:r w:rsidR="004316D1">
        <w:t xml:space="preserve">build empathy by </w:t>
      </w:r>
      <w:r w:rsidR="005360AE">
        <w:t>seek</w:t>
      </w:r>
      <w:r w:rsidR="004316D1">
        <w:t>ing</w:t>
      </w:r>
      <w:r w:rsidR="00A869EB" w:rsidRPr="00750460">
        <w:t xml:space="preserve"> </w:t>
      </w:r>
      <w:r>
        <w:t xml:space="preserve">to </w:t>
      </w:r>
      <w:r w:rsidR="00BE6E66">
        <w:t xml:space="preserve">evoke </w:t>
      </w:r>
      <w:r w:rsidR="00A869EB" w:rsidRPr="00750460">
        <w:t>stories</w:t>
      </w:r>
      <w:r w:rsidR="002937F9">
        <w:t xml:space="preserve"> about </w:t>
      </w:r>
      <w:r w:rsidR="00A710E3">
        <w:t xml:space="preserve">the user’s </w:t>
      </w:r>
      <w:r w:rsidR="005360AE">
        <w:t>experiences engaging the</w:t>
      </w:r>
      <w:r w:rsidR="00B4275E">
        <w:t xml:space="preserve"> public</w:t>
      </w:r>
      <w:r w:rsidR="005360AE">
        <w:t xml:space="preserve"> and engaging with government</w:t>
      </w:r>
      <w:r w:rsidR="00A869EB" w:rsidRPr="00750460">
        <w:t>. </w:t>
      </w:r>
      <w:r w:rsidR="004316D1">
        <w:t xml:space="preserve">Their open ended nature </w:t>
      </w:r>
      <w:r w:rsidR="00387DF5">
        <w:t>help</w:t>
      </w:r>
      <w:r w:rsidR="004316D1">
        <w:t>s</w:t>
      </w:r>
      <w:r w:rsidR="00387DF5">
        <w:t xml:space="preserve"> us </w:t>
      </w:r>
      <w:r w:rsidR="00387DF5" w:rsidRPr="009F6CC4">
        <w:rPr>
          <w:bCs/>
        </w:rPr>
        <w:t>explore user needs and motivations</w:t>
      </w:r>
      <w:r w:rsidR="00387DF5">
        <w:t xml:space="preserve">, </w:t>
      </w:r>
      <w:r w:rsidR="00BE6E66">
        <w:t>their culture and mutual differences, and qualitative</w:t>
      </w:r>
      <w:r w:rsidR="00387DF5">
        <w:t xml:space="preserve"> information like words, descriptions, ideas and feeling</w:t>
      </w:r>
      <w:r w:rsidR="00B4275E">
        <w:t>s</w:t>
      </w:r>
      <w:r w:rsidR="00387DF5">
        <w:t xml:space="preserve">. </w:t>
      </w:r>
      <w:r w:rsidR="004316D1">
        <w:t>They help us see the opportunities and challenges f</w:t>
      </w:r>
      <w:r w:rsidR="00B4275E">
        <w:t>rom the users’ own perspectives, and uncover what it is going to take for them to do more and better public participation.</w:t>
      </w:r>
    </w:p>
    <w:p w14:paraId="1410B012" w14:textId="77777777" w:rsidR="000D08EC" w:rsidRDefault="000D08EC" w:rsidP="0052682D">
      <w:pPr>
        <w:spacing w:before="0"/>
      </w:pPr>
    </w:p>
    <w:p w14:paraId="5F3F68D2" w14:textId="77777777" w:rsidR="00A12ECD" w:rsidRDefault="00A12ECD" w:rsidP="0052682D">
      <w:pPr>
        <w:spacing w:before="0"/>
      </w:pPr>
      <w:r>
        <w:t xml:space="preserve">Data from the user interviews with APS staff and </w:t>
      </w:r>
      <w:r w:rsidR="000E3C6E">
        <w:t>non-APS interviewees</w:t>
      </w:r>
      <w:r>
        <w:t xml:space="preserve"> is synthesised below</w:t>
      </w:r>
      <w:r w:rsidR="00050D69">
        <w:t xml:space="preserve"> to translate it into accessible conclusions</w:t>
      </w:r>
      <w:r>
        <w:t>. We have synthesised it accordingly:</w:t>
      </w:r>
    </w:p>
    <w:p w14:paraId="1EA528AB" w14:textId="77777777" w:rsidR="00A12ECD" w:rsidRDefault="00A12ECD" w:rsidP="0052682D">
      <w:pPr>
        <w:pStyle w:val="ListParagraph"/>
        <w:numPr>
          <w:ilvl w:val="0"/>
          <w:numId w:val="36"/>
        </w:numPr>
        <w:spacing w:before="0"/>
      </w:pPr>
      <w:r w:rsidRPr="00C3068F">
        <w:rPr>
          <w:b/>
        </w:rPr>
        <w:t>Themes</w:t>
      </w:r>
      <w:r>
        <w:t>: An aggregation of insights.</w:t>
      </w:r>
      <w:r w:rsidR="00AF2AD9">
        <w:t xml:space="preserve"> There are five each for both the APS and the public.</w:t>
      </w:r>
    </w:p>
    <w:p w14:paraId="4115DC92" w14:textId="77777777" w:rsidR="00A12ECD" w:rsidRPr="001B1633" w:rsidRDefault="00A12ECD" w:rsidP="0052682D">
      <w:pPr>
        <w:pStyle w:val="ListParagraph"/>
        <w:numPr>
          <w:ilvl w:val="0"/>
          <w:numId w:val="36"/>
        </w:numPr>
        <w:spacing w:before="0"/>
      </w:pPr>
      <w:r w:rsidRPr="00C3068F">
        <w:rPr>
          <w:b/>
        </w:rPr>
        <w:t>Insights</w:t>
      </w:r>
      <w:r>
        <w:t>:</w:t>
      </w:r>
      <w:r w:rsidRPr="00777E66">
        <w:t xml:space="preserve"> </w:t>
      </w:r>
      <w:r>
        <w:t xml:space="preserve">Collation of raw user feedback and stories, in the form of statements about users’ personal </w:t>
      </w:r>
      <w:r w:rsidRPr="00777E66">
        <w:t>behaviours, expectat</w:t>
      </w:r>
      <w:r>
        <w:t xml:space="preserve">ions, </w:t>
      </w:r>
      <w:r w:rsidRPr="00777E66">
        <w:t>bias</w:t>
      </w:r>
      <w:r>
        <w:t xml:space="preserve">, motivations, feelings </w:t>
      </w:r>
      <w:r w:rsidRPr="001B1633">
        <w:t xml:space="preserve">and experiences relating </w:t>
      </w:r>
      <w:r>
        <w:t xml:space="preserve">to public participation. They should connect </w:t>
      </w:r>
      <w:r w:rsidRPr="001B1633">
        <w:t xml:space="preserve">at an emotional level with </w:t>
      </w:r>
      <w:r>
        <w:t>users. They should provoke</w:t>
      </w:r>
      <w:r w:rsidRPr="001B1633">
        <w:t xml:space="preserve"> a clear response </w:t>
      </w:r>
      <w:r>
        <w:t>like ‘</w:t>
      </w:r>
      <w:r w:rsidRPr="001B1633">
        <w:t>They understand me! / That’s exactly how I feel!</w:t>
      </w:r>
      <w:r>
        <w:t>’</w:t>
      </w:r>
      <w:r w:rsidRPr="001B1633">
        <w:t xml:space="preserve"> (Even if I never thought about it quite like that)</w:t>
      </w:r>
      <w:r>
        <w:t>.</w:t>
      </w:r>
    </w:p>
    <w:p w14:paraId="7EBBAC92" w14:textId="77777777" w:rsidR="00A12ECD" w:rsidRDefault="00A12ECD" w:rsidP="0052682D">
      <w:pPr>
        <w:pStyle w:val="ListParagraph"/>
        <w:numPr>
          <w:ilvl w:val="0"/>
          <w:numId w:val="36"/>
        </w:numPr>
        <w:spacing w:before="0"/>
      </w:pPr>
      <w:r w:rsidRPr="00C3068F">
        <w:rPr>
          <w:b/>
        </w:rPr>
        <w:t>Implications</w:t>
      </w:r>
      <w:r>
        <w:rPr>
          <w:b/>
        </w:rPr>
        <w:t xml:space="preserve">: </w:t>
      </w:r>
      <w:r w:rsidRPr="00C3068F">
        <w:t>The</w:t>
      </w:r>
      <w:r w:rsidRPr="00750460">
        <w:t xml:space="preserve"> ‘so what’ of the insight</w:t>
      </w:r>
      <w:r>
        <w:t xml:space="preserve"> - s</w:t>
      </w:r>
      <w:r w:rsidRPr="001B1633">
        <w:t xml:space="preserve">uccinct </w:t>
      </w:r>
      <w:r>
        <w:t xml:space="preserve">statements </w:t>
      </w:r>
      <w:r w:rsidRPr="001B1633">
        <w:t>that point the way forward</w:t>
      </w:r>
      <w:r>
        <w:t xml:space="preserve"> to better public participation</w:t>
      </w:r>
      <w:r w:rsidRPr="001B1633">
        <w:t xml:space="preserve">. When leveraged, </w:t>
      </w:r>
      <w:r>
        <w:t xml:space="preserve">they have </w:t>
      </w:r>
      <w:r w:rsidRPr="001B1633">
        <w:t>the power to chan</w:t>
      </w:r>
      <w:r>
        <w:t xml:space="preserve">ge user behaviour. </w:t>
      </w:r>
    </w:p>
    <w:p w14:paraId="00D84D96" w14:textId="77777777" w:rsidR="00A8543A" w:rsidRDefault="00A8543A" w:rsidP="0052682D">
      <w:pPr>
        <w:spacing w:before="0"/>
      </w:pPr>
    </w:p>
    <w:p w14:paraId="05252061" w14:textId="77777777" w:rsidR="00A12ECD" w:rsidRDefault="00A12ECD" w:rsidP="0052682D">
      <w:pPr>
        <w:spacing w:before="0"/>
      </w:pPr>
      <w:r>
        <w:t xml:space="preserve">Where we heard an illustrative quote from users, we included these in the insights or implications. This helps </w:t>
      </w:r>
      <w:r w:rsidRPr="00750460">
        <w:t>ensure the user’s voice is heard and build</w:t>
      </w:r>
      <w:r>
        <w:t>s</w:t>
      </w:r>
      <w:r w:rsidRPr="00750460">
        <w:t xml:space="preserve"> empathy with them</w:t>
      </w:r>
      <w:r>
        <w:t xml:space="preserve"> – understanding the problems and opportunities from their perspectives. </w:t>
      </w:r>
    </w:p>
    <w:p w14:paraId="7C57D525" w14:textId="77777777" w:rsidR="00A15B10" w:rsidRDefault="00A15B10" w:rsidP="0052682D">
      <w:pPr>
        <w:spacing w:before="0"/>
      </w:pPr>
    </w:p>
    <w:p w14:paraId="5098E2B6" w14:textId="77777777" w:rsidR="00A15B10" w:rsidRDefault="00A15B10" w:rsidP="0052682D">
      <w:pPr>
        <w:spacing w:before="0"/>
      </w:pPr>
      <w:r>
        <w:t>There are also synergies and similarities between our themes. We have developed a systems map (Appendix D) that demonstrates these.</w:t>
      </w:r>
    </w:p>
    <w:p w14:paraId="143E3ADC" w14:textId="77777777" w:rsidR="00C07C9B" w:rsidRDefault="00C07C9B" w:rsidP="0052682D">
      <w:pPr>
        <w:spacing w:before="0"/>
      </w:pPr>
    </w:p>
    <w:p w14:paraId="3264BC20" w14:textId="77777777" w:rsidR="00CE355D" w:rsidRDefault="00A12ECD" w:rsidP="0052682D">
      <w:pPr>
        <w:spacing w:before="0"/>
      </w:pPr>
      <w:r>
        <w:t>Together, this synthesis forms the empathy that informs</w:t>
      </w:r>
      <w:r w:rsidRPr="00777E66">
        <w:t xml:space="preserve"> tailored and efficient solution design. </w:t>
      </w:r>
      <w:r>
        <w:t xml:space="preserve">They will be drawn on in the Define stage (below); </w:t>
      </w:r>
      <w:r w:rsidRPr="001B1633">
        <w:t xml:space="preserve">and give shape and form to </w:t>
      </w:r>
      <w:r>
        <w:t>b</w:t>
      </w:r>
      <w:r w:rsidRPr="001B1633">
        <w:t>rainstorms</w:t>
      </w:r>
      <w:r>
        <w:t xml:space="preserve"> and problem solving in the Create phase</w:t>
      </w:r>
      <w:r w:rsidRPr="001B1633">
        <w:t>.</w:t>
      </w:r>
    </w:p>
    <w:p w14:paraId="5D91E5EC" w14:textId="77777777" w:rsidR="000D08EC" w:rsidRDefault="000D08EC" w:rsidP="0052682D">
      <w:pPr>
        <w:spacing w:before="0"/>
      </w:pPr>
    </w:p>
    <w:p w14:paraId="412E87D2" w14:textId="77777777" w:rsidR="000D08EC" w:rsidRDefault="000D08EC" w:rsidP="0052682D">
      <w:pPr>
        <w:spacing w:before="0"/>
        <w:contextualSpacing/>
      </w:pPr>
      <w:r>
        <w:lastRenderedPageBreak/>
        <w:t xml:space="preserve">We also conducted a </w:t>
      </w:r>
      <w:r w:rsidRPr="00EC5A98">
        <w:t>surve</w:t>
      </w:r>
      <w:r>
        <w:t xml:space="preserve">y to stocktake current approaches to public participation across APS departments, to help test the results of the interviews. The survey was a required output for the Discover milestone, under Australia’s Open Government National Action Plan. </w:t>
      </w:r>
    </w:p>
    <w:p w14:paraId="311D4B26" w14:textId="77777777" w:rsidR="000D08EC" w:rsidRDefault="000D08EC" w:rsidP="0052682D">
      <w:pPr>
        <w:spacing w:before="0"/>
        <w:contextualSpacing/>
      </w:pPr>
    </w:p>
    <w:p w14:paraId="4BD8ABB3" w14:textId="77777777" w:rsidR="00CE355D" w:rsidRPr="00660A13" w:rsidRDefault="00A15B10" w:rsidP="00660A13">
      <w:pPr>
        <w:rPr>
          <w:bCs/>
        </w:rPr>
      </w:pPr>
      <w:r w:rsidRPr="00CE355D">
        <w:rPr>
          <w:noProof/>
          <w:lang w:eastAsia="en-AU"/>
        </w:rPr>
        <w:drawing>
          <wp:anchor distT="0" distB="0" distL="114300" distR="114300" simplePos="0" relativeHeight="251658247" behindDoc="1" locked="0" layoutInCell="1" allowOverlap="1" wp14:anchorId="6174C3B7" wp14:editId="5785361F">
            <wp:simplePos x="0" y="0"/>
            <wp:positionH relativeFrom="margin">
              <wp:align>left</wp:align>
            </wp:positionH>
            <wp:positionV relativeFrom="margin">
              <wp:posOffset>849933</wp:posOffset>
            </wp:positionV>
            <wp:extent cx="5759450" cy="4316095"/>
            <wp:effectExtent l="0" t="0" r="0" b="825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9450" cy="4316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3FC306" w14:textId="77777777" w:rsidR="000955EF" w:rsidRPr="00660A13" w:rsidRDefault="000955EF" w:rsidP="00660A13">
      <w:pPr>
        <w:rPr>
          <w:bCs/>
        </w:rPr>
      </w:pPr>
    </w:p>
    <w:p w14:paraId="7329A494" w14:textId="77777777" w:rsidR="000955EF" w:rsidRPr="00660A13" w:rsidRDefault="000955EF" w:rsidP="00660A13">
      <w:pPr>
        <w:rPr>
          <w:bCs/>
        </w:rPr>
      </w:pPr>
    </w:p>
    <w:p w14:paraId="1F9BB515" w14:textId="77777777" w:rsidR="000955EF" w:rsidRPr="00660A13" w:rsidRDefault="000955EF" w:rsidP="00660A13">
      <w:pPr>
        <w:rPr>
          <w:bCs/>
        </w:rPr>
      </w:pPr>
    </w:p>
    <w:p w14:paraId="337EAF16" w14:textId="77777777" w:rsidR="000955EF" w:rsidRPr="00660A13" w:rsidRDefault="000955EF" w:rsidP="00660A13">
      <w:pPr>
        <w:rPr>
          <w:bCs/>
        </w:rPr>
      </w:pPr>
    </w:p>
    <w:p w14:paraId="1E0FAB46" w14:textId="77777777" w:rsidR="000955EF" w:rsidRPr="00660A13" w:rsidRDefault="000955EF" w:rsidP="00660A13">
      <w:pPr>
        <w:rPr>
          <w:bCs/>
        </w:rPr>
      </w:pPr>
    </w:p>
    <w:p w14:paraId="5A2A4C75" w14:textId="77777777" w:rsidR="000955EF" w:rsidRPr="00660A13" w:rsidRDefault="000955EF" w:rsidP="00660A13">
      <w:pPr>
        <w:rPr>
          <w:bCs/>
        </w:rPr>
      </w:pPr>
    </w:p>
    <w:p w14:paraId="23C40EE7" w14:textId="77777777" w:rsidR="000955EF" w:rsidRPr="00660A13" w:rsidRDefault="000955EF" w:rsidP="00660A13">
      <w:pPr>
        <w:rPr>
          <w:bCs/>
        </w:rPr>
      </w:pPr>
    </w:p>
    <w:p w14:paraId="337C8B10" w14:textId="77777777" w:rsidR="000955EF" w:rsidRPr="00660A13" w:rsidRDefault="000955EF" w:rsidP="00660A13">
      <w:pPr>
        <w:rPr>
          <w:bCs/>
        </w:rPr>
      </w:pPr>
    </w:p>
    <w:p w14:paraId="4BEFA1CE" w14:textId="77777777" w:rsidR="000955EF" w:rsidRPr="00660A13" w:rsidRDefault="000955EF" w:rsidP="00660A13">
      <w:pPr>
        <w:rPr>
          <w:bCs/>
        </w:rPr>
      </w:pPr>
    </w:p>
    <w:p w14:paraId="431F3021" w14:textId="77777777" w:rsidR="000955EF" w:rsidRPr="00660A13" w:rsidRDefault="000955EF" w:rsidP="00660A13">
      <w:pPr>
        <w:rPr>
          <w:bCs/>
        </w:rPr>
      </w:pPr>
    </w:p>
    <w:p w14:paraId="1E864918" w14:textId="77777777" w:rsidR="000955EF" w:rsidRPr="00660A13" w:rsidRDefault="000955EF" w:rsidP="00660A13">
      <w:pPr>
        <w:rPr>
          <w:bCs/>
        </w:rPr>
      </w:pPr>
    </w:p>
    <w:p w14:paraId="20AECECD" w14:textId="77777777" w:rsidR="000955EF" w:rsidRPr="00660A13" w:rsidRDefault="000955EF" w:rsidP="00660A13">
      <w:pPr>
        <w:rPr>
          <w:bCs/>
        </w:rPr>
      </w:pPr>
    </w:p>
    <w:p w14:paraId="6D4040F9" w14:textId="77777777" w:rsidR="000955EF" w:rsidRPr="00660A13" w:rsidRDefault="000955EF" w:rsidP="00660A13">
      <w:pPr>
        <w:rPr>
          <w:bCs/>
        </w:rPr>
      </w:pPr>
    </w:p>
    <w:p w14:paraId="55097AA1" w14:textId="77777777" w:rsidR="000955EF" w:rsidRPr="00660A13" w:rsidRDefault="000955EF" w:rsidP="00660A13">
      <w:pPr>
        <w:rPr>
          <w:bCs/>
        </w:rPr>
      </w:pPr>
    </w:p>
    <w:p w14:paraId="67B25B29" w14:textId="77777777" w:rsidR="00E74C18" w:rsidRPr="0024709B" w:rsidRDefault="00A94DB1" w:rsidP="0052682D">
      <w:pPr>
        <w:pStyle w:val="H2"/>
        <w:spacing w:before="0" w:after="0"/>
      </w:pPr>
      <w:bookmarkStart w:id="44" w:name="_Toc495915962"/>
      <w:r>
        <w:t>T</w:t>
      </w:r>
      <w:r w:rsidR="00E74C18">
        <w:t xml:space="preserve">hemes </w:t>
      </w:r>
      <w:r>
        <w:t xml:space="preserve">and implications </w:t>
      </w:r>
      <w:r w:rsidR="00E74C18">
        <w:t xml:space="preserve">from </w:t>
      </w:r>
      <w:r>
        <w:t xml:space="preserve">user </w:t>
      </w:r>
      <w:r w:rsidR="00E74C18">
        <w:t xml:space="preserve">interviews with APS </w:t>
      </w:r>
      <w:r>
        <w:t>staff</w:t>
      </w:r>
      <w:bookmarkEnd w:id="44"/>
    </w:p>
    <w:p w14:paraId="40602A95" w14:textId="77777777" w:rsidR="007A16A0" w:rsidRDefault="00C31F95" w:rsidP="0052682D">
      <w:pPr>
        <w:spacing w:before="0"/>
      </w:pPr>
      <w:r>
        <w:t>Demographic breakdown of e</w:t>
      </w:r>
      <w:r w:rsidR="007A16A0">
        <w:t>thnographic user interviews of APS employees</w:t>
      </w:r>
      <w:r>
        <w:t>:</w:t>
      </w:r>
    </w:p>
    <w:p w14:paraId="444E652E" w14:textId="77777777" w:rsidR="007A16A0" w:rsidRDefault="007A16A0" w:rsidP="0052682D">
      <w:pPr>
        <w:pStyle w:val="ListParagraph"/>
        <w:numPr>
          <w:ilvl w:val="0"/>
          <w:numId w:val="36"/>
        </w:numPr>
        <w:spacing w:before="0"/>
      </w:pPr>
      <w:r>
        <w:t>38 people</w:t>
      </w:r>
    </w:p>
    <w:p w14:paraId="0E8C6164" w14:textId="77777777" w:rsidR="007A16A0" w:rsidRDefault="007A16A0" w:rsidP="0052682D">
      <w:pPr>
        <w:pStyle w:val="ListParagraph"/>
        <w:numPr>
          <w:ilvl w:val="0"/>
          <w:numId w:val="36"/>
        </w:numPr>
        <w:spacing w:before="0"/>
      </w:pPr>
      <w:r>
        <w:t>13 agencies</w:t>
      </w:r>
    </w:p>
    <w:p w14:paraId="3A80FE56" w14:textId="77777777" w:rsidR="007A16A0" w:rsidRDefault="007A16A0" w:rsidP="0052682D">
      <w:pPr>
        <w:pStyle w:val="ListParagraph"/>
        <w:numPr>
          <w:ilvl w:val="0"/>
          <w:numId w:val="36"/>
        </w:numPr>
        <w:spacing w:before="0"/>
      </w:pPr>
      <w:r>
        <w:t>Range of levels</w:t>
      </w:r>
    </w:p>
    <w:p w14:paraId="01AA0E40" w14:textId="77777777" w:rsidR="007A16A0" w:rsidRDefault="007A16A0" w:rsidP="0052682D">
      <w:pPr>
        <w:pStyle w:val="ListParagraph"/>
        <w:numPr>
          <w:ilvl w:val="0"/>
          <w:numId w:val="36"/>
        </w:numPr>
        <w:spacing w:before="0"/>
      </w:pPr>
      <w:r>
        <w:t>Range of roles, including:</w:t>
      </w:r>
    </w:p>
    <w:p w14:paraId="73F15B07" w14:textId="77777777" w:rsidR="007A16A0" w:rsidRDefault="007A16A0" w:rsidP="0052682D">
      <w:pPr>
        <w:pStyle w:val="ListParagraph"/>
        <w:numPr>
          <w:ilvl w:val="1"/>
          <w:numId w:val="36"/>
        </w:numPr>
        <w:spacing w:before="0"/>
      </w:pPr>
      <w:r>
        <w:t>Policy; Programmes; Service delivery; and Communications.</w:t>
      </w:r>
    </w:p>
    <w:p w14:paraId="0D3E1B13" w14:textId="77777777" w:rsidR="00C07C9B" w:rsidRDefault="00C07C9B" w:rsidP="0052682D">
      <w:pPr>
        <w:spacing w:before="0"/>
        <w:rPr>
          <w:b/>
        </w:rPr>
      </w:pPr>
    </w:p>
    <w:p w14:paraId="22A16CC3" w14:textId="77777777" w:rsidR="000955EF" w:rsidRDefault="000955EF">
      <w:r>
        <w:rPr>
          <w:bCs/>
        </w:rPr>
        <w:br w:type="page"/>
      </w:r>
    </w:p>
    <w:tbl>
      <w:tblPr>
        <w:tblStyle w:val="TableGrid"/>
        <w:tblW w:w="0" w:type="auto"/>
        <w:tblLook w:val="04A0" w:firstRow="1" w:lastRow="0" w:firstColumn="1" w:lastColumn="0" w:noHBand="0" w:noVBand="1"/>
      </w:tblPr>
      <w:tblGrid>
        <w:gridCol w:w="3969"/>
        <w:gridCol w:w="284"/>
        <w:gridCol w:w="4763"/>
      </w:tblGrid>
      <w:tr w:rsidR="00C912FB" w14:paraId="2A5ABB6A" w14:textId="77777777" w:rsidTr="00C912FB">
        <w:tc>
          <w:tcPr>
            <w:tcW w:w="4253" w:type="dxa"/>
            <w:gridSpan w:val="2"/>
            <w:tcBorders>
              <w:top w:val="nil"/>
              <w:left w:val="nil"/>
              <w:bottom w:val="nil"/>
              <w:right w:val="nil"/>
            </w:tcBorders>
          </w:tcPr>
          <w:p w14:paraId="25D64BE9" w14:textId="77777777" w:rsidR="00C912FB" w:rsidRPr="0078113C" w:rsidRDefault="00C912FB" w:rsidP="00A13A0F">
            <w:pPr>
              <w:pStyle w:val="Chartandfiguresheading"/>
              <w:rPr>
                <w:color w:val="44546A" w:themeColor="text2"/>
              </w:rPr>
            </w:pPr>
            <w:bookmarkStart w:id="45" w:name="_Toc495915963"/>
            <w:r w:rsidRPr="0078113C">
              <w:rPr>
                <w:color w:val="44546A" w:themeColor="text2"/>
              </w:rPr>
              <w:lastRenderedPageBreak/>
              <w:t xml:space="preserve">APS Theme </w:t>
            </w:r>
            <w:r>
              <w:rPr>
                <w:color w:val="44546A" w:themeColor="text2"/>
              </w:rPr>
              <w:t>1</w:t>
            </w:r>
            <w:r w:rsidRPr="0078113C">
              <w:rPr>
                <w:color w:val="44546A" w:themeColor="text2"/>
              </w:rPr>
              <w:t>:</w:t>
            </w:r>
            <w:bookmarkEnd w:id="45"/>
            <w:r w:rsidRPr="0078113C">
              <w:rPr>
                <w:color w:val="44546A" w:themeColor="text2"/>
              </w:rPr>
              <w:t xml:space="preserve"> </w:t>
            </w:r>
          </w:p>
          <w:p w14:paraId="292ADFAB" w14:textId="77777777" w:rsidR="00C912FB" w:rsidRDefault="00C912FB" w:rsidP="00A13A0F">
            <w:pPr>
              <w:pStyle w:val="Chartandfiguresheading"/>
              <w:rPr>
                <w:b/>
              </w:rPr>
            </w:pPr>
            <w:bookmarkStart w:id="46" w:name="_Toc495915964"/>
            <w:r w:rsidRPr="00C912FB">
              <w:rPr>
                <w:color w:val="44546A" w:themeColor="text2"/>
              </w:rPr>
              <w:t>Awareness and practical experience of how to engage the community beyond traditional information sharing and consultation is patchy. There are good examples of more collaborative approaches, but this is not the norm.</w:t>
            </w:r>
            <w:bookmarkEnd w:id="46"/>
          </w:p>
        </w:tc>
        <w:tc>
          <w:tcPr>
            <w:tcW w:w="4763" w:type="dxa"/>
            <w:tcBorders>
              <w:top w:val="nil"/>
              <w:left w:val="nil"/>
              <w:bottom w:val="nil"/>
              <w:right w:val="nil"/>
            </w:tcBorders>
          </w:tcPr>
          <w:p w14:paraId="6CD37B89" w14:textId="77777777" w:rsidR="00C912FB" w:rsidRDefault="00C912FB" w:rsidP="00A13A0F">
            <w:pPr>
              <w:pStyle w:val="Heading6"/>
              <w:numPr>
                <w:ilvl w:val="0"/>
                <w:numId w:val="0"/>
              </w:numPr>
              <w:spacing w:before="0"/>
              <w:rPr>
                <w:i w:val="0"/>
              </w:rPr>
            </w:pPr>
          </w:p>
          <w:p w14:paraId="08371D80" w14:textId="77777777" w:rsidR="00C912FB" w:rsidRPr="00EE0957" w:rsidRDefault="00C912FB" w:rsidP="00A13A0F">
            <w:pPr>
              <w:pStyle w:val="Heading6"/>
              <w:numPr>
                <w:ilvl w:val="0"/>
                <w:numId w:val="0"/>
              </w:numPr>
              <w:spacing w:before="0"/>
              <w:rPr>
                <w:i w:val="0"/>
              </w:rPr>
            </w:pPr>
            <w:r w:rsidRPr="00EE0957">
              <w:rPr>
                <w:i w:val="0"/>
              </w:rPr>
              <w:t>Insights:</w:t>
            </w:r>
          </w:p>
          <w:p w14:paraId="45736C2D" w14:textId="77777777" w:rsidR="00C912FB" w:rsidRDefault="00C912FB" w:rsidP="00C912FB">
            <w:pPr>
              <w:pStyle w:val="ListParagraph"/>
              <w:numPr>
                <w:ilvl w:val="0"/>
                <w:numId w:val="38"/>
              </w:numPr>
              <w:spacing w:before="0"/>
            </w:pPr>
            <w:r>
              <w:t xml:space="preserve">The vast majority of participants had only ever been involved in consultation and information sharing processes. Some were undertaking User Centred Design, which can have elements of deliberation and collaboration. However, many participants who used User Centred Design didn’t bring the public into the decisionmaking process, thus limiting the participation to a consultation only rather than collaboration or deliberation. </w:t>
            </w:r>
          </w:p>
          <w:p w14:paraId="7809C86B" w14:textId="77777777" w:rsidR="00C912FB" w:rsidRDefault="00C912FB" w:rsidP="00A13A0F">
            <w:pPr>
              <w:spacing w:before="0"/>
              <w:contextualSpacing/>
              <w:rPr>
                <w:b/>
              </w:rPr>
            </w:pPr>
          </w:p>
        </w:tc>
      </w:tr>
      <w:tr w:rsidR="00C912FB" w14:paraId="5959D8B5" w14:textId="77777777" w:rsidTr="00A13A0F">
        <w:tc>
          <w:tcPr>
            <w:tcW w:w="9016" w:type="dxa"/>
            <w:gridSpan w:val="3"/>
            <w:tcBorders>
              <w:top w:val="nil"/>
              <w:left w:val="nil"/>
              <w:bottom w:val="nil"/>
              <w:right w:val="nil"/>
            </w:tcBorders>
          </w:tcPr>
          <w:p w14:paraId="75D4A5CD" w14:textId="77777777" w:rsidR="00C912FB" w:rsidRPr="00EE0957" w:rsidRDefault="00C912FB" w:rsidP="00A13A0F">
            <w:pPr>
              <w:pStyle w:val="Heading6"/>
              <w:numPr>
                <w:ilvl w:val="0"/>
                <w:numId w:val="0"/>
              </w:numPr>
              <w:spacing w:before="0"/>
              <w:rPr>
                <w:i w:val="0"/>
              </w:rPr>
            </w:pPr>
            <w:r w:rsidRPr="00EE0957">
              <w:rPr>
                <w:i w:val="0"/>
              </w:rPr>
              <w:t>Implications:</w:t>
            </w:r>
          </w:p>
          <w:p w14:paraId="79E99092" w14:textId="77777777" w:rsidR="00C912FB" w:rsidRPr="009B453D" w:rsidRDefault="00C912FB" w:rsidP="00C912FB">
            <w:pPr>
              <w:spacing w:before="0"/>
              <w:contextualSpacing/>
            </w:pPr>
            <w:r>
              <w:t>Prior to engaging the public,</w:t>
            </w:r>
            <w:r w:rsidRPr="009B453D">
              <w:t xml:space="preserve"> we are not necessarily analysing the nature of the challenges before us and applying the most appropriate approach to engage the community.</w:t>
            </w:r>
            <w:r>
              <w:t xml:space="preserve"> </w:t>
            </w:r>
            <w:r w:rsidRPr="009B453D">
              <w:t>More often we are simply doing what we have traditionally done and as such missing potential opportunities to bring a wider view and broader expertise into our work that can lead to better outcomes and broader support for those outcomes.</w:t>
            </w:r>
          </w:p>
          <w:p w14:paraId="105C2ED9" w14:textId="77777777" w:rsidR="00C912FB" w:rsidRPr="009B453D" w:rsidRDefault="00C912FB" w:rsidP="00C912FB">
            <w:pPr>
              <w:spacing w:before="0"/>
              <w:contextualSpacing/>
            </w:pPr>
          </w:p>
          <w:p w14:paraId="3B7DED69" w14:textId="77777777" w:rsidR="00C912FB" w:rsidRPr="000554CC" w:rsidRDefault="00C912FB" w:rsidP="00C912FB">
            <w:pPr>
              <w:spacing w:before="0"/>
              <w:contextualSpacing/>
            </w:pPr>
            <w:r>
              <w:t>Since traditional modes of engagement like consultation through issues papers are static, they also result</w:t>
            </w:r>
            <w:r w:rsidRPr="009B453D">
              <w:t xml:space="preserve"> in </w:t>
            </w:r>
            <w:r>
              <w:t>stakeholder engagement</w:t>
            </w:r>
            <w:r w:rsidRPr="009B453D">
              <w:t xml:space="preserve"> being more transactional by nature than </w:t>
            </w:r>
            <w:r>
              <w:t xml:space="preserve">an ongoing </w:t>
            </w:r>
            <w:r w:rsidRPr="009B453D">
              <w:t>relation</w:t>
            </w:r>
            <w:r>
              <w:t>ship or</w:t>
            </w:r>
            <w:r w:rsidRPr="009B453D">
              <w:t xml:space="preserve"> partnership</w:t>
            </w:r>
            <w:r>
              <w:t>.</w:t>
            </w:r>
          </w:p>
          <w:p w14:paraId="69099FEC" w14:textId="77777777" w:rsidR="00C912FB" w:rsidRDefault="00C912FB" w:rsidP="00A13A0F">
            <w:pPr>
              <w:spacing w:before="0"/>
              <w:contextualSpacing/>
              <w:rPr>
                <w:b/>
              </w:rPr>
            </w:pPr>
          </w:p>
          <w:p w14:paraId="31490537" w14:textId="77777777" w:rsidR="00C912FB" w:rsidRDefault="00C912FB" w:rsidP="00A13A0F">
            <w:pPr>
              <w:spacing w:before="0"/>
              <w:contextualSpacing/>
              <w:rPr>
                <w:b/>
              </w:rPr>
            </w:pPr>
          </w:p>
        </w:tc>
      </w:tr>
      <w:tr w:rsidR="00EE0957" w14:paraId="742EF900" w14:textId="77777777" w:rsidTr="0078113C">
        <w:tc>
          <w:tcPr>
            <w:tcW w:w="3969" w:type="dxa"/>
            <w:tcBorders>
              <w:top w:val="nil"/>
              <w:left w:val="nil"/>
              <w:bottom w:val="nil"/>
              <w:right w:val="nil"/>
            </w:tcBorders>
          </w:tcPr>
          <w:p w14:paraId="66DB8DC4" w14:textId="77777777" w:rsidR="0078113C" w:rsidRDefault="00EE0957" w:rsidP="00EE0957">
            <w:pPr>
              <w:pStyle w:val="Chartandfiguresheading"/>
              <w:rPr>
                <w:color w:val="44546A" w:themeColor="text2"/>
              </w:rPr>
            </w:pPr>
            <w:bookmarkStart w:id="47" w:name="_Toc495915965"/>
            <w:r w:rsidRPr="0078113C">
              <w:rPr>
                <w:color w:val="44546A" w:themeColor="text2"/>
              </w:rPr>
              <w:lastRenderedPageBreak/>
              <w:t>APS Theme 2:</w:t>
            </w:r>
            <w:bookmarkEnd w:id="47"/>
            <w:r w:rsidRPr="0078113C">
              <w:rPr>
                <w:color w:val="44546A" w:themeColor="text2"/>
              </w:rPr>
              <w:t xml:space="preserve"> </w:t>
            </w:r>
          </w:p>
          <w:p w14:paraId="0FDA7544" w14:textId="77777777" w:rsidR="00EE0957" w:rsidRPr="0078113C" w:rsidRDefault="00EE0957" w:rsidP="00EE0957">
            <w:pPr>
              <w:pStyle w:val="Chartandfiguresheading"/>
              <w:rPr>
                <w:color w:val="44546A" w:themeColor="text2"/>
              </w:rPr>
            </w:pPr>
            <w:bookmarkStart w:id="48" w:name="_Toc495915966"/>
            <w:r w:rsidRPr="0078113C">
              <w:rPr>
                <w:color w:val="44546A" w:themeColor="text2"/>
              </w:rPr>
              <w:t>Consultation often has an emphasis on obtaining buy in rather than accessing expertise.</w:t>
            </w:r>
            <w:bookmarkEnd w:id="48"/>
            <w:r w:rsidRPr="0078113C">
              <w:rPr>
                <w:color w:val="44546A" w:themeColor="text2"/>
              </w:rPr>
              <w:t xml:space="preserve"> </w:t>
            </w:r>
          </w:p>
          <w:p w14:paraId="4AD17C1B" w14:textId="77777777" w:rsidR="00EE0957" w:rsidRDefault="00EE0957" w:rsidP="0052682D">
            <w:pPr>
              <w:spacing w:before="0"/>
              <w:contextualSpacing/>
              <w:rPr>
                <w:b/>
              </w:rPr>
            </w:pPr>
          </w:p>
        </w:tc>
        <w:tc>
          <w:tcPr>
            <w:tcW w:w="5047" w:type="dxa"/>
            <w:gridSpan w:val="2"/>
            <w:tcBorders>
              <w:top w:val="nil"/>
              <w:left w:val="nil"/>
              <w:bottom w:val="nil"/>
              <w:right w:val="nil"/>
            </w:tcBorders>
          </w:tcPr>
          <w:p w14:paraId="6192FFCF" w14:textId="77777777" w:rsidR="00A84FC2" w:rsidRDefault="00A84FC2" w:rsidP="00EE0957">
            <w:pPr>
              <w:pStyle w:val="Heading6"/>
              <w:numPr>
                <w:ilvl w:val="0"/>
                <w:numId w:val="0"/>
              </w:numPr>
              <w:spacing w:before="0"/>
              <w:rPr>
                <w:i w:val="0"/>
              </w:rPr>
            </w:pPr>
          </w:p>
          <w:p w14:paraId="5F6C8688" w14:textId="77777777" w:rsidR="00EE0957" w:rsidRPr="00EE0957" w:rsidRDefault="00EE0957" w:rsidP="00EE0957">
            <w:pPr>
              <w:pStyle w:val="Heading6"/>
              <w:numPr>
                <w:ilvl w:val="0"/>
                <w:numId w:val="0"/>
              </w:numPr>
              <w:spacing w:before="0"/>
              <w:rPr>
                <w:i w:val="0"/>
              </w:rPr>
            </w:pPr>
            <w:r w:rsidRPr="00EE0957">
              <w:rPr>
                <w:i w:val="0"/>
              </w:rPr>
              <w:t>Insights:</w:t>
            </w:r>
          </w:p>
          <w:p w14:paraId="6172038B" w14:textId="77777777" w:rsidR="00EE0957" w:rsidRDefault="00EE0957" w:rsidP="00EE0957">
            <w:pPr>
              <w:pStyle w:val="ListParagraph"/>
              <w:numPr>
                <w:ilvl w:val="0"/>
                <w:numId w:val="38"/>
              </w:numPr>
              <w:spacing w:before="0"/>
            </w:pPr>
            <w:r>
              <w:t xml:space="preserve">Participants did not demonstrate a strong sense </w:t>
            </w:r>
            <w:r w:rsidRPr="009B453D">
              <w:t>of the potential benefits of working with the public</w:t>
            </w:r>
            <w:r>
              <w:t xml:space="preserve">. For many, consultation seemed to be </w:t>
            </w:r>
            <w:r w:rsidRPr="009B453D">
              <w:t>about managing the public/stakeholders</w:t>
            </w:r>
            <w:r>
              <w:t xml:space="preserve"> rather than seeing them as a possible source of expertise. Some participants didn’t see the public as capable of adding expertise, some actually saw them as a source of complaints rather than help, and others described them as lacking objectivity. </w:t>
            </w:r>
          </w:p>
          <w:p w14:paraId="6DFEDA2A" w14:textId="77777777" w:rsidR="00EE0957" w:rsidRDefault="00EE0957" w:rsidP="00EE0957">
            <w:pPr>
              <w:pStyle w:val="ListParagraph"/>
              <w:numPr>
                <w:ilvl w:val="0"/>
                <w:numId w:val="38"/>
              </w:numPr>
              <w:spacing w:before="0"/>
            </w:pPr>
            <w:r>
              <w:t xml:space="preserve">While some participants clearly wanted to get more out of their engagement with the public, they didn’t know how. This was often accompanied by a reversion to the norm of ‘this is how things have always been done’ and ‘I already knew what they were going to say’. There’s also evidence to suggest many public servants do not reflect on their own engagement processes, and ways to improve. </w:t>
            </w:r>
          </w:p>
          <w:p w14:paraId="650461F6" w14:textId="77777777" w:rsidR="00EE0957" w:rsidRDefault="00EE0957" w:rsidP="0052682D">
            <w:pPr>
              <w:spacing w:before="0"/>
              <w:contextualSpacing/>
              <w:rPr>
                <w:b/>
              </w:rPr>
            </w:pPr>
          </w:p>
        </w:tc>
      </w:tr>
      <w:tr w:rsidR="00EE0957" w14:paraId="47BA6282" w14:textId="77777777" w:rsidTr="00EF79F9">
        <w:tc>
          <w:tcPr>
            <w:tcW w:w="9016" w:type="dxa"/>
            <w:gridSpan w:val="3"/>
            <w:tcBorders>
              <w:top w:val="nil"/>
              <w:left w:val="nil"/>
              <w:bottom w:val="nil"/>
              <w:right w:val="nil"/>
            </w:tcBorders>
          </w:tcPr>
          <w:p w14:paraId="49135EA6" w14:textId="77777777" w:rsidR="00EE0957" w:rsidRPr="00EE0957" w:rsidRDefault="00EE0957" w:rsidP="00EE0957">
            <w:pPr>
              <w:pStyle w:val="Heading6"/>
              <w:numPr>
                <w:ilvl w:val="0"/>
                <w:numId w:val="0"/>
              </w:numPr>
              <w:spacing w:before="0"/>
              <w:rPr>
                <w:i w:val="0"/>
              </w:rPr>
            </w:pPr>
            <w:r w:rsidRPr="00EE0957">
              <w:rPr>
                <w:i w:val="0"/>
              </w:rPr>
              <w:t>Implications:</w:t>
            </w:r>
          </w:p>
          <w:p w14:paraId="0722E4A5" w14:textId="77777777" w:rsidR="00EE0957" w:rsidRDefault="00EE0957" w:rsidP="00EE0957">
            <w:pPr>
              <w:spacing w:before="0"/>
            </w:pPr>
            <w:r>
              <w:t xml:space="preserve">The emphasis by participants on obtaining buy in and managing stakeholders, and doing so through the more traditional forms of information sharing and consultation, limits the ability to create shared understanding and commitment. Buy in is all about obtaining agreement or acceptance, not about working together to produce a better outcome. </w:t>
            </w:r>
          </w:p>
          <w:p w14:paraId="60AA355A" w14:textId="77777777" w:rsidR="00EE0957" w:rsidRDefault="00EE0957" w:rsidP="00EE0957">
            <w:pPr>
              <w:spacing w:before="0"/>
            </w:pPr>
          </w:p>
          <w:p w14:paraId="7CCDAC5C" w14:textId="77777777" w:rsidR="00EE0957" w:rsidRDefault="00EE0957" w:rsidP="00EE0957">
            <w:pPr>
              <w:spacing w:before="0"/>
            </w:pPr>
            <w:r>
              <w:t xml:space="preserve">As much of the consultation is transactional and only opinion is being sought, it can foster entrenched views. It limits the opportunities for people with differing views to consider the opposing views in the context of the challenge or problem. </w:t>
            </w:r>
          </w:p>
          <w:p w14:paraId="795A507C" w14:textId="77777777" w:rsidR="00EE0957" w:rsidRDefault="00EE0957" w:rsidP="00EE0957">
            <w:pPr>
              <w:spacing w:before="0"/>
            </w:pPr>
          </w:p>
          <w:p w14:paraId="18CEAA0C" w14:textId="77777777" w:rsidR="00EE0957" w:rsidRDefault="00EE0957" w:rsidP="00EE0957">
            <w:pPr>
              <w:spacing w:before="0"/>
            </w:pPr>
            <w:r>
              <w:t>It also means that we are not accessing all the expertise available.</w:t>
            </w:r>
          </w:p>
          <w:p w14:paraId="4B5E51B8" w14:textId="77777777" w:rsidR="00EE0957" w:rsidRDefault="00EE0957" w:rsidP="00EE0957">
            <w:pPr>
              <w:spacing w:before="0"/>
            </w:pPr>
          </w:p>
          <w:p w14:paraId="7C71E4FE" w14:textId="77777777" w:rsidR="00EE0957" w:rsidRDefault="00EE0957" w:rsidP="00EE0957">
            <w:pPr>
              <w:spacing w:before="0"/>
            </w:pPr>
            <w:r>
              <w:t xml:space="preserve">It can make key stakeholders spectators rather than active participants which, with more complex issues, can hinder the development of the best solution as well as reducing commitment to the end outcome, making it harder to gain and maintain buy in. In broad terms, people are very supportive of what they design and less so when only their opinion is polled. </w:t>
            </w:r>
          </w:p>
          <w:p w14:paraId="386AECB8" w14:textId="77777777" w:rsidR="00EE0957" w:rsidRDefault="00EE0957" w:rsidP="00EE0957">
            <w:pPr>
              <w:spacing w:before="0"/>
              <w:contextualSpacing/>
              <w:rPr>
                <w:b/>
              </w:rPr>
            </w:pPr>
          </w:p>
          <w:p w14:paraId="79081FD7" w14:textId="77777777" w:rsidR="00EE0957" w:rsidRDefault="00EE0957" w:rsidP="00EE0957">
            <w:pPr>
              <w:spacing w:before="0"/>
              <w:contextualSpacing/>
              <w:rPr>
                <w:b/>
              </w:rPr>
            </w:pPr>
          </w:p>
        </w:tc>
      </w:tr>
    </w:tbl>
    <w:p w14:paraId="5461E22D" w14:textId="77777777" w:rsidR="00800354" w:rsidRDefault="00800354" w:rsidP="0052682D">
      <w:pPr>
        <w:spacing w:before="0"/>
        <w:contextualSpacing/>
        <w:rPr>
          <w:b/>
        </w:rPr>
      </w:pPr>
    </w:p>
    <w:p w14:paraId="4A2EC717" w14:textId="77777777" w:rsidR="00C07C9B" w:rsidRDefault="00C07C9B" w:rsidP="0052682D">
      <w:pPr>
        <w:pStyle w:val="ListParagraph"/>
        <w:spacing w:before="0"/>
      </w:pPr>
    </w:p>
    <w:p w14:paraId="7F98A906" w14:textId="77777777" w:rsidR="004C40F7" w:rsidRDefault="004C40F7" w:rsidP="0052682D">
      <w:pPr>
        <w:spacing w:before="0"/>
      </w:pPr>
    </w:p>
    <w:p w14:paraId="1E994C0F" w14:textId="77777777" w:rsidR="006A3C9B" w:rsidRDefault="006A3C9B" w:rsidP="0052682D">
      <w:pPr>
        <w:spacing w:before="0"/>
        <w:rPr>
          <w:b/>
        </w:rPr>
      </w:pPr>
      <w:r>
        <w:rPr>
          <w:b/>
        </w:rPr>
        <w:br w:type="page"/>
      </w:r>
    </w:p>
    <w:tbl>
      <w:tblPr>
        <w:tblStyle w:val="TableGrid"/>
        <w:tblW w:w="0" w:type="auto"/>
        <w:tblLook w:val="04A0" w:firstRow="1" w:lastRow="0" w:firstColumn="1" w:lastColumn="0" w:noHBand="0" w:noVBand="1"/>
      </w:tblPr>
      <w:tblGrid>
        <w:gridCol w:w="4253"/>
        <w:gridCol w:w="4763"/>
      </w:tblGrid>
      <w:tr w:rsidR="0078113C" w14:paraId="0330770E" w14:textId="77777777" w:rsidTr="00C912FB">
        <w:tc>
          <w:tcPr>
            <w:tcW w:w="4253" w:type="dxa"/>
            <w:tcBorders>
              <w:top w:val="nil"/>
              <w:left w:val="nil"/>
              <w:bottom w:val="nil"/>
              <w:right w:val="nil"/>
            </w:tcBorders>
          </w:tcPr>
          <w:p w14:paraId="7A079F1B" w14:textId="77777777" w:rsidR="0078113C" w:rsidRPr="0078113C" w:rsidRDefault="0078113C" w:rsidP="0078113C">
            <w:pPr>
              <w:pStyle w:val="Chartandfiguresheading"/>
              <w:rPr>
                <w:color w:val="44546A" w:themeColor="text2"/>
              </w:rPr>
            </w:pPr>
            <w:bookmarkStart w:id="49" w:name="_Toc495915967"/>
            <w:r w:rsidRPr="0078113C">
              <w:rPr>
                <w:color w:val="44546A" w:themeColor="text2"/>
              </w:rPr>
              <w:lastRenderedPageBreak/>
              <w:t>APS Theme 3:</w:t>
            </w:r>
            <w:bookmarkEnd w:id="49"/>
            <w:r w:rsidRPr="0078113C">
              <w:rPr>
                <w:color w:val="44546A" w:themeColor="text2"/>
              </w:rPr>
              <w:t xml:space="preserve"> </w:t>
            </w:r>
          </w:p>
          <w:p w14:paraId="116FCFD7" w14:textId="77777777" w:rsidR="0078113C" w:rsidRDefault="0078113C" w:rsidP="00D51426">
            <w:pPr>
              <w:pStyle w:val="Chartandfiguresheading"/>
              <w:rPr>
                <w:b/>
              </w:rPr>
            </w:pPr>
            <w:bookmarkStart w:id="50" w:name="_Toc495915968"/>
            <w:r w:rsidRPr="0078113C">
              <w:rPr>
                <w:color w:val="44546A" w:themeColor="text2"/>
              </w:rPr>
              <w:t>There’s a knowing/doing gap between what the participants know about best practice information sharing and consultation, and what often occurs. This is in part due to a perception that best practice approaches can carry risk, take too long and add little value.</w:t>
            </w:r>
            <w:bookmarkEnd w:id="50"/>
          </w:p>
        </w:tc>
        <w:tc>
          <w:tcPr>
            <w:tcW w:w="4763" w:type="dxa"/>
            <w:tcBorders>
              <w:top w:val="nil"/>
              <w:left w:val="nil"/>
              <w:bottom w:val="nil"/>
              <w:right w:val="nil"/>
            </w:tcBorders>
          </w:tcPr>
          <w:p w14:paraId="0985167E" w14:textId="77777777" w:rsidR="0078113C" w:rsidRDefault="0078113C" w:rsidP="00A13A0F">
            <w:pPr>
              <w:pStyle w:val="Heading6"/>
              <w:numPr>
                <w:ilvl w:val="0"/>
                <w:numId w:val="0"/>
              </w:numPr>
              <w:spacing w:before="0"/>
              <w:rPr>
                <w:i w:val="0"/>
              </w:rPr>
            </w:pPr>
          </w:p>
          <w:p w14:paraId="51BC99C4" w14:textId="77777777" w:rsidR="0078113C" w:rsidRPr="00EE0957" w:rsidRDefault="0078113C" w:rsidP="00A13A0F">
            <w:pPr>
              <w:pStyle w:val="Heading6"/>
              <w:numPr>
                <w:ilvl w:val="0"/>
                <w:numId w:val="0"/>
              </w:numPr>
              <w:spacing w:before="0"/>
              <w:rPr>
                <w:i w:val="0"/>
              </w:rPr>
            </w:pPr>
            <w:r w:rsidRPr="00EE0957">
              <w:rPr>
                <w:i w:val="0"/>
              </w:rPr>
              <w:t>Insights:</w:t>
            </w:r>
          </w:p>
          <w:p w14:paraId="4B63E4AC" w14:textId="77777777" w:rsidR="0078113C" w:rsidRDefault="0078113C" w:rsidP="0078113C">
            <w:pPr>
              <w:pStyle w:val="ListParagraph"/>
              <w:numPr>
                <w:ilvl w:val="0"/>
                <w:numId w:val="38"/>
              </w:numPr>
              <w:spacing w:before="0"/>
            </w:pPr>
            <w:r>
              <w:t xml:space="preserve">Many participants displayed an understanding of the need to close the loop after a consultation, be transparent about the purpose, and give sufficient information so stakeholders can add genuine value by contributing meaningfully. However, in practice there was often no mechanism for closing the loop, too often participants were unable to get stakeholders to engage, because they have been consulted on the same issue too many times, and weren’t told what was done with the information previously provided. </w:t>
            </w:r>
          </w:p>
          <w:p w14:paraId="5248669C" w14:textId="77777777" w:rsidR="0078113C" w:rsidRDefault="0078113C" w:rsidP="0078113C">
            <w:pPr>
              <w:pStyle w:val="ListParagraph"/>
              <w:numPr>
                <w:ilvl w:val="0"/>
                <w:numId w:val="38"/>
              </w:numPr>
              <w:spacing w:before="0"/>
            </w:pPr>
            <w:r>
              <w:t>Participants also expressed that there is a lack of capability within the APS to consult, and many of the formal consultations are carried out at a senior managerial level. This is exacerbated by an attitude that ‘consultation doesn’t need to be taught’, and ‘is the bread and butter of a policy officer’.</w:t>
            </w:r>
          </w:p>
          <w:p w14:paraId="3E955D7E" w14:textId="77777777" w:rsidR="0078113C" w:rsidRDefault="0078113C" w:rsidP="00A13A0F">
            <w:pPr>
              <w:spacing w:before="0"/>
              <w:contextualSpacing/>
              <w:rPr>
                <w:b/>
              </w:rPr>
            </w:pPr>
          </w:p>
        </w:tc>
      </w:tr>
      <w:tr w:rsidR="0078113C" w14:paraId="639AEB02" w14:textId="77777777" w:rsidTr="00A13A0F">
        <w:tc>
          <w:tcPr>
            <w:tcW w:w="9016" w:type="dxa"/>
            <w:gridSpan w:val="2"/>
            <w:tcBorders>
              <w:top w:val="nil"/>
              <w:left w:val="nil"/>
              <w:bottom w:val="nil"/>
              <w:right w:val="nil"/>
            </w:tcBorders>
          </w:tcPr>
          <w:p w14:paraId="7554041D" w14:textId="77777777" w:rsidR="0078113C" w:rsidRPr="00EE0957" w:rsidRDefault="0078113C" w:rsidP="00A13A0F">
            <w:pPr>
              <w:pStyle w:val="Heading6"/>
              <w:numPr>
                <w:ilvl w:val="0"/>
                <w:numId w:val="0"/>
              </w:numPr>
              <w:spacing w:before="0"/>
              <w:rPr>
                <w:i w:val="0"/>
              </w:rPr>
            </w:pPr>
            <w:r w:rsidRPr="00EE0957">
              <w:rPr>
                <w:i w:val="0"/>
              </w:rPr>
              <w:t>Implications:</w:t>
            </w:r>
          </w:p>
          <w:p w14:paraId="332EB6F0" w14:textId="77777777" w:rsidR="0078113C" w:rsidRDefault="0078113C" w:rsidP="0078113C">
            <w:pPr>
              <w:spacing w:before="0"/>
            </w:pPr>
            <w:r>
              <w:t xml:space="preserve">Consultation is our main way of engaging stakeholders and it is more often than not used to obtain agreement or acceptance, rather than access expertise. The gap between what we understand is best practice consultation and what we undertake can undermine the objective of the consultation. A lack of transparency and the inability to close the loop leads to a level of frustration with stakeholders. This can lead to a degree of cynicism that can eat away at good will, creating a credibility gap and make it harder to keep stakeholders positively engaged. </w:t>
            </w:r>
          </w:p>
          <w:p w14:paraId="222CDD0C" w14:textId="77777777" w:rsidR="0078113C" w:rsidRDefault="0078113C" w:rsidP="0078113C">
            <w:pPr>
              <w:spacing w:before="0"/>
            </w:pPr>
          </w:p>
          <w:p w14:paraId="2E28D041" w14:textId="77777777" w:rsidR="0078113C" w:rsidRDefault="0078113C" w:rsidP="0078113C">
            <w:pPr>
              <w:spacing w:before="0"/>
            </w:pPr>
            <w:r>
              <w:t xml:space="preserve">In some circumstances we undervalue the role effective engagement can play in developing and delivering better outcomes. In turn, there is a tendency to undervalue the skills required for good engagement. This can lead to selecting the wrong tool for the job - a mismatch between the form of engagement we undertake and the problem to solve. Whether the appropriate engagement tool is selected or not, its application is often suboptimal. This results in engagement processes that do not achieve their purpose: they do not make the most of the public’s expertise, and obtain less buy-in. </w:t>
            </w:r>
          </w:p>
          <w:p w14:paraId="6ECA1E9C" w14:textId="77777777" w:rsidR="0078113C" w:rsidRDefault="0078113C" w:rsidP="0078113C">
            <w:pPr>
              <w:spacing w:before="0"/>
            </w:pPr>
          </w:p>
          <w:p w14:paraId="5B052E12" w14:textId="77777777" w:rsidR="0078113C" w:rsidRDefault="0078113C" w:rsidP="0078113C">
            <w:pPr>
              <w:spacing w:before="0"/>
            </w:pPr>
            <w:r>
              <w:t xml:space="preserve">The fact that we have an understanding of at least the key elements of good consultation, even if we do not practice these, provides a basis from which to build. </w:t>
            </w:r>
          </w:p>
          <w:p w14:paraId="70C55BDA" w14:textId="77777777" w:rsidR="0078113C" w:rsidRDefault="0078113C" w:rsidP="00A13A0F">
            <w:pPr>
              <w:spacing w:before="0"/>
              <w:contextualSpacing/>
              <w:rPr>
                <w:b/>
              </w:rPr>
            </w:pPr>
          </w:p>
          <w:p w14:paraId="5E61A8F0" w14:textId="77777777" w:rsidR="0078113C" w:rsidRDefault="0078113C" w:rsidP="00A13A0F">
            <w:pPr>
              <w:spacing w:before="0"/>
              <w:contextualSpacing/>
              <w:rPr>
                <w:b/>
              </w:rPr>
            </w:pPr>
          </w:p>
        </w:tc>
      </w:tr>
    </w:tbl>
    <w:p w14:paraId="4936942D" w14:textId="77777777" w:rsidR="0078113C" w:rsidRDefault="0078113C" w:rsidP="0052682D">
      <w:pPr>
        <w:spacing w:before="0"/>
        <w:rPr>
          <w:b/>
        </w:rPr>
      </w:pPr>
    </w:p>
    <w:p w14:paraId="4DDF6421" w14:textId="77777777" w:rsidR="0078113C" w:rsidRDefault="0078113C">
      <w:pPr>
        <w:spacing w:before="0"/>
        <w:rPr>
          <w:b/>
        </w:rPr>
      </w:pPr>
      <w:r>
        <w:rPr>
          <w:b/>
        </w:rPr>
        <w:br w:type="page"/>
      </w:r>
    </w:p>
    <w:tbl>
      <w:tblPr>
        <w:tblStyle w:val="TableGrid"/>
        <w:tblW w:w="0" w:type="auto"/>
        <w:tblLook w:val="04A0" w:firstRow="1" w:lastRow="0" w:firstColumn="1" w:lastColumn="0" w:noHBand="0" w:noVBand="1"/>
      </w:tblPr>
      <w:tblGrid>
        <w:gridCol w:w="3686"/>
        <w:gridCol w:w="5330"/>
      </w:tblGrid>
      <w:tr w:rsidR="0078113C" w14:paraId="757C70F3" w14:textId="77777777" w:rsidTr="00A13A0F">
        <w:tc>
          <w:tcPr>
            <w:tcW w:w="3686" w:type="dxa"/>
            <w:tcBorders>
              <w:top w:val="nil"/>
              <w:left w:val="nil"/>
              <w:bottom w:val="nil"/>
              <w:right w:val="nil"/>
            </w:tcBorders>
          </w:tcPr>
          <w:p w14:paraId="0E112167" w14:textId="77777777" w:rsidR="0078113C" w:rsidRPr="0078113C" w:rsidRDefault="0078113C" w:rsidP="0078113C">
            <w:pPr>
              <w:pStyle w:val="Chartandfiguresheading"/>
              <w:rPr>
                <w:color w:val="44546A" w:themeColor="text2"/>
              </w:rPr>
            </w:pPr>
            <w:bookmarkStart w:id="51" w:name="_Toc495915969"/>
            <w:r w:rsidRPr="0078113C">
              <w:rPr>
                <w:color w:val="44546A" w:themeColor="text2"/>
              </w:rPr>
              <w:lastRenderedPageBreak/>
              <w:t>APS Theme 4:</w:t>
            </w:r>
            <w:bookmarkEnd w:id="51"/>
            <w:r w:rsidRPr="0078113C">
              <w:rPr>
                <w:color w:val="44546A" w:themeColor="text2"/>
              </w:rPr>
              <w:t xml:space="preserve"> </w:t>
            </w:r>
          </w:p>
          <w:p w14:paraId="423B36F9" w14:textId="77777777" w:rsidR="0078113C" w:rsidRDefault="0078113C" w:rsidP="0078113C">
            <w:pPr>
              <w:pStyle w:val="Chartandfiguresheading"/>
              <w:rPr>
                <w:b/>
              </w:rPr>
            </w:pPr>
            <w:bookmarkStart w:id="52" w:name="_Toc495915970"/>
            <w:r w:rsidRPr="0078113C">
              <w:rPr>
                <w:color w:val="44546A" w:themeColor="text2"/>
              </w:rPr>
              <w:t>In many instances our internal processes, including parliamentary and legal, can act as a barrier/constraint to achieving best practice engagement.</w:t>
            </w:r>
            <w:bookmarkEnd w:id="52"/>
          </w:p>
        </w:tc>
        <w:tc>
          <w:tcPr>
            <w:tcW w:w="5330" w:type="dxa"/>
            <w:tcBorders>
              <w:top w:val="nil"/>
              <w:left w:val="nil"/>
              <w:bottom w:val="nil"/>
              <w:right w:val="nil"/>
            </w:tcBorders>
          </w:tcPr>
          <w:p w14:paraId="74B8BE07" w14:textId="77777777" w:rsidR="0078113C" w:rsidRDefault="0078113C" w:rsidP="00A13A0F">
            <w:pPr>
              <w:pStyle w:val="Heading6"/>
              <w:numPr>
                <w:ilvl w:val="0"/>
                <w:numId w:val="0"/>
              </w:numPr>
              <w:spacing w:before="0"/>
              <w:rPr>
                <w:i w:val="0"/>
              </w:rPr>
            </w:pPr>
          </w:p>
          <w:p w14:paraId="6E5F0EFF" w14:textId="77777777" w:rsidR="0078113C" w:rsidRPr="00EE0957" w:rsidRDefault="0078113C" w:rsidP="00A13A0F">
            <w:pPr>
              <w:pStyle w:val="Heading6"/>
              <w:numPr>
                <w:ilvl w:val="0"/>
                <w:numId w:val="0"/>
              </w:numPr>
              <w:spacing w:before="0"/>
              <w:rPr>
                <w:i w:val="0"/>
              </w:rPr>
            </w:pPr>
            <w:r w:rsidRPr="00EE0957">
              <w:rPr>
                <w:i w:val="0"/>
              </w:rPr>
              <w:t>Insights:</w:t>
            </w:r>
          </w:p>
          <w:p w14:paraId="4FCF4199" w14:textId="77777777" w:rsidR="0078113C" w:rsidRDefault="0078113C" w:rsidP="0078113C">
            <w:pPr>
              <w:pStyle w:val="ListParagraph"/>
              <w:numPr>
                <w:ilvl w:val="0"/>
                <w:numId w:val="38"/>
              </w:numPr>
              <w:spacing w:before="0"/>
            </w:pPr>
            <w:r>
              <w:t>There are a number of valid constraints to more open engagement with stakeholders that include parliamentary, security and legal requirements. Often these process internal to government do not line up with timeframes for more deliberative engagement processes. Participants reported that, in some cases, to have a comprehensive engagement process you must have support from the senior executives and ministers.</w:t>
            </w:r>
          </w:p>
          <w:p w14:paraId="5D147940" w14:textId="77777777" w:rsidR="0078113C" w:rsidRDefault="0078113C" w:rsidP="00A13A0F">
            <w:pPr>
              <w:spacing w:before="0"/>
              <w:contextualSpacing/>
              <w:rPr>
                <w:b/>
              </w:rPr>
            </w:pPr>
          </w:p>
        </w:tc>
      </w:tr>
      <w:tr w:rsidR="0078113C" w14:paraId="6E057B74" w14:textId="77777777" w:rsidTr="00A13A0F">
        <w:tc>
          <w:tcPr>
            <w:tcW w:w="9016" w:type="dxa"/>
            <w:gridSpan w:val="2"/>
            <w:tcBorders>
              <w:top w:val="nil"/>
              <w:left w:val="nil"/>
              <w:bottom w:val="nil"/>
              <w:right w:val="nil"/>
            </w:tcBorders>
          </w:tcPr>
          <w:p w14:paraId="42061F46" w14:textId="77777777" w:rsidR="0078113C" w:rsidRPr="00EE0957" w:rsidRDefault="0078113C" w:rsidP="00A13A0F">
            <w:pPr>
              <w:pStyle w:val="Heading6"/>
              <w:numPr>
                <w:ilvl w:val="0"/>
                <w:numId w:val="0"/>
              </w:numPr>
              <w:spacing w:before="0"/>
              <w:rPr>
                <w:i w:val="0"/>
              </w:rPr>
            </w:pPr>
            <w:r w:rsidRPr="00EE0957">
              <w:rPr>
                <w:i w:val="0"/>
              </w:rPr>
              <w:t>Implications:</w:t>
            </w:r>
          </w:p>
          <w:p w14:paraId="7FEAAA26" w14:textId="77777777" w:rsidR="0078113C" w:rsidRDefault="0078113C" w:rsidP="0078113C">
            <w:pPr>
              <w:spacing w:before="0"/>
            </w:pPr>
            <w:r>
              <w:t xml:space="preserve">The valid constraints of the operating environment mean that some processes cannot be as open as would be ideal. These restraints should be clearly conveyed to stakeholders at the outset of any engagement and not used as an excuse not to engage. </w:t>
            </w:r>
          </w:p>
          <w:p w14:paraId="688E7F52" w14:textId="77777777" w:rsidR="0078113C" w:rsidRDefault="0078113C" w:rsidP="0078113C">
            <w:pPr>
              <w:spacing w:before="0"/>
            </w:pPr>
          </w:p>
          <w:p w14:paraId="3DB74F05" w14:textId="77777777" w:rsidR="0078113C" w:rsidRDefault="0078113C" w:rsidP="0078113C">
            <w:pPr>
              <w:spacing w:before="0"/>
            </w:pPr>
            <w:r>
              <w:t>These constraints underline the importance of establishing ongoing meaningful relationships with key stakeholders that go beyond transactions. If we engage effectively when we can, stakeholders will be more understanding of the occasions when we can’t.</w:t>
            </w:r>
          </w:p>
          <w:p w14:paraId="3C5F51AD" w14:textId="77777777" w:rsidR="0078113C" w:rsidRDefault="0078113C" w:rsidP="00A13A0F">
            <w:pPr>
              <w:spacing w:before="0"/>
              <w:contextualSpacing/>
              <w:rPr>
                <w:b/>
              </w:rPr>
            </w:pPr>
          </w:p>
          <w:p w14:paraId="2FCD320A" w14:textId="77777777" w:rsidR="0078113C" w:rsidRDefault="0078113C" w:rsidP="00A13A0F">
            <w:pPr>
              <w:spacing w:before="0"/>
              <w:contextualSpacing/>
              <w:rPr>
                <w:b/>
              </w:rPr>
            </w:pPr>
          </w:p>
        </w:tc>
      </w:tr>
      <w:tr w:rsidR="0078113C" w14:paraId="720E8F82" w14:textId="77777777" w:rsidTr="00A13A0F">
        <w:tc>
          <w:tcPr>
            <w:tcW w:w="3686" w:type="dxa"/>
            <w:tcBorders>
              <w:top w:val="nil"/>
              <w:left w:val="nil"/>
              <w:bottom w:val="nil"/>
              <w:right w:val="nil"/>
            </w:tcBorders>
          </w:tcPr>
          <w:p w14:paraId="635DF877" w14:textId="77777777" w:rsidR="0078113C" w:rsidRPr="0078113C" w:rsidRDefault="0078113C" w:rsidP="00A13A0F">
            <w:pPr>
              <w:pStyle w:val="Chartandfiguresheading"/>
              <w:rPr>
                <w:color w:val="44546A" w:themeColor="text2"/>
              </w:rPr>
            </w:pPr>
            <w:bookmarkStart w:id="53" w:name="_Toc495915971"/>
            <w:r w:rsidRPr="0078113C">
              <w:rPr>
                <w:color w:val="44546A" w:themeColor="text2"/>
              </w:rPr>
              <w:t xml:space="preserve">APS Theme </w:t>
            </w:r>
            <w:r>
              <w:rPr>
                <w:color w:val="44546A" w:themeColor="text2"/>
              </w:rPr>
              <w:t>5</w:t>
            </w:r>
            <w:r w:rsidRPr="0078113C">
              <w:rPr>
                <w:color w:val="44546A" w:themeColor="text2"/>
              </w:rPr>
              <w:t>:</w:t>
            </w:r>
            <w:bookmarkEnd w:id="53"/>
            <w:r w:rsidRPr="0078113C">
              <w:rPr>
                <w:color w:val="44546A" w:themeColor="text2"/>
              </w:rPr>
              <w:t xml:space="preserve"> </w:t>
            </w:r>
          </w:p>
          <w:p w14:paraId="2711D9A7" w14:textId="77777777" w:rsidR="0078113C" w:rsidRPr="00F71BE1" w:rsidRDefault="0078113C" w:rsidP="00F71BE1">
            <w:pPr>
              <w:pStyle w:val="Chartandfiguresheading"/>
              <w:rPr>
                <w:color w:val="44546A" w:themeColor="text2"/>
              </w:rPr>
            </w:pPr>
            <w:bookmarkStart w:id="54" w:name="_Toc495915972"/>
            <w:r w:rsidRPr="0078113C">
              <w:rPr>
                <w:color w:val="44546A" w:themeColor="text2"/>
              </w:rPr>
              <w:t>Tradition</w:t>
            </w:r>
            <w:r w:rsidR="000C5A1C">
              <w:rPr>
                <w:color w:val="44546A" w:themeColor="text2"/>
              </w:rPr>
              <w:t>al consultation processes have</w:t>
            </w:r>
            <w:r w:rsidRPr="0078113C">
              <w:rPr>
                <w:color w:val="44546A" w:themeColor="text2"/>
              </w:rPr>
              <w:t xml:space="preserve"> helped develop the base skills needed to engage in more deliberative or collaborative processes</w:t>
            </w:r>
            <w:bookmarkEnd w:id="54"/>
          </w:p>
          <w:p w14:paraId="72D7AF23" w14:textId="77777777" w:rsidR="0078113C" w:rsidRDefault="0078113C" w:rsidP="00A13A0F">
            <w:pPr>
              <w:pStyle w:val="Chartandfiguresheading"/>
              <w:rPr>
                <w:b/>
              </w:rPr>
            </w:pPr>
          </w:p>
        </w:tc>
        <w:tc>
          <w:tcPr>
            <w:tcW w:w="5330" w:type="dxa"/>
            <w:tcBorders>
              <w:top w:val="nil"/>
              <w:left w:val="nil"/>
              <w:bottom w:val="nil"/>
              <w:right w:val="nil"/>
            </w:tcBorders>
          </w:tcPr>
          <w:p w14:paraId="5766B8E4" w14:textId="77777777" w:rsidR="0078113C" w:rsidRDefault="0078113C" w:rsidP="00A13A0F">
            <w:pPr>
              <w:pStyle w:val="Heading6"/>
              <w:numPr>
                <w:ilvl w:val="0"/>
                <w:numId w:val="0"/>
              </w:numPr>
              <w:spacing w:before="0"/>
              <w:rPr>
                <w:i w:val="0"/>
              </w:rPr>
            </w:pPr>
          </w:p>
          <w:p w14:paraId="1ACFE151" w14:textId="77777777" w:rsidR="0078113C" w:rsidRPr="00EE0957" w:rsidRDefault="0078113C" w:rsidP="00A13A0F">
            <w:pPr>
              <w:pStyle w:val="Heading6"/>
              <w:numPr>
                <w:ilvl w:val="0"/>
                <w:numId w:val="0"/>
              </w:numPr>
              <w:spacing w:before="0"/>
              <w:rPr>
                <w:i w:val="0"/>
              </w:rPr>
            </w:pPr>
            <w:r w:rsidRPr="00EE0957">
              <w:rPr>
                <w:i w:val="0"/>
              </w:rPr>
              <w:t>Insights:</w:t>
            </w:r>
          </w:p>
          <w:p w14:paraId="340395C7" w14:textId="77777777" w:rsidR="0078113C" w:rsidRPr="00050D69" w:rsidRDefault="0078113C" w:rsidP="0078113C">
            <w:pPr>
              <w:pStyle w:val="ListParagraph"/>
              <w:numPr>
                <w:ilvl w:val="0"/>
                <w:numId w:val="33"/>
              </w:numPr>
              <w:spacing w:before="0" w:line="259" w:lineRule="auto"/>
            </w:pPr>
            <w:r w:rsidRPr="00050D69">
              <w:t xml:space="preserve">APS employees do have an understanding of what good practice information sharing and consultation looks like. They know that engagement can help get buy-in for their work. They understand the importance of tailoring messages, framing content, using different mediums for different messages, and using emotional intelligence to empathise with people and to build strong relationships with them. This sophistication comes from personal experience and rules of thumb. It didn’t come from formal stakeholder engagement strategies or frameworks. </w:t>
            </w:r>
          </w:p>
          <w:p w14:paraId="0895B35C" w14:textId="77777777" w:rsidR="0078113C" w:rsidRDefault="0078113C" w:rsidP="00A13A0F">
            <w:pPr>
              <w:spacing w:before="0"/>
              <w:contextualSpacing/>
              <w:rPr>
                <w:b/>
              </w:rPr>
            </w:pPr>
          </w:p>
        </w:tc>
      </w:tr>
      <w:tr w:rsidR="0078113C" w14:paraId="0333CBA4" w14:textId="77777777" w:rsidTr="00A13A0F">
        <w:tc>
          <w:tcPr>
            <w:tcW w:w="9016" w:type="dxa"/>
            <w:gridSpan w:val="2"/>
            <w:tcBorders>
              <w:top w:val="nil"/>
              <w:left w:val="nil"/>
              <w:bottom w:val="nil"/>
              <w:right w:val="nil"/>
            </w:tcBorders>
          </w:tcPr>
          <w:p w14:paraId="33A46C2F" w14:textId="77777777" w:rsidR="0078113C" w:rsidRPr="00EE0957" w:rsidRDefault="0078113C" w:rsidP="00A13A0F">
            <w:pPr>
              <w:pStyle w:val="Heading6"/>
              <w:numPr>
                <w:ilvl w:val="0"/>
                <w:numId w:val="0"/>
              </w:numPr>
              <w:spacing w:before="0"/>
              <w:rPr>
                <w:i w:val="0"/>
              </w:rPr>
            </w:pPr>
            <w:r w:rsidRPr="00EE0957">
              <w:rPr>
                <w:i w:val="0"/>
              </w:rPr>
              <w:t>Implications:</w:t>
            </w:r>
          </w:p>
          <w:p w14:paraId="45D70796" w14:textId="77777777" w:rsidR="0078113C" w:rsidRDefault="0078113C" w:rsidP="0078113C">
            <w:pPr>
              <w:spacing w:before="0"/>
            </w:pPr>
            <w:r>
              <w:t>Consultation remains the main way in which the APS engages, but there is a good base of the soft skills required to engage in more deliberative and collaborative ways. But a framework in and of itself will not drive a significant change in the way in which the APS engages the expertise within the community.</w:t>
            </w:r>
          </w:p>
          <w:p w14:paraId="654AEE64" w14:textId="77777777" w:rsidR="0078113C" w:rsidRDefault="0078113C" w:rsidP="00A13A0F">
            <w:pPr>
              <w:spacing w:before="0"/>
              <w:contextualSpacing/>
              <w:rPr>
                <w:b/>
              </w:rPr>
            </w:pPr>
          </w:p>
          <w:p w14:paraId="06A8578F" w14:textId="77777777" w:rsidR="0078113C" w:rsidRDefault="0078113C" w:rsidP="00A13A0F">
            <w:pPr>
              <w:spacing w:before="0"/>
              <w:contextualSpacing/>
              <w:rPr>
                <w:b/>
              </w:rPr>
            </w:pPr>
          </w:p>
        </w:tc>
      </w:tr>
    </w:tbl>
    <w:p w14:paraId="7517F903" w14:textId="77777777" w:rsidR="00925453" w:rsidRDefault="00925453" w:rsidP="0052682D">
      <w:pPr>
        <w:spacing w:before="0"/>
        <w:rPr>
          <w:b/>
        </w:rPr>
      </w:pPr>
    </w:p>
    <w:p w14:paraId="33B8EF44" w14:textId="77777777" w:rsidR="00A069A5" w:rsidRPr="0078113C" w:rsidRDefault="00A94DB1" w:rsidP="0078113C">
      <w:pPr>
        <w:pStyle w:val="H2"/>
        <w:spacing w:before="0" w:after="0"/>
      </w:pPr>
      <w:bookmarkStart w:id="55" w:name="_Toc495915973"/>
      <w:r>
        <w:lastRenderedPageBreak/>
        <w:t>T</w:t>
      </w:r>
      <w:r w:rsidR="00A069A5" w:rsidRPr="006F5A59">
        <w:t xml:space="preserve">hemes and implications from </w:t>
      </w:r>
      <w:r w:rsidR="000E3C6E">
        <w:t xml:space="preserve">non-APS </w:t>
      </w:r>
      <w:r w:rsidR="00C97F91">
        <w:t>u</w:t>
      </w:r>
      <w:r w:rsidR="009D1EC0">
        <w:t xml:space="preserve">ser </w:t>
      </w:r>
      <w:r w:rsidR="00A069A5" w:rsidRPr="006F5A59">
        <w:t>interviews</w:t>
      </w:r>
      <w:bookmarkEnd w:id="55"/>
      <w:r>
        <w:t xml:space="preserve"> </w:t>
      </w:r>
    </w:p>
    <w:p w14:paraId="58BFC1F8" w14:textId="77777777" w:rsidR="00C31F95" w:rsidRDefault="00C31F95" w:rsidP="0052682D">
      <w:pPr>
        <w:spacing w:before="0"/>
      </w:pPr>
      <w:r>
        <w:t>Demographic breakdown of ethnographic user interviews with the public:</w:t>
      </w:r>
    </w:p>
    <w:p w14:paraId="4F811EC2" w14:textId="77777777" w:rsidR="007A16A0" w:rsidRDefault="007A16A0" w:rsidP="0052682D">
      <w:pPr>
        <w:pStyle w:val="ListParagraph"/>
        <w:numPr>
          <w:ilvl w:val="0"/>
          <w:numId w:val="36"/>
        </w:numPr>
        <w:spacing w:before="0"/>
      </w:pPr>
      <w:r>
        <w:t>37 people</w:t>
      </w:r>
    </w:p>
    <w:p w14:paraId="2785E640" w14:textId="77777777" w:rsidR="007A16A0" w:rsidRDefault="007A16A0" w:rsidP="0052682D">
      <w:pPr>
        <w:pStyle w:val="ListParagraph"/>
        <w:numPr>
          <w:ilvl w:val="0"/>
          <w:numId w:val="36"/>
        </w:numPr>
        <w:spacing w:before="0"/>
      </w:pPr>
      <w:r>
        <w:t>5 states and territories</w:t>
      </w:r>
    </w:p>
    <w:p w14:paraId="56DEDCB2" w14:textId="77777777" w:rsidR="007A16A0" w:rsidRDefault="007A16A0" w:rsidP="0052682D">
      <w:pPr>
        <w:pStyle w:val="ListParagraph"/>
        <w:numPr>
          <w:ilvl w:val="0"/>
          <w:numId w:val="36"/>
        </w:numPr>
        <w:spacing w:before="0"/>
      </w:pPr>
      <w:r>
        <w:t>29 organisations, including from:</w:t>
      </w:r>
    </w:p>
    <w:p w14:paraId="3EC58263" w14:textId="77777777" w:rsidR="007A16A0" w:rsidRDefault="007A16A0" w:rsidP="0052682D">
      <w:pPr>
        <w:pStyle w:val="ListParagraph"/>
        <w:numPr>
          <w:ilvl w:val="1"/>
          <w:numId w:val="36"/>
        </w:numPr>
        <w:spacing w:before="0"/>
      </w:pPr>
      <w:r>
        <w:t>Business; Industry associations/peak bodies; Engagement practitioners; Not-for-profits; and Academia.</w:t>
      </w:r>
    </w:p>
    <w:p w14:paraId="3A27F51E" w14:textId="77777777" w:rsidR="00C07C9B" w:rsidRDefault="00C07C9B" w:rsidP="0052682D">
      <w:pPr>
        <w:spacing w:before="0"/>
        <w:rPr>
          <w:b/>
        </w:rPr>
      </w:pPr>
    </w:p>
    <w:tbl>
      <w:tblPr>
        <w:tblStyle w:val="TableGrid"/>
        <w:tblW w:w="0" w:type="auto"/>
        <w:tblLook w:val="04A0" w:firstRow="1" w:lastRow="0" w:firstColumn="1" w:lastColumn="0" w:noHBand="0" w:noVBand="1"/>
      </w:tblPr>
      <w:tblGrid>
        <w:gridCol w:w="3686"/>
        <w:gridCol w:w="5330"/>
      </w:tblGrid>
      <w:tr w:rsidR="009F5663" w14:paraId="05E4479E" w14:textId="77777777" w:rsidTr="00A13A0F">
        <w:tc>
          <w:tcPr>
            <w:tcW w:w="3686" w:type="dxa"/>
            <w:tcBorders>
              <w:top w:val="nil"/>
              <w:left w:val="nil"/>
              <w:bottom w:val="nil"/>
              <w:right w:val="nil"/>
            </w:tcBorders>
          </w:tcPr>
          <w:p w14:paraId="29F361FB" w14:textId="77777777" w:rsidR="009F5663" w:rsidRPr="00806963" w:rsidRDefault="000E3C6E" w:rsidP="00A13A0F">
            <w:pPr>
              <w:pStyle w:val="Chartandfiguresheading"/>
              <w:rPr>
                <w:color w:val="44546A" w:themeColor="text2"/>
              </w:rPr>
            </w:pPr>
            <w:bookmarkStart w:id="56" w:name="_Toc495915974"/>
            <w:r>
              <w:t>Non-APS</w:t>
            </w:r>
            <w:r w:rsidR="009F5663" w:rsidRPr="00806963">
              <w:t xml:space="preserve"> Theme 1:</w:t>
            </w:r>
            <w:bookmarkEnd w:id="56"/>
            <w:r w:rsidR="009F5663" w:rsidRPr="00806963">
              <w:rPr>
                <w:color w:val="44546A" w:themeColor="text2"/>
              </w:rPr>
              <w:t xml:space="preserve"> </w:t>
            </w:r>
          </w:p>
          <w:p w14:paraId="7902AB1A" w14:textId="67072560" w:rsidR="009F5663" w:rsidRDefault="009F5663" w:rsidP="00A13A0F">
            <w:pPr>
              <w:pStyle w:val="Chartandfiguresheading"/>
              <w:rPr>
                <w:b/>
              </w:rPr>
            </w:pPr>
            <w:bookmarkStart w:id="57" w:name="_Toc495915975"/>
            <w:r w:rsidRPr="00806963">
              <w:t>Participants are often subject matter experts. They also have unique and useful perspectives. They influence the opinions of the community. They believe that it’s in the public interest for public servants to engage</w:t>
            </w:r>
            <w:r w:rsidR="00766576">
              <w:t xml:space="preserve"> with</w:t>
            </w:r>
            <w:r w:rsidRPr="00806963">
              <w:t xml:space="preserve"> them.</w:t>
            </w:r>
            <w:bookmarkEnd w:id="57"/>
          </w:p>
        </w:tc>
        <w:tc>
          <w:tcPr>
            <w:tcW w:w="5330" w:type="dxa"/>
            <w:tcBorders>
              <w:top w:val="nil"/>
              <w:left w:val="nil"/>
              <w:bottom w:val="nil"/>
              <w:right w:val="nil"/>
            </w:tcBorders>
          </w:tcPr>
          <w:p w14:paraId="766B0B3D" w14:textId="77777777" w:rsidR="009F5663" w:rsidRDefault="009F5663" w:rsidP="00A13A0F">
            <w:pPr>
              <w:pStyle w:val="Heading6"/>
              <w:numPr>
                <w:ilvl w:val="0"/>
                <w:numId w:val="0"/>
              </w:numPr>
              <w:spacing w:before="0"/>
              <w:rPr>
                <w:i w:val="0"/>
              </w:rPr>
            </w:pPr>
          </w:p>
          <w:p w14:paraId="039B1AAD" w14:textId="77777777" w:rsidR="009F5663" w:rsidRPr="00EE0957" w:rsidRDefault="009F5663" w:rsidP="00A13A0F">
            <w:pPr>
              <w:pStyle w:val="Heading6"/>
              <w:numPr>
                <w:ilvl w:val="0"/>
                <w:numId w:val="0"/>
              </w:numPr>
              <w:spacing w:before="0"/>
              <w:rPr>
                <w:i w:val="0"/>
              </w:rPr>
            </w:pPr>
            <w:r w:rsidRPr="00806963">
              <w:rPr>
                <w:rFonts w:ascii="Calibri Light" w:hAnsi="Calibri Light"/>
                <w:bCs/>
                <w:i w:val="0"/>
                <w:iCs w:val="0"/>
                <w:color w:val="3AA2A2"/>
                <w:sz w:val="32"/>
                <w:szCs w:val="26"/>
              </w:rPr>
              <w:t>Insights</w:t>
            </w:r>
            <w:r w:rsidRPr="00EE0957">
              <w:rPr>
                <w:i w:val="0"/>
              </w:rPr>
              <w:t>:</w:t>
            </w:r>
          </w:p>
          <w:p w14:paraId="705B0788" w14:textId="77777777" w:rsidR="00806963" w:rsidRDefault="00806963" w:rsidP="00806963">
            <w:pPr>
              <w:pStyle w:val="ListParagraph"/>
              <w:numPr>
                <w:ilvl w:val="0"/>
                <w:numId w:val="38"/>
              </w:numPr>
              <w:spacing w:before="0"/>
            </w:pPr>
            <w:r>
              <w:t xml:space="preserve">Participants clearly had subject matter expertise that would be useful to public servants, built up over years of experience, research, and sometimes even from periods of working in government. </w:t>
            </w:r>
          </w:p>
          <w:p w14:paraId="6F3CDE72" w14:textId="77777777" w:rsidR="00806963" w:rsidRDefault="00806963" w:rsidP="00806963">
            <w:pPr>
              <w:pStyle w:val="ListParagraph"/>
              <w:numPr>
                <w:ilvl w:val="0"/>
                <w:numId w:val="38"/>
              </w:numPr>
              <w:spacing w:before="0"/>
            </w:pPr>
            <w:r>
              <w:t xml:space="preserve">Participants have valuable practical experience on how things will work on the ground. They want to share this with public servants. </w:t>
            </w:r>
          </w:p>
          <w:p w14:paraId="0D2EA6F1" w14:textId="77777777" w:rsidR="00806963" w:rsidRDefault="00806963" w:rsidP="00806963">
            <w:pPr>
              <w:pStyle w:val="ListParagraph"/>
              <w:numPr>
                <w:ilvl w:val="0"/>
                <w:numId w:val="38"/>
              </w:numPr>
              <w:spacing w:before="0"/>
            </w:pPr>
            <w:r>
              <w:t xml:space="preserve">Many participants are willing to help the APS tap </w:t>
            </w:r>
            <w:r w:rsidR="00913FE5">
              <w:t xml:space="preserve">into </w:t>
            </w:r>
            <w:r>
              <w:t xml:space="preserve">their networks and find end users to engage. These could provide further expertise, feedback and buy-in for policy and programmes. </w:t>
            </w:r>
          </w:p>
          <w:p w14:paraId="51C711D7" w14:textId="77777777" w:rsidR="00806963" w:rsidRDefault="00806963" w:rsidP="00806963">
            <w:pPr>
              <w:pStyle w:val="ListParagraph"/>
              <w:numPr>
                <w:ilvl w:val="0"/>
                <w:numId w:val="38"/>
              </w:numPr>
              <w:spacing w:before="0"/>
            </w:pPr>
            <w:r>
              <w:t xml:space="preserve">Participants noted that they may be self-interested on some issues. But they can take a step back and look at the bigger picture of what is the best outcome for the economy and the country as a whole. They understand theirs is </w:t>
            </w:r>
            <w:r w:rsidR="00913FE5">
              <w:t xml:space="preserve">just </w:t>
            </w:r>
            <w:r>
              <w:t>one voice among many.</w:t>
            </w:r>
          </w:p>
          <w:p w14:paraId="5D0437FA" w14:textId="77777777" w:rsidR="009F5663" w:rsidRDefault="009F5663" w:rsidP="00A13A0F">
            <w:pPr>
              <w:spacing w:before="0"/>
              <w:contextualSpacing/>
              <w:rPr>
                <w:b/>
              </w:rPr>
            </w:pPr>
          </w:p>
        </w:tc>
      </w:tr>
      <w:tr w:rsidR="009F5663" w14:paraId="3BF60256" w14:textId="77777777" w:rsidTr="00A13A0F">
        <w:tc>
          <w:tcPr>
            <w:tcW w:w="9016" w:type="dxa"/>
            <w:gridSpan w:val="2"/>
            <w:tcBorders>
              <w:top w:val="nil"/>
              <w:left w:val="nil"/>
              <w:bottom w:val="nil"/>
              <w:right w:val="nil"/>
            </w:tcBorders>
          </w:tcPr>
          <w:p w14:paraId="219C2B0D" w14:textId="77777777" w:rsidR="009F5663" w:rsidRPr="00EE0957" w:rsidRDefault="009F5663" w:rsidP="00A13A0F">
            <w:pPr>
              <w:pStyle w:val="Heading6"/>
              <w:numPr>
                <w:ilvl w:val="0"/>
                <w:numId w:val="0"/>
              </w:numPr>
              <w:spacing w:before="0"/>
              <w:rPr>
                <w:i w:val="0"/>
              </w:rPr>
            </w:pPr>
            <w:r w:rsidRPr="00806963">
              <w:rPr>
                <w:rFonts w:ascii="Calibri Light" w:hAnsi="Calibri Light"/>
                <w:bCs/>
                <w:i w:val="0"/>
                <w:iCs w:val="0"/>
                <w:color w:val="3AA2A2"/>
                <w:sz w:val="32"/>
                <w:szCs w:val="26"/>
              </w:rPr>
              <w:t>Implications</w:t>
            </w:r>
            <w:r w:rsidRPr="00806963">
              <w:rPr>
                <w:i w:val="0"/>
              </w:rPr>
              <w:t>:</w:t>
            </w:r>
          </w:p>
          <w:p w14:paraId="7F2C6377" w14:textId="77777777" w:rsidR="00806963" w:rsidRDefault="00806963" w:rsidP="00806963">
            <w:pPr>
              <w:spacing w:before="0"/>
            </w:pPr>
            <w:r>
              <w:t xml:space="preserve">There is significant expertise in the public. In principle, the holders of this expertise are willing and able to help make better policy and programmes. </w:t>
            </w:r>
          </w:p>
          <w:p w14:paraId="64F0D2F3" w14:textId="77777777" w:rsidR="00806963" w:rsidRDefault="00806963" w:rsidP="00806963">
            <w:pPr>
              <w:spacing w:before="0"/>
            </w:pPr>
          </w:p>
          <w:p w14:paraId="05D9A4E6" w14:textId="77777777" w:rsidR="00806963" w:rsidRDefault="00806963" w:rsidP="00806963">
            <w:pPr>
              <w:spacing w:before="0"/>
            </w:pPr>
            <w:r>
              <w:t>More meaningful engagement has the potential to increase the legitimacy of policy and programmes. Stakeholders can influence their constituents and the community, and are more likely to support work they co-design.</w:t>
            </w:r>
          </w:p>
          <w:p w14:paraId="0997BF42" w14:textId="77777777" w:rsidR="00806963" w:rsidRDefault="00806963" w:rsidP="00806963">
            <w:pPr>
              <w:spacing w:before="0"/>
            </w:pPr>
          </w:p>
          <w:p w14:paraId="1D910731" w14:textId="77777777" w:rsidR="00806963" w:rsidRDefault="00806963" w:rsidP="00806963">
            <w:pPr>
              <w:spacing w:before="0"/>
            </w:pPr>
            <w:r>
              <w:t>Further, as a general rule, public servants should not hesitate to engage on the grounds that the community is polarised and will demand that government agree with all of their views. The community understands that compromise is necessary.</w:t>
            </w:r>
          </w:p>
          <w:p w14:paraId="5FCDAFD3" w14:textId="77777777" w:rsidR="009F5663" w:rsidRDefault="009F5663" w:rsidP="00A13A0F">
            <w:pPr>
              <w:spacing w:before="0"/>
              <w:contextualSpacing/>
              <w:rPr>
                <w:b/>
              </w:rPr>
            </w:pPr>
          </w:p>
          <w:p w14:paraId="70DF275D" w14:textId="77777777" w:rsidR="009F5663" w:rsidRDefault="009F5663" w:rsidP="00A13A0F">
            <w:pPr>
              <w:spacing w:before="0"/>
              <w:contextualSpacing/>
              <w:rPr>
                <w:b/>
              </w:rPr>
            </w:pPr>
          </w:p>
        </w:tc>
      </w:tr>
    </w:tbl>
    <w:p w14:paraId="67C47847" w14:textId="77777777" w:rsidR="00522BA0" w:rsidRDefault="00522BA0" w:rsidP="0052682D">
      <w:pPr>
        <w:spacing w:before="0"/>
      </w:pPr>
    </w:p>
    <w:p w14:paraId="7747303A" w14:textId="77777777" w:rsidR="00C07C9B" w:rsidRDefault="00C07C9B" w:rsidP="0052682D">
      <w:pPr>
        <w:spacing w:before="0"/>
        <w:rPr>
          <w:b/>
        </w:rPr>
      </w:pPr>
      <w:r>
        <w:rPr>
          <w:b/>
        </w:rPr>
        <w:br w:type="page"/>
      </w:r>
    </w:p>
    <w:p w14:paraId="01122B9E" w14:textId="77777777" w:rsidR="008A275E" w:rsidRDefault="000E3C6E" w:rsidP="00F71BE1">
      <w:pPr>
        <w:pStyle w:val="Chartandfiguresheading"/>
      </w:pPr>
      <w:bookmarkStart w:id="58" w:name="_Toc495915976"/>
      <w:r>
        <w:lastRenderedPageBreak/>
        <w:t>Non-APS</w:t>
      </w:r>
      <w:r w:rsidR="00AF2AD9" w:rsidRPr="00806963">
        <w:t xml:space="preserve"> </w:t>
      </w:r>
      <w:r w:rsidR="00800354" w:rsidRPr="00806963">
        <w:t>Theme</w:t>
      </w:r>
      <w:r w:rsidR="00AF2AD9" w:rsidRPr="00806963">
        <w:t xml:space="preserve"> 2</w:t>
      </w:r>
      <w:r w:rsidR="00800354" w:rsidRPr="00806963">
        <w:t>:</w:t>
      </w:r>
      <w:bookmarkEnd w:id="58"/>
      <w:r w:rsidR="00800354" w:rsidRPr="00806963">
        <w:t xml:space="preserve"> </w:t>
      </w:r>
    </w:p>
    <w:p w14:paraId="311FFA55" w14:textId="77777777" w:rsidR="00A069A5" w:rsidRPr="00806963" w:rsidRDefault="00A069A5" w:rsidP="00F71BE1">
      <w:pPr>
        <w:pStyle w:val="Chartandfiguresheading"/>
      </w:pPr>
      <w:bookmarkStart w:id="59" w:name="_Toc495915977"/>
      <w:r w:rsidRPr="00806963">
        <w:t>In the main, participants are sceptical about government engagement. They often doubt its quality, and wonder if it is genuine. This can leave them frustrated</w:t>
      </w:r>
      <w:r w:rsidR="004354E1" w:rsidRPr="00806963">
        <w:t xml:space="preserve"> and more adversarial</w:t>
      </w:r>
      <w:r w:rsidRPr="00806963">
        <w:t>.</w:t>
      </w:r>
      <w:bookmarkEnd w:id="59"/>
    </w:p>
    <w:p w14:paraId="32D34F9F" w14:textId="77777777" w:rsidR="00800354" w:rsidRPr="00806963" w:rsidRDefault="00800354" w:rsidP="0052682D">
      <w:pPr>
        <w:spacing w:before="0"/>
        <w:rPr>
          <w:rFonts w:ascii="Calibri Light" w:eastAsia="MS Gothic" w:hAnsi="Calibri Light"/>
          <w:bCs/>
          <w:color w:val="3AA2A2"/>
          <w:sz w:val="32"/>
          <w:szCs w:val="26"/>
        </w:rPr>
      </w:pPr>
      <w:r w:rsidRPr="00806963">
        <w:rPr>
          <w:rFonts w:ascii="Calibri Light" w:eastAsia="MS Gothic" w:hAnsi="Calibri Light"/>
          <w:bCs/>
          <w:color w:val="3AA2A2"/>
          <w:sz w:val="32"/>
          <w:szCs w:val="26"/>
        </w:rPr>
        <w:t>Insights:</w:t>
      </w:r>
    </w:p>
    <w:p w14:paraId="6FA24357" w14:textId="77777777" w:rsidR="00A069A5" w:rsidRDefault="00A069A5" w:rsidP="0052682D">
      <w:pPr>
        <w:pStyle w:val="ListParagraph"/>
        <w:numPr>
          <w:ilvl w:val="0"/>
          <w:numId w:val="38"/>
        </w:numPr>
        <w:spacing w:before="0"/>
      </w:pPr>
      <w:r>
        <w:t xml:space="preserve">Most participants could identify at least a few good experiences of government engagement, particularly participants from peak bodies. Some reported positive experiences using government websites; others had participated in effective stakeholder forums; and others had stories of high quality face to face contact with public servants. </w:t>
      </w:r>
    </w:p>
    <w:p w14:paraId="3EFE481F" w14:textId="77777777" w:rsidR="00A069A5" w:rsidRPr="00C07C9B" w:rsidRDefault="00A069A5" w:rsidP="0052682D">
      <w:pPr>
        <w:pStyle w:val="ListParagraph"/>
        <w:numPr>
          <w:ilvl w:val="0"/>
          <w:numId w:val="38"/>
        </w:numPr>
        <w:spacing w:before="0"/>
      </w:pPr>
      <w:r>
        <w:t xml:space="preserve">However, most participants reported experiences that made them doubt whether the government was actually interested in hearing their views. For example, some described attending workshops or events where public servants or politicians spent most of the time talking at them rather than listening, or covering topics that had already been covered in other consultations; or being asked mostly </w:t>
      </w:r>
      <w:r w:rsidRPr="005E7F7E">
        <w:t xml:space="preserve">leading </w:t>
      </w:r>
      <w:r>
        <w:t xml:space="preserve">questions. One participant reported </w:t>
      </w:r>
      <w:r w:rsidR="001C5135">
        <w:t>‘</w:t>
      </w:r>
      <w:r w:rsidRPr="00762415">
        <w:t>There’s not a lot of consultation</w:t>
      </w:r>
      <w:r>
        <w:t>,</w:t>
      </w:r>
      <w:r w:rsidRPr="00762415">
        <w:t xml:space="preserve"> let alone co-design. It’s most</w:t>
      </w:r>
      <w:r>
        <w:t>ly</w:t>
      </w:r>
      <w:r w:rsidRPr="00762415">
        <w:t xml:space="preserve"> information sharing because the decision has already been made</w:t>
      </w:r>
      <w:r w:rsidR="001C5135">
        <w:t>’</w:t>
      </w:r>
      <w:r>
        <w:t xml:space="preserve">. </w:t>
      </w:r>
    </w:p>
    <w:p w14:paraId="3C219186" w14:textId="77777777" w:rsidR="00A069A5" w:rsidRDefault="00A069A5" w:rsidP="0052682D">
      <w:pPr>
        <w:pStyle w:val="ListParagraph"/>
        <w:numPr>
          <w:ilvl w:val="0"/>
          <w:numId w:val="38"/>
        </w:numPr>
        <w:spacing w:before="0"/>
      </w:pPr>
      <w:r w:rsidRPr="001C1A9D">
        <w:t xml:space="preserve">Many participants thought that </w:t>
      </w:r>
      <w:r>
        <w:t>the APS often isn’t</w:t>
      </w:r>
      <w:r w:rsidRPr="001C1A9D">
        <w:t xml:space="preserve"> clear about what </w:t>
      </w:r>
      <w:r>
        <w:t>their engagement</w:t>
      </w:r>
      <w:r w:rsidRPr="001C1A9D">
        <w:t xml:space="preserve"> is trying to achieve</w:t>
      </w:r>
      <w:r w:rsidR="00075B88">
        <w:t xml:space="preserve">. </w:t>
      </w:r>
      <w:r>
        <w:t xml:space="preserve">This left them confused, losing motivation to contribute, and wondering whether they were wasting their time. One illustrative comment was </w:t>
      </w:r>
      <w:r w:rsidR="001C5135">
        <w:t>‘</w:t>
      </w:r>
      <w:r>
        <w:t>it was never clear what the government was interested in…and how the meetings would contribute to the agenda</w:t>
      </w:r>
      <w:r w:rsidR="001C5135">
        <w:t>’</w:t>
      </w:r>
      <w:r>
        <w:t xml:space="preserve">. Others </w:t>
      </w:r>
      <w:r w:rsidR="00184749">
        <w:t>said that</w:t>
      </w:r>
      <w:r>
        <w:t xml:space="preserve"> </w:t>
      </w:r>
      <w:r w:rsidRPr="00F23809">
        <w:t xml:space="preserve">consultation is often about </w:t>
      </w:r>
      <w:r w:rsidR="001C5135">
        <w:t>‘</w:t>
      </w:r>
      <w:r w:rsidRPr="00F23809">
        <w:t>attracting media attention</w:t>
      </w:r>
      <w:r w:rsidR="001C5135">
        <w:t>’</w:t>
      </w:r>
      <w:r w:rsidR="00556A14">
        <w:t xml:space="preserve">, while another </w:t>
      </w:r>
      <w:r w:rsidR="00184749">
        <w:t>commented that</w:t>
      </w:r>
      <w:r w:rsidR="00556A14">
        <w:t xml:space="preserve"> an engagement styled as consultation seeking feedback </w:t>
      </w:r>
      <w:r w:rsidR="001C5135">
        <w:t>‘</w:t>
      </w:r>
      <w:r w:rsidR="00556A14">
        <w:t>felt like an elaborate PR exercise</w:t>
      </w:r>
      <w:r w:rsidR="001C5135">
        <w:t>’</w:t>
      </w:r>
      <w:r w:rsidRPr="00F23809">
        <w:t>.</w:t>
      </w:r>
    </w:p>
    <w:p w14:paraId="6ED8875C" w14:textId="77777777" w:rsidR="00A069A5" w:rsidRDefault="00A069A5" w:rsidP="0052682D">
      <w:pPr>
        <w:pStyle w:val="ListParagraph"/>
        <w:numPr>
          <w:ilvl w:val="0"/>
          <w:numId w:val="38"/>
        </w:numPr>
        <w:spacing w:before="0"/>
      </w:pPr>
      <w:r>
        <w:t xml:space="preserve">Others thought that engagement sometimes defied common sense, with process valued over outcomes. Some lamented </w:t>
      </w:r>
      <w:r w:rsidR="001C5135">
        <w:t>‘</w:t>
      </w:r>
      <w:r>
        <w:t>a public service where public servants are not able to objectively evaluate, instead [they] defend their programmes, even if it’s not valuable</w:t>
      </w:r>
      <w:r w:rsidR="001C5135">
        <w:t>’</w:t>
      </w:r>
      <w:r>
        <w:t>.</w:t>
      </w:r>
    </w:p>
    <w:p w14:paraId="03CDD1C8" w14:textId="77777777" w:rsidR="00A069A5" w:rsidRDefault="00A069A5" w:rsidP="0052682D">
      <w:pPr>
        <w:pStyle w:val="ListParagraph"/>
        <w:numPr>
          <w:ilvl w:val="0"/>
          <w:numId w:val="38"/>
        </w:numPr>
        <w:spacing w:before="0"/>
      </w:pPr>
      <w:r w:rsidRPr="00B57FAA">
        <w:t xml:space="preserve">Many reported </w:t>
      </w:r>
      <w:r>
        <w:t>in</w:t>
      </w:r>
      <w:r w:rsidRPr="00B57FAA">
        <w:t xml:space="preserve">sufficient time or notice as a </w:t>
      </w:r>
      <w:r>
        <w:t>major</w:t>
      </w:r>
      <w:r w:rsidRPr="00B57FAA">
        <w:t xml:space="preserve"> constraint </w:t>
      </w:r>
      <w:r>
        <w:t xml:space="preserve">on </w:t>
      </w:r>
      <w:r w:rsidRPr="00B57FAA">
        <w:t xml:space="preserve">contributing meaningful analysis. </w:t>
      </w:r>
      <w:r>
        <w:t>This also fuelled doubts that engagement is not genuine.</w:t>
      </w:r>
    </w:p>
    <w:p w14:paraId="09F594CA" w14:textId="77777777" w:rsidR="00A069A5" w:rsidRPr="00C07C9B" w:rsidRDefault="00A069A5" w:rsidP="0052682D">
      <w:pPr>
        <w:pStyle w:val="ListParagraph"/>
        <w:numPr>
          <w:ilvl w:val="0"/>
          <w:numId w:val="38"/>
        </w:numPr>
        <w:spacing w:before="0"/>
      </w:pPr>
      <w:r>
        <w:t>Others reported engagements labelled as ‘co-design’ or ‘collaboration’ that in fact were information sharing or consultation. This undermined trust and sparked cynicism.</w:t>
      </w:r>
      <w:r w:rsidR="00150B83">
        <w:t xml:space="preserve"> </w:t>
      </w:r>
    </w:p>
    <w:p w14:paraId="2D59C687" w14:textId="77777777" w:rsidR="00C07C9B" w:rsidRDefault="00C07C9B" w:rsidP="0052682D">
      <w:pPr>
        <w:spacing w:before="0"/>
        <w:rPr>
          <w:b/>
        </w:rPr>
      </w:pPr>
    </w:p>
    <w:p w14:paraId="6821E4E9" w14:textId="77777777" w:rsidR="00A069A5" w:rsidRPr="00806963" w:rsidRDefault="00A069A5" w:rsidP="0052682D">
      <w:pPr>
        <w:spacing w:before="0"/>
        <w:rPr>
          <w:rFonts w:ascii="Calibri Light" w:eastAsia="MS Gothic" w:hAnsi="Calibri Light"/>
          <w:bCs/>
          <w:color w:val="3AA2A2"/>
          <w:sz w:val="32"/>
          <w:szCs w:val="26"/>
        </w:rPr>
      </w:pPr>
      <w:r w:rsidRPr="00806963">
        <w:rPr>
          <w:rFonts w:ascii="Calibri Light" w:eastAsia="MS Gothic" w:hAnsi="Calibri Light"/>
          <w:bCs/>
          <w:color w:val="3AA2A2"/>
          <w:sz w:val="32"/>
          <w:szCs w:val="26"/>
        </w:rPr>
        <w:t xml:space="preserve">Implications: </w:t>
      </w:r>
    </w:p>
    <w:p w14:paraId="77579D80" w14:textId="77777777" w:rsidR="00A069A5" w:rsidRDefault="00184749" w:rsidP="0052682D">
      <w:pPr>
        <w:spacing w:before="0"/>
      </w:pPr>
      <w:r>
        <w:t>There is a high level of mistrust with much of current government engagement</w:t>
      </w:r>
      <w:r w:rsidR="00A069A5">
        <w:t xml:space="preserve">. </w:t>
      </w:r>
      <w:r>
        <w:t xml:space="preserve">Mistrust </w:t>
      </w:r>
      <w:r w:rsidR="00A069A5">
        <w:t>means engagements often fail to make the most of the public's expertise. It also fuels adversarial and positional bargaining, at the expense of higher value add partnerships and co-creation.</w:t>
      </w:r>
    </w:p>
    <w:p w14:paraId="7742360D" w14:textId="77777777" w:rsidR="00C07C9B" w:rsidRDefault="00C07C9B" w:rsidP="0052682D">
      <w:pPr>
        <w:spacing w:before="0"/>
      </w:pPr>
    </w:p>
    <w:p w14:paraId="422088FC" w14:textId="77777777" w:rsidR="00A069A5" w:rsidRDefault="00A069A5" w:rsidP="0052682D">
      <w:pPr>
        <w:spacing w:before="0"/>
      </w:pPr>
      <w:r>
        <w:t>Some well-intentioned engagements have gone awry and undermined trust. As such, public servants may need help selecting the right engagement tool for the job</w:t>
      </w:r>
      <w:r w:rsidR="004724CA">
        <w:t>, and not rely on ‘one size fits all’</w:t>
      </w:r>
      <w:r>
        <w:t>. They should also consider whether they have the capability to execute advanced engagement before implementation. Bad or mismatched engagement can be worse than no engagement. It causes frustration that</w:t>
      </w:r>
      <w:r w:rsidR="004724CA">
        <w:t xml:space="preserve"> can lead</w:t>
      </w:r>
      <w:r>
        <w:t xml:space="preserve"> stakeholders to criticise policy and programmes to their constituents and to the media. </w:t>
      </w:r>
      <w:r w:rsidR="0041436A">
        <w:t>There m</w:t>
      </w:r>
      <w:r>
        <w:t>ay also be a vicious cycle at play</w:t>
      </w:r>
      <w:r w:rsidR="0041436A">
        <w:t xml:space="preserve">, due to how this theme </w:t>
      </w:r>
      <w:r w:rsidR="00A90FBA">
        <w:t>interplays</w:t>
      </w:r>
      <w:r w:rsidR="0041436A">
        <w:t xml:space="preserve"> with APS themes above</w:t>
      </w:r>
      <w:r>
        <w:t xml:space="preserve">. </w:t>
      </w:r>
      <w:r w:rsidR="00A90FBA">
        <w:t>For example, c</w:t>
      </w:r>
      <w:r w:rsidR="00094A5D">
        <w:t xml:space="preserve">ommunity mistrust of current government engagement might be fuelling behaviours </w:t>
      </w:r>
      <w:r w:rsidR="00A90FBA">
        <w:t xml:space="preserve">from the community </w:t>
      </w:r>
      <w:r w:rsidR="00094A5D">
        <w:t xml:space="preserve">that contributed to comments from APS employees (noted in the APS insights above) that described some stakeholders as </w:t>
      </w:r>
      <w:r w:rsidR="001C5135">
        <w:t>‘</w:t>
      </w:r>
      <w:r>
        <w:t>too passionate</w:t>
      </w:r>
      <w:r w:rsidR="001C5135">
        <w:t>’</w:t>
      </w:r>
      <w:r>
        <w:t xml:space="preserve"> and </w:t>
      </w:r>
      <w:r w:rsidR="001C5135">
        <w:t>‘</w:t>
      </w:r>
      <w:r>
        <w:t xml:space="preserve">difficult to </w:t>
      </w:r>
      <w:r>
        <w:lastRenderedPageBreak/>
        <w:t>manage</w:t>
      </w:r>
      <w:r w:rsidR="001C5135">
        <w:t>’</w:t>
      </w:r>
      <w:r>
        <w:t xml:space="preserve"> rather than as useful partners. </w:t>
      </w:r>
      <w:r w:rsidR="00B83BFB">
        <w:t>In turn, if APS employees subsequently react to such behaviours by treating the community as ‘stakeholders to be managed’ rather than as useful partners, this would further contribute to mistrust in government engagement.</w:t>
      </w:r>
    </w:p>
    <w:tbl>
      <w:tblPr>
        <w:tblStyle w:val="TableGrid"/>
        <w:tblW w:w="0" w:type="auto"/>
        <w:tblLook w:val="04A0" w:firstRow="1" w:lastRow="0" w:firstColumn="1" w:lastColumn="0" w:noHBand="0" w:noVBand="1"/>
      </w:tblPr>
      <w:tblGrid>
        <w:gridCol w:w="2694"/>
        <w:gridCol w:w="6322"/>
      </w:tblGrid>
      <w:tr w:rsidR="00806963" w14:paraId="5621B9FB" w14:textId="77777777" w:rsidTr="00806963">
        <w:tc>
          <w:tcPr>
            <w:tcW w:w="2694" w:type="dxa"/>
            <w:tcBorders>
              <w:top w:val="nil"/>
              <w:left w:val="nil"/>
              <w:bottom w:val="nil"/>
              <w:right w:val="nil"/>
            </w:tcBorders>
          </w:tcPr>
          <w:p w14:paraId="7533F38D" w14:textId="77777777" w:rsidR="00806963" w:rsidRPr="00806963" w:rsidRDefault="000E3C6E" w:rsidP="00A13A0F">
            <w:pPr>
              <w:pStyle w:val="Chartandfiguresheading"/>
              <w:rPr>
                <w:color w:val="44546A" w:themeColor="text2"/>
              </w:rPr>
            </w:pPr>
            <w:bookmarkStart w:id="60" w:name="_Toc495915978"/>
            <w:r>
              <w:t>Non-APS</w:t>
            </w:r>
            <w:r w:rsidR="00806963" w:rsidRPr="00806963">
              <w:t xml:space="preserve"> Theme </w:t>
            </w:r>
            <w:r w:rsidR="00806963">
              <w:t>3</w:t>
            </w:r>
            <w:r w:rsidR="00806963" w:rsidRPr="00806963">
              <w:t>:</w:t>
            </w:r>
            <w:bookmarkEnd w:id="60"/>
            <w:r w:rsidR="00806963" w:rsidRPr="00806963">
              <w:rPr>
                <w:color w:val="44546A" w:themeColor="text2"/>
              </w:rPr>
              <w:t xml:space="preserve"> </w:t>
            </w:r>
          </w:p>
          <w:p w14:paraId="6513576A" w14:textId="77777777" w:rsidR="00806963" w:rsidRPr="00806963" w:rsidRDefault="00806963" w:rsidP="00A13A0F">
            <w:pPr>
              <w:pStyle w:val="Chartandfiguresheading"/>
            </w:pPr>
            <w:bookmarkStart w:id="61" w:name="_Toc495915979"/>
            <w:r w:rsidRPr="00806963">
              <w:t>Participants are pragmatic and realistic. They understand that the APS has legitimate constraints on its engagement, and can’t always do best practice.</w:t>
            </w:r>
            <w:bookmarkEnd w:id="61"/>
          </w:p>
        </w:tc>
        <w:tc>
          <w:tcPr>
            <w:tcW w:w="6322" w:type="dxa"/>
            <w:tcBorders>
              <w:top w:val="nil"/>
              <w:left w:val="nil"/>
              <w:bottom w:val="nil"/>
              <w:right w:val="nil"/>
            </w:tcBorders>
          </w:tcPr>
          <w:p w14:paraId="320D6CA1" w14:textId="77777777" w:rsidR="00806963" w:rsidRDefault="00806963" w:rsidP="00A13A0F">
            <w:pPr>
              <w:pStyle w:val="Heading6"/>
              <w:numPr>
                <w:ilvl w:val="0"/>
                <w:numId w:val="0"/>
              </w:numPr>
              <w:spacing w:before="0"/>
              <w:rPr>
                <w:i w:val="0"/>
              </w:rPr>
            </w:pPr>
          </w:p>
          <w:p w14:paraId="480D1E46" w14:textId="77777777" w:rsidR="00806963" w:rsidRPr="00EE0957" w:rsidRDefault="00806963" w:rsidP="00A13A0F">
            <w:pPr>
              <w:pStyle w:val="Heading6"/>
              <w:numPr>
                <w:ilvl w:val="0"/>
                <w:numId w:val="0"/>
              </w:numPr>
              <w:spacing w:before="0"/>
              <w:rPr>
                <w:i w:val="0"/>
              </w:rPr>
            </w:pPr>
            <w:r w:rsidRPr="00806963">
              <w:rPr>
                <w:rFonts w:ascii="Calibri Light" w:hAnsi="Calibri Light"/>
                <w:bCs/>
                <w:i w:val="0"/>
                <w:iCs w:val="0"/>
                <w:color w:val="3AA2A2"/>
                <w:sz w:val="32"/>
                <w:szCs w:val="26"/>
              </w:rPr>
              <w:t>Insights</w:t>
            </w:r>
            <w:r w:rsidRPr="00EE0957">
              <w:rPr>
                <w:i w:val="0"/>
              </w:rPr>
              <w:t>:</w:t>
            </w:r>
          </w:p>
          <w:p w14:paraId="3A4F4FB4" w14:textId="77777777" w:rsidR="00806963" w:rsidRDefault="00806963" w:rsidP="00806963">
            <w:pPr>
              <w:pStyle w:val="ListParagraph"/>
              <w:numPr>
                <w:ilvl w:val="0"/>
                <w:numId w:val="38"/>
              </w:numPr>
              <w:spacing w:before="0"/>
            </w:pPr>
            <w:r>
              <w:t>Many participants know doing best practice can be hard and time consuming, often because they are sophisticated engagers themselves. For instance, engagement practitioners noted that advanced engagement can be hard to explain to stakeholders, and difficult to distinguish from more familiar practices like communications and advertising.</w:t>
            </w:r>
          </w:p>
          <w:p w14:paraId="0FB171ED" w14:textId="77777777" w:rsidR="00806963" w:rsidRDefault="00806963" w:rsidP="00806963">
            <w:pPr>
              <w:pStyle w:val="ListParagraph"/>
              <w:numPr>
                <w:ilvl w:val="0"/>
                <w:numId w:val="38"/>
              </w:numPr>
              <w:spacing w:before="0"/>
            </w:pPr>
            <w:r>
              <w:t>Many participants acknowledged that public servants, in particular, face barriers to doing best practice engagement. In fact, many knew these barriers from having worked for or in government themselves.</w:t>
            </w:r>
          </w:p>
          <w:p w14:paraId="256C5A28" w14:textId="77777777" w:rsidR="00806963" w:rsidRDefault="00806963" w:rsidP="00806963">
            <w:pPr>
              <w:pStyle w:val="ListParagraph"/>
              <w:numPr>
                <w:ilvl w:val="0"/>
                <w:numId w:val="38"/>
              </w:numPr>
              <w:spacing w:before="0"/>
            </w:pPr>
            <w:r>
              <w:t xml:space="preserve">They cited as barriers: limited time and resources; public perceptions that government and the APS are one in the same, and/or a ‘policeman’ or untrustworthy; hierarchical approval processes; and limited support for innovation sometimes exacerbated by risk aversion. </w:t>
            </w:r>
          </w:p>
          <w:p w14:paraId="48CB67D4" w14:textId="77777777" w:rsidR="00806963" w:rsidRDefault="00806963" w:rsidP="00806963">
            <w:pPr>
              <w:pStyle w:val="ListParagraph"/>
              <w:numPr>
                <w:ilvl w:val="0"/>
                <w:numId w:val="38"/>
              </w:numPr>
              <w:spacing w:before="0"/>
            </w:pPr>
            <w:r>
              <w:t xml:space="preserve">Some participants recognised </w:t>
            </w:r>
            <w:r w:rsidRPr="00EF1887">
              <w:t xml:space="preserve">that </w:t>
            </w:r>
            <w:r>
              <w:t>many public servants want to do more collaboration and deliberation</w:t>
            </w:r>
            <w:r w:rsidRPr="00EF1887">
              <w:t xml:space="preserve">, but </w:t>
            </w:r>
            <w:r>
              <w:t>it is difficult to get authority</w:t>
            </w:r>
            <w:r w:rsidRPr="00EF1887">
              <w:t xml:space="preserve">. This </w:t>
            </w:r>
            <w:r>
              <w:t>frustrates them</w:t>
            </w:r>
            <w:r w:rsidRPr="00EF1887">
              <w:t xml:space="preserve">, </w:t>
            </w:r>
            <w:r>
              <w:t xml:space="preserve">as </w:t>
            </w:r>
            <w:r w:rsidRPr="00EF1887">
              <w:t xml:space="preserve">sometimes the </w:t>
            </w:r>
            <w:r>
              <w:t>‘</w:t>
            </w:r>
            <w:r w:rsidRPr="00EF1887">
              <w:t>window of opportunity is missed because the approval process takes too long</w:t>
            </w:r>
            <w:r>
              <w:t>’</w:t>
            </w:r>
            <w:r w:rsidRPr="00EF1887">
              <w:t>.</w:t>
            </w:r>
          </w:p>
          <w:p w14:paraId="3E5B0BCE" w14:textId="77777777" w:rsidR="00806963" w:rsidRDefault="00806963" w:rsidP="00806963">
            <w:pPr>
              <w:pStyle w:val="ListParagraph"/>
              <w:numPr>
                <w:ilvl w:val="0"/>
                <w:numId w:val="38"/>
              </w:numPr>
              <w:spacing w:before="0"/>
            </w:pPr>
            <w:r>
              <w:t>In particular, participants understand that political constraints can be a major barrier to engagement. Many acknowledged that public servants need solutions quickly, in particular to respond to media cycles, and it’s hard for them to find time to engage.</w:t>
            </w:r>
          </w:p>
          <w:p w14:paraId="45E0A4DE" w14:textId="77777777" w:rsidR="00806963" w:rsidRDefault="00806963" w:rsidP="00A13A0F">
            <w:pPr>
              <w:spacing w:before="0"/>
              <w:contextualSpacing/>
              <w:rPr>
                <w:b/>
              </w:rPr>
            </w:pPr>
          </w:p>
        </w:tc>
      </w:tr>
      <w:tr w:rsidR="00806963" w14:paraId="1E879341" w14:textId="77777777" w:rsidTr="00A13A0F">
        <w:tc>
          <w:tcPr>
            <w:tcW w:w="9016" w:type="dxa"/>
            <w:gridSpan w:val="2"/>
            <w:tcBorders>
              <w:top w:val="nil"/>
              <w:left w:val="nil"/>
              <w:bottom w:val="nil"/>
              <w:right w:val="nil"/>
            </w:tcBorders>
          </w:tcPr>
          <w:p w14:paraId="66E8AA26" w14:textId="77777777" w:rsidR="00806963" w:rsidRPr="00EE0957" w:rsidRDefault="00806963" w:rsidP="00A13A0F">
            <w:pPr>
              <w:pStyle w:val="Heading6"/>
              <w:numPr>
                <w:ilvl w:val="0"/>
                <w:numId w:val="0"/>
              </w:numPr>
              <w:spacing w:before="0"/>
              <w:rPr>
                <w:i w:val="0"/>
              </w:rPr>
            </w:pPr>
            <w:r w:rsidRPr="00806963">
              <w:rPr>
                <w:rFonts w:ascii="Calibri Light" w:hAnsi="Calibri Light"/>
                <w:bCs/>
                <w:i w:val="0"/>
                <w:iCs w:val="0"/>
                <w:color w:val="3AA2A2"/>
                <w:sz w:val="32"/>
                <w:szCs w:val="26"/>
              </w:rPr>
              <w:t>Implications</w:t>
            </w:r>
            <w:r w:rsidRPr="00806963">
              <w:rPr>
                <w:i w:val="0"/>
              </w:rPr>
              <w:t>:</w:t>
            </w:r>
          </w:p>
          <w:p w14:paraId="06D45717" w14:textId="77777777" w:rsidR="00806963" w:rsidRDefault="00806963" w:rsidP="00806963">
            <w:pPr>
              <w:spacing w:before="0"/>
            </w:pPr>
            <w:r>
              <w:t xml:space="preserve">The APS should not hesitate to engage due to fears that the public will demand an impractical process. </w:t>
            </w:r>
          </w:p>
          <w:p w14:paraId="1B1DB452" w14:textId="77777777" w:rsidR="00806963" w:rsidRDefault="00806963" w:rsidP="00806963">
            <w:pPr>
              <w:spacing w:before="0"/>
            </w:pPr>
          </w:p>
          <w:p w14:paraId="5D9B72A6" w14:textId="77777777" w:rsidR="00806963" w:rsidRDefault="00806963" w:rsidP="00806963">
            <w:pPr>
              <w:spacing w:before="0"/>
            </w:pPr>
            <w:r>
              <w:t xml:space="preserve">When engaging, public servants should be clear about what is and is not ‘on the table’. The public has a high tolerance for justified parameters. For example, if there is no room to move on a policy, public servants could still make clear that the public can influence its implementation. </w:t>
            </w:r>
          </w:p>
          <w:p w14:paraId="2F8A215F" w14:textId="77777777" w:rsidR="00806963" w:rsidRDefault="00806963" w:rsidP="00806963">
            <w:pPr>
              <w:spacing w:before="0"/>
            </w:pPr>
          </w:p>
          <w:p w14:paraId="612F15E6" w14:textId="77777777" w:rsidR="00806963" w:rsidRDefault="00806963" w:rsidP="00806963">
            <w:pPr>
              <w:spacing w:before="0"/>
            </w:pPr>
            <w:r>
              <w:t>Of course, this might lead to some disappointment. The public would like to influence every aspect of policy and programmes. But it would still be preferable to being silent or unclear about what is actually in scope, and letting that ambiguity be an ‘elephant in the room’ during engagement. It will make the public more motivated to contribute.</w:t>
            </w:r>
          </w:p>
          <w:p w14:paraId="6667F0F8" w14:textId="77777777" w:rsidR="00806963" w:rsidRDefault="00806963" w:rsidP="00A13A0F">
            <w:pPr>
              <w:spacing w:before="0"/>
              <w:contextualSpacing/>
              <w:rPr>
                <w:b/>
              </w:rPr>
            </w:pPr>
          </w:p>
          <w:p w14:paraId="3C9440D2" w14:textId="77777777" w:rsidR="00806963" w:rsidRDefault="00806963" w:rsidP="00A13A0F">
            <w:pPr>
              <w:spacing w:before="0"/>
              <w:contextualSpacing/>
              <w:rPr>
                <w:b/>
              </w:rPr>
            </w:pPr>
          </w:p>
        </w:tc>
      </w:tr>
    </w:tbl>
    <w:p w14:paraId="5228EBB8" w14:textId="77777777" w:rsidR="00522BA0" w:rsidRDefault="00522BA0" w:rsidP="0052682D">
      <w:pPr>
        <w:spacing w:before="0"/>
      </w:pPr>
    </w:p>
    <w:p w14:paraId="06E7DA26" w14:textId="77777777" w:rsidR="006A3C9B" w:rsidRDefault="006A3C9B" w:rsidP="0052682D">
      <w:pPr>
        <w:spacing w:before="0"/>
        <w:rPr>
          <w:b/>
        </w:rPr>
      </w:pPr>
      <w:r>
        <w:rPr>
          <w:b/>
        </w:rPr>
        <w:br w:type="page"/>
      </w:r>
    </w:p>
    <w:tbl>
      <w:tblPr>
        <w:tblStyle w:val="TableGrid"/>
        <w:tblW w:w="0" w:type="auto"/>
        <w:tblLook w:val="04A0" w:firstRow="1" w:lastRow="0" w:firstColumn="1" w:lastColumn="0" w:noHBand="0" w:noVBand="1"/>
      </w:tblPr>
      <w:tblGrid>
        <w:gridCol w:w="2694"/>
        <w:gridCol w:w="6322"/>
      </w:tblGrid>
      <w:tr w:rsidR="00C06C86" w14:paraId="0E43ACAA" w14:textId="77777777" w:rsidTr="00A13A0F">
        <w:tc>
          <w:tcPr>
            <w:tcW w:w="2694" w:type="dxa"/>
            <w:tcBorders>
              <w:top w:val="nil"/>
              <w:left w:val="nil"/>
              <w:bottom w:val="nil"/>
              <w:right w:val="nil"/>
            </w:tcBorders>
          </w:tcPr>
          <w:p w14:paraId="07A8914A" w14:textId="77777777" w:rsidR="00C06C86" w:rsidRPr="00806963" w:rsidRDefault="000E3C6E" w:rsidP="00A13A0F">
            <w:pPr>
              <w:pStyle w:val="Chartandfiguresheading"/>
              <w:rPr>
                <w:color w:val="44546A" w:themeColor="text2"/>
              </w:rPr>
            </w:pPr>
            <w:bookmarkStart w:id="62" w:name="_Toc495915980"/>
            <w:r>
              <w:lastRenderedPageBreak/>
              <w:t>Non-APS</w:t>
            </w:r>
            <w:r w:rsidR="00C06C86" w:rsidRPr="00806963">
              <w:t xml:space="preserve"> Theme </w:t>
            </w:r>
            <w:r w:rsidR="00C06C86">
              <w:t>4</w:t>
            </w:r>
            <w:r w:rsidR="00C06C86" w:rsidRPr="00806963">
              <w:t>:</w:t>
            </w:r>
            <w:bookmarkEnd w:id="62"/>
            <w:r w:rsidR="00C06C86" w:rsidRPr="00806963">
              <w:rPr>
                <w:color w:val="44546A" w:themeColor="text2"/>
              </w:rPr>
              <w:t xml:space="preserve"> </w:t>
            </w:r>
          </w:p>
          <w:p w14:paraId="68DA812C" w14:textId="77777777" w:rsidR="00C06C86" w:rsidRPr="00C06C86" w:rsidRDefault="00C06C86" w:rsidP="00A13A0F">
            <w:pPr>
              <w:pStyle w:val="Chartandfiguresheading"/>
            </w:pPr>
            <w:bookmarkStart w:id="63" w:name="_Toc495915981"/>
            <w:r w:rsidRPr="00C06C86">
              <w:t>Participants are interested in more advanced collaborative and deliberative engagements. They are also hopeful of building ongoing relationships with the APS.</w:t>
            </w:r>
            <w:bookmarkEnd w:id="63"/>
          </w:p>
        </w:tc>
        <w:tc>
          <w:tcPr>
            <w:tcW w:w="6322" w:type="dxa"/>
            <w:tcBorders>
              <w:top w:val="nil"/>
              <w:left w:val="nil"/>
              <w:bottom w:val="nil"/>
              <w:right w:val="nil"/>
            </w:tcBorders>
          </w:tcPr>
          <w:p w14:paraId="219A6527" w14:textId="77777777" w:rsidR="00C06C86" w:rsidRDefault="00C06C86" w:rsidP="00A13A0F">
            <w:pPr>
              <w:pStyle w:val="Heading6"/>
              <w:numPr>
                <w:ilvl w:val="0"/>
                <w:numId w:val="0"/>
              </w:numPr>
              <w:spacing w:before="0"/>
              <w:rPr>
                <w:i w:val="0"/>
              </w:rPr>
            </w:pPr>
          </w:p>
          <w:p w14:paraId="3B275FC9" w14:textId="77777777" w:rsidR="00C06C86" w:rsidRPr="00EE0957" w:rsidRDefault="00C06C86" w:rsidP="00A13A0F">
            <w:pPr>
              <w:pStyle w:val="Heading6"/>
              <w:numPr>
                <w:ilvl w:val="0"/>
                <w:numId w:val="0"/>
              </w:numPr>
              <w:spacing w:before="0"/>
              <w:rPr>
                <w:i w:val="0"/>
              </w:rPr>
            </w:pPr>
            <w:r w:rsidRPr="00806963">
              <w:rPr>
                <w:rFonts w:ascii="Calibri Light" w:hAnsi="Calibri Light"/>
                <w:bCs/>
                <w:i w:val="0"/>
                <w:iCs w:val="0"/>
                <w:color w:val="3AA2A2"/>
                <w:sz w:val="32"/>
                <w:szCs w:val="26"/>
              </w:rPr>
              <w:t>Insights</w:t>
            </w:r>
            <w:r w:rsidRPr="00EE0957">
              <w:rPr>
                <w:i w:val="0"/>
              </w:rPr>
              <w:t>:</w:t>
            </w:r>
          </w:p>
          <w:p w14:paraId="70927AF5" w14:textId="77777777" w:rsidR="00C06C86" w:rsidRDefault="00C06C86" w:rsidP="000C625D">
            <w:pPr>
              <w:pStyle w:val="ListParagraph"/>
              <w:numPr>
                <w:ilvl w:val="0"/>
                <w:numId w:val="38"/>
              </w:numPr>
              <w:spacing w:before="0"/>
            </w:pPr>
            <w:r>
              <w:t>Regardless of their sector – whether they work in a bank, an industry peak body, or a humble one-person activist organisation –</w:t>
            </w:r>
            <w:r w:rsidR="000E3EE5">
              <w:t xml:space="preserve"> participants </w:t>
            </w:r>
            <w:r>
              <w:t xml:space="preserve">want to be involved in more collaborative and deliberative processes. They see these as enabling them to play a crucial role developing and implementing successful policy and programmes. </w:t>
            </w:r>
          </w:p>
          <w:p w14:paraId="3E83FA25" w14:textId="77777777" w:rsidR="00C06C86" w:rsidRDefault="00C06C86" w:rsidP="00C06C86">
            <w:pPr>
              <w:pStyle w:val="ListParagraph"/>
              <w:numPr>
                <w:ilvl w:val="0"/>
                <w:numId w:val="38"/>
              </w:numPr>
              <w:spacing w:before="0"/>
            </w:pPr>
            <w:r>
              <w:t xml:space="preserve">They also want to build a sustainable partnerships with the APS, rather than transactional and adversarial relationships. Participants cited having a relationship with public servants as important to getting more out of engagement with government. </w:t>
            </w:r>
          </w:p>
          <w:p w14:paraId="68204211" w14:textId="77777777" w:rsidR="00C06C86" w:rsidRPr="00C07C9B" w:rsidRDefault="00C06C86" w:rsidP="00C06C86">
            <w:pPr>
              <w:pStyle w:val="ListParagraph"/>
              <w:numPr>
                <w:ilvl w:val="0"/>
                <w:numId w:val="38"/>
              </w:numPr>
              <w:spacing w:before="0"/>
            </w:pPr>
            <w:r>
              <w:t xml:space="preserve">But they found building relationships with the APS very challenging. In part, they found it difficult to find contacts, often relying on existing networks of someone else in their organisation. Those who had an ongoing relationship struggled to maintain it, in part due to frequent staff turnover and lack of handover when staff change. One participant said ‘every time I find a contact, they leave and I have to start again’. </w:t>
            </w:r>
          </w:p>
          <w:p w14:paraId="38938435" w14:textId="77777777" w:rsidR="00C06C86" w:rsidRDefault="00C06C86" w:rsidP="00A13A0F">
            <w:pPr>
              <w:spacing w:before="0"/>
              <w:contextualSpacing/>
              <w:rPr>
                <w:b/>
              </w:rPr>
            </w:pPr>
          </w:p>
        </w:tc>
      </w:tr>
      <w:tr w:rsidR="00C06C86" w14:paraId="3D3B99FB" w14:textId="77777777" w:rsidTr="00A13A0F">
        <w:tc>
          <w:tcPr>
            <w:tcW w:w="9016" w:type="dxa"/>
            <w:gridSpan w:val="2"/>
            <w:tcBorders>
              <w:top w:val="nil"/>
              <w:left w:val="nil"/>
              <w:bottom w:val="nil"/>
              <w:right w:val="nil"/>
            </w:tcBorders>
          </w:tcPr>
          <w:p w14:paraId="5543AD34" w14:textId="77777777" w:rsidR="00C06C86" w:rsidRPr="00EE0957" w:rsidRDefault="00C06C86" w:rsidP="00A13A0F">
            <w:pPr>
              <w:pStyle w:val="Heading6"/>
              <w:numPr>
                <w:ilvl w:val="0"/>
                <w:numId w:val="0"/>
              </w:numPr>
              <w:spacing w:before="0"/>
              <w:rPr>
                <w:i w:val="0"/>
              </w:rPr>
            </w:pPr>
            <w:r w:rsidRPr="00806963">
              <w:rPr>
                <w:rFonts w:ascii="Calibri Light" w:hAnsi="Calibri Light"/>
                <w:bCs/>
                <w:i w:val="0"/>
                <w:iCs w:val="0"/>
                <w:color w:val="3AA2A2"/>
                <w:sz w:val="32"/>
                <w:szCs w:val="26"/>
              </w:rPr>
              <w:t>Implications</w:t>
            </w:r>
            <w:r w:rsidRPr="00806963">
              <w:rPr>
                <w:i w:val="0"/>
              </w:rPr>
              <w:t>:</w:t>
            </w:r>
          </w:p>
          <w:p w14:paraId="20588D9E" w14:textId="77777777" w:rsidR="00C06C86" w:rsidRDefault="00C06C86" w:rsidP="00C06C86">
            <w:pPr>
              <w:spacing w:before="0"/>
            </w:pPr>
            <w:r>
              <w:t xml:space="preserve">The public are willing to provide more expertise. And, as one participant noted, if public servants really want to co-design with the public, ‘they need to take a leap of faith and relinquish control’. </w:t>
            </w:r>
          </w:p>
          <w:p w14:paraId="003DA531" w14:textId="77777777" w:rsidR="00C06C86" w:rsidRDefault="00C06C86" w:rsidP="00C06C86">
            <w:pPr>
              <w:spacing w:before="0"/>
            </w:pPr>
            <w:r>
              <w:t>Finally, there is scope for the APS to invite participants into the design of its engagements. This would improve the chances of both parties having their needs met.</w:t>
            </w:r>
          </w:p>
          <w:p w14:paraId="57F70484" w14:textId="77777777" w:rsidR="00C06C86" w:rsidRDefault="00C06C86" w:rsidP="00A13A0F">
            <w:pPr>
              <w:spacing w:before="0"/>
              <w:contextualSpacing/>
              <w:rPr>
                <w:b/>
              </w:rPr>
            </w:pPr>
          </w:p>
          <w:p w14:paraId="3A75333E" w14:textId="77777777" w:rsidR="00C06C86" w:rsidRDefault="00C06C86" w:rsidP="00A13A0F">
            <w:pPr>
              <w:spacing w:before="0"/>
              <w:contextualSpacing/>
              <w:rPr>
                <w:b/>
              </w:rPr>
            </w:pPr>
          </w:p>
        </w:tc>
      </w:tr>
    </w:tbl>
    <w:p w14:paraId="328EFE76" w14:textId="77777777" w:rsidR="00C06C86" w:rsidRDefault="00C06C86" w:rsidP="0052682D">
      <w:pPr>
        <w:spacing w:before="0" w:line="276" w:lineRule="auto"/>
        <w:rPr>
          <w:b/>
        </w:rPr>
      </w:pPr>
    </w:p>
    <w:p w14:paraId="32C4CB43" w14:textId="77777777" w:rsidR="00C06C86" w:rsidRDefault="00C06C86">
      <w:pPr>
        <w:spacing w:before="0"/>
        <w:rPr>
          <w:b/>
        </w:rPr>
      </w:pPr>
      <w:r>
        <w:rPr>
          <w:b/>
        </w:rPr>
        <w:br w:type="page"/>
      </w:r>
    </w:p>
    <w:tbl>
      <w:tblPr>
        <w:tblStyle w:val="TableGrid"/>
        <w:tblW w:w="0" w:type="auto"/>
        <w:tblLook w:val="04A0" w:firstRow="1" w:lastRow="0" w:firstColumn="1" w:lastColumn="0" w:noHBand="0" w:noVBand="1"/>
      </w:tblPr>
      <w:tblGrid>
        <w:gridCol w:w="2694"/>
        <w:gridCol w:w="6322"/>
      </w:tblGrid>
      <w:tr w:rsidR="00C06C86" w14:paraId="08F9641B" w14:textId="77777777" w:rsidTr="00A13A0F">
        <w:tc>
          <w:tcPr>
            <w:tcW w:w="2694" w:type="dxa"/>
            <w:tcBorders>
              <w:top w:val="nil"/>
              <w:left w:val="nil"/>
              <w:bottom w:val="nil"/>
              <w:right w:val="nil"/>
            </w:tcBorders>
          </w:tcPr>
          <w:p w14:paraId="42B68D60" w14:textId="77777777" w:rsidR="00C06C86" w:rsidRPr="00806963" w:rsidRDefault="000E3C6E" w:rsidP="00A13A0F">
            <w:pPr>
              <w:pStyle w:val="Chartandfiguresheading"/>
              <w:rPr>
                <w:color w:val="44546A" w:themeColor="text2"/>
              </w:rPr>
            </w:pPr>
            <w:bookmarkStart w:id="64" w:name="_Toc495915982"/>
            <w:r>
              <w:lastRenderedPageBreak/>
              <w:t>Non-APS</w:t>
            </w:r>
            <w:r w:rsidR="00C06C86" w:rsidRPr="00806963">
              <w:t xml:space="preserve"> Theme </w:t>
            </w:r>
            <w:r w:rsidR="00C06C86">
              <w:t>5</w:t>
            </w:r>
            <w:r w:rsidR="00C06C86" w:rsidRPr="00806963">
              <w:t>:</w:t>
            </w:r>
            <w:bookmarkEnd w:id="64"/>
            <w:r w:rsidR="00C06C86" w:rsidRPr="00806963">
              <w:rPr>
                <w:color w:val="44546A" w:themeColor="text2"/>
              </w:rPr>
              <w:t xml:space="preserve"> </w:t>
            </w:r>
          </w:p>
          <w:p w14:paraId="705A7304" w14:textId="77777777" w:rsidR="00C06C86" w:rsidRPr="00C06C86" w:rsidRDefault="00C06C86" w:rsidP="00A13A0F">
            <w:pPr>
              <w:pStyle w:val="Chartandfiguresheading"/>
            </w:pPr>
            <w:bookmarkStart w:id="65" w:name="_Toc495915983"/>
            <w:r w:rsidRPr="00C06C86">
              <w:t>There are some universal basics that help make an engagement effective and genuine. Participants made useful suggestions on how to get them right.</w:t>
            </w:r>
            <w:bookmarkEnd w:id="65"/>
          </w:p>
        </w:tc>
        <w:tc>
          <w:tcPr>
            <w:tcW w:w="6322" w:type="dxa"/>
            <w:tcBorders>
              <w:top w:val="nil"/>
              <w:left w:val="nil"/>
              <w:bottom w:val="nil"/>
              <w:right w:val="nil"/>
            </w:tcBorders>
          </w:tcPr>
          <w:p w14:paraId="58FB43CF" w14:textId="77777777" w:rsidR="00C06C86" w:rsidRDefault="00C06C86" w:rsidP="00A13A0F">
            <w:pPr>
              <w:pStyle w:val="Heading6"/>
              <w:numPr>
                <w:ilvl w:val="0"/>
                <w:numId w:val="0"/>
              </w:numPr>
              <w:spacing w:before="0"/>
              <w:rPr>
                <w:i w:val="0"/>
              </w:rPr>
            </w:pPr>
          </w:p>
          <w:p w14:paraId="3A6530A5" w14:textId="77777777" w:rsidR="00C06C86" w:rsidRPr="00EE0957" w:rsidRDefault="00C06C86" w:rsidP="00A13A0F">
            <w:pPr>
              <w:pStyle w:val="Heading6"/>
              <w:numPr>
                <w:ilvl w:val="0"/>
                <w:numId w:val="0"/>
              </w:numPr>
              <w:spacing w:before="0"/>
              <w:rPr>
                <w:i w:val="0"/>
              </w:rPr>
            </w:pPr>
            <w:r w:rsidRPr="00806963">
              <w:rPr>
                <w:rFonts w:ascii="Calibri Light" w:hAnsi="Calibri Light"/>
                <w:bCs/>
                <w:i w:val="0"/>
                <w:iCs w:val="0"/>
                <w:color w:val="3AA2A2"/>
                <w:sz w:val="32"/>
                <w:szCs w:val="26"/>
              </w:rPr>
              <w:t>Insights</w:t>
            </w:r>
            <w:r w:rsidRPr="00EE0957">
              <w:rPr>
                <w:i w:val="0"/>
              </w:rPr>
              <w:t>:</w:t>
            </w:r>
          </w:p>
          <w:p w14:paraId="5707F89D" w14:textId="77777777" w:rsidR="007B6C7F" w:rsidRDefault="007B6C7F" w:rsidP="007B6C7F">
            <w:pPr>
              <w:pStyle w:val="ListParagraph"/>
              <w:numPr>
                <w:ilvl w:val="0"/>
                <w:numId w:val="38"/>
              </w:numPr>
              <w:spacing w:before="0"/>
            </w:pPr>
            <w:r>
              <w:t>Some features of effective and genuine engagements were reported by so many participants that they are probably universal. Some are noted above and included: listening more than talking; closing the loop; not asking the same questions already asked in previous engagements; allowing enough time to respond; avoiding engagements during busy periods like Christmas, New Year and Easter; and being transparent about the aims and stages of the process. Many clearly valued face to face interactions, noting these made them feel listened to.</w:t>
            </w:r>
          </w:p>
          <w:p w14:paraId="67D99498" w14:textId="77777777" w:rsidR="007B6C7F" w:rsidRDefault="007B6C7F" w:rsidP="007B6C7F">
            <w:pPr>
              <w:pStyle w:val="ListParagraph"/>
              <w:numPr>
                <w:ilvl w:val="0"/>
                <w:numId w:val="38"/>
              </w:numPr>
              <w:spacing w:before="0"/>
            </w:pPr>
            <w:r>
              <w:t xml:space="preserve">Participants made specific suggestions on how to improve on current engagements, including creating incentives for APS staff to engage the public; undertaking engagement in ‘real time’ and not waiting for set pieces </w:t>
            </w:r>
            <w:r w:rsidR="007E3DE3">
              <w:t xml:space="preserve">(like formal issues papers and roundtables) </w:t>
            </w:r>
            <w:r>
              <w:t>for feedback; and adding requirements to engage in</w:t>
            </w:r>
            <w:r w:rsidR="007E3DE3">
              <w:t>to</w:t>
            </w:r>
            <w:r>
              <w:t xml:space="preserve"> SES staff contracts. Drawing on their own expertise and good experiences engaging with government, they made numerous suggestions to make engagement more genuine and effective. Many stressed the importance of </w:t>
            </w:r>
            <w:r w:rsidRPr="00A944E9">
              <w:t xml:space="preserve">using simple language, </w:t>
            </w:r>
            <w:r>
              <w:t>engaging early, and working on</w:t>
            </w:r>
            <w:r w:rsidRPr="00A944E9">
              <w:t xml:space="preserve"> ‘soft skills’. </w:t>
            </w:r>
          </w:p>
          <w:p w14:paraId="21268B33" w14:textId="77777777" w:rsidR="007B6C7F" w:rsidRDefault="007B6C7F" w:rsidP="007B6C7F">
            <w:pPr>
              <w:pStyle w:val="ListParagraph"/>
              <w:numPr>
                <w:ilvl w:val="0"/>
                <w:numId w:val="38"/>
              </w:numPr>
              <w:spacing w:before="0"/>
            </w:pPr>
            <w:r>
              <w:t xml:space="preserve">Participants urged the APS to be more open. This included being up front about what they are doing; where information will go once it is collected; and for the APS to define value in working together on both sides. After a consultation is over, some wanted government to release the data and information they relied on to reach a decision. </w:t>
            </w:r>
          </w:p>
          <w:p w14:paraId="5EB6E04B" w14:textId="77777777" w:rsidR="007B6C7F" w:rsidRDefault="007B6C7F" w:rsidP="007B6C7F">
            <w:pPr>
              <w:pStyle w:val="ListParagraph"/>
              <w:numPr>
                <w:ilvl w:val="0"/>
                <w:numId w:val="38"/>
              </w:numPr>
              <w:spacing w:before="0"/>
            </w:pPr>
            <w:r>
              <w:t>Perceptions also matter. Most of the participants were adamant that the APS actually needs to deliver rather than just be seen to be delivering.</w:t>
            </w:r>
          </w:p>
          <w:p w14:paraId="28C78300" w14:textId="77777777" w:rsidR="00C06C86" w:rsidRDefault="00C06C86" w:rsidP="00A13A0F">
            <w:pPr>
              <w:spacing w:before="0"/>
              <w:contextualSpacing/>
              <w:rPr>
                <w:b/>
              </w:rPr>
            </w:pPr>
          </w:p>
        </w:tc>
      </w:tr>
      <w:tr w:rsidR="00C06C86" w14:paraId="1060E1F5" w14:textId="77777777" w:rsidTr="00A13A0F">
        <w:tc>
          <w:tcPr>
            <w:tcW w:w="9016" w:type="dxa"/>
            <w:gridSpan w:val="2"/>
            <w:tcBorders>
              <w:top w:val="nil"/>
              <w:left w:val="nil"/>
              <w:bottom w:val="nil"/>
              <w:right w:val="nil"/>
            </w:tcBorders>
          </w:tcPr>
          <w:p w14:paraId="62820FC3" w14:textId="77777777" w:rsidR="00C06C86" w:rsidRPr="00EE0957" w:rsidRDefault="00C06C86" w:rsidP="00A13A0F">
            <w:pPr>
              <w:pStyle w:val="Heading6"/>
              <w:numPr>
                <w:ilvl w:val="0"/>
                <w:numId w:val="0"/>
              </w:numPr>
              <w:spacing w:before="0"/>
              <w:rPr>
                <w:i w:val="0"/>
              </w:rPr>
            </w:pPr>
            <w:r w:rsidRPr="00806963">
              <w:rPr>
                <w:rFonts w:ascii="Calibri Light" w:hAnsi="Calibri Light"/>
                <w:bCs/>
                <w:i w:val="0"/>
                <w:iCs w:val="0"/>
                <w:color w:val="3AA2A2"/>
                <w:sz w:val="32"/>
                <w:szCs w:val="26"/>
              </w:rPr>
              <w:t>Implications</w:t>
            </w:r>
            <w:r w:rsidRPr="00806963">
              <w:rPr>
                <w:i w:val="0"/>
              </w:rPr>
              <w:t>:</w:t>
            </w:r>
          </w:p>
          <w:p w14:paraId="32A38F45" w14:textId="77777777" w:rsidR="007B6C7F" w:rsidRDefault="007B6C7F" w:rsidP="007B6C7F">
            <w:pPr>
              <w:spacing w:before="0"/>
            </w:pPr>
            <w:r>
              <w:t xml:space="preserve">Getting the basics right is crucial to build trust. Simple things like improved customer service, up to standards provided by big companies, would go a long way. This includes being more reciprocal with the public, and talking like normal people with ordinary and everyday language. </w:t>
            </w:r>
          </w:p>
          <w:p w14:paraId="47BC2554" w14:textId="77777777" w:rsidR="00C06C86" w:rsidRDefault="00C06C86" w:rsidP="00A13A0F">
            <w:pPr>
              <w:spacing w:before="0"/>
              <w:contextualSpacing/>
              <w:rPr>
                <w:b/>
              </w:rPr>
            </w:pPr>
          </w:p>
          <w:p w14:paraId="17F0EA80" w14:textId="77777777" w:rsidR="00C06C86" w:rsidRDefault="00C06C86" w:rsidP="00A13A0F">
            <w:pPr>
              <w:spacing w:before="0"/>
              <w:contextualSpacing/>
              <w:rPr>
                <w:b/>
              </w:rPr>
            </w:pPr>
          </w:p>
        </w:tc>
      </w:tr>
    </w:tbl>
    <w:p w14:paraId="6FC922FB" w14:textId="77777777" w:rsidR="00265005" w:rsidRDefault="00265005" w:rsidP="00032C19">
      <w:pPr>
        <w:spacing w:before="0"/>
      </w:pPr>
    </w:p>
    <w:p w14:paraId="124FF31E" w14:textId="77777777" w:rsidR="00265005" w:rsidRDefault="00265005">
      <w:pPr>
        <w:spacing w:before="0"/>
        <w:rPr>
          <w:rFonts w:ascii="Calibri Light" w:eastAsia="MS Gothic" w:hAnsi="Calibri Light"/>
          <w:bCs/>
          <w:color w:val="3AA2A2"/>
          <w:sz w:val="32"/>
          <w:szCs w:val="26"/>
        </w:rPr>
      </w:pPr>
      <w:r>
        <w:br w:type="page"/>
      </w:r>
    </w:p>
    <w:p w14:paraId="202E8A29" w14:textId="77777777" w:rsidR="002F162D" w:rsidRDefault="006F5A59" w:rsidP="0052682D">
      <w:pPr>
        <w:pStyle w:val="H2"/>
        <w:spacing w:before="0" w:after="0"/>
      </w:pPr>
      <w:bookmarkStart w:id="66" w:name="_Toc495915984"/>
      <w:r>
        <w:lastRenderedPageBreak/>
        <w:t>Personas</w:t>
      </w:r>
      <w:r w:rsidR="00DA6FD2">
        <w:t xml:space="preserve"> of typical public participation users in the APS and the public</w:t>
      </w:r>
      <w:bookmarkEnd w:id="66"/>
    </w:p>
    <w:p w14:paraId="34770C94" w14:textId="77777777" w:rsidR="00D7454F" w:rsidRPr="00642AD3" w:rsidRDefault="00D7454F" w:rsidP="00642AD3">
      <w:pPr>
        <w:spacing w:before="0"/>
      </w:pPr>
      <w:r>
        <w:t xml:space="preserve">To further build empathy, we </w:t>
      </w:r>
      <w:r w:rsidR="000C5569">
        <w:t>segmented our users into</w:t>
      </w:r>
      <w:r>
        <w:t xml:space="preserve"> personas.</w:t>
      </w:r>
    </w:p>
    <w:p w14:paraId="562A60C2" w14:textId="77777777" w:rsidR="00C07C9B" w:rsidRPr="00642AD3" w:rsidRDefault="00C07C9B" w:rsidP="00642AD3">
      <w:pPr>
        <w:spacing w:before="0"/>
      </w:pPr>
    </w:p>
    <w:p w14:paraId="32CEC7E5" w14:textId="77777777" w:rsidR="00305B90" w:rsidRDefault="00642AD3" w:rsidP="00642AD3">
      <w:pPr>
        <w:spacing w:before="0"/>
      </w:pPr>
      <w:r w:rsidRPr="00642AD3">
        <w:t xml:space="preserve">Personas are a design tool used in many professions as ‘hypothetical archetypes of actual users’. In our project, they are a composite of real users who we interviewed. They summarise their most relevant characteristics in respect of public participation. They show that different users will require different and tailored strategies to encourage better public participation. </w:t>
      </w:r>
    </w:p>
    <w:p w14:paraId="41D778BA" w14:textId="77777777" w:rsidR="00305B90" w:rsidRDefault="00305B90" w:rsidP="00642AD3">
      <w:pPr>
        <w:spacing w:before="0"/>
      </w:pPr>
    </w:p>
    <w:p w14:paraId="023F5DED" w14:textId="77777777" w:rsidR="00642AD3" w:rsidRPr="00642AD3" w:rsidRDefault="00642AD3" w:rsidP="00642AD3">
      <w:pPr>
        <w:spacing w:before="0"/>
      </w:pPr>
      <w:r w:rsidRPr="00642AD3">
        <w:t>They can inform thinking about opportunities in the Define stage; and stimulate brainstorms and solution testing in the Create phase. They are also the building blocks for other design techniques, like user journeys. These can help identify useful intervention points and model what impact changes might have on users. This will be important to design ways to encourage adoption of more and better public participation.</w:t>
      </w:r>
    </w:p>
    <w:p w14:paraId="54030538" w14:textId="77777777" w:rsidR="00642AD3" w:rsidRPr="00642AD3" w:rsidRDefault="00642AD3" w:rsidP="00642AD3">
      <w:pPr>
        <w:spacing w:before="0"/>
      </w:pPr>
    </w:p>
    <w:p w14:paraId="12EC1110" w14:textId="77777777" w:rsidR="00642AD3" w:rsidRPr="00642AD3" w:rsidRDefault="00642AD3" w:rsidP="00642AD3">
      <w:pPr>
        <w:spacing w:before="0"/>
      </w:pPr>
      <w:r w:rsidRPr="00642AD3">
        <w:t>The personas are not intended to represent any single person. Nor are they intended to imply that our users are simplistic and can be easily stereotyped. Rather, they are just one source of information to augment our other sources of evidence. And they are a means to communicate a swathe of qualitative data in a memorable way, and make it easier to design solutions that encourage public participation.</w:t>
      </w:r>
    </w:p>
    <w:p w14:paraId="05574385" w14:textId="77777777" w:rsidR="00642AD3" w:rsidRPr="00642AD3" w:rsidRDefault="00642AD3" w:rsidP="00642AD3">
      <w:pPr>
        <w:spacing w:before="0"/>
      </w:pPr>
    </w:p>
    <w:p w14:paraId="7FC5FB56" w14:textId="77777777" w:rsidR="00AB71EF" w:rsidRPr="00305B90" w:rsidRDefault="00AB71EF" w:rsidP="00305B90">
      <w:pPr>
        <w:pStyle w:val="H2"/>
        <w:spacing w:before="0" w:after="0"/>
      </w:pPr>
      <w:bookmarkStart w:id="67" w:name="_Toc495915985"/>
      <w:r>
        <w:t>Personas - Members of the public</w:t>
      </w:r>
      <w:bookmarkEnd w:id="67"/>
    </w:p>
    <w:p w14:paraId="69481105" w14:textId="77777777" w:rsidR="00642AD3" w:rsidRDefault="007700A3" w:rsidP="0052682D">
      <w:pPr>
        <w:spacing w:before="0"/>
        <w:rPr>
          <w:color w:val="000000" w:themeColor="text1"/>
        </w:rPr>
      </w:pPr>
      <w:r w:rsidRPr="00642AD3">
        <w:rPr>
          <w:color w:val="000000" w:themeColor="text1"/>
        </w:rPr>
        <w:t>W</w:t>
      </w:r>
      <w:r w:rsidR="0055361A" w:rsidRPr="00642AD3">
        <w:rPr>
          <w:color w:val="000000" w:themeColor="text1"/>
        </w:rPr>
        <w:t xml:space="preserve">e </w:t>
      </w:r>
      <w:r w:rsidR="00B352E8" w:rsidRPr="00642AD3">
        <w:rPr>
          <w:color w:val="000000" w:themeColor="text1"/>
        </w:rPr>
        <w:t>segmented members of the public into</w:t>
      </w:r>
      <w:r w:rsidR="0055361A" w:rsidRPr="00642AD3">
        <w:rPr>
          <w:color w:val="000000" w:themeColor="text1"/>
        </w:rPr>
        <w:t xml:space="preserve"> five </w:t>
      </w:r>
      <w:r w:rsidR="004A421C" w:rsidRPr="00642AD3">
        <w:rPr>
          <w:color w:val="000000" w:themeColor="text1"/>
        </w:rPr>
        <w:t>personas</w:t>
      </w:r>
      <w:r w:rsidR="00B352E8" w:rsidRPr="00642AD3">
        <w:rPr>
          <w:color w:val="000000" w:themeColor="text1"/>
        </w:rPr>
        <w:t>:</w:t>
      </w:r>
      <w:r w:rsidR="004A421C" w:rsidRPr="00642AD3">
        <w:rPr>
          <w:color w:val="000000" w:themeColor="text1"/>
        </w:rPr>
        <w:t xml:space="preserve"> Philippa, Vivienne, Sue, Andrew, and James. </w:t>
      </w:r>
      <w:r w:rsidR="00642AD3" w:rsidRPr="00642AD3">
        <w:rPr>
          <w:color w:val="000000" w:themeColor="text1"/>
        </w:rPr>
        <w:t>We chose these segments because</w:t>
      </w:r>
      <w:r w:rsidR="00A35F29">
        <w:rPr>
          <w:color w:val="000000" w:themeColor="text1"/>
        </w:rPr>
        <w:t xml:space="preserve"> they cover the different sectors the APS engages, and show that each sector has differing:</w:t>
      </w:r>
    </w:p>
    <w:p w14:paraId="0CC1D38C" w14:textId="77777777" w:rsidR="00141AEC" w:rsidRDefault="00141AEC" w:rsidP="00141AEC">
      <w:pPr>
        <w:pStyle w:val="ListParagraph"/>
        <w:numPr>
          <w:ilvl w:val="0"/>
          <w:numId w:val="38"/>
        </w:numPr>
        <w:spacing w:before="0"/>
        <w:rPr>
          <w:color w:val="000000" w:themeColor="text1"/>
        </w:rPr>
      </w:pPr>
      <w:r>
        <w:rPr>
          <w:color w:val="000000" w:themeColor="text1"/>
        </w:rPr>
        <w:t>needs and motivations to get involved in the APS’s work;</w:t>
      </w:r>
    </w:p>
    <w:p w14:paraId="02DD5677" w14:textId="77777777" w:rsidR="00141AEC" w:rsidRDefault="00141AEC" w:rsidP="00141AEC">
      <w:pPr>
        <w:pStyle w:val="ListParagraph"/>
        <w:numPr>
          <w:ilvl w:val="0"/>
          <w:numId w:val="38"/>
        </w:numPr>
        <w:spacing w:before="0"/>
        <w:rPr>
          <w:color w:val="000000" w:themeColor="text1"/>
        </w:rPr>
      </w:pPr>
      <w:r>
        <w:rPr>
          <w:color w:val="000000" w:themeColor="text1"/>
        </w:rPr>
        <w:t>constraints on its engagement; and</w:t>
      </w:r>
    </w:p>
    <w:p w14:paraId="004AB3FA" w14:textId="77777777" w:rsidR="00141AEC" w:rsidRDefault="00141AEC" w:rsidP="00141AEC">
      <w:pPr>
        <w:pStyle w:val="ListParagraph"/>
        <w:numPr>
          <w:ilvl w:val="0"/>
          <w:numId w:val="38"/>
        </w:numPr>
        <w:spacing w:before="0"/>
        <w:rPr>
          <w:color w:val="000000" w:themeColor="text1"/>
        </w:rPr>
      </w:pPr>
      <w:r>
        <w:rPr>
          <w:color w:val="000000" w:themeColor="text1"/>
        </w:rPr>
        <w:t xml:space="preserve">different expertise </w:t>
      </w:r>
      <w:r w:rsidR="00A35F29">
        <w:rPr>
          <w:color w:val="000000" w:themeColor="text1"/>
        </w:rPr>
        <w:t xml:space="preserve">to bring </w:t>
      </w:r>
      <w:r>
        <w:rPr>
          <w:color w:val="000000" w:themeColor="text1"/>
        </w:rPr>
        <w:t>into the APS’s work.</w:t>
      </w:r>
    </w:p>
    <w:p w14:paraId="4CE73FC2" w14:textId="77777777" w:rsidR="00141AEC" w:rsidRDefault="00141AEC" w:rsidP="00141AEC">
      <w:pPr>
        <w:spacing w:before="0"/>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41AEC" w14:paraId="63FF1049" w14:textId="77777777" w:rsidTr="00141AEC">
        <w:tc>
          <w:tcPr>
            <w:tcW w:w="1803" w:type="dxa"/>
          </w:tcPr>
          <w:p w14:paraId="5E85E051" w14:textId="77777777" w:rsidR="00141AEC" w:rsidRPr="00706066" w:rsidRDefault="00141AEC" w:rsidP="00AE2172">
            <w:pPr>
              <w:spacing w:before="0"/>
              <w:rPr>
                <w:color w:val="000000" w:themeColor="text1"/>
              </w:rPr>
            </w:pPr>
            <w:r w:rsidRPr="000A4687">
              <w:rPr>
                <w:b/>
                <w:color w:val="000000" w:themeColor="text1"/>
              </w:rPr>
              <w:t xml:space="preserve">Philippa – Academic - </w:t>
            </w:r>
            <w:r w:rsidRPr="00706066">
              <w:rPr>
                <w:color w:val="000000" w:themeColor="text1"/>
              </w:rPr>
              <w:t>Building the evidence base for change</w:t>
            </w:r>
          </w:p>
          <w:p w14:paraId="50FB741E" w14:textId="77777777" w:rsidR="00141AEC" w:rsidRDefault="00141AEC" w:rsidP="00AE2172">
            <w:pPr>
              <w:spacing w:before="0"/>
            </w:pPr>
          </w:p>
        </w:tc>
        <w:tc>
          <w:tcPr>
            <w:tcW w:w="1803" w:type="dxa"/>
          </w:tcPr>
          <w:p w14:paraId="59A283EE" w14:textId="77777777" w:rsidR="00141AEC" w:rsidRDefault="00141AEC" w:rsidP="00AE2172">
            <w:pPr>
              <w:spacing w:before="0"/>
              <w:rPr>
                <w:b/>
                <w:bCs/>
              </w:rPr>
            </w:pPr>
            <w:r>
              <w:rPr>
                <w:b/>
                <w:bCs/>
              </w:rPr>
              <w:t xml:space="preserve">Vivienne – </w:t>
            </w:r>
          </w:p>
          <w:p w14:paraId="4AAC23EB" w14:textId="77777777" w:rsidR="00141AEC" w:rsidRDefault="00141AEC" w:rsidP="00AE2172">
            <w:pPr>
              <w:spacing w:before="0"/>
              <w:rPr>
                <w:b/>
                <w:bCs/>
              </w:rPr>
            </w:pPr>
            <w:r>
              <w:rPr>
                <w:b/>
                <w:bCs/>
              </w:rPr>
              <w:t>Not for profit</w:t>
            </w:r>
          </w:p>
          <w:p w14:paraId="48EABBC6" w14:textId="77777777" w:rsidR="00141AEC" w:rsidRDefault="00141AEC" w:rsidP="00AE2172">
            <w:pPr>
              <w:spacing w:before="0"/>
            </w:pPr>
            <w:r w:rsidRPr="00706066">
              <w:rPr>
                <w:bCs/>
              </w:rPr>
              <w:t xml:space="preserve">Not about the Money </w:t>
            </w:r>
          </w:p>
        </w:tc>
        <w:tc>
          <w:tcPr>
            <w:tcW w:w="1803" w:type="dxa"/>
          </w:tcPr>
          <w:p w14:paraId="703266C1" w14:textId="77777777" w:rsidR="00141AEC" w:rsidRDefault="00141AEC" w:rsidP="00AE2172">
            <w:pPr>
              <w:spacing w:before="0"/>
              <w:rPr>
                <w:b/>
                <w:bCs/>
                <w:color w:val="000000" w:themeColor="text1"/>
              </w:rPr>
            </w:pPr>
            <w:r w:rsidRPr="000A4687">
              <w:rPr>
                <w:b/>
                <w:bCs/>
                <w:color w:val="000000" w:themeColor="text1"/>
              </w:rPr>
              <w:t xml:space="preserve">Sue </w:t>
            </w:r>
            <w:r>
              <w:rPr>
                <w:b/>
                <w:bCs/>
                <w:color w:val="000000" w:themeColor="text1"/>
              </w:rPr>
              <w:t xml:space="preserve">– </w:t>
            </w:r>
          </w:p>
          <w:p w14:paraId="589CF36C" w14:textId="77777777" w:rsidR="00141AEC" w:rsidRDefault="00141AEC" w:rsidP="00AE2172">
            <w:pPr>
              <w:spacing w:before="0"/>
              <w:rPr>
                <w:b/>
                <w:bCs/>
                <w:color w:val="000000" w:themeColor="text1"/>
              </w:rPr>
            </w:pPr>
            <w:r>
              <w:rPr>
                <w:b/>
                <w:bCs/>
                <w:color w:val="000000" w:themeColor="text1"/>
              </w:rPr>
              <w:t>Engagement professional</w:t>
            </w:r>
          </w:p>
          <w:p w14:paraId="18335313" w14:textId="77777777" w:rsidR="00141AEC" w:rsidRPr="00706066" w:rsidRDefault="00141AEC" w:rsidP="00AE2172">
            <w:pPr>
              <w:spacing w:before="0"/>
              <w:rPr>
                <w:bCs/>
                <w:color w:val="000000" w:themeColor="text1"/>
              </w:rPr>
            </w:pPr>
            <w:r w:rsidRPr="00706066">
              <w:rPr>
                <w:bCs/>
                <w:color w:val="000000" w:themeColor="text1"/>
              </w:rPr>
              <w:t>‘It’s essential to our democracy’</w:t>
            </w:r>
          </w:p>
          <w:p w14:paraId="0406B568" w14:textId="77777777" w:rsidR="00141AEC" w:rsidRDefault="00141AEC" w:rsidP="00AE2172">
            <w:pPr>
              <w:spacing w:before="0"/>
            </w:pPr>
          </w:p>
        </w:tc>
        <w:tc>
          <w:tcPr>
            <w:tcW w:w="1803" w:type="dxa"/>
          </w:tcPr>
          <w:p w14:paraId="1069FE6C" w14:textId="77777777" w:rsidR="00141AEC" w:rsidRPr="000A4687" w:rsidRDefault="00141AEC" w:rsidP="00AE2172">
            <w:pPr>
              <w:spacing w:before="0"/>
              <w:rPr>
                <w:b/>
              </w:rPr>
            </w:pPr>
            <w:r w:rsidRPr="000A4687">
              <w:rPr>
                <w:b/>
              </w:rPr>
              <w:t>Andrew</w:t>
            </w:r>
            <w:r>
              <w:rPr>
                <w:b/>
              </w:rPr>
              <w:t xml:space="preserve"> –I</w:t>
            </w:r>
            <w:r w:rsidRPr="000A4687">
              <w:rPr>
                <w:b/>
              </w:rPr>
              <w:t>ndustry body representative</w:t>
            </w:r>
          </w:p>
          <w:p w14:paraId="4D522C15" w14:textId="77777777" w:rsidR="00141AEC" w:rsidRDefault="00141AEC" w:rsidP="00AE2172">
            <w:pPr>
              <w:spacing w:before="0"/>
            </w:pPr>
            <w:r>
              <w:t>Common sense</w:t>
            </w:r>
          </w:p>
        </w:tc>
        <w:tc>
          <w:tcPr>
            <w:tcW w:w="1804" w:type="dxa"/>
          </w:tcPr>
          <w:p w14:paraId="6471F9F8" w14:textId="77777777" w:rsidR="00141AEC" w:rsidRDefault="00141AEC" w:rsidP="00AE2172">
            <w:pPr>
              <w:spacing w:before="0"/>
              <w:rPr>
                <w:b/>
                <w:color w:val="000000" w:themeColor="text1"/>
              </w:rPr>
            </w:pPr>
            <w:r w:rsidRPr="000A4687">
              <w:rPr>
                <w:b/>
                <w:color w:val="000000" w:themeColor="text1"/>
              </w:rPr>
              <w:t xml:space="preserve">James </w:t>
            </w:r>
            <w:r>
              <w:rPr>
                <w:b/>
                <w:color w:val="000000" w:themeColor="text1"/>
              </w:rPr>
              <w:t>–</w:t>
            </w:r>
          </w:p>
          <w:p w14:paraId="038F7EDB" w14:textId="77777777" w:rsidR="00141AEC" w:rsidRDefault="00141AEC" w:rsidP="00AE2172">
            <w:pPr>
              <w:spacing w:before="0"/>
              <w:rPr>
                <w:b/>
                <w:color w:val="000000" w:themeColor="text1"/>
              </w:rPr>
            </w:pPr>
            <w:r w:rsidRPr="000A4687">
              <w:rPr>
                <w:b/>
                <w:color w:val="000000" w:themeColor="text1"/>
              </w:rPr>
              <w:t>Financial sector</w:t>
            </w:r>
          </w:p>
          <w:p w14:paraId="33025048" w14:textId="77777777" w:rsidR="00141AEC" w:rsidRPr="000A4687" w:rsidRDefault="00141AEC" w:rsidP="00AE2172">
            <w:pPr>
              <w:spacing w:before="0"/>
              <w:rPr>
                <w:b/>
                <w:color w:val="000000" w:themeColor="text1"/>
              </w:rPr>
            </w:pPr>
            <w:r>
              <w:rPr>
                <w:color w:val="000000" w:themeColor="text1"/>
              </w:rPr>
              <w:t>Let’s make a deal</w:t>
            </w:r>
            <w:r w:rsidRPr="000A4687">
              <w:rPr>
                <w:b/>
                <w:bCs/>
                <w:noProof/>
                <w:color w:val="000000" w:themeColor="text1"/>
                <w:lang w:eastAsia="en-AU"/>
              </w:rPr>
              <w:t xml:space="preserve"> </w:t>
            </w:r>
          </w:p>
          <w:p w14:paraId="7ACEA0E3" w14:textId="77777777" w:rsidR="00141AEC" w:rsidRDefault="00141AEC" w:rsidP="00AE2172">
            <w:pPr>
              <w:spacing w:before="0"/>
            </w:pPr>
          </w:p>
        </w:tc>
      </w:tr>
      <w:tr w:rsidR="00141AEC" w14:paraId="10B9A5D8" w14:textId="77777777" w:rsidTr="00141AEC">
        <w:tc>
          <w:tcPr>
            <w:tcW w:w="1803" w:type="dxa"/>
          </w:tcPr>
          <w:p w14:paraId="4B20A90B" w14:textId="77777777" w:rsidR="00141AEC" w:rsidRPr="000A4687" w:rsidRDefault="00141AEC" w:rsidP="00141AEC">
            <w:pPr>
              <w:spacing w:before="0"/>
              <w:rPr>
                <w:b/>
                <w:color w:val="000000" w:themeColor="text1"/>
              </w:rPr>
            </w:pPr>
            <w:r>
              <w:rPr>
                <w:noProof/>
                <w:lang w:eastAsia="en-AU"/>
              </w:rPr>
              <w:drawing>
                <wp:inline distT="0" distB="0" distL="0" distR="0" wp14:anchorId="2C7A19A8" wp14:editId="63370610">
                  <wp:extent cx="699714" cy="733571"/>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01232" cy="735163"/>
                          </a:xfrm>
                          <a:prstGeom prst="rect">
                            <a:avLst/>
                          </a:prstGeom>
                        </pic:spPr>
                      </pic:pic>
                    </a:graphicData>
                  </a:graphic>
                </wp:inline>
              </w:drawing>
            </w:r>
          </w:p>
        </w:tc>
        <w:tc>
          <w:tcPr>
            <w:tcW w:w="1803" w:type="dxa"/>
          </w:tcPr>
          <w:p w14:paraId="3F01F3BF" w14:textId="77777777" w:rsidR="00141AEC" w:rsidRDefault="00141AEC" w:rsidP="00141AEC">
            <w:pPr>
              <w:spacing w:before="0"/>
              <w:rPr>
                <w:b/>
                <w:bCs/>
              </w:rPr>
            </w:pPr>
            <w:r>
              <w:rPr>
                <w:noProof/>
                <w:lang w:eastAsia="en-AU"/>
              </w:rPr>
              <w:drawing>
                <wp:inline distT="0" distB="0" distL="0" distR="0" wp14:anchorId="50F09151" wp14:editId="3803B3C8">
                  <wp:extent cx="744538" cy="733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48705" cy="737530"/>
                          </a:xfrm>
                          <a:prstGeom prst="rect">
                            <a:avLst/>
                          </a:prstGeom>
                        </pic:spPr>
                      </pic:pic>
                    </a:graphicData>
                  </a:graphic>
                </wp:inline>
              </w:drawing>
            </w:r>
          </w:p>
        </w:tc>
        <w:tc>
          <w:tcPr>
            <w:tcW w:w="1803" w:type="dxa"/>
          </w:tcPr>
          <w:p w14:paraId="48F0BDAE" w14:textId="77777777" w:rsidR="00141AEC" w:rsidRPr="000A4687" w:rsidRDefault="00141AEC" w:rsidP="00141AEC">
            <w:pPr>
              <w:spacing w:before="0"/>
              <w:rPr>
                <w:b/>
                <w:bCs/>
                <w:color w:val="000000" w:themeColor="text1"/>
              </w:rPr>
            </w:pPr>
            <w:r>
              <w:rPr>
                <w:noProof/>
                <w:lang w:eastAsia="en-AU"/>
              </w:rPr>
              <w:drawing>
                <wp:inline distT="0" distB="0" distL="0" distR="0" wp14:anchorId="0114D3F4" wp14:editId="1713F862">
                  <wp:extent cx="755622" cy="744979"/>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64155" cy="753392"/>
                          </a:xfrm>
                          <a:prstGeom prst="rect">
                            <a:avLst/>
                          </a:prstGeom>
                        </pic:spPr>
                      </pic:pic>
                    </a:graphicData>
                  </a:graphic>
                </wp:inline>
              </w:drawing>
            </w:r>
          </w:p>
        </w:tc>
        <w:tc>
          <w:tcPr>
            <w:tcW w:w="1803" w:type="dxa"/>
          </w:tcPr>
          <w:p w14:paraId="56A98723" w14:textId="77777777" w:rsidR="00141AEC" w:rsidRPr="000A4687" w:rsidRDefault="00141AEC" w:rsidP="00141AEC">
            <w:pPr>
              <w:spacing w:before="0"/>
              <w:rPr>
                <w:b/>
              </w:rPr>
            </w:pPr>
            <w:r>
              <w:rPr>
                <w:noProof/>
                <w:lang w:eastAsia="en-AU"/>
              </w:rPr>
              <w:drawing>
                <wp:inline distT="0" distB="0" distL="0" distR="0" wp14:anchorId="742C78AE" wp14:editId="691E8F93">
                  <wp:extent cx="781050" cy="742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81050" cy="742950"/>
                          </a:xfrm>
                          <a:prstGeom prst="rect">
                            <a:avLst/>
                          </a:prstGeom>
                        </pic:spPr>
                      </pic:pic>
                    </a:graphicData>
                  </a:graphic>
                </wp:inline>
              </w:drawing>
            </w:r>
          </w:p>
        </w:tc>
        <w:tc>
          <w:tcPr>
            <w:tcW w:w="1804" w:type="dxa"/>
          </w:tcPr>
          <w:p w14:paraId="40B23C21" w14:textId="77777777" w:rsidR="00141AEC" w:rsidRPr="000A4687" w:rsidRDefault="00141AEC" w:rsidP="00141AEC">
            <w:pPr>
              <w:spacing w:before="0"/>
              <w:rPr>
                <w:b/>
                <w:color w:val="000000" w:themeColor="text1"/>
              </w:rPr>
            </w:pPr>
            <w:r>
              <w:rPr>
                <w:noProof/>
                <w:lang w:eastAsia="en-AU"/>
              </w:rPr>
              <w:drawing>
                <wp:inline distT="0" distB="0" distL="0" distR="0" wp14:anchorId="5476F343" wp14:editId="725F2AA7">
                  <wp:extent cx="762000" cy="7334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62000" cy="733425"/>
                          </a:xfrm>
                          <a:prstGeom prst="rect">
                            <a:avLst/>
                          </a:prstGeom>
                        </pic:spPr>
                      </pic:pic>
                    </a:graphicData>
                  </a:graphic>
                </wp:inline>
              </w:drawing>
            </w:r>
          </w:p>
        </w:tc>
      </w:tr>
    </w:tbl>
    <w:p w14:paraId="3D1BF981" w14:textId="77777777" w:rsidR="00141AEC" w:rsidRDefault="00141AEC" w:rsidP="00141AEC"/>
    <w:p w14:paraId="753F9FE1" w14:textId="77777777" w:rsidR="00B16FBF" w:rsidRDefault="00305B90" w:rsidP="00B16FBF">
      <w:pPr>
        <w:spacing w:before="0"/>
      </w:pPr>
      <w:r>
        <w:t>As noted above, o</w:t>
      </w:r>
      <w:r w:rsidR="00232CE9">
        <w:t>ur personas will play a crucial role in the project’s Create phase. They</w:t>
      </w:r>
      <w:r w:rsidR="004C5180">
        <w:t xml:space="preserve"> help</w:t>
      </w:r>
      <w:r w:rsidR="00B16FBF">
        <w:t xml:space="preserve"> build a shared understanding of when and why a </w:t>
      </w:r>
      <w:r w:rsidR="004C5180">
        <w:t xml:space="preserve">member of the public might get involved in the APS’s work, </w:t>
      </w:r>
      <w:r w:rsidR="00232CE9">
        <w:t xml:space="preserve">as well as </w:t>
      </w:r>
      <w:r w:rsidR="004C5180">
        <w:t>what kind of design solutions will meet their needs, work around their constraints, and make the most of their expertise.</w:t>
      </w:r>
      <w:r w:rsidR="00B16FBF">
        <w:t xml:space="preserve"> </w:t>
      </w:r>
    </w:p>
    <w:p w14:paraId="24E568A9" w14:textId="77777777" w:rsidR="00396BDB" w:rsidRDefault="00396BDB" w:rsidP="00B16FBF">
      <w:pPr>
        <w:spacing w:before="0"/>
      </w:pPr>
    </w:p>
    <w:p w14:paraId="0FECE0DB" w14:textId="77777777" w:rsidR="00396BDB" w:rsidRDefault="00173C17" w:rsidP="00B16FBF">
      <w:pPr>
        <w:spacing w:before="0"/>
      </w:pPr>
      <w:r>
        <w:t>In the short term, t</w:t>
      </w:r>
      <w:r w:rsidR="00396BDB">
        <w:t xml:space="preserve">hey </w:t>
      </w:r>
      <w:r>
        <w:t>can serve as a useful guide for</w:t>
      </w:r>
      <w:r w:rsidR="00396BDB">
        <w:t xml:space="preserve"> public servants </w:t>
      </w:r>
      <w:r>
        <w:t xml:space="preserve">looking to </w:t>
      </w:r>
      <w:r w:rsidR="00396BDB">
        <w:t>gain an understanding of their users</w:t>
      </w:r>
      <w:r>
        <w:t xml:space="preserve"> that can increase</w:t>
      </w:r>
      <w:r w:rsidR="00396BDB">
        <w:t xml:space="preserve"> the chances they select the right participation tool for the kind of expert it is trying to reach and the kind of expertise they are seeking.</w:t>
      </w:r>
    </w:p>
    <w:p w14:paraId="0D7AF3A6" w14:textId="77777777" w:rsidR="00CF5CF2" w:rsidRDefault="003B51D8" w:rsidP="0052682D">
      <w:r w:rsidRPr="003B51D8">
        <w:rPr>
          <w:noProof/>
          <w:lang w:eastAsia="en-AU"/>
        </w:rPr>
        <w:lastRenderedPageBreak/>
        <w:drawing>
          <wp:inline distT="0" distB="0" distL="0" distR="0" wp14:anchorId="47F4364A" wp14:editId="7ED384D4">
            <wp:extent cx="5731510" cy="7484350"/>
            <wp:effectExtent l="0" t="0" r="2540" b="2540"/>
            <wp:docPr id="236" name="Picture 236" descr="C:\Users\ikendal\AppData\Local\Microsoft\Windows\Temporary Internet Files\Content.Outlook\FF43QC0F\Persona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kendal\AppData\Local\Microsoft\Windows\Temporary Internet Files\Content.Outlook\FF43QC0F\Personas_.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7484350"/>
                    </a:xfrm>
                    <a:prstGeom prst="rect">
                      <a:avLst/>
                    </a:prstGeom>
                    <a:noFill/>
                    <a:ln>
                      <a:noFill/>
                    </a:ln>
                  </pic:spPr>
                </pic:pic>
              </a:graphicData>
            </a:graphic>
          </wp:inline>
        </w:drawing>
      </w:r>
    </w:p>
    <w:p w14:paraId="40E1E2B9" w14:textId="77777777" w:rsidR="00CF5CF2" w:rsidRDefault="00CF5CF2">
      <w:pPr>
        <w:spacing w:before="0"/>
      </w:pPr>
      <w:r>
        <w:br w:type="page"/>
      </w:r>
    </w:p>
    <w:p w14:paraId="34C3AE9F" w14:textId="77777777" w:rsidR="00124457" w:rsidRDefault="00BA60C0" w:rsidP="003B51D8">
      <w:pPr>
        <w:jc w:val="right"/>
      </w:pPr>
      <w:r w:rsidRPr="00BA60C0">
        <w:rPr>
          <w:noProof/>
          <w:lang w:eastAsia="en-AU"/>
        </w:rPr>
        <w:lastRenderedPageBreak/>
        <w:drawing>
          <wp:inline distT="0" distB="0" distL="0" distR="0" wp14:anchorId="139BB1F4" wp14:editId="570697B5">
            <wp:extent cx="5731510" cy="7485188"/>
            <wp:effectExtent l="0" t="0" r="2540" b="1905"/>
            <wp:docPr id="229" name="Picture 229" descr="C:\Users\ikendal\AppData\Local\Microsoft\Windows\Temporary Internet Files\Content.Outlook\FF43QC0F\Non APS Perso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kendal\AppData\Local\Microsoft\Windows\Temporary Internet Files\Content.Outlook\FF43QC0F\Non APS Personas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7485188"/>
                    </a:xfrm>
                    <a:prstGeom prst="rect">
                      <a:avLst/>
                    </a:prstGeom>
                    <a:noFill/>
                    <a:ln>
                      <a:noFill/>
                    </a:ln>
                  </pic:spPr>
                </pic:pic>
              </a:graphicData>
            </a:graphic>
          </wp:inline>
        </w:drawing>
      </w:r>
      <w:r w:rsidR="00124457">
        <w:br w:type="page"/>
      </w:r>
    </w:p>
    <w:p w14:paraId="520ED451" w14:textId="77777777" w:rsidR="00C07C9B" w:rsidRPr="004C40F7" w:rsidRDefault="003B51D8" w:rsidP="0052682D">
      <w:pPr>
        <w:spacing w:before="0"/>
        <w:rPr>
          <w:color w:val="000000" w:themeColor="text1"/>
        </w:rPr>
      </w:pPr>
      <w:r w:rsidRPr="003B51D8">
        <w:rPr>
          <w:noProof/>
          <w:color w:val="000000" w:themeColor="text1"/>
          <w:lang w:eastAsia="en-AU"/>
        </w:rPr>
        <w:lastRenderedPageBreak/>
        <w:drawing>
          <wp:inline distT="0" distB="0" distL="0" distR="0" wp14:anchorId="32F6F231" wp14:editId="46B609CF">
            <wp:extent cx="5731510" cy="7482979"/>
            <wp:effectExtent l="0" t="0" r="2540" b="3810"/>
            <wp:docPr id="230" name="Picture 230" descr="C:\Users\ikendal\AppData\Local\Microsoft\Windows\Temporary Internet Files\Content.Outlook\FF43QC0F\No APS Perso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kendal\AppData\Local\Microsoft\Windows\Temporary Internet Files\Content.Outlook\FF43QC0F\No APS Personas 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7482979"/>
                    </a:xfrm>
                    <a:prstGeom prst="rect">
                      <a:avLst/>
                    </a:prstGeom>
                    <a:noFill/>
                    <a:ln>
                      <a:noFill/>
                    </a:ln>
                  </pic:spPr>
                </pic:pic>
              </a:graphicData>
            </a:graphic>
          </wp:inline>
        </w:drawing>
      </w:r>
    </w:p>
    <w:p w14:paraId="1DF3F701" w14:textId="77777777" w:rsidR="00305B90" w:rsidRDefault="00305B90" w:rsidP="0052682D">
      <w:pPr>
        <w:spacing w:before="0"/>
        <w:rPr>
          <w:b/>
        </w:rPr>
      </w:pPr>
    </w:p>
    <w:p w14:paraId="33579118" w14:textId="77777777" w:rsidR="003B51D8" w:rsidRDefault="003B51D8" w:rsidP="0052682D">
      <w:pPr>
        <w:spacing w:before="0"/>
        <w:rPr>
          <w:b/>
        </w:rPr>
      </w:pPr>
    </w:p>
    <w:p w14:paraId="4166143E" w14:textId="77777777" w:rsidR="003B51D8" w:rsidRDefault="003B51D8" w:rsidP="0052682D">
      <w:pPr>
        <w:spacing w:before="0"/>
        <w:rPr>
          <w:b/>
        </w:rPr>
      </w:pPr>
    </w:p>
    <w:p w14:paraId="04237627" w14:textId="77777777" w:rsidR="003B51D8" w:rsidRDefault="003B51D8" w:rsidP="0052682D">
      <w:pPr>
        <w:spacing w:before="0"/>
        <w:rPr>
          <w:b/>
        </w:rPr>
      </w:pPr>
    </w:p>
    <w:p w14:paraId="5F7871A9" w14:textId="77777777" w:rsidR="00305B90" w:rsidRDefault="00305B90" w:rsidP="00305B90">
      <w:pPr>
        <w:pStyle w:val="H2"/>
        <w:spacing w:before="0" w:after="0"/>
      </w:pPr>
      <w:bookmarkStart w:id="68" w:name="_Toc495915986"/>
      <w:r w:rsidRPr="00305B90">
        <w:lastRenderedPageBreak/>
        <w:t xml:space="preserve">Analysis of </w:t>
      </w:r>
      <w:r>
        <w:t xml:space="preserve">public </w:t>
      </w:r>
      <w:r w:rsidRPr="00305B90">
        <w:t>personas</w:t>
      </w:r>
      <w:bookmarkEnd w:id="68"/>
    </w:p>
    <w:p w14:paraId="2AAD42C7" w14:textId="77777777" w:rsidR="00BA43F5" w:rsidRDefault="00985AA5" w:rsidP="00BA43F5">
      <w:pPr>
        <w:spacing w:before="0"/>
      </w:pPr>
      <w:r>
        <w:t>T</w:t>
      </w:r>
      <w:r w:rsidR="00BA43F5">
        <w:t xml:space="preserve">he public </w:t>
      </w:r>
      <w:r>
        <w:t xml:space="preserve">is </w:t>
      </w:r>
      <w:r w:rsidR="00BA43F5">
        <w:t>not necessarily ‘stakeholders to be managed’ but people</w:t>
      </w:r>
      <w:r>
        <w:t xml:space="preserve"> </w:t>
      </w:r>
      <w:r w:rsidR="00BA43F5">
        <w:t>who</w:t>
      </w:r>
      <w:r>
        <w:t>, like public servants,</w:t>
      </w:r>
      <w:r w:rsidR="00BA43F5">
        <w:t xml:space="preserve"> are not necessarily self-interested and in fact, are motivated by very similar interests. </w:t>
      </w:r>
    </w:p>
    <w:p w14:paraId="53E792BA" w14:textId="77777777" w:rsidR="00BA43F5" w:rsidRDefault="00BA43F5" w:rsidP="00130B71">
      <w:pPr>
        <w:spacing w:before="0"/>
      </w:pPr>
    </w:p>
    <w:p w14:paraId="75F4B984" w14:textId="77777777" w:rsidR="00663064" w:rsidRDefault="00BA43F5" w:rsidP="00130B71">
      <w:pPr>
        <w:spacing w:before="0"/>
      </w:pPr>
      <w:r>
        <w:t xml:space="preserve">In particular, the </w:t>
      </w:r>
      <w:r w:rsidR="00130B71">
        <w:t xml:space="preserve">public </w:t>
      </w:r>
      <w:r>
        <w:t xml:space="preserve">is </w:t>
      </w:r>
      <w:r w:rsidR="00130B71">
        <w:t xml:space="preserve">often motivated to get involved in the APS’s work out of a spirit of ‘making a difference’ for the country. </w:t>
      </w:r>
      <w:r w:rsidR="00573258">
        <w:t>All of them attach importance to fairness, prosperit</w:t>
      </w:r>
      <w:r w:rsidR="00EF15B2">
        <w:t>y and helping out other people. They are rightfully proud of their expertise and the potential it could have to make a difference. If they are not included, they would not just be disappointed, but actually surprised and a little incredulous – they know their expertise is too good an opportunity to miss.</w:t>
      </w:r>
    </w:p>
    <w:p w14:paraId="487DF5E3" w14:textId="77777777" w:rsidR="00663064" w:rsidRDefault="00663064" w:rsidP="00130B71">
      <w:pPr>
        <w:spacing w:before="0"/>
      </w:pPr>
    </w:p>
    <w:p w14:paraId="234EE5E6" w14:textId="77777777" w:rsidR="00573258" w:rsidRDefault="00573258" w:rsidP="00130B71">
      <w:pPr>
        <w:spacing w:before="0"/>
      </w:pPr>
      <w:r>
        <w:t>However, there is nuance within this motivator</w:t>
      </w:r>
      <w:r w:rsidR="009A1980">
        <w:t>, and this should be factored into</w:t>
      </w:r>
      <w:r w:rsidR="00663064">
        <w:t xml:space="preserve"> messaging about engagements we undertake, as well as in selecting the stakeholders to bring into our work</w:t>
      </w:r>
      <w:r>
        <w:t xml:space="preserve">. </w:t>
      </w:r>
      <w:r w:rsidR="00E96B17">
        <w:t>For example, a</w:t>
      </w:r>
      <w:r>
        <w:t xml:space="preserve">n engagement practitioner like Sue </w:t>
      </w:r>
      <w:r w:rsidR="009A1980">
        <w:t xml:space="preserve">gets </w:t>
      </w:r>
      <w:r>
        <w:t>motivated by ensuring that the Australian people are able to have their say</w:t>
      </w:r>
      <w:r w:rsidR="009A1980">
        <w:t xml:space="preserve"> on issues that matter to them</w:t>
      </w:r>
      <w:r>
        <w:t xml:space="preserve">. Vivienne’s not-for-profit </w:t>
      </w:r>
      <w:r w:rsidR="009A1980">
        <w:t xml:space="preserve">and Andrew’s association have similar interests: </w:t>
      </w:r>
      <w:r>
        <w:t xml:space="preserve">ensuring </w:t>
      </w:r>
      <w:r w:rsidR="009A1980">
        <w:t xml:space="preserve">their </w:t>
      </w:r>
      <w:r>
        <w:t xml:space="preserve">constituents’ voice is heard, and that an issue of importance to the public gets proper attention. James from the finance sector, and Andrew the industry representative, see increasing economic prosperity </w:t>
      </w:r>
      <w:r w:rsidR="00801BF2">
        <w:t xml:space="preserve">and making sure ‘everything works’ </w:t>
      </w:r>
      <w:r>
        <w:t>as a major motivation to engage. And Philippa the academic takes pride in her capacity to apply her life’s work to get better outcomes</w:t>
      </w:r>
      <w:r w:rsidR="00801BF2">
        <w:t xml:space="preserve"> and help resolve controversies</w:t>
      </w:r>
      <w:r>
        <w:t>.</w:t>
      </w:r>
    </w:p>
    <w:p w14:paraId="24D679A1" w14:textId="77777777" w:rsidR="00573258" w:rsidRDefault="00573258" w:rsidP="00130B71">
      <w:pPr>
        <w:spacing w:before="0"/>
      </w:pPr>
    </w:p>
    <w:p w14:paraId="5304DD7E" w14:textId="77777777" w:rsidR="00801BF2" w:rsidRDefault="00663064" w:rsidP="00130B71">
      <w:pPr>
        <w:spacing w:before="0"/>
      </w:pPr>
      <w:r>
        <w:t>I</w:t>
      </w:r>
      <w:r w:rsidR="00573258">
        <w:t xml:space="preserve">f the public is to play a better role in the APS’s work, </w:t>
      </w:r>
      <w:r>
        <w:t>p</w:t>
      </w:r>
      <w:r w:rsidR="00BA43F5">
        <w:t>ublic servants need to be mindful of the constraints each persona is under</w:t>
      </w:r>
      <w:r w:rsidR="009F6D81">
        <w:t xml:space="preserve"> and their unique needs</w:t>
      </w:r>
      <w:r w:rsidR="00BA43F5">
        <w:t>. For example, J</w:t>
      </w:r>
      <w:r w:rsidR="007F43D2">
        <w:t xml:space="preserve">ames’ </w:t>
      </w:r>
      <w:r>
        <w:t>bank</w:t>
      </w:r>
      <w:r w:rsidR="007F43D2">
        <w:t xml:space="preserve"> has significant resources and expertise that could be brought to bear on tough problems – but he will need a process that moves fast because that is what his managers and shareholders demand. Industry reps like Andrew, and not for profits like Vivienne might have more time, especially since a major part of their work is trying to influence government. </w:t>
      </w:r>
      <w:r>
        <w:t xml:space="preserve">Engagement practitioners and academics are willing to pitch in too. </w:t>
      </w:r>
      <w:r w:rsidR="007F43D2">
        <w:t>But they still need to get value out of their interactions</w:t>
      </w:r>
      <w:r w:rsidR="009F6D81">
        <w:t>. They are all busy people</w:t>
      </w:r>
      <w:r w:rsidR="007F43D2">
        <w:t xml:space="preserve"> </w:t>
      </w:r>
      <w:r w:rsidR="009F6D81">
        <w:t>who need to make a living. They do not want to</w:t>
      </w:r>
      <w:r w:rsidR="007F43D2">
        <w:t xml:space="preserve"> feel like their time is </w:t>
      </w:r>
      <w:r>
        <w:t xml:space="preserve">being </w:t>
      </w:r>
      <w:r w:rsidR="007F43D2">
        <w:t>wasted</w:t>
      </w:r>
      <w:r w:rsidR="007E45C2">
        <w:t>, that they are being exploited,</w:t>
      </w:r>
      <w:r>
        <w:t xml:space="preserve"> or they are being made to jump through a hoop – they have better things to do</w:t>
      </w:r>
      <w:r w:rsidR="007F43D2">
        <w:t>. Getting the basics right wi</w:t>
      </w:r>
      <w:r>
        <w:t xml:space="preserve">th them is crucial to </w:t>
      </w:r>
      <w:r w:rsidR="007E45C2">
        <w:t xml:space="preserve">dispel scepticism and </w:t>
      </w:r>
      <w:r>
        <w:t xml:space="preserve">get the </w:t>
      </w:r>
      <w:r w:rsidR="004A3CC8">
        <w:t>trust</w:t>
      </w:r>
      <w:r>
        <w:t xml:space="preserve"> that will drive better contributions</w:t>
      </w:r>
      <w:r w:rsidR="00985AA5">
        <w:t xml:space="preserve"> and relationships</w:t>
      </w:r>
      <w:r>
        <w:t>.</w:t>
      </w:r>
    </w:p>
    <w:p w14:paraId="7CB219F7" w14:textId="77777777" w:rsidR="00130B71" w:rsidRDefault="00130B71" w:rsidP="00130B71">
      <w:pPr>
        <w:spacing w:before="0"/>
      </w:pPr>
    </w:p>
    <w:p w14:paraId="579B07D9" w14:textId="77777777" w:rsidR="00663064" w:rsidRDefault="00663064" w:rsidP="00130B71">
      <w:pPr>
        <w:spacing w:before="0"/>
      </w:pPr>
      <w:r>
        <w:t xml:space="preserve">Although it is a fairly straightforward point, it is worth emphasising that the personas have different kinds of expertise they can add into the APS’s work. Some can help more with technical expertise, others with getting buy-in to our work. Public servants should be aware of what each can offer, and should </w:t>
      </w:r>
      <w:r w:rsidR="009F6D81">
        <w:t xml:space="preserve">tailor engagement with them accordingly. In particular, they should be aiming to involve them in </w:t>
      </w:r>
      <w:r>
        <w:t>solving problems their expertise is suited for, rather than going for catch-all or one size fits all approaches</w:t>
      </w:r>
      <w:r w:rsidR="00254F5A">
        <w:t xml:space="preserve"> to cover all bases</w:t>
      </w:r>
      <w:r>
        <w:t xml:space="preserve">. </w:t>
      </w:r>
    </w:p>
    <w:p w14:paraId="7188F80E" w14:textId="77777777" w:rsidR="00130B71" w:rsidRDefault="00130B71" w:rsidP="00130B71">
      <w:pPr>
        <w:spacing w:before="0"/>
      </w:pPr>
    </w:p>
    <w:p w14:paraId="2EA12454" w14:textId="77777777" w:rsidR="00F26AC7" w:rsidRDefault="00F26AC7" w:rsidP="00663064">
      <w:pPr>
        <w:spacing w:before="0"/>
      </w:pPr>
    </w:p>
    <w:p w14:paraId="76FB6C13" w14:textId="77777777" w:rsidR="00663064" w:rsidRDefault="00663064" w:rsidP="00663064">
      <w:pPr>
        <w:spacing w:before="0"/>
      </w:pPr>
    </w:p>
    <w:p w14:paraId="266E12A2" w14:textId="77777777" w:rsidR="00663064" w:rsidRDefault="00663064" w:rsidP="00663064">
      <w:pPr>
        <w:spacing w:before="0"/>
      </w:pPr>
    </w:p>
    <w:p w14:paraId="67CDA2E5" w14:textId="77777777" w:rsidR="00663064" w:rsidRDefault="00663064" w:rsidP="00663064">
      <w:pPr>
        <w:spacing w:before="0"/>
      </w:pPr>
    </w:p>
    <w:p w14:paraId="56EF276C" w14:textId="77777777" w:rsidR="00663064" w:rsidRDefault="00663064" w:rsidP="00663064">
      <w:pPr>
        <w:spacing w:before="0"/>
      </w:pPr>
    </w:p>
    <w:p w14:paraId="2FC83A38" w14:textId="77777777" w:rsidR="00663064" w:rsidRDefault="00663064" w:rsidP="00663064">
      <w:pPr>
        <w:spacing w:before="0"/>
        <w:rPr>
          <w:color w:val="000000" w:themeColor="text1"/>
        </w:rPr>
      </w:pPr>
    </w:p>
    <w:p w14:paraId="2F6E43F9" w14:textId="77777777" w:rsidR="00663064" w:rsidRDefault="00663064" w:rsidP="00663064">
      <w:pPr>
        <w:spacing w:before="0"/>
        <w:rPr>
          <w:color w:val="000000" w:themeColor="text1"/>
        </w:rPr>
      </w:pPr>
    </w:p>
    <w:p w14:paraId="343261D4" w14:textId="77777777" w:rsidR="00663064" w:rsidRDefault="00663064" w:rsidP="00663064">
      <w:pPr>
        <w:spacing w:before="0"/>
        <w:rPr>
          <w:color w:val="000000" w:themeColor="text1"/>
        </w:rPr>
      </w:pPr>
    </w:p>
    <w:p w14:paraId="0BDFC89A" w14:textId="77777777" w:rsidR="00663064" w:rsidRDefault="00663064" w:rsidP="00663064">
      <w:pPr>
        <w:spacing w:before="0"/>
        <w:rPr>
          <w:color w:val="000000" w:themeColor="text1"/>
        </w:rPr>
      </w:pPr>
    </w:p>
    <w:p w14:paraId="231F7378" w14:textId="77777777" w:rsidR="002F162D" w:rsidRDefault="002F162D" w:rsidP="0052682D">
      <w:pPr>
        <w:pStyle w:val="H2"/>
        <w:spacing w:before="0" w:after="0"/>
      </w:pPr>
      <w:bookmarkStart w:id="69" w:name="_Toc495915987"/>
      <w:r>
        <w:lastRenderedPageBreak/>
        <w:t>Personas</w:t>
      </w:r>
      <w:r w:rsidR="00FD5F68">
        <w:t xml:space="preserve"> – APS staff</w:t>
      </w:r>
      <w:bookmarkEnd w:id="69"/>
    </w:p>
    <w:p w14:paraId="089D8CED" w14:textId="77777777" w:rsidR="00B16FBF" w:rsidRDefault="00B16FBF" w:rsidP="00B16FBF">
      <w:pPr>
        <w:spacing w:before="0"/>
        <w:rPr>
          <w:color w:val="000000" w:themeColor="text1"/>
        </w:rPr>
      </w:pPr>
      <w:r w:rsidRPr="00642AD3">
        <w:rPr>
          <w:color w:val="000000" w:themeColor="text1"/>
        </w:rPr>
        <w:t xml:space="preserve">We segmented </w:t>
      </w:r>
      <w:r>
        <w:rPr>
          <w:color w:val="000000" w:themeColor="text1"/>
        </w:rPr>
        <w:t xml:space="preserve">APS staff </w:t>
      </w:r>
      <w:r w:rsidRPr="00642AD3">
        <w:rPr>
          <w:color w:val="000000" w:themeColor="text1"/>
        </w:rPr>
        <w:t xml:space="preserve">into </w:t>
      </w:r>
      <w:r w:rsidR="005541EE">
        <w:rPr>
          <w:color w:val="000000" w:themeColor="text1"/>
        </w:rPr>
        <w:t>four</w:t>
      </w:r>
      <w:r w:rsidRPr="00642AD3">
        <w:rPr>
          <w:color w:val="000000" w:themeColor="text1"/>
        </w:rPr>
        <w:t xml:space="preserve"> personas: </w:t>
      </w:r>
      <w:r>
        <w:rPr>
          <w:color w:val="000000" w:themeColor="text1"/>
        </w:rPr>
        <w:t>Cate</w:t>
      </w:r>
      <w:r w:rsidRPr="00642AD3">
        <w:rPr>
          <w:color w:val="000000" w:themeColor="text1"/>
        </w:rPr>
        <w:t xml:space="preserve">, </w:t>
      </w:r>
      <w:r>
        <w:rPr>
          <w:color w:val="000000" w:themeColor="text1"/>
        </w:rPr>
        <w:t>Steven</w:t>
      </w:r>
      <w:r w:rsidRPr="00642AD3">
        <w:rPr>
          <w:color w:val="000000" w:themeColor="text1"/>
        </w:rPr>
        <w:t xml:space="preserve">, </w:t>
      </w:r>
      <w:r>
        <w:rPr>
          <w:color w:val="000000" w:themeColor="text1"/>
        </w:rPr>
        <w:t>Ben and Emily</w:t>
      </w:r>
      <w:r w:rsidRPr="00642AD3">
        <w:rPr>
          <w:color w:val="000000" w:themeColor="text1"/>
        </w:rPr>
        <w:t xml:space="preserve">. </w:t>
      </w:r>
    </w:p>
    <w:tbl>
      <w:tblPr>
        <w:tblStyle w:val="TableGrid"/>
        <w:tblW w:w="108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3"/>
        <w:gridCol w:w="1803"/>
      </w:tblGrid>
      <w:tr w:rsidR="001764CF" w14:paraId="4D79FD88" w14:textId="77777777" w:rsidTr="001764CF">
        <w:tc>
          <w:tcPr>
            <w:tcW w:w="1803" w:type="dxa"/>
          </w:tcPr>
          <w:p w14:paraId="1F341AC5" w14:textId="77777777" w:rsidR="001764CF" w:rsidRDefault="001764CF" w:rsidP="001764CF">
            <w:pPr>
              <w:spacing w:before="0"/>
              <w:rPr>
                <w:b/>
                <w:bCs/>
              </w:rPr>
            </w:pPr>
            <w:r w:rsidRPr="000A4687">
              <w:rPr>
                <w:b/>
                <w:bCs/>
              </w:rPr>
              <w:t>Ben –</w:t>
            </w:r>
          </w:p>
          <w:p w14:paraId="2CF3B3A9" w14:textId="77777777" w:rsidR="001764CF" w:rsidRPr="000A4687" w:rsidRDefault="001764CF" w:rsidP="001764CF">
            <w:pPr>
              <w:spacing w:before="0"/>
              <w:rPr>
                <w:b/>
                <w:bCs/>
              </w:rPr>
            </w:pPr>
            <w:r w:rsidRPr="000A4687">
              <w:rPr>
                <w:b/>
                <w:bCs/>
              </w:rPr>
              <w:t>Innovator</w:t>
            </w:r>
            <w:r>
              <w:rPr>
                <w:b/>
                <w:bCs/>
              </w:rPr>
              <w:t>, visionary</w:t>
            </w:r>
          </w:p>
          <w:p w14:paraId="1C4027CC" w14:textId="77777777" w:rsidR="001764CF" w:rsidRDefault="001764CF" w:rsidP="001764CF">
            <w:pPr>
              <w:spacing w:before="0"/>
            </w:pPr>
            <w:r>
              <w:t>Disillusioned, but still open to change</w:t>
            </w:r>
          </w:p>
        </w:tc>
        <w:tc>
          <w:tcPr>
            <w:tcW w:w="1803" w:type="dxa"/>
          </w:tcPr>
          <w:p w14:paraId="644388EF" w14:textId="77777777" w:rsidR="001764CF" w:rsidRDefault="001764CF" w:rsidP="001764CF">
            <w:pPr>
              <w:spacing w:before="0"/>
              <w:rPr>
                <w:b/>
                <w:bCs/>
              </w:rPr>
            </w:pPr>
            <w:r>
              <w:rPr>
                <w:b/>
                <w:bCs/>
              </w:rPr>
              <w:t>Emily</w:t>
            </w:r>
          </w:p>
          <w:p w14:paraId="0DE93223" w14:textId="77777777" w:rsidR="001764CF" w:rsidRDefault="001764CF" w:rsidP="001764CF">
            <w:pPr>
              <w:spacing w:before="0"/>
              <w:rPr>
                <w:b/>
                <w:bCs/>
              </w:rPr>
            </w:pPr>
            <w:r>
              <w:rPr>
                <w:b/>
                <w:bCs/>
              </w:rPr>
              <w:t>E</w:t>
            </w:r>
            <w:r w:rsidRPr="00034AD1">
              <w:rPr>
                <w:b/>
                <w:bCs/>
              </w:rPr>
              <w:t>arly adopter</w:t>
            </w:r>
          </w:p>
          <w:p w14:paraId="46351F1D" w14:textId="77777777" w:rsidR="001764CF" w:rsidRPr="00706066" w:rsidRDefault="001764CF" w:rsidP="001764CF">
            <w:pPr>
              <w:spacing w:before="0"/>
              <w:rPr>
                <w:bCs/>
              </w:rPr>
            </w:pPr>
            <w:r w:rsidRPr="00706066">
              <w:rPr>
                <w:bCs/>
              </w:rPr>
              <w:t>Advanced engager</w:t>
            </w:r>
          </w:p>
          <w:p w14:paraId="7EF7706D" w14:textId="77777777" w:rsidR="001764CF" w:rsidRDefault="001764CF" w:rsidP="001764CF">
            <w:pPr>
              <w:spacing w:before="0"/>
            </w:pPr>
          </w:p>
        </w:tc>
        <w:tc>
          <w:tcPr>
            <w:tcW w:w="1803" w:type="dxa"/>
          </w:tcPr>
          <w:p w14:paraId="75A0FE14" w14:textId="77777777" w:rsidR="001764CF" w:rsidRDefault="001764CF" w:rsidP="001764CF">
            <w:pPr>
              <w:spacing w:before="0"/>
              <w:rPr>
                <w:b/>
              </w:rPr>
            </w:pPr>
            <w:r w:rsidRPr="000A4687">
              <w:rPr>
                <w:b/>
              </w:rPr>
              <w:t xml:space="preserve">Cate – </w:t>
            </w:r>
          </w:p>
          <w:p w14:paraId="3C404877" w14:textId="77777777" w:rsidR="001764CF" w:rsidRDefault="001764CF" w:rsidP="001764CF">
            <w:pPr>
              <w:spacing w:before="0"/>
              <w:rPr>
                <w:b/>
              </w:rPr>
            </w:pPr>
            <w:r w:rsidRPr="000A4687">
              <w:rPr>
                <w:b/>
              </w:rPr>
              <w:t>early majority</w:t>
            </w:r>
            <w:r>
              <w:rPr>
                <w:b/>
              </w:rPr>
              <w:t xml:space="preserve"> pragmatist</w:t>
            </w:r>
          </w:p>
          <w:p w14:paraId="0928D92C" w14:textId="77777777" w:rsidR="001764CF" w:rsidRDefault="001764CF" w:rsidP="001764CF">
            <w:pPr>
              <w:spacing w:before="0"/>
              <w:rPr>
                <w:b/>
                <w:bCs/>
              </w:rPr>
            </w:pPr>
            <w:r>
              <w:t>‘G</w:t>
            </w:r>
            <w:r w:rsidRPr="00706066">
              <w:t>ive me something that works</w:t>
            </w:r>
            <w:r>
              <w:t>’</w:t>
            </w:r>
          </w:p>
        </w:tc>
        <w:tc>
          <w:tcPr>
            <w:tcW w:w="1803" w:type="dxa"/>
          </w:tcPr>
          <w:p w14:paraId="7F201B96" w14:textId="77777777" w:rsidR="001764CF" w:rsidRDefault="001764CF" w:rsidP="001764CF">
            <w:pPr>
              <w:spacing w:before="0"/>
              <w:rPr>
                <w:b/>
              </w:rPr>
            </w:pPr>
            <w:r w:rsidRPr="00034AD1">
              <w:rPr>
                <w:b/>
              </w:rPr>
              <w:t xml:space="preserve">Steven – </w:t>
            </w:r>
          </w:p>
          <w:p w14:paraId="0DCF48F3" w14:textId="77777777" w:rsidR="001764CF" w:rsidRPr="00034AD1" w:rsidRDefault="001764CF" w:rsidP="001764CF">
            <w:pPr>
              <w:spacing w:before="0"/>
              <w:rPr>
                <w:b/>
              </w:rPr>
            </w:pPr>
            <w:r w:rsidRPr="00034AD1">
              <w:rPr>
                <w:b/>
              </w:rPr>
              <w:t>late majority</w:t>
            </w:r>
          </w:p>
          <w:p w14:paraId="642E44B4" w14:textId="77777777" w:rsidR="001764CF" w:rsidRDefault="001764CF" w:rsidP="001764CF">
            <w:pPr>
              <w:spacing w:before="0"/>
              <w:rPr>
                <w:b/>
                <w:bCs/>
              </w:rPr>
            </w:pPr>
            <w:r>
              <w:t>Do it right</w:t>
            </w:r>
          </w:p>
        </w:tc>
        <w:tc>
          <w:tcPr>
            <w:tcW w:w="1803" w:type="dxa"/>
          </w:tcPr>
          <w:p w14:paraId="5E0E9098" w14:textId="77777777" w:rsidR="001764CF" w:rsidRDefault="001764CF" w:rsidP="001764CF">
            <w:pPr>
              <w:spacing w:before="0"/>
              <w:rPr>
                <w:b/>
                <w:bCs/>
              </w:rPr>
            </w:pPr>
          </w:p>
        </w:tc>
        <w:tc>
          <w:tcPr>
            <w:tcW w:w="1803" w:type="dxa"/>
          </w:tcPr>
          <w:p w14:paraId="6FCE03F0" w14:textId="77777777" w:rsidR="001764CF" w:rsidRDefault="001764CF" w:rsidP="001764CF">
            <w:pPr>
              <w:spacing w:before="0"/>
              <w:rPr>
                <w:b/>
                <w:bCs/>
              </w:rPr>
            </w:pPr>
          </w:p>
        </w:tc>
      </w:tr>
      <w:tr w:rsidR="001764CF" w14:paraId="12C6BC39" w14:textId="77777777" w:rsidTr="001764CF">
        <w:tc>
          <w:tcPr>
            <w:tcW w:w="1803" w:type="dxa"/>
          </w:tcPr>
          <w:p w14:paraId="5C00213F" w14:textId="77777777" w:rsidR="001764CF" w:rsidRPr="000A4687" w:rsidRDefault="001764CF" w:rsidP="001764CF">
            <w:pPr>
              <w:spacing w:before="0"/>
              <w:rPr>
                <w:b/>
                <w:bCs/>
              </w:rPr>
            </w:pPr>
            <w:r>
              <w:rPr>
                <w:noProof/>
                <w:lang w:eastAsia="en-AU"/>
              </w:rPr>
              <w:drawing>
                <wp:inline distT="0" distB="0" distL="0" distR="0" wp14:anchorId="50A31307" wp14:editId="1B1DE2AA">
                  <wp:extent cx="752629" cy="657225"/>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54580" cy="658929"/>
                          </a:xfrm>
                          <a:prstGeom prst="rect">
                            <a:avLst/>
                          </a:prstGeom>
                        </pic:spPr>
                      </pic:pic>
                    </a:graphicData>
                  </a:graphic>
                </wp:inline>
              </w:drawing>
            </w:r>
          </w:p>
        </w:tc>
        <w:tc>
          <w:tcPr>
            <w:tcW w:w="1803" w:type="dxa"/>
          </w:tcPr>
          <w:p w14:paraId="0C085BBC" w14:textId="77777777" w:rsidR="001764CF" w:rsidRDefault="001764CF" w:rsidP="001764CF">
            <w:pPr>
              <w:spacing w:before="0"/>
              <w:rPr>
                <w:b/>
                <w:bCs/>
              </w:rPr>
            </w:pPr>
            <w:r>
              <w:rPr>
                <w:noProof/>
                <w:lang w:eastAsia="en-AU"/>
              </w:rPr>
              <w:drawing>
                <wp:inline distT="0" distB="0" distL="0" distR="0" wp14:anchorId="648D558B" wp14:editId="1D17A1C5">
                  <wp:extent cx="695325" cy="6477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95325" cy="647700"/>
                          </a:xfrm>
                          <a:prstGeom prst="rect">
                            <a:avLst/>
                          </a:prstGeom>
                        </pic:spPr>
                      </pic:pic>
                    </a:graphicData>
                  </a:graphic>
                </wp:inline>
              </w:drawing>
            </w:r>
          </w:p>
        </w:tc>
        <w:tc>
          <w:tcPr>
            <w:tcW w:w="1803" w:type="dxa"/>
          </w:tcPr>
          <w:p w14:paraId="37B3F9B7" w14:textId="77777777" w:rsidR="001764CF" w:rsidRDefault="001764CF" w:rsidP="001764CF">
            <w:pPr>
              <w:spacing w:before="0"/>
              <w:rPr>
                <w:noProof/>
                <w:lang w:eastAsia="en-AU"/>
              </w:rPr>
            </w:pPr>
            <w:r>
              <w:rPr>
                <w:noProof/>
                <w:lang w:eastAsia="en-AU"/>
              </w:rPr>
              <w:drawing>
                <wp:inline distT="0" distB="0" distL="0" distR="0" wp14:anchorId="2EA5C81A" wp14:editId="28FA5681">
                  <wp:extent cx="628650" cy="64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8650" cy="647700"/>
                          </a:xfrm>
                          <a:prstGeom prst="rect">
                            <a:avLst/>
                          </a:prstGeom>
                        </pic:spPr>
                      </pic:pic>
                    </a:graphicData>
                  </a:graphic>
                </wp:inline>
              </w:drawing>
            </w:r>
          </w:p>
        </w:tc>
        <w:tc>
          <w:tcPr>
            <w:tcW w:w="1803" w:type="dxa"/>
          </w:tcPr>
          <w:p w14:paraId="0E7FA0B9" w14:textId="77777777" w:rsidR="001764CF" w:rsidRDefault="001764CF" w:rsidP="001764CF">
            <w:pPr>
              <w:spacing w:before="0"/>
              <w:rPr>
                <w:noProof/>
                <w:lang w:eastAsia="en-AU"/>
              </w:rPr>
            </w:pPr>
            <w:r>
              <w:rPr>
                <w:noProof/>
                <w:lang w:eastAsia="en-AU"/>
              </w:rPr>
              <w:drawing>
                <wp:inline distT="0" distB="0" distL="0" distR="0" wp14:anchorId="26D54A2A" wp14:editId="5F8AE2AE">
                  <wp:extent cx="638175" cy="6572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8175" cy="657225"/>
                          </a:xfrm>
                          <a:prstGeom prst="rect">
                            <a:avLst/>
                          </a:prstGeom>
                        </pic:spPr>
                      </pic:pic>
                    </a:graphicData>
                  </a:graphic>
                </wp:inline>
              </w:drawing>
            </w:r>
          </w:p>
        </w:tc>
        <w:tc>
          <w:tcPr>
            <w:tcW w:w="1803" w:type="dxa"/>
          </w:tcPr>
          <w:p w14:paraId="5145985F" w14:textId="77777777" w:rsidR="001764CF" w:rsidRDefault="001764CF" w:rsidP="001764CF">
            <w:pPr>
              <w:spacing w:before="0"/>
              <w:rPr>
                <w:noProof/>
                <w:lang w:eastAsia="en-AU"/>
              </w:rPr>
            </w:pPr>
          </w:p>
        </w:tc>
        <w:tc>
          <w:tcPr>
            <w:tcW w:w="1803" w:type="dxa"/>
          </w:tcPr>
          <w:p w14:paraId="75F35311" w14:textId="77777777" w:rsidR="001764CF" w:rsidRDefault="001764CF" w:rsidP="001764CF">
            <w:pPr>
              <w:spacing w:before="0"/>
              <w:rPr>
                <w:noProof/>
                <w:lang w:eastAsia="en-AU"/>
              </w:rPr>
            </w:pPr>
          </w:p>
        </w:tc>
      </w:tr>
    </w:tbl>
    <w:p w14:paraId="6D2F92B9" w14:textId="77777777" w:rsidR="00173C17" w:rsidRDefault="00173C17" w:rsidP="00B16FBF">
      <w:pPr>
        <w:spacing w:before="0"/>
        <w:rPr>
          <w:color w:val="000000" w:themeColor="text1"/>
        </w:rPr>
      </w:pPr>
    </w:p>
    <w:p w14:paraId="551CB000" w14:textId="77777777" w:rsidR="00B16FBF" w:rsidRDefault="00B16FBF" w:rsidP="00B16FBF">
      <w:pPr>
        <w:spacing w:before="0"/>
        <w:rPr>
          <w:color w:val="000000" w:themeColor="text1"/>
        </w:rPr>
      </w:pPr>
      <w:r w:rsidRPr="00642AD3">
        <w:rPr>
          <w:color w:val="000000" w:themeColor="text1"/>
        </w:rPr>
        <w:t>We chose these segments because</w:t>
      </w:r>
      <w:r w:rsidR="00232CE9">
        <w:rPr>
          <w:color w:val="000000" w:themeColor="text1"/>
        </w:rPr>
        <w:t xml:space="preserve"> </w:t>
      </w:r>
      <w:r w:rsidR="008F4E96">
        <w:rPr>
          <w:color w:val="000000" w:themeColor="text1"/>
        </w:rPr>
        <w:t xml:space="preserve">acknowledge that different public servants have different needs and design solutions must be tailored to these. In particular, </w:t>
      </w:r>
      <w:r w:rsidR="00232CE9">
        <w:rPr>
          <w:color w:val="000000" w:themeColor="text1"/>
        </w:rPr>
        <w:t xml:space="preserve">they </w:t>
      </w:r>
      <w:r w:rsidR="008F4E96">
        <w:rPr>
          <w:color w:val="000000" w:themeColor="text1"/>
        </w:rPr>
        <w:t xml:space="preserve">show </w:t>
      </w:r>
      <w:r w:rsidR="00232CE9">
        <w:rPr>
          <w:color w:val="000000" w:themeColor="text1"/>
        </w:rPr>
        <w:t>public servants have diverse</w:t>
      </w:r>
      <w:r>
        <w:rPr>
          <w:color w:val="000000" w:themeColor="text1"/>
        </w:rPr>
        <w:t>:</w:t>
      </w:r>
    </w:p>
    <w:p w14:paraId="4898E650" w14:textId="77777777" w:rsidR="00232CE9" w:rsidRDefault="00232CE9" w:rsidP="00232CE9">
      <w:pPr>
        <w:pStyle w:val="ListParagraph"/>
        <w:numPr>
          <w:ilvl w:val="0"/>
          <w:numId w:val="38"/>
        </w:numPr>
        <w:spacing w:before="0"/>
        <w:rPr>
          <w:color w:val="000000" w:themeColor="text1"/>
        </w:rPr>
      </w:pPr>
      <w:r>
        <w:rPr>
          <w:color w:val="000000" w:themeColor="text1"/>
        </w:rPr>
        <w:t xml:space="preserve">understandings of what public participation is; </w:t>
      </w:r>
    </w:p>
    <w:p w14:paraId="2CC85DA3" w14:textId="77777777" w:rsidR="00232CE9" w:rsidRDefault="00B16FBF" w:rsidP="00B16FBF">
      <w:pPr>
        <w:pStyle w:val="ListParagraph"/>
        <w:numPr>
          <w:ilvl w:val="0"/>
          <w:numId w:val="38"/>
        </w:numPr>
        <w:spacing w:before="0"/>
        <w:rPr>
          <w:color w:val="000000" w:themeColor="text1"/>
        </w:rPr>
      </w:pPr>
      <w:r>
        <w:rPr>
          <w:color w:val="000000" w:themeColor="text1"/>
        </w:rPr>
        <w:t xml:space="preserve">needs and motivations to </w:t>
      </w:r>
      <w:r w:rsidR="00232CE9">
        <w:rPr>
          <w:color w:val="000000" w:themeColor="text1"/>
        </w:rPr>
        <w:t>undertake public participation;</w:t>
      </w:r>
    </w:p>
    <w:p w14:paraId="1DBCF023" w14:textId="77777777" w:rsidR="00B16FBF" w:rsidRDefault="00232CE9" w:rsidP="00B16FBF">
      <w:pPr>
        <w:pStyle w:val="ListParagraph"/>
        <w:numPr>
          <w:ilvl w:val="0"/>
          <w:numId w:val="38"/>
        </w:numPr>
        <w:spacing w:before="0"/>
        <w:rPr>
          <w:color w:val="000000" w:themeColor="text1"/>
        </w:rPr>
      </w:pPr>
      <w:r>
        <w:rPr>
          <w:color w:val="000000" w:themeColor="text1"/>
        </w:rPr>
        <w:t>constraints and authorising environments to navigate; and</w:t>
      </w:r>
    </w:p>
    <w:p w14:paraId="745531D9" w14:textId="77777777" w:rsidR="00B16FBF" w:rsidRDefault="00232CE9" w:rsidP="00B16FBF">
      <w:pPr>
        <w:pStyle w:val="ListParagraph"/>
        <w:numPr>
          <w:ilvl w:val="0"/>
          <w:numId w:val="38"/>
        </w:numPr>
        <w:spacing w:before="0"/>
        <w:rPr>
          <w:color w:val="000000" w:themeColor="text1"/>
        </w:rPr>
      </w:pPr>
      <w:r>
        <w:rPr>
          <w:color w:val="000000" w:themeColor="text1"/>
        </w:rPr>
        <w:t xml:space="preserve">as a result, will likely adopt public participation into their work at different </w:t>
      </w:r>
      <w:r w:rsidR="00396BDB">
        <w:rPr>
          <w:color w:val="000000" w:themeColor="text1"/>
        </w:rPr>
        <w:t xml:space="preserve">(though predictable) </w:t>
      </w:r>
      <w:r>
        <w:rPr>
          <w:color w:val="000000" w:themeColor="text1"/>
        </w:rPr>
        <w:t>rates.</w:t>
      </w:r>
    </w:p>
    <w:p w14:paraId="03664873" w14:textId="77777777" w:rsidR="00B16FBF" w:rsidRDefault="00B16FBF" w:rsidP="00B16FBF">
      <w:pPr>
        <w:spacing w:before="0"/>
        <w:rPr>
          <w:color w:val="000000" w:themeColor="text1"/>
        </w:rPr>
      </w:pPr>
    </w:p>
    <w:p w14:paraId="05F60593" w14:textId="77777777" w:rsidR="00642AD3" w:rsidRDefault="00232CE9" w:rsidP="00642AD3">
      <w:pPr>
        <w:spacing w:before="0"/>
      </w:pPr>
      <w:r>
        <w:t xml:space="preserve">This final point is particularly important. </w:t>
      </w:r>
      <w:r w:rsidR="00642AD3">
        <w:t xml:space="preserve">Adoption </w:t>
      </w:r>
      <w:r w:rsidR="00A8572D">
        <w:t xml:space="preserve">by public servants </w:t>
      </w:r>
      <w:r w:rsidR="00642AD3">
        <w:t>will be crucial to the success of any framework or solution design. After all, as noted above, public participation and related frameworks are not new. Indeed, while awareness may be patchy, many users in the APS and the public know about at least the basics. Others would agree</w:t>
      </w:r>
      <w:r w:rsidR="00396BDB">
        <w:t>,</w:t>
      </w:r>
      <w:r w:rsidR="00642AD3">
        <w:t xml:space="preserve"> in principle</w:t>
      </w:r>
      <w:r w:rsidR="00396BDB">
        <w:t>,</w:t>
      </w:r>
      <w:r w:rsidR="00642AD3">
        <w:t xml:space="preserve"> that it is a good idea. Yet it has failed to become standard practice in the APS, or </w:t>
      </w:r>
      <w:r w:rsidR="00DA0B3A">
        <w:t>become widely diffused in</w:t>
      </w:r>
      <w:r w:rsidR="00642AD3">
        <w:t xml:space="preserve"> other jurisdiction</w:t>
      </w:r>
      <w:r w:rsidR="001764CF">
        <w:t>s</w:t>
      </w:r>
      <w:r w:rsidR="00642AD3">
        <w:t xml:space="preserve"> – its benefits remain hidden in plain sight. Our design solutions should </w:t>
      </w:r>
      <w:r w:rsidR="00A8572D">
        <w:t xml:space="preserve">include strategies </w:t>
      </w:r>
      <w:r w:rsidR="00AF203C">
        <w:t>that aspire to</w:t>
      </w:r>
      <w:r w:rsidR="00A8572D">
        <w:t xml:space="preserve"> build a critical mass of public participation users that will lead to public</w:t>
      </w:r>
      <w:r w:rsidR="00642AD3">
        <w:t xml:space="preserve"> participation </w:t>
      </w:r>
      <w:r w:rsidR="00A8572D">
        <w:t xml:space="preserve">becoming </w:t>
      </w:r>
      <w:r w:rsidR="00642AD3">
        <w:t xml:space="preserve">widespread and a routine part of business. </w:t>
      </w:r>
    </w:p>
    <w:p w14:paraId="4A4088CE" w14:textId="77777777" w:rsidR="008668A3" w:rsidRDefault="008668A3" w:rsidP="00642AD3">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902"/>
      </w:tblGrid>
      <w:tr w:rsidR="008668A3" w14:paraId="2C2B8A43" w14:textId="77777777" w:rsidTr="008668A3">
        <w:tc>
          <w:tcPr>
            <w:tcW w:w="3114" w:type="dxa"/>
            <w:shd w:val="clear" w:color="auto" w:fill="DEEAF6" w:themeFill="accent1" w:themeFillTint="33"/>
          </w:tcPr>
          <w:p w14:paraId="28CD2DB7" w14:textId="77777777" w:rsidR="008668A3" w:rsidRDefault="008668A3" w:rsidP="00A8572D">
            <w:pPr>
              <w:spacing w:before="180" w:after="8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 xml:space="preserve">Geoffrey Moore’s </w:t>
            </w:r>
            <w:r>
              <w:rPr>
                <w:rFonts w:asciiTheme="majorHAnsi" w:hAnsiTheme="majorHAnsi" w:cs="Arial"/>
                <w:b/>
                <w:i/>
                <w:noProof/>
                <w:color w:val="44546A" w:themeColor="text2"/>
                <w:sz w:val="20"/>
                <w:lang w:eastAsia="en-AU"/>
              </w:rPr>
              <w:t xml:space="preserve">“Crossing the chasm” </w:t>
            </w:r>
            <w:r>
              <w:rPr>
                <w:rFonts w:asciiTheme="majorHAnsi" w:hAnsiTheme="majorHAnsi" w:cs="Arial"/>
                <w:b/>
                <w:noProof/>
                <w:color w:val="44546A" w:themeColor="text2"/>
                <w:sz w:val="20"/>
                <w:lang w:eastAsia="en-AU"/>
              </w:rPr>
              <w:t>contends that users will adopt innovation like public participation at different rates and for different reasons, and marketing should be planned accordingly</w:t>
            </w:r>
          </w:p>
          <w:p w14:paraId="625F8804" w14:textId="77777777" w:rsidR="008668A3" w:rsidRDefault="008668A3" w:rsidP="006C26CE">
            <w:pPr>
              <w:spacing w:before="0"/>
            </w:pPr>
            <w:r w:rsidRPr="008668A3">
              <w:rPr>
                <w:rFonts w:asciiTheme="majorHAnsi" w:hAnsiTheme="majorHAnsi" w:cs="Arial"/>
                <w:noProof/>
                <w:sz w:val="16"/>
                <w:lang w:eastAsia="en-AU"/>
              </w:rPr>
              <w:t>According to Moore, the marketer should focus on one group of customers at a time, using each group as a base for marketing to the next group. The most difficult step is making the transition between visionaries (early adopters) and pragmatists</w:t>
            </w:r>
            <w:r>
              <w:rPr>
                <w:lang w:val="en"/>
              </w:rPr>
              <w:t xml:space="preserve"> </w:t>
            </w:r>
            <w:r w:rsidRPr="008668A3">
              <w:rPr>
                <w:rFonts w:asciiTheme="majorHAnsi" w:hAnsiTheme="majorHAnsi" w:cs="Arial"/>
                <w:noProof/>
                <w:sz w:val="16"/>
                <w:lang w:eastAsia="en-AU"/>
              </w:rPr>
              <w:t>(early majority). This is the chasm that he refers to. If a successful firm can create a bandwagon effect in which enough momentum builds, then the prod</w:t>
            </w:r>
            <w:r w:rsidR="006C26CE">
              <w:rPr>
                <w:rFonts w:asciiTheme="majorHAnsi" w:hAnsiTheme="majorHAnsi" w:cs="Arial"/>
                <w:noProof/>
                <w:sz w:val="16"/>
                <w:lang w:eastAsia="en-AU"/>
              </w:rPr>
              <w:t>uct becomes a de facto standard.</w:t>
            </w:r>
          </w:p>
        </w:tc>
        <w:tc>
          <w:tcPr>
            <w:tcW w:w="5902" w:type="dxa"/>
            <w:shd w:val="clear" w:color="auto" w:fill="DEEAF6" w:themeFill="accent1" w:themeFillTint="33"/>
          </w:tcPr>
          <w:p w14:paraId="05F1E6AF" w14:textId="77777777" w:rsidR="008668A3" w:rsidRDefault="008668A3" w:rsidP="00A8572D">
            <w:pPr>
              <w:spacing w:before="180"/>
              <w:jc w:val="center"/>
            </w:pPr>
            <w:r>
              <w:rPr>
                <w:noProof/>
                <w:lang w:eastAsia="en-AU"/>
              </w:rPr>
              <w:drawing>
                <wp:inline distT="0" distB="0" distL="0" distR="0" wp14:anchorId="6E271A9B" wp14:editId="6D348DA3">
                  <wp:extent cx="3355676" cy="1980846"/>
                  <wp:effectExtent l="0" t="0" r="0"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1408"/>
                          <a:stretch/>
                        </pic:blipFill>
                        <pic:spPr bwMode="auto">
                          <a:xfrm>
                            <a:off x="0" y="0"/>
                            <a:ext cx="3363905" cy="19857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63F925" w14:textId="77777777" w:rsidR="001764CF" w:rsidRDefault="001764CF" w:rsidP="001764CF">
      <w:pPr>
        <w:ind w:left="-1418" w:right="-1440"/>
        <w:rPr>
          <w:noProof/>
          <w:lang w:eastAsia="en-AU"/>
        </w:rPr>
      </w:pPr>
    </w:p>
    <w:p w14:paraId="1F59BAE3" w14:textId="77777777" w:rsidR="001764CF" w:rsidRDefault="000456A0">
      <w:pPr>
        <w:spacing w:before="0"/>
        <w:rPr>
          <w:noProof/>
          <w:lang w:eastAsia="en-AU"/>
        </w:rPr>
      </w:pPr>
      <w:r w:rsidRPr="000456A0">
        <w:rPr>
          <w:noProof/>
          <w:lang w:eastAsia="en-AU"/>
        </w:rPr>
        <w:lastRenderedPageBreak/>
        <w:drawing>
          <wp:inline distT="0" distB="0" distL="0" distR="0" wp14:anchorId="142AA49F" wp14:editId="42FA2BB9">
            <wp:extent cx="5731510" cy="7486863"/>
            <wp:effectExtent l="0" t="0" r="2540" b="0"/>
            <wp:docPr id="238" name="Picture 238" descr="C:\Users\ikendal\AppData\Local\Microsoft\Windows\Temporary Internet Files\Content.Outlook\FF43QC0F\APS Personas 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kendal\AppData\Local\Microsoft\Windows\Temporary Internet Files\Content.Outlook\FF43QC0F\APS Personas 2_.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7486863"/>
                    </a:xfrm>
                    <a:prstGeom prst="rect">
                      <a:avLst/>
                    </a:prstGeom>
                    <a:noFill/>
                    <a:ln>
                      <a:noFill/>
                    </a:ln>
                  </pic:spPr>
                </pic:pic>
              </a:graphicData>
            </a:graphic>
          </wp:inline>
        </w:drawing>
      </w:r>
      <w:r w:rsidR="001764CF">
        <w:rPr>
          <w:noProof/>
          <w:lang w:eastAsia="en-AU"/>
        </w:rPr>
        <w:br w:type="page"/>
      </w:r>
    </w:p>
    <w:p w14:paraId="50636404" w14:textId="77777777" w:rsidR="0042522A" w:rsidRDefault="000456A0" w:rsidP="00724658">
      <w:pPr>
        <w:ind w:left="-1418" w:right="-1440"/>
        <w:jc w:val="center"/>
      </w:pPr>
      <w:r w:rsidRPr="000456A0">
        <w:rPr>
          <w:noProof/>
          <w:lang w:eastAsia="en-AU"/>
        </w:rPr>
        <w:lastRenderedPageBreak/>
        <w:drawing>
          <wp:inline distT="0" distB="0" distL="0" distR="0" wp14:anchorId="126C2862" wp14:editId="5A55F8B7">
            <wp:extent cx="5731510" cy="7486863"/>
            <wp:effectExtent l="0" t="0" r="2540" b="0"/>
            <wp:docPr id="237" name="Picture 237" descr="C:\Users\ikendal\AppData\Local\Microsoft\Windows\Temporary Internet Files\Content.Outlook\FF43QC0F\APS Person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kendal\AppData\Local\Microsoft\Windows\Temporary Internet Files\Content.Outlook\FF43QC0F\APS Personas 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7486863"/>
                    </a:xfrm>
                    <a:prstGeom prst="rect">
                      <a:avLst/>
                    </a:prstGeom>
                    <a:noFill/>
                    <a:ln>
                      <a:noFill/>
                    </a:ln>
                  </pic:spPr>
                </pic:pic>
              </a:graphicData>
            </a:graphic>
          </wp:inline>
        </w:drawing>
      </w:r>
    </w:p>
    <w:p w14:paraId="1000C738" w14:textId="77777777" w:rsidR="0045531F" w:rsidRDefault="0045531F">
      <w:pPr>
        <w:spacing w:before="0"/>
      </w:pPr>
    </w:p>
    <w:p w14:paraId="08E77A0D" w14:textId="77777777" w:rsidR="0045531F" w:rsidRDefault="0045531F">
      <w:pPr>
        <w:spacing w:before="0"/>
      </w:pPr>
    </w:p>
    <w:p w14:paraId="3341FBDF" w14:textId="77777777" w:rsidR="0045531F" w:rsidRDefault="0045531F">
      <w:pPr>
        <w:spacing w:before="0"/>
      </w:pPr>
    </w:p>
    <w:p w14:paraId="056867DE" w14:textId="77777777" w:rsidR="0045531F" w:rsidRDefault="0045531F">
      <w:pPr>
        <w:spacing w:before="0"/>
      </w:pPr>
      <w:r>
        <w:br w:type="page"/>
      </w:r>
    </w:p>
    <w:p w14:paraId="11655890" w14:textId="77777777" w:rsidR="0045531F" w:rsidRPr="0045531F" w:rsidRDefault="0045531F" w:rsidP="0045531F">
      <w:pPr>
        <w:pStyle w:val="H2"/>
        <w:spacing w:before="0" w:after="0"/>
      </w:pPr>
      <w:bookmarkStart w:id="70" w:name="_Toc495915988"/>
      <w:r w:rsidRPr="0045531F">
        <w:lastRenderedPageBreak/>
        <w:t>Analysis of APS personas</w:t>
      </w:r>
      <w:bookmarkEnd w:id="70"/>
    </w:p>
    <w:p w14:paraId="78034687" w14:textId="77777777" w:rsidR="00097E84" w:rsidRDefault="00097E84" w:rsidP="0045531F">
      <w:pPr>
        <w:spacing w:before="0"/>
        <w:rPr>
          <w:color w:val="000000" w:themeColor="text1"/>
        </w:rPr>
      </w:pPr>
      <w:r>
        <w:rPr>
          <w:color w:val="000000" w:themeColor="text1"/>
        </w:rPr>
        <w:t xml:space="preserve">In principle, all of our APS personas are interested in more and better public participation. </w:t>
      </w:r>
      <w:r w:rsidR="000456A0">
        <w:rPr>
          <w:color w:val="000000" w:themeColor="text1"/>
        </w:rPr>
        <w:t>While it may seem surprising to some outsiders, it is in fact</w:t>
      </w:r>
      <w:r>
        <w:rPr>
          <w:color w:val="000000" w:themeColor="text1"/>
        </w:rPr>
        <w:t xml:space="preserve"> intuitive to them that ‘two heads are better than one’ and that the APS doesn’t have all the answers. Indeed, they all think consultation is important, and have plenty of experience in </w:t>
      </w:r>
      <w:r w:rsidR="00435585">
        <w:rPr>
          <w:color w:val="000000" w:themeColor="text1"/>
        </w:rPr>
        <w:t>it</w:t>
      </w:r>
      <w:r>
        <w:rPr>
          <w:color w:val="000000" w:themeColor="text1"/>
        </w:rPr>
        <w:t>.</w:t>
      </w:r>
      <w:r w:rsidR="00435585">
        <w:rPr>
          <w:color w:val="000000" w:themeColor="text1"/>
        </w:rPr>
        <w:t xml:space="preserve"> It will not be too difficult to convince them that, in principle, there could be improvements to APS information sharing and consultation</w:t>
      </w:r>
      <w:r w:rsidR="00CC335D">
        <w:rPr>
          <w:color w:val="000000" w:themeColor="text1"/>
        </w:rPr>
        <w:t>, especially to improve on the basics</w:t>
      </w:r>
      <w:r w:rsidR="00435585">
        <w:rPr>
          <w:color w:val="000000" w:themeColor="text1"/>
        </w:rPr>
        <w:t>. Often these engagements do not meet their needs, either.</w:t>
      </w:r>
    </w:p>
    <w:p w14:paraId="30B5AE6B" w14:textId="77777777" w:rsidR="00097E84" w:rsidRDefault="00097E84" w:rsidP="0045531F">
      <w:pPr>
        <w:spacing w:before="0"/>
        <w:rPr>
          <w:color w:val="000000" w:themeColor="text1"/>
        </w:rPr>
      </w:pPr>
    </w:p>
    <w:p w14:paraId="44F0FEA3" w14:textId="77777777" w:rsidR="00097E84" w:rsidRDefault="00097E84" w:rsidP="0045531F">
      <w:pPr>
        <w:spacing w:before="0"/>
        <w:rPr>
          <w:color w:val="000000" w:themeColor="text1"/>
        </w:rPr>
      </w:pPr>
      <w:r>
        <w:rPr>
          <w:color w:val="000000" w:themeColor="text1"/>
        </w:rPr>
        <w:t>The problem for each is they don’t necessarily</w:t>
      </w:r>
      <w:r w:rsidR="00435585">
        <w:rPr>
          <w:color w:val="000000" w:themeColor="text1"/>
        </w:rPr>
        <w:t xml:space="preserve"> have trust and confidence in alternative approaches</w:t>
      </w:r>
      <w:r w:rsidR="000456A0">
        <w:rPr>
          <w:color w:val="000000" w:themeColor="text1"/>
        </w:rPr>
        <w:t xml:space="preserve">, or </w:t>
      </w:r>
      <w:r w:rsidR="00435585">
        <w:rPr>
          <w:color w:val="000000" w:themeColor="text1"/>
        </w:rPr>
        <w:t xml:space="preserve">sometimes are not </w:t>
      </w:r>
      <w:r w:rsidR="000456A0">
        <w:rPr>
          <w:color w:val="000000" w:themeColor="text1"/>
        </w:rPr>
        <w:t>even aware that something different is possible</w:t>
      </w:r>
      <w:r>
        <w:rPr>
          <w:color w:val="000000" w:themeColor="text1"/>
        </w:rPr>
        <w:t xml:space="preserve">. </w:t>
      </w:r>
      <w:r w:rsidR="00DB4C2C">
        <w:rPr>
          <w:color w:val="000000" w:themeColor="text1"/>
        </w:rPr>
        <w:t xml:space="preserve">They do rightfully see themselves as experts, and servants of the government of the day, so they do not want to hand over control of all their work. </w:t>
      </w:r>
      <w:r w:rsidR="000456A0">
        <w:rPr>
          <w:color w:val="000000" w:themeColor="text1"/>
        </w:rPr>
        <w:t>For Cate and Steven in particular,</w:t>
      </w:r>
      <w:r w:rsidR="0071147A">
        <w:rPr>
          <w:color w:val="000000" w:themeColor="text1"/>
        </w:rPr>
        <w:t xml:space="preserve"> consultation is more about buy-in, and</w:t>
      </w:r>
      <w:r w:rsidR="000456A0">
        <w:rPr>
          <w:color w:val="000000" w:themeColor="text1"/>
        </w:rPr>
        <w:t xml:space="preserve"> the </w:t>
      </w:r>
      <w:r w:rsidR="0075007F">
        <w:rPr>
          <w:color w:val="000000" w:themeColor="text1"/>
        </w:rPr>
        <w:t>expertise of the public</w:t>
      </w:r>
      <w:r w:rsidR="0071147A">
        <w:rPr>
          <w:color w:val="000000" w:themeColor="text1"/>
        </w:rPr>
        <w:t xml:space="preserve"> </w:t>
      </w:r>
      <w:r w:rsidR="0075007F">
        <w:rPr>
          <w:color w:val="000000" w:themeColor="text1"/>
        </w:rPr>
        <w:t xml:space="preserve">might be a resource that is hidden </w:t>
      </w:r>
      <w:r w:rsidR="000456A0">
        <w:rPr>
          <w:color w:val="000000" w:themeColor="text1"/>
        </w:rPr>
        <w:t>in plain sight</w:t>
      </w:r>
      <w:r w:rsidR="0075007F">
        <w:rPr>
          <w:color w:val="000000" w:themeColor="text1"/>
        </w:rPr>
        <w:t>, obscured by authorising environments and (reasonable) perceptions of risk and impracticality</w:t>
      </w:r>
      <w:r w:rsidR="000456A0">
        <w:rPr>
          <w:color w:val="000000" w:themeColor="text1"/>
        </w:rPr>
        <w:t>.</w:t>
      </w:r>
    </w:p>
    <w:p w14:paraId="6C657CCB" w14:textId="77777777" w:rsidR="00097E84" w:rsidRDefault="00097E84" w:rsidP="0045531F">
      <w:pPr>
        <w:spacing w:before="0"/>
        <w:rPr>
          <w:color w:val="000000" w:themeColor="text1"/>
        </w:rPr>
      </w:pPr>
    </w:p>
    <w:p w14:paraId="0C715FD3" w14:textId="77777777" w:rsidR="00097E84" w:rsidRDefault="00097E84" w:rsidP="0045531F">
      <w:pPr>
        <w:spacing w:before="0"/>
        <w:rPr>
          <w:color w:val="000000" w:themeColor="text1"/>
        </w:rPr>
      </w:pPr>
      <w:r>
        <w:rPr>
          <w:color w:val="000000" w:themeColor="text1"/>
        </w:rPr>
        <w:t xml:space="preserve">Crucially, they have different risk appetites when it comes to </w:t>
      </w:r>
      <w:r w:rsidR="000456A0">
        <w:rPr>
          <w:color w:val="000000" w:themeColor="text1"/>
        </w:rPr>
        <w:t xml:space="preserve">adopting new processes and new behaviours </w:t>
      </w:r>
      <w:r>
        <w:rPr>
          <w:color w:val="000000" w:themeColor="text1"/>
        </w:rPr>
        <w:t xml:space="preserve">– which is precisely what they’ll have to do if more public participation is to occur. </w:t>
      </w:r>
      <w:r w:rsidR="00CC335D">
        <w:rPr>
          <w:color w:val="000000" w:themeColor="text1"/>
        </w:rPr>
        <w:t>This should inform any strategies to encourage adoption, and messaging about public participation.</w:t>
      </w:r>
    </w:p>
    <w:p w14:paraId="7475E0AA" w14:textId="77777777" w:rsidR="000456A0" w:rsidRDefault="000456A0" w:rsidP="0045531F">
      <w:pPr>
        <w:spacing w:before="0"/>
        <w:rPr>
          <w:color w:val="000000" w:themeColor="text1"/>
        </w:rPr>
      </w:pPr>
    </w:p>
    <w:p w14:paraId="6938D0BE" w14:textId="77777777" w:rsidR="000456A0" w:rsidRDefault="000456A0" w:rsidP="0045531F">
      <w:pPr>
        <w:spacing w:before="0"/>
        <w:rPr>
          <w:color w:val="000000" w:themeColor="text1"/>
        </w:rPr>
      </w:pPr>
      <w:r>
        <w:rPr>
          <w:color w:val="000000" w:themeColor="text1"/>
        </w:rPr>
        <w:t>For example, Emily and Ben, as early adopters and the innovators, are most open to consider undertaking more advanced public participation</w:t>
      </w:r>
      <w:r w:rsidR="00985AA5">
        <w:rPr>
          <w:color w:val="000000" w:themeColor="text1"/>
        </w:rPr>
        <w:t xml:space="preserve"> that does not yet have ‘programme guidelines’ or a policy to set out exactly how it should go,</w:t>
      </w:r>
      <w:r>
        <w:rPr>
          <w:color w:val="000000" w:themeColor="text1"/>
        </w:rPr>
        <w:t xml:space="preserve"> like participatory budgeting or a citizen jury. So </w:t>
      </w:r>
      <w:r w:rsidR="00CC335D">
        <w:rPr>
          <w:color w:val="000000" w:themeColor="text1"/>
        </w:rPr>
        <w:t xml:space="preserve">initial </w:t>
      </w:r>
      <w:r>
        <w:rPr>
          <w:color w:val="000000" w:themeColor="text1"/>
        </w:rPr>
        <w:t xml:space="preserve">efforts to establish more advanced participation would be best attempted with </w:t>
      </w:r>
      <w:r w:rsidR="004E4423">
        <w:rPr>
          <w:color w:val="000000" w:themeColor="text1"/>
        </w:rPr>
        <w:t>public servants like them</w:t>
      </w:r>
      <w:r w:rsidR="00CC335D">
        <w:rPr>
          <w:color w:val="000000" w:themeColor="text1"/>
        </w:rPr>
        <w:t>, at first</w:t>
      </w:r>
      <w:r w:rsidR="004E4423">
        <w:rPr>
          <w:color w:val="000000" w:themeColor="text1"/>
        </w:rPr>
        <w:t>.</w:t>
      </w:r>
      <w:r w:rsidR="00F51FEF">
        <w:rPr>
          <w:color w:val="000000" w:themeColor="text1"/>
        </w:rPr>
        <w:t xml:space="preserve"> On the downside, </w:t>
      </w:r>
      <w:r w:rsidR="00EF15B2">
        <w:rPr>
          <w:color w:val="000000" w:themeColor="text1"/>
        </w:rPr>
        <w:t xml:space="preserve">although they have good experience from previous engagements and a lot of goodwill, </w:t>
      </w:r>
      <w:r w:rsidR="00F51FEF">
        <w:rPr>
          <w:color w:val="000000" w:themeColor="text1"/>
        </w:rPr>
        <w:t>they may have less influence and capability to execute such engagements, compared to Cate or Steven</w:t>
      </w:r>
      <w:r w:rsidR="00CC335D">
        <w:rPr>
          <w:color w:val="000000" w:themeColor="text1"/>
        </w:rPr>
        <w:t>, and will need help</w:t>
      </w:r>
      <w:r w:rsidR="00F51FEF">
        <w:rPr>
          <w:color w:val="000000" w:themeColor="text1"/>
        </w:rPr>
        <w:t>.</w:t>
      </w:r>
    </w:p>
    <w:p w14:paraId="43ACF3F2" w14:textId="77777777" w:rsidR="000456A0" w:rsidRDefault="000456A0" w:rsidP="0045531F">
      <w:pPr>
        <w:spacing w:before="0"/>
        <w:rPr>
          <w:color w:val="000000" w:themeColor="text1"/>
        </w:rPr>
      </w:pPr>
    </w:p>
    <w:p w14:paraId="5D176C78" w14:textId="77777777" w:rsidR="000456A0" w:rsidRDefault="000456A0" w:rsidP="0045531F">
      <w:pPr>
        <w:spacing w:before="0"/>
        <w:rPr>
          <w:color w:val="000000" w:themeColor="text1"/>
        </w:rPr>
      </w:pPr>
      <w:r>
        <w:rPr>
          <w:color w:val="000000" w:themeColor="text1"/>
        </w:rPr>
        <w:t>Cate and Steven are more interested in something that ‘works’.</w:t>
      </w:r>
      <w:r w:rsidR="00056729">
        <w:rPr>
          <w:color w:val="000000" w:themeColor="text1"/>
        </w:rPr>
        <w:t xml:space="preserve"> They favour useability over functionality.</w:t>
      </w:r>
      <w:r>
        <w:rPr>
          <w:color w:val="000000" w:themeColor="text1"/>
        </w:rPr>
        <w:t xml:space="preserve"> </w:t>
      </w:r>
      <w:r w:rsidR="00CC335D">
        <w:rPr>
          <w:color w:val="000000" w:themeColor="text1"/>
        </w:rPr>
        <w:t>Cate, in particular, is not</w:t>
      </w:r>
      <w:r>
        <w:rPr>
          <w:color w:val="000000" w:themeColor="text1"/>
        </w:rPr>
        <w:t xml:space="preserve"> irreconcilably against using different public participation in </w:t>
      </w:r>
      <w:r w:rsidR="00CC335D">
        <w:rPr>
          <w:color w:val="000000" w:themeColor="text1"/>
        </w:rPr>
        <w:t xml:space="preserve">her </w:t>
      </w:r>
      <w:r>
        <w:rPr>
          <w:color w:val="000000" w:themeColor="text1"/>
        </w:rPr>
        <w:t>work</w:t>
      </w:r>
      <w:r w:rsidR="00CC335D">
        <w:rPr>
          <w:color w:val="000000" w:themeColor="text1"/>
        </w:rPr>
        <w:t>, or against innovation</w:t>
      </w:r>
      <w:r>
        <w:rPr>
          <w:color w:val="000000" w:themeColor="text1"/>
        </w:rPr>
        <w:t xml:space="preserve">. </w:t>
      </w:r>
      <w:r w:rsidR="00CC335D">
        <w:rPr>
          <w:color w:val="000000" w:themeColor="text1"/>
        </w:rPr>
        <w:t xml:space="preserve">But </w:t>
      </w:r>
      <w:r w:rsidR="00056729">
        <w:rPr>
          <w:color w:val="000000" w:themeColor="text1"/>
        </w:rPr>
        <w:t xml:space="preserve">neither </w:t>
      </w:r>
      <w:r>
        <w:rPr>
          <w:color w:val="000000" w:themeColor="text1"/>
        </w:rPr>
        <w:t>want</w:t>
      </w:r>
      <w:r w:rsidR="00056729">
        <w:rPr>
          <w:color w:val="000000" w:themeColor="text1"/>
        </w:rPr>
        <w:t>s</w:t>
      </w:r>
      <w:r>
        <w:rPr>
          <w:color w:val="000000" w:themeColor="text1"/>
        </w:rPr>
        <w:t xml:space="preserve"> a process that has doubtful outcomes</w:t>
      </w:r>
      <w:r w:rsidR="004E4423">
        <w:rPr>
          <w:color w:val="000000" w:themeColor="text1"/>
        </w:rPr>
        <w:t>, ambiguous and unpredictable steps,</w:t>
      </w:r>
      <w:r>
        <w:rPr>
          <w:color w:val="000000" w:themeColor="text1"/>
        </w:rPr>
        <w:t xml:space="preserve"> or no precedent</w:t>
      </w:r>
      <w:r w:rsidR="00056729">
        <w:rPr>
          <w:color w:val="000000" w:themeColor="text1"/>
        </w:rPr>
        <w:t xml:space="preserve"> – at least compared to what they are familiar with</w:t>
      </w:r>
      <w:r>
        <w:rPr>
          <w:color w:val="000000" w:themeColor="text1"/>
        </w:rPr>
        <w:t>.</w:t>
      </w:r>
      <w:r w:rsidR="00CC335D">
        <w:rPr>
          <w:color w:val="000000" w:themeColor="text1"/>
        </w:rPr>
        <w:t xml:space="preserve"> They</w:t>
      </w:r>
      <w:r w:rsidR="00F51FEF">
        <w:rPr>
          <w:color w:val="000000" w:themeColor="text1"/>
        </w:rPr>
        <w:t xml:space="preserve"> will need some decent proof that public participation can work before they are willing to risk their Department’s and their own hard won reputations trying it.</w:t>
      </w:r>
      <w:r w:rsidR="00CC335D">
        <w:rPr>
          <w:color w:val="000000" w:themeColor="text1"/>
        </w:rPr>
        <w:t xml:space="preserve"> Success from Emily and Ben will go a long way to convincing Cate that public participation is not a fad, and can add value to her work.</w:t>
      </w:r>
    </w:p>
    <w:p w14:paraId="66A92476" w14:textId="77777777" w:rsidR="000456A0" w:rsidRDefault="000456A0" w:rsidP="0045531F">
      <w:pPr>
        <w:spacing w:before="0"/>
        <w:rPr>
          <w:color w:val="000000" w:themeColor="text1"/>
        </w:rPr>
      </w:pPr>
    </w:p>
    <w:p w14:paraId="01E8C027" w14:textId="77777777" w:rsidR="000456A0" w:rsidRDefault="00CC335D" w:rsidP="0045531F">
      <w:pPr>
        <w:spacing w:before="0"/>
        <w:rPr>
          <w:color w:val="000000" w:themeColor="text1"/>
        </w:rPr>
      </w:pPr>
      <w:r>
        <w:rPr>
          <w:color w:val="000000" w:themeColor="text1"/>
        </w:rPr>
        <w:t xml:space="preserve">Cate is a pragmatist, but </w:t>
      </w:r>
      <w:r w:rsidR="002352CD">
        <w:rPr>
          <w:color w:val="000000" w:themeColor="text1"/>
        </w:rPr>
        <w:t xml:space="preserve">unlike Steven, </w:t>
      </w:r>
      <w:r>
        <w:rPr>
          <w:color w:val="000000" w:themeColor="text1"/>
        </w:rPr>
        <w:t>may not require a fully complete public participation ‘solution’</w:t>
      </w:r>
      <w:r w:rsidR="002352CD">
        <w:rPr>
          <w:color w:val="000000" w:themeColor="text1"/>
        </w:rPr>
        <w:t xml:space="preserve"> to get started</w:t>
      </w:r>
      <w:r>
        <w:rPr>
          <w:color w:val="000000" w:themeColor="text1"/>
        </w:rPr>
        <w:t xml:space="preserve">. While awaiting successes with advanced engagement </w:t>
      </w:r>
      <w:r w:rsidR="002352CD">
        <w:rPr>
          <w:color w:val="000000" w:themeColor="text1"/>
        </w:rPr>
        <w:t xml:space="preserve">from </w:t>
      </w:r>
      <w:r>
        <w:rPr>
          <w:color w:val="000000" w:themeColor="text1"/>
        </w:rPr>
        <w:t>Emily and Ben, Cate might be persuaded to</w:t>
      </w:r>
      <w:r w:rsidR="004E4423">
        <w:rPr>
          <w:color w:val="000000" w:themeColor="text1"/>
        </w:rPr>
        <w:t xml:space="preserve"> </w:t>
      </w:r>
      <w:r w:rsidR="002352CD">
        <w:rPr>
          <w:color w:val="000000" w:themeColor="text1"/>
        </w:rPr>
        <w:t>undertake</w:t>
      </w:r>
      <w:r w:rsidR="004E4423">
        <w:rPr>
          <w:color w:val="000000" w:themeColor="text1"/>
        </w:rPr>
        <w:t xml:space="preserve"> reasonably advanced public participation in her work, which might </w:t>
      </w:r>
      <w:r>
        <w:rPr>
          <w:color w:val="000000" w:themeColor="text1"/>
        </w:rPr>
        <w:t xml:space="preserve">also </w:t>
      </w:r>
      <w:r w:rsidR="004E4423">
        <w:rPr>
          <w:color w:val="000000" w:themeColor="text1"/>
        </w:rPr>
        <w:t>build her trust and confidence to try more and encourage her colleagues to do the same.</w:t>
      </w:r>
      <w:r w:rsidR="00C05CC6">
        <w:rPr>
          <w:color w:val="000000" w:themeColor="text1"/>
        </w:rPr>
        <w:t xml:space="preserve"> Cate is also very capable: With her experience and knowledge, she has could execute difficult participation in an APS environment, with its particular constraints.</w:t>
      </w:r>
    </w:p>
    <w:p w14:paraId="59204041" w14:textId="77777777" w:rsidR="000456A0" w:rsidRDefault="000456A0" w:rsidP="0045531F">
      <w:pPr>
        <w:spacing w:before="0"/>
        <w:rPr>
          <w:color w:val="000000" w:themeColor="text1"/>
        </w:rPr>
      </w:pPr>
    </w:p>
    <w:p w14:paraId="454DDE46" w14:textId="77777777" w:rsidR="000456A0" w:rsidRDefault="00CC335D" w:rsidP="0045531F">
      <w:pPr>
        <w:spacing w:before="0"/>
        <w:rPr>
          <w:color w:val="000000" w:themeColor="text1"/>
        </w:rPr>
      </w:pPr>
      <w:r>
        <w:rPr>
          <w:color w:val="000000" w:themeColor="text1"/>
        </w:rPr>
        <w:t xml:space="preserve">Persuading a public servant like Cate that the public is an underutilised resource will be crucial to public participation’s long term success. </w:t>
      </w:r>
      <w:r w:rsidR="00C05CC6">
        <w:rPr>
          <w:color w:val="000000" w:themeColor="text1"/>
        </w:rPr>
        <w:t xml:space="preserve">If </w:t>
      </w:r>
      <w:r w:rsidR="000456A0">
        <w:rPr>
          <w:color w:val="000000" w:themeColor="text1"/>
        </w:rPr>
        <w:t>Cate</w:t>
      </w:r>
      <w:r w:rsidR="00C05CC6">
        <w:rPr>
          <w:color w:val="000000" w:themeColor="text1"/>
        </w:rPr>
        <w:t xml:space="preserve"> uses public participation successfully, </w:t>
      </w:r>
      <w:r>
        <w:rPr>
          <w:color w:val="000000" w:themeColor="text1"/>
        </w:rPr>
        <w:t xml:space="preserve">and is encouraged to do more of it by successes from Emily and Ben, it </w:t>
      </w:r>
      <w:r w:rsidR="00C05CC6">
        <w:rPr>
          <w:color w:val="000000" w:themeColor="text1"/>
        </w:rPr>
        <w:t>will have valuable spillover effects</w:t>
      </w:r>
      <w:r w:rsidR="000456A0">
        <w:rPr>
          <w:color w:val="000000" w:themeColor="text1"/>
        </w:rPr>
        <w:t xml:space="preserve">. She is a leader in the public service, </w:t>
      </w:r>
      <w:r w:rsidR="0075007F">
        <w:rPr>
          <w:color w:val="000000" w:themeColor="text1"/>
        </w:rPr>
        <w:t xml:space="preserve">highly respected by senior public servants, and </w:t>
      </w:r>
      <w:r w:rsidR="004E4423">
        <w:rPr>
          <w:color w:val="000000" w:themeColor="text1"/>
        </w:rPr>
        <w:t xml:space="preserve">many of her peers aspire to be like her. </w:t>
      </w:r>
      <w:r w:rsidR="000456A0">
        <w:rPr>
          <w:color w:val="000000" w:themeColor="text1"/>
        </w:rPr>
        <w:t>People like Steven see her as a ‘reference customer’ –</w:t>
      </w:r>
      <w:r w:rsidR="00C05CC6">
        <w:rPr>
          <w:color w:val="000000" w:themeColor="text1"/>
        </w:rPr>
        <w:t xml:space="preserve"> that is,</w:t>
      </w:r>
      <w:r w:rsidR="000456A0">
        <w:rPr>
          <w:color w:val="000000" w:themeColor="text1"/>
        </w:rPr>
        <w:t xml:space="preserve"> if </w:t>
      </w:r>
      <w:r w:rsidR="00FA5D16">
        <w:rPr>
          <w:color w:val="000000" w:themeColor="text1"/>
        </w:rPr>
        <w:t>APS staff like Cate start</w:t>
      </w:r>
      <w:r w:rsidR="000456A0">
        <w:rPr>
          <w:color w:val="000000" w:themeColor="text1"/>
        </w:rPr>
        <w:t xml:space="preserve"> doing more and better public participation,</w:t>
      </w:r>
      <w:r w:rsidR="0075007F">
        <w:rPr>
          <w:color w:val="000000" w:themeColor="text1"/>
        </w:rPr>
        <w:t xml:space="preserve"> APS staff like</w:t>
      </w:r>
      <w:r w:rsidR="000456A0">
        <w:rPr>
          <w:color w:val="000000" w:themeColor="text1"/>
        </w:rPr>
        <w:t xml:space="preserve"> Steven </w:t>
      </w:r>
      <w:r w:rsidR="0075007F">
        <w:rPr>
          <w:color w:val="000000" w:themeColor="text1"/>
        </w:rPr>
        <w:t xml:space="preserve">are </w:t>
      </w:r>
      <w:r w:rsidR="000456A0">
        <w:rPr>
          <w:color w:val="000000" w:themeColor="text1"/>
        </w:rPr>
        <w:t xml:space="preserve">very likely </w:t>
      </w:r>
      <w:r w:rsidR="00C05CC6">
        <w:rPr>
          <w:color w:val="000000" w:themeColor="text1"/>
        </w:rPr>
        <w:t>to see it not only as possible, but a requirement</w:t>
      </w:r>
      <w:r w:rsidR="0075007F">
        <w:rPr>
          <w:color w:val="000000" w:themeColor="text1"/>
        </w:rPr>
        <w:t xml:space="preserve">. </w:t>
      </w:r>
    </w:p>
    <w:p w14:paraId="5754FA0C" w14:textId="77777777" w:rsidR="00863175" w:rsidRDefault="000E77D4" w:rsidP="0052682D">
      <w:pPr>
        <w:spacing w:before="0"/>
        <w:rPr>
          <w:rFonts w:ascii="Calibri Light" w:eastAsia="MS Gothic" w:hAnsi="Calibri Light"/>
          <w:bCs/>
          <w:color w:val="3AA2A2"/>
          <w:sz w:val="32"/>
          <w:szCs w:val="26"/>
        </w:rPr>
      </w:pPr>
      <w:bookmarkStart w:id="71" w:name="_Toc492983325"/>
      <w:bookmarkStart w:id="72" w:name="_Toc492983329"/>
      <w:r w:rsidRPr="00863175">
        <w:rPr>
          <w:noProof/>
          <w:lang w:eastAsia="en-AU"/>
        </w:rPr>
        <w:lastRenderedPageBreak/>
        <w:drawing>
          <wp:anchor distT="0" distB="0" distL="114300" distR="114300" simplePos="0" relativeHeight="251658246" behindDoc="1" locked="0" layoutInCell="1" allowOverlap="1" wp14:anchorId="2F335867" wp14:editId="5FD32BAD">
            <wp:simplePos x="0" y="0"/>
            <wp:positionH relativeFrom="margin">
              <wp:align>center</wp:align>
            </wp:positionH>
            <wp:positionV relativeFrom="margin">
              <wp:posOffset>-438776</wp:posOffset>
            </wp:positionV>
            <wp:extent cx="6332220" cy="89535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32220" cy="895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175">
        <w:br w:type="page"/>
      </w:r>
    </w:p>
    <w:p w14:paraId="7209774C" w14:textId="77777777" w:rsidR="004B3A27" w:rsidRDefault="00863175" w:rsidP="0052682D">
      <w:pPr>
        <w:pStyle w:val="H2"/>
        <w:spacing w:before="0" w:after="0"/>
      </w:pPr>
      <w:bookmarkStart w:id="73" w:name="_Toc495915989"/>
      <w:r>
        <w:lastRenderedPageBreak/>
        <w:t>How does the APS engage the community?</w:t>
      </w:r>
      <w:bookmarkEnd w:id="73"/>
      <w:r>
        <w:t xml:space="preserve"> </w:t>
      </w:r>
      <w:bookmarkEnd w:id="71"/>
    </w:p>
    <w:p w14:paraId="70328FC0" w14:textId="77777777" w:rsidR="004B3A27" w:rsidRDefault="004B3A27" w:rsidP="0052682D">
      <w:pPr>
        <w:spacing w:before="0"/>
        <w:rPr>
          <w:rFonts w:asciiTheme="majorHAnsi" w:hAnsiTheme="majorHAnsi"/>
          <w:i/>
          <w:sz w:val="30"/>
        </w:rPr>
      </w:pPr>
      <w:r w:rsidRPr="005541EE">
        <w:rPr>
          <w:rFonts w:asciiTheme="majorHAnsi" w:hAnsiTheme="majorHAnsi"/>
          <w:i/>
          <w:sz w:val="30"/>
        </w:rPr>
        <w:t xml:space="preserve">We conducted a survey </w:t>
      </w:r>
      <w:r w:rsidR="002F7D4D" w:rsidRPr="005541EE">
        <w:rPr>
          <w:rFonts w:asciiTheme="majorHAnsi" w:hAnsiTheme="majorHAnsi"/>
          <w:i/>
          <w:sz w:val="30"/>
        </w:rPr>
        <w:t>to stocktake</w:t>
      </w:r>
      <w:r w:rsidRPr="005541EE">
        <w:rPr>
          <w:rFonts w:asciiTheme="majorHAnsi" w:hAnsiTheme="majorHAnsi"/>
          <w:i/>
          <w:sz w:val="30"/>
        </w:rPr>
        <w:t xml:space="preserve"> current approaches to public participation across APS</w:t>
      </w:r>
      <w:r w:rsidR="00605B61" w:rsidRPr="005541EE">
        <w:rPr>
          <w:rFonts w:asciiTheme="majorHAnsi" w:hAnsiTheme="majorHAnsi"/>
          <w:i/>
          <w:sz w:val="30"/>
        </w:rPr>
        <w:t xml:space="preserve"> departments. The survey </w:t>
      </w:r>
      <w:r w:rsidR="00E20E9B" w:rsidRPr="005541EE">
        <w:rPr>
          <w:rFonts w:asciiTheme="majorHAnsi" w:hAnsiTheme="majorHAnsi"/>
          <w:i/>
          <w:sz w:val="30"/>
        </w:rPr>
        <w:t xml:space="preserve">was a required output for the Discover milestone, under Australia’s Open Government National Action Plan. It also </w:t>
      </w:r>
      <w:r w:rsidR="00605B61" w:rsidRPr="005541EE">
        <w:rPr>
          <w:rFonts w:asciiTheme="majorHAnsi" w:hAnsiTheme="majorHAnsi"/>
          <w:i/>
          <w:sz w:val="30"/>
        </w:rPr>
        <w:t>adds</w:t>
      </w:r>
      <w:r w:rsidRPr="005541EE">
        <w:rPr>
          <w:rFonts w:asciiTheme="majorHAnsi" w:hAnsiTheme="majorHAnsi"/>
          <w:i/>
          <w:sz w:val="30"/>
        </w:rPr>
        <w:t xml:space="preserve"> a quantitat</w:t>
      </w:r>
      <w:r w:rsidR="00E20E9B" w:rsidRPr="005541EE">
        <w:rPr>
          <w:rFonts w:asciiTheme="majorHAnsi" w:hAnsiTheme="majorHAnsi"/>
          <w:i/>
          <w:sz w:val="30"/>
        </w:rPr>
        <w:t>ive layer of information to the user interviews.</w:t>
      </w:r>
    </w:p>
    <w:p w14:paraId="5EC19D61" w14:textId="77777777" w:rsidR="005541EE" w:rsidRDefault="005541EE" w:rsidP="005541EE">
      <w:pPr>
        <w:spacing w:before="0"/>
        <w:rPr>
          <w:rFonts w:asciiTheme="majorHAnsi" w:hAnsiTheme="majorHAnsi"/>
          <w:i/>
          <w:sz w:val="30"/>
        </w:rPr>
      </w:pPr>
    </w:p>
    <w:p w14:paraId="44BF69FB" w14:textId="77777777" w:rsidR="005541EE" w:rsidRDefault="005541EE" w:rsidP="005541EE">
      <w:pPr>
        <w:spacing w:before="0"/>
        <w:rPr>
          <w:rFonts w:asciiTheme="majorHAnsi" w:hAnsiTheme="majorHAnsi"/>
          <w:i/>
          <w:sz w:val="30"/>
        </w:rPr>
      </w:pPr>
      <w:r w:rsidRPr="005541EE">
        <w:rPr>
          <w:rFonts w:asciiTheme="majorHAnsi" w:hAnsiTheme="majorHAnsi"/>
          <w:i/>
          <w:sz w:val="30"/>
        </w:rPr>
        <w:t>For the most part the findings from the survey support the insights from the user research. The APS engages the community in a wide variety of ways, with the majority of approaches focussed on information sharing and consultations. Respondents identified the “authorising environment” as a key barrier to more open engagement. This was followed by a lack of trust in the ability of stakeholders to engage in a constructive way and a lack of awareness amongst public servants of different approaches and their value.</w:t>
      </w:r>
    </w:p>
    <w:p w14:paraId="7E51908E" w14:textId="77777777" w:rsidR="00BE1F41" w:rsidRDefault="00BE1F41" w:rsidP="0052682D">
      <w:pPr>
        <w:spacing w:before="0"/>
        <w:contextualSpacing/>
      </w:pPr>
    </w:p>
    <w:p w14:paraId="1A2397A4" w14:textId="77777777" w:rsidR="00E062B9" w:rsidRDefault="00BE1F41" w:rsidP="0052682D">
      <w:pPr>
        <w:spacing w:before="0"/>
        <w:contextualSpacing/>
      </w:pPr>
      <w:r>
        <w:t xml:space="preserve">The survey asked departments </w:t>
      </w:r>
      <w:r w:rsidR="008F1D8A">
        <w:t>three questions:</w:t>
      </w:r>
    </w:p>
    <w:p w14:paraId="627D3263" w14:textId="77777777" w:rsidR="00E062B9" w:rsidRDefault="00D9311D" w:rsidP="0052682D">
      <w:pPr>
        <w:numPr>
          <w:ilvl w:val="0"/>
          <w:numId w:val="36"/>
        </w:numPr>
        <w:spacing w:before="0"/>
      </w:pPr>
      <w:r>
        <w:t xml:space="preserve">What does your organisation do to </w:t>
      </w:r>
      <w:r w:rsidRPr="00E952DB">
        <w:t>engage with the p</w:t>
      </w:r>
      <w:r>
        <w:t>ublic</w:t>
      </w:r>
      <w:r w:rsidRPr="00E952DB">
        <w:t>?</w:t>
      </w:r>
      <w:r>
        <w:t xml:space="preserve"> Respondents were also asked to </w:t>
      </w:r>
      <w:r w:rsidR="002B795D">
        <w:t xml:space="preserve">categorise </w:t>
      </w:r>
      <w:r w:rsidR="006E5135">
        <w:t xml:space="preserve">their </w:t>
      </w:r>
      <w:r>
        <w:t xml:space="preserve">engagements </w:t>
      </w:r>
      <w:r w:rsidR="002B795D">
        <w:t>using the Ontario framework (i.e.</w:t>
      </w:r>
      <w:r w:rsidR="006E5135">
        <w:t xml:space="preserve"> into</w:t>
      </w:r>
      <w:r w:rsidR="002B795D">
        <w:t xml:space="preserve"> information sharing, consultation, deliberation and collaboration)</w:t>
      </w:r>
      <w:r w:rsidR="004B0569">
        <w:t>.</w:t>
      </w:r>
    </w:p>
    <w:p w14:paraId="7802E890" w14:textId="77777777" w:rsidR="00551A9E" w:rsidRDefault="00551A9E" w:rsidP="00551A9E">
      <w:pPr>
        <w:numPr>
          <w:ilvl w:val="0"/>
          <w:numId w:val="36"/>
        </w:numPr>
        <w:spacing w:before="0"/>
      </w:pPr>
      <w:r>
        <w:t>Do you perceive any barriers to your organisation co-designing with the public? If so,</w:t>
      </w:r>
      <w:r w:rsidRPr="00E952DB">
        <w:t xml:space="preserve"> </w:t>
      </w:r>
      <w:r>
        <w:t xml:space="preserve">what are they, and how can your organisation </w:t>
      </w:r>
      <w:r w:rsidRPr="00E952DB">
        <w:t>overcome them?</w:t>
      </w:r>
    </w:p>
    <w:p w14:paraId="22A0CC08" w14:textId="77777777" w:rsidR="00D9311D" w:rsidRDefault="00D9311D" w:rsidP="0052682D">
      <w:pPr>
        <w:numPr>
          <w:ilvl w:val="0"/>
          <w:numId w:val="36"/>
        </w:numPr>
        <w:spacing w:before="0"/>
      </w:pPr>
      <w:r>
        <w:t>How could you improve on your current engagement approach?</w:t>
      </w:r>
    </w:p>
    <w:p w14:paraId="0DC02228" w14:textId="77777777" w:rsidR="00C07C9B" w:rsidRDefault="00C07C9B" w:rsidP="0052682D">
      <w:pPr>
        <w:spacing w:before="0"/>
      </w:pPr>
    </w:p>
    <w:p w14:paraId="1EEB0471" w14:textId="77777777" w:rsidR="00BE1F41" w:rsidRDefault="00BE1F41" w:rsidP="0052682D">
      <w:pPr>
        <w:spacing w:before="0"/>
      </w:pPr>
      <w:r>
        <w:t xml:space="preserve">A copy of the survey is </w:t>
      </w:r>
      <w:r w:rsidRPr="007A5869">
        <w:t xml:space="preserve">at </w:t>
      </w:r>
      <w:r w:rsidRPr="00E062B9">
        <w:rPr>
          <w:u w:val="single"/>
        </w:rPr>
        <w:t xml:space="preserve">Appendix </w:t>
      </w:r>
      <w:r w:rsidR="0080300E">
        <w:rPr>
          <w:u w:val="single"/>
        </w:rPr>
        <w:t>C</w:t>
      </w:r>
      <w:r>
        <w:t>.</w:t>
      </w:r>
    </w:p>
    <w:p w14:paraId="39162776" w14:textId="77777777" w:rsidR="00C07C9B" w:rsidRDefault="00C07C9B" w:rsidP="0052682D">
      <w:pPr>
        <w:spacing w:before="0"/>
        <w:contextualSpacing/>
      </w:pPr>
    </w:p>
    <w:p w14:paraId="21F4AD7D" w14:textId="77777777" w:rsidR="00721742" w:rsidRDefault="00721742" w:rsidP="0052682D">
      <w:pPr>
        <w:spacing w:before="0"/>
        <w:contextualSpacing/>
      </w:pPr>
      <w:r>
        <w:t>The responses indicate:</w:t>
      </w:r>
    </w:p>
    <w:p w14:paraId="42B06329" w14:textId="77777777" w:rsidR="00721742" w:rsidRDefault="00721742" w:rsidP="0052682D">
      <w:pPr>
        <w:pStyle w:val="ListParagraph"/>
        <w:numPr>
          <w:ilvl w:val="0"/>
          <w:numId w:val="36"/>
        </w:numPr>
        <w:spacing w:before="0"/>
      </w:pPr>
      <w:r>
        <w:t>The APS engages the public in a wide variety of ways.</w:t>
      </w:r>
    </w:p>
    <w:p w14:paraId="03D8F211" w14:textId="77777777" w:rsidR="00721742" w:rsidRDefault="00721742" w:rsidP="0052682D">
      <w:pPr>
        <w:pStyle w:val="ListParagraph"/>
        <w:numPr>
          <w:ilvl w:val="0"/>
          <w:numId w:val="36"/>
        </w:numPr>
        <w:spacing w:before="0"/>
      </w:pPr>
      <w:r>
        <w:t xml:space="preserve">The majority of </w:t>
      </w:r>
      <w:r w:rsidR="00713C08">
        <w:t xml:space="preserve">APS </w:t>
      </w:r>
      <w:r>
        <w:t xml:space="preserve">engagement </w:t>
      </w:r>
      <w:r w:rsidR="00713C08">
        <w:t xml:space="preserve">is </w:t>
      </w:r>
      <w:r>
        <w:t xml:space="preserve">information sharing and consultation. </w:t>
      </w:r>
    </w:p>
    <w:p w14:paraId="34CB254F" w14:textId="77777777" w:rsidR="00721742" w:rsidRDefault="00721742" w:rsidP="0052682D">
      <w:pPr>
        <w:pStyle w:val="ListParagraph"/>
        <w:numPr>
          <w:ilvl w:val="0"/>
          <w:numId w:val="36"/>
        </w:numPr>
        <w:spacing w:before="0"/>
      </w:pPr>
      <w:r>
        <w:t xml:space="preserve">Many </w:t>
      </w:r>
      <w:r w:rsidR="00713C08">
        <w:t>engagements are</w:t>
      </w:r>
      <w:r>
        <w:t xml:space="preserve"> transactional in nature</w:t>
      </w:r>
      <w:r w:rsidR="00713C08">
        <w:t>, rather than ongoing</w:t>
      </w:r>
      <w:r>
        <w:t xml:space="preserve">. </w:t>
      </w:r>
    </w:p>
    <w:p w14:paraId="706304D7" w14:textId="77777777" w:rsidR="00A16632" w:rsidRDefault="00A16632" w:rsidP="0052682D">
      <w:pPr>
        <w:pStyle w:val="ListParagraph"/>
        <w:numPr>
          <w:ilvl w:val="0"/>
          <w:numId w:val="36"/>
        </w:numPr>
        <w:spacing w:before="0"/>
      </w:pPr>
      <w:r>
        <w:t xml:space="preserve">Although it has many legitimate barriers to undertaking more meaningful engagement, the APS believes that its engagement could improve </w:t>
      </w:r>
    </w:p>
    <w:p w14:paraId="21BD8E57" w14:textId="77777777" w:rsidR="00C07C9B" w:rsidRDefault="00C07C9B" w:rsidP="0052682D">
      <w:pPr>
        <w:pStyle w:val="ListParagraph"/>
        <w:spacing w:before="0"/>
      </w:pPr>
    </w:p>
    <w:p w14:paraId="000A582E" w14:textId="77777777" w:rsidR="0040255D" w:rsidRDefault="00721742" w:rsidP="0052682D">
      <w:pPr>
        <w:spacing w:before="0"/>
        <w:contextualSpacing/>
      </w:pPr>
      <w:r>
        <w:t>These responses are</w:t>
      </w:r>
      <w:r w:rsidR="00AF2AD9">
        <w:t xml:space="preserve"> consistent with</w:t>
      </w:r>
      <w:r w:rsidR="00A16632">
        <w:t xml:space="preserve"> most of</w:t>
      </w:r>
      <w:r w:rsidR="00AF2AD9">
        <w:t xml:space="preserve"> </w:t>
      </w:r>
      <w:r w:rsidR="004B3A27">
        <w:t>the user</w:t>
      </w:r>
      <w:r w:rsidR="0039765D">
        <w:t xml:space="preserve"> interview themes</w:t>
      </w:r>
      <w:r w:rsidR="008C07E2">
        <w:t xml:space="preserve">, and support the hypothesis that there is an opportunity for departments to </w:t>
      </w:r>
      <w:r w:rsidR="008F1D8A">
        <w:t xml:space="preserve">better </w:t>
      </w:r>
      <w:r w:rsidR="008C07E2">
        <w:t>access the expertise in the community to deliver better policies and programmes.</w:t>
      </w:r>
      <w:r w:rsidR="00EA27CC">
        <w:t xml:space="preserve"> </w:t>
      </w:r>
    </w:p>
    <w:p w14:paraId="27E59582" w14:textId="77777777" w:rsidR="0040255D" w:rsidRDefault="0040255D" w:rsidP="0052682D">
      <w:pPr>
        <w:spacing w:before="0"/>
        <w:contextualSpacing/>
      </w:pPr>
    </w:p>
    <w:p w14:paraId="2DA569EE" w14:textId="77777777" w:rsidR="00E20E9B" w:rsidRDefault="00AF2AD9" w:rsidP="0052682D">
      <w:pPr>
        <w:spacing w:before="0"/>
        <w:contextualSpacing/>
      </w:pPr>
      <w:r>
        <w:t xml:space="preserve">In particular, </w:t>
      </w:r>
      <w:r w:rsidR="00981C34">
        <w:t xml:space="preserve">the </w:t>
      </w:r>
      <w:r w:rsidR="008F1D8A">
        <w:t xml:space="preserve">responses to </w:t>
      </w:r>
      <w:r w:rsidR="005A3A79">
        <w:t>the first question</w:t>
      </w:r>
      <w:r w:rsidR="00981C34">
        <w:t xml:space="preserve"> </w:t>
      </w:r>
      <w:r w:rsidR="00721742">
        <w:t xml:space="preserve">suggest awareness and practical experience of </w:t>
      </w:r>
      <w:r w:rsidR="00BC5975">
        <w:t xml:space="preserve">collaboration and deliberation </w:t>
      </w:r>
      <w:r w:rsidR="008C07E2">
        <w:t>are</w:t>
      </w:r>
      <w:r w:rsidR="00721742">
        <w:t xml:space="preserve"> patchy (APS Theme 1)</w:t>
      </w:r>
      <w:r w:rsidR="00BC5975">
        <w:t xml:space="preserve">. </w:t>
      </w:r>
      <w:r w:rsidR="008C07E2">
        <w:t xml:space="preserve">In addition, </w:t>
      </w:r>
      <w:r w:rsidR="00BC5975">
        <w:t>the transactional nature of engagement</w:t>
      </w:r>
      <w:r w:rsidR="00981C34">
        <w:t>s</w:t>
      </w:r>
      <w:r w:rsidR="00BC5975">
        <w:t xml:space="preserve"> suggest</w:t>
      </w:r>
      <w:r w:rsidR="006E5135">
        <w:t xml:space="preserve"> APS</w:t>
      </w:r>
      <w:r w:rsidR="00BC5975">
        <w:t xml:space="preserve"> engagement emphasises obtaining buy-in rather than gathering expertise</w:t>
      </w:r>
      <w:r w:rsidR="006E5135">
        <w:t xml:space="preserve"> </w:t>
      </w:r>
      <w:r w:rsidR="00BC5975">
        <w:t>(APS Theme 2)</w:t>
      </w:r>
      <w:r w:rsidR="00713C08">
        <w:t xml:space="preserve">. </w:t>
      </w:r>
    </w:p>
    <w:p w14:paraId="3DDD9E70" w14:textId="77777777" w:rsidR="00E20E9B" w:rsidRDefault="00E20E9B" w:rsidP="0052682D">
      <w:pPr>
        <w:spacing w:before="0"/>
        <w:contextualSpacing/>
      </w:pPr>
    </w:p>
    <w:p w14:paraId="7A13F365" w14:textId="77777777" w:rsidR="00A16632" w:rsidRDefault="008F1D8A" w:rsidP="0052682D">
      <w:pPr>
        <w:spacing w:before="0"/>
        <w:contextualSpacing/>
      </w:pPr>
      <w:r>
        <w:lastRenderedPageBreak/>
        <w:t>But m</w:t>
      </w:r>
      <w:r w:rsidR="00A16632">
        <w:t xml:space="preserve">any </w:t>
      </w:r>
      <w:r w:rsidR="002B795D">
        <w:t>of the information sharing and consultation engagements employed by the APS</w:t>
      </w:r>
      <w:r w:rsidR="00A16632">
        <w:t>, as well as the variety of practices cited within these categories,</w:t>
      </w:r>
      <w:r w:rsidR="002B795D">
        <w:t xml:space="preserve"> </w:t>
      </w:r>
      <w:r w:rsidR="006E5135">
        <w:t>suggest</w:t>
      </w:r>
      <w:r w:rsidR="002B795D">
        <w:t xml:space="preserve"> </w:t>
      </w:r>
      <w:r>
        <w:t xml:space="preserve">good </w:t>
      </w:r>
      <w:r w:rsidR="002B795D">
        <w:t>engagement capability</w:t>
      </w:r>
      <w:r>
        <w:t xml:space="preserve"> and potential</w:t>
      </w:r>
      <w:r w:rsidR="002B795D">
        <w:t xml:space="preserve">. </w:t>
      </w:r>
      <w:r>
        <w:t xml:space="preserve">Similarly, </w:t>
      </w:r>
      <w:r w:rsidR="006E5135">
        <w:t xml:space="preserve">the </w:t>
      </w:r>
      <w:r>
        <w:t>o</w:t>
      </w:r>
      <w:r w:rsidR="008C07E2">
        <w:t xml:space="preserve">pportunities for improvement cited by respondents </w:t>
      </w:r>
      <w:r>
        <w:t xml:space="preserve">(Question </w:t>
      </w:r>
      <w:r w:rsidR="005A3A79">
        <w:t>3</w:t>
      </w:r>
      <w:r>
        <w:t xml:space="preserve">) </w:t>
      </w:r>
      <w:r w:rsidR="006E5135">
        <w:t xml:space="preserve">were thoughtful, and </w:t>
      </w:r>
      <w:r w:rsidR="008C07E2">
        <w:t xml:space="preserve">also indicate that </w:t>
      </w:r>
      <w:r>
        <w:t xml:space="preserve">the </w:t>
      </w:r>
      <w:r w:rsidR="001D7FD4">
        <w:t xml:space="preserve">APS </w:t>
      </w:r>
      <w:r>
        <w:t>has</w:t>
      </w:r>
      <w:r w:rsidR="008C07E2">
        <w:t xml:space="preserve"> more</w:t>
      </w:r>
      <w:r>
        <w:t xml:space="preserve"> potential</w:t>
      </w:r>
      <w:r w:rsidR="008C07E2">
        <w:t xml:space="preserve"> in engagement than they are able to apply in reality. </w:t>
      </w:r>
      <w:r w:rsidR="002B795D">
        <w:t>This is consistent with there being</w:t>
      </w:r>
      <w:r w:rsidR="00721742">
        <w:t xml:space="preserve"> </w:t>
      </w:r>
      <w:r w:rsidR="00AF2AD9">
        <w:t>a gap between what the APS knows, and what it actually does in respect of engaging the public</w:t>
      </w:r>
      <w:r w:rsidR="00721742">
        <w:t xml:space="preserve"> (APS Theme 3)</w:t>
      </w:r>
      <w:r w:rsidR="002B795D">
        <w:t>; as well as that traditional consultation processes providing the base skills needed to engage in more deliberate or collaborative engagements</w:t>
      </w:r>
      <w:r w:rsidR="008C07E2">
        <w:t xml:space="preserve"> (APS Theme 5)</w:t>
      </w:r>
      <w:r w:rsidR="00AF2AD9">
        <w:t xml:space="preserve">. </w:t>
      </w:r>
    </w:p>
    <w:p w14:paraId="6A6D592F" w14:textId="77777777" w:rsidR="00A16632" w:rsidRDefault="00A16632" w:rsidP="0052682D">
      <w:pPr>
        <w:spacing w:before="0"/>
        <w:contextualSpacing/>
      </w:pPr>
    </w:p>
    <w:p w14:paraId="000344B5" w14:textId="77777777" w:rsidR="00D9616C" w:rsidRDefault="00A16632" w:rsidP="0052682D">
      <w:pPr>
        <w:spacing w:before="0"/>
        <w:contextualSpacing/>
      </w:pPr>
      <w:r>
        <w:t xml:space="preserve">The responses also indicate that the APS </w:t>
      </w:r>
      <w:r w:rsidR="008F1D8A">
        <w:t xml:space="preserve">could be interested in </w:t>
      </w:r>
      <w:r w:rsidR="00D9616C">
        <w:t xml:space="preserve">public participation that responds to </w:t>
      </w:r>
      <w:r w:rsidR="000E3C6E">
        <w:t>non-APS t</w:t>
      </w:r>
      <w:r w:rsidR="00E20E9B">
        <w:t xml:space="preserve">heme 4 </w:t>
      </w:r>
      <w:r w:rsidR="00D9616C">
        <w:t>(</w:t>
      </w:r>
      <w:r>
        <w:t>undertaking more advanced collaborative and deliberate engagements</w:t>
      </w:r>
      <w:r w:rsidR="00E20E9B">
        <w:t xml:space="preserve"> and </w:t>
      </w:r>
      <w:r>
        <w:t>building ongoing relationships with the public</w:t>
      </w:r>
      <w:r w:rsidR="00E20E9B">
        <w:t xml:space="preserve">) and </w:t>
      </w:r>
      <w:r w:rsidR="000E3C6E">
        <w:t>non-APS theme</w:t>
      </w:r>
      <w:r w:rsidR="00E20E9B">
        <w:t xml:space="preserve"> 5 (improving </w:t>
      </w:r>
      <w:r>
        <w:t>the basics in engagement</w:t>
      </w:r>
      <w:r w:rsidR="00E20E9B">
        <w:t>)</w:t>
      </w:r>
      <w:r>
        <w:t xml:space="preserve">. </w:t>
      </w:r>
    </w:p>
    <w:p w14:paraId="186F850F" w14:textId="77777777" w:rsidR="002B795D" w:rsidRPr="00D9616C" w:rsidRDefault="006E5135" w:rsidP="0052682D">
      <w:pPr>
        <w:spacing w:before="0"/>
        <w:contextualSpacing/>
        <w:rPr>
          <w:b/>
        </w:rPr>
      </w:pPr>
      <w:r>
        <w:t xml:space="preserve">However, </w:t>
      </w:r>
      <w:r w:rsidR="00D9616C">
        <w:t>respondents</w:t>
      </w:r>
      <w:r>
        <w:t xml:space="preserve"> also noted many </w:t>
      </w:r>
      <w:r w:rsidR="00601878">
        <w:t>barriers to engagement</w:t>
      </w:r>
      <w:r w:rsidR="003A41F7">
        <w:t xml:space="preserve"> in response to </w:t>
      </w:r>
      <w:r w:rsidR="005A3A79">
        <w:t>q</w:t>
      </w:r>
      <w:r w:rsidR="003A41F7">
        <w:t xml:space="preserve">uestion </w:t>
      </w:r>
      <w:r w:rsidR="005A3A79">
        <w:t>2</w:t>
      </w:r>
      <w:r w:rsidR="003A41F7">
        <w:t>. This is</w:t>
      </w:r>
      <w:r w:rsidR="00601878">
        <w:t xml:space="preserve"> consistent with </w:t>
      </w:r>
      <w:r>
        <w:t>APS Theme 4</w:t>
      </w:r>
      <w:r w:rsidR="00D9616C">
        <w:t xml:space="preserve"> </w:t>
      </w:r>
      <w:r w:rsidR="00D9616C" w:rsidRPr="00D9616C">
        <w:t>(internal processes, including parliamentary and legal, can act as a barrier/constraint to achieving best practice engagement)</w:t>
      </w:r>
      <w:r w:rsidRPr="00D9616C">
        <w:t>.</w:t>
      </w:r>
      <w:r>
        <w:t xml:space="preserve"> These </w:t>
      </w:r>
      <w:r w:rsidR="003A41F7">
        <w:t xml:space="preserve">barriers </w:t>
      </w:r>
      <w:r w:rsidR="00D9616C">
        <w:t xml:space="preserve">should be </w:t>
      </w:r>
      <w:r>
        <w:t>taken into account in designing ways to improve public participation.</w:t>
      </w:r>
    </w:p>
    <w:p w14:paraId="095057DC" w14:textId="77777777" w:rsidR="0047296C" w:rsidRDefault="0047296C" w:rsidP="0052682D">
      <w:pPr>
        <w:spacing w:before="0"/>
        <w:contextualSpacing/>
      </w:pPr>
    </w:p>
    <w:p w14:paraId="6A475831" w14:textId="77777777" w:rsidR="004B3A27" w:rsidRPr="00A76699" w:rsidRDefault="004B3A27" w:rsidP="00A76699">
      <w:pPr>
        <w:pStyle w:val="Heading6"/>
        <w:numPr>
          <w:ilvl w:val="0"/>
          <w:numId w:val="0"/>
        </w:numPr>
        <w:spacing w:before="0"/>
        <w:rPr>
          <w:i w:val="0"/>
        </w:rPr>
      </w:pPr>
      <w:r w:rsidRPr="00A76699">
        <w:rPr>
          <w:i w:val="0"/>
        </w:rPr>
        <w:t xml:space="preserve">Summary of </w:t>
      </w:r>
      <w:r w:rsidR="00806177" w:rsidRPr="00A76699">
        <w:rPr>
          <w:i w:val="0"/>
        </w:rPr>
        <w:t>k</w:t>
      </w:r>
      <w:r w:rsidRPr="00A76699">
        <w:rPr>
          <w:i w:val="0"/>
        </w:rPr>
        <w:t xml:space="preserve">ey </w:t>
      </w:r>
      <w:r w:rsidR="00806177" w:rsidRPr="00A76699">
        <w:rPr>
          <w:i w:val="0"/>
        </w:rPr>
        <w:t>f</w:t>
      </w:r>
      <w:r w:rsidRPr="00A76699">
        <w:rPr>
          <w:i w:val="0"/>
        </w:rPr>
        <w:t xml:space="preserve">indings: </w:t>
      </w:r>
      <w:r w:rsidR="00766576">
        <w:rPr>
          <w:i w:val="0"/>
        </w:rPr>
        <w:t>Survey question</w:t>
      </w:r>
      <w:r w:rsidR="00806177" w:rsidRPr="00A76699">
        <w:rPr>
          <w:i w:val="0"/>
        </w:rPr>
        <w:t xml:space="preserve"> - </w:t>
      </w:r>
      <w:r w:rsidRPr="00A76699">
        <w:rPr>
          <w:i w:val="0"/>
        </w:rPr>
        <w:t>Type</w:t>
      </w:r>
      <w:r w:rsidR="00806177" w:rsidRPr="00A76699">
        <w:rPr>
          <w:i w:val="0"/>
        </w:rPr>
        <w:t>s</w:t>
      </w:r>
      <w:r w:rsidRPr="00A76699">
        <w:rPr>
          <w:i w:val="0"/>
        </w:rPr>
        <w:t xml:space="preserve"> of engagement approach </w:t>
      </w:r>
    </w:p>
    <w:p w14:paraId="4E0F3A03" w14:textId="77777777" w:rsidR="007F7B39" w:rsidRDefault="007F7B39" w:rsidP="0052682D">
      <w:pPr>
        <w:spacing w:before="0"/>
        <w:contextualSpacing/>
      </w:pPr>
      <w:r>
        <w:t xml:space="preserve">Thirteen APS departments were surveyed to understand the current approaches to engagement and participation across the APS. </w:t>
      </w:r>
      <w:r w:rsidRPr="003B489E">
        <w:t xml:space="preserve">The </w:t>
      </w:r>
      <w:r>
        <w:t>departments</w:t>
      </w:r>
      <w:r w:rsidRPr="003B489E">
        <w:t xml:space="preserve"> were asked to divide their examples of </w:t>
      </w:r>
      <w:r>
        <w:t>engagement approaches into four categories. These were:</w:t>
      </w:r>
    </w:p>
    <w:p w14:paraId="39315DF5" w14:textId="77777777" w:rsidR="007F7B39" w:rsidRDefault="007F7B39" w:rsidP="0052682D">
      <w:pPr>
        <w:pStyle w:val="ListParagraph"/>
        <w:numPr>
          <w:ilvl w:val="0"/>
          <w:numId w:val="38"/>
        </w:numPr>
        <w:spacing w:before="0"/>
      </w:pPr>
      <w:r w:rsidRPr="00382A6A">
        <w:rPr>
          <w:b/>
        </w:rPr>
        <w:t>Share</w:t>
      </w:r>
      <w:r w:rsidRPr="00382A6A">
        <w:t>:</w:t>
      </w:r>
      <w:r>
        <w:t xml:space="preserve"> How do you share information with the public?</w:t>
      </w:r>
    </w:p>
    <w:p w14:paraId="35EE43D1" w14:textId="77777777" w:rsidR="007F7B39" w:rsidRDefault="007F7B39" w:rsidP="0052682D">
      <w:pPr>
        <w:pStyle w:val="ListParagraph"/>
        <w:numPr>
          <w:ilvl w:val="0"/>
          <w:numId w:val="38"/>
        </w:numPr>
        <w:spacing w:before="0"/>
      </w:pPr>
      <w:r w:rsidRPr="00382A6A">
        <w:rPr>
          <w:b/>
        </w:rPr>
        <w:t>Consult</w:t>
      </w:r>
      <w:r w:rsidRPr="00382A6A">
        <w:t>:</w:t>
      </w:r>
      <w:r>
        <w:t xml:space="preserve"> How do you gather feedback from the public about a problem?</w:t>
      </w:r>
    </w:p>
    <w:p w14:paraId="10AC6B2A" w14:textId="77777777" w:rsidR="007F7B39" w:rsidRDefault="007F7B39" w:rsidP="0052682D">
      <w:pPr>
        <w:pStyle w:val="ListParagraph"/>
        <w:numPr>
          <w:ilvl w:val="0"/>
          <w:numId w:val="38"/>
        </w:numPr>
        <w:spacing w:before="0"/>
      </w:pPr>
      <w:r w:rsidRPr="00382A6A">
        <w:rPr>
          <w:b/>
        </w:rPr>
        <w:t>Deliberate</w:t>
      </w:r>
      <w:r w:rsidRPr="00382A6A">
        <w:t>:</w:t>
      </w:r>
      <w:r>
        <w:t xml:space="preserve"> How do you gather help from the public to solve a problem?</w:t>
      </w:r>
    </w:p>
    <w:p w14:paraId="4197F39D" w14:textId="77777777" w:rsidR="007F7B39" w:rsidRDefault="007F7B39" w:rsidP="0052682D">
      <w:pPr>
        <w:pStyle w:val="ListParagraph"/>
        <w:numPr>
          <w:ilvl w:val="0"/>
          <w:numId w:val="38"/>
        </w:numPr>
        <w:spacing w:before="0"/>
      </w:pPr>
      <w:r w:rsidRPr="00382A6A">
        <w:rPr>
          <w:b/>
        </w:rPr>
        <w:t>Collaborate</w:t>
      </w:r>
      <w:r w:rsidRPr="00382A6A">
        <w:t>:</w:t>
      </w:r>
      <w:r>
        <w:t xml:space="preserve"> How do you gather help from the public to implement a solution?</w:t>
      </w:r>
    </w:p>
    <w:p w14:paraId="7D69A134" w14:textId="77777777" w:rsidR="00382A6A" w:rsidRDefault="00382A6A" w:rsidP="0052682D">
      <w:pPr>
        <w:pStyle w:val="ListParagraph"/>
        <w:spacing w:before="0"/>
      </w:pPr>
    </w:p>
    <w:p w14:paraId="585A398E" w14:textId="77777777" w:rsidR="007F7B39" w:rsidRDefault="007F7B39" w:rsidP="0052682D">
      <w:pPr>
        <w:spacing w:before="0"/>
        <w:contextualSpacing/>
      </w:pPr>
      <w:r>
        <w:t xml:space="preserve">These </w:t>
      </w:r>
      <w:r w:rsidR="00DE43D2">
        <w:t xml:space="preserve">four </w:t>
      </w:r>
      <w:r>
        <w:t>categories were adopted from the Ontario Provincial government’s framework</w:t>
      </w:r>
      <w:r w:rsidR="00DE43D2">
        <w:t xml:space="preserve"> (our initial ‘working’ framework)</w:t>
      </w:r>
      <w:r>
        <w:t>. Each category included two practical examples as guidance to respondents.</w:t>
      </w:r>
      <w:r w:rsidRPr="007A5869">
        <w:t xml:space="preserve"> </w:t>
      </w:r>
    </w:p>
    <w:p w14:paraId="185EEB8F" w14:textId="77777777" w:rsidR="00700BEB" w:rsidRDefault="00700BEB" w:rsidP="0052682D">
      <w:pPr>
        <w:spacing w:before="0"/>
        <w:rPr>
          <w:rFonts w:ascii="Arial" w:eastAsia="MS Gothic" w:hAnsi="Arial"/>
          <w:i/>
          <w:iCs/>
          <w:color w:val="122748"/>
        </w:rPr>
      </w:pPr>
    </w:p>
    <w:p w14:paraId="0C7F80CE" w14:textId="77777777" w:rsidR="004B3A27" w:rsidRPr="0080300E" w:rsidRDefault="004B3A27" w:rsidP="0052682D">
      <w:pPr>
        <w:pStyle w:val="Heading6"/>
        <w:numPr>
          <w:ilvl w:val="0"/>
          <w:numId w:val="0"/>
        </w:numPr>
        <w:spacing w:before="0"/>
        <w:rPr>
          <w:i w:val="0"/>
        </w:rPr>
      </w:pPr>
      <w:r w:rsidRPr="0080300E">
        <w:rPr>
          <w:i w:val="0"/>
        </w:rPr>
        <w:t>Share</w:t>
      </w:r>
      <w:r w:rsidR="00A34B60" w:rsidRPr="0080300E">
        <w:rPr>
          <w:i w:val="0"/>
        </w:rPr>
        <w:t xml:space="preserve"> results</w:t>
      </w:r>
      <w:r w:rsidRPr="0080300E">
        <w:rPr>
          <w:i w:val="0"/>
        </w:rPr>
        <w:t xml:space="preserve">: How </w:t>
      </w:r>
      <w:r w:rsidR="00B418C7" w:rsidRPr="0080300E">
        <w:rPr>
          <w:i w:val="0"/>
        </w:rPr>
        <w:t xml:space="preserve">is </w:t>
      </w:r>
      <w:r w:rsidRPr="0080300E">
        <w:rPr>
          <w:i w:val="0"/>
        </w:rPr>
        <w:t>information shared with the public</w:t>
      </w:r>
    </w:p>
    <w:p w14:paraId="127D06A0" w14:textId="77777777" w:rsidR="004B3A27" w:rsidRDefault="004B3A27" w:rsidP="0052682D">
      <w:pPr>
        <w:spacing w:before="0"/>
      </w:pPr>
      <w:r>
        <w:t>The respondents provided 72 examples of sharing information with the public. The examples indicate that the APS shares information with the public in a wide variety of ways, including:</w:t>
      </w:r>
    </w:p>
    <w:p w14:paraId="6173ECE8" w14:textId="77777777" w:rsidR="00F46F14" w:rsidRDefault="00F46F14" w:rsidP="0052682D">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463EB" w14:paraId="3151BDC8" w14:textId="77777777" w:rsidTr="004463EB">
        <w:tc>
          <w:tcPr>
            <w:tcW w:w="4508" w:type="dxa"/>
          </w:tcPr>
          <w:p w14:paraId="375476BE" w14:textId="77777777" w:rsidR="004463EB" w:rsidRDefault="004463EB" w:rsidP="0052682D">
            <w:pPr>
              <w:spacing w:before="0"/>
            </w:pPr>
            <w:r>
              <w:rPr>
                <w:noProof/>
                <w:lang w:eastAsia="en-AU"/>
              </w:rPr>
              <w:drawing>
                <wp:inline distT="0" distB="0" distL="0" distR="0" wp14:anchorId="433F77E5" wp14:editId="74E7632E">
                  <wp:extent cx="2520244" cy="22928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a:extLst>
                              <a:ext uri="{28A0092B-C50C-407E-A947-70E740481C1C}">
                                <a14:useLocalDpi xmlns:a14="http://schemas.microsoft.com/office/drawing/2010/main" val="0"/>
                              </a:ext>
                            </a:extLst>
                          </a:blip>
                          <a:srcRect l="8940" t="1984" r="9237" b="2229"/>
                          <a:stretch/>
                        </pic:blipFill>
                        <pic:spPr bwMode="auto">
                          <a:xfrm>
                            <a:off x="0" y="0"/>
                            <a:ext cx="2525818" cy="2297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3E5C3788" w14:textId="77777777" w:rsidR="004463EB" w:rsidRDefault="004463EB" w:rsidP="0052682D">
            <w:pPr>
              <w:pStyle w:val="ListParagraph"/>
              <w:numPr>
                <w:ilvl w:val="0"/>
                <w:numId w:val="38"/>
              </w:numPr>
              <w:spacing w:before="0"/>
            </w:pPr>
            <w:r>
              <w:t>19% through the department’s website or less commonly the website of another government agency and peak bodies;</w:t>
            </w:r>
          </w:p>
          <w:p w14:paraId="72CB3472" w14:textId="77777777" w:rsidR="004463EB" w:rsidRDefault="004463EB" w:rsidP="0052682D">
            <w:pPr>
              <w:pStyle w:val="ListParagraph"/>
              <w:numPr>
                <w:ilvl w:val="0"/>
                <w:numId w:val="38"/>
              </w:numPr>
              <w:spacing w:before="0"/>
            </w:pPr>
            <w:r>
              <w:t>14% through media releases; and</w:t>
            </w:r>
          </w:p>
          <w:p w14:paraId="78A7E3A9" w14:textId="77777777" w:rsidR="004463EB" w:rsidRDefault="004463EB" w:rsidP="0052682D">
            <w:pPr>
              <w:pStyle w:val="ListParagraph"/>
              <w:numPr>
                <w:ilvl w:val="0"/>
                <w:numId w:val="38"/>
              </w:numPr>
              <w:spacing w:before="0"/>
            </w:pPr>
            <w:r>
              <w:t xml:space="preserve">11% through social media, including Facebook, Twitter, You Tube and webinars. </w:t>
            </w:r>
          </w:p>
          <w:p w14:paraId="5BD5BA1C" w14:textId="77777777" w:rsidR="004463EB" w:rsidRDefault="004463EB" w:rsidP="0052682D">
            <w:pPr>
              <w:spacing w:before="0"/>
            </w:pPr>
          </w:p>
        </w:tc>
      </w:tr>
    </w:tbl>
    <w:p w14:paraId="27EA73EE" w14:textId="77777777" w:rsidR="004463EB" w:rsidRDefault="004463EB" w:rsidP="0052682D">
      <w:pPr>
        <w:spacing w:before="0"/>
      </w:pPr>
    </w:p>
    <w:p w14:paraId="686E35DE" w14:textId="77777777" w:rsidR="00382A6A" w:rsidRDefault="00382A6A" w:rsidP="0052682D">
      <w:pPr>
        <w:pStyle w:val="ListParagraph"/>
        <w:spacing w:before="0" w:line="259" w:lineRule="auto"/>
      </w:pPr>
    </w:p>
    <w:p w14:paraId="67157FA1" w14:textId="77777777" w:rsidR="004B3A27" w:rsidRDefault="004463EB" w:rsidP="0052682D">
      <w:pPr>
        <w:spacing w:before="0" w:line="259" w:lineRule="auto"/>
      </w:pPr>
      <w:r w:rsidRPr="004463EB">
        <w:rPr>
          <w:b/>
        </w:rPr>
        <w:lastRenderedPageBreak/>
        <w:t>Analysis</w:t>
      </w:r>
      <w:r>
        <w:t xml:space="preserve">: </w:t>
      </w:r>
      <w:r w:rsidR="004B3A27">
        <w:t>This indicates a willingness of the APS to match the channels of communication to the ways that people are increasingly consuming information; and a willingness to tailor communication to different audiences.</w:t>
      </w:r>
    </w:p>
    <w:p w14:paraId="3ECE389A" w14:textId="77777777" w:rsidR="004B3A27" w:rsidRDefault="004B3A27" w:rsidP="0052682D">
      <w:pPr>
        <w:spacing w:before="0"/>
        <w:rPr>
          <w:i/>
        </w:rPr>
      </w:pPr>
    </w:p>
    <w:p w14:paraId="085E421E" w14:textId="77777777" w:rsidR="004B3A27" w:rsidRPr="0080300E" w:rsidRDefault="004B3A27" w:rsidP="0052682D">
      <w:pPr>
        <w:pStyle w:val="Heading6"/>
        <w:numPr>
          <w:ilvl w:val="0"/>
          <w:numId w:val="0"/>
        </w:numPr>
        <w:spacing w:before="0"/>
        <w:rPr>
          <w:i w:val="0"/>
        </w:rPr>
      </w:pPr>
      <w:r w:rsidRPr="0080300E">
        <w:rPr>
          <w:i w:val="0"/>
        </w:rPr>
        <w:t>Consult</w:t>
      </w:r>
      <w:r w:rsidR="00A34B60" w:rsidRPr="0080300E">
        <w:rPr>
          <w:i w:val="0"/>
        </w:rPr>
        <w:t xml:space="preserve"> results</w:t>
      </w:r>
      <w:r w:rsidRPr="0080300E">
        <w:rPr>
          <w:i w:val="0"/>
        </w:rPr>
        <w:t xml:space="preserve">: How </w:t>
      </w:r>
      <w:r w:rsidR="00B418C7" w:rsidRPr="0080300E">
        <w:rPr>
          <w:i w:val="0"/>
        </w:rPr>
        <w:t xml:space="preserve">is </w:t>
      </w:r>
      <w:r w:rsidRPr="0080300E">
        <w:rPr>
          <w:i w:val="0"/>
        </w:rPr>
        <w:t>feedback gathered from the public about a problem</w:t>
      </w:r>
    </w:p>
    <w:p w14:paraId="231B2808" w14:textId="77777777" w:rsidR="0080300E" w:rsidRDefault="0080300E" w:rsidP="0052682D">
      <w:pPr>
        <w:spacing w:before="0"/>
      </w:pPr>
    </w:p>
    <w:p w14:paraId="63DB780C" w14:textId="77777777" w:rsidR="004B3A27" w:rsidRDefault="004B3A27" w:rsidP="0052682D">
      <w:pPr>
        <w:spacing w:before="0"/>
      </w:pPr>
      <w:r>
        <w:t>The respondents provided 70 examples of consulting the public. These included:</w:t>
      </w:r>
    </w:p>
    <w:p w14:paraId="75994696" w14:textId="77777777" w:rsidR="004463EB" w:rsidRDefault="004463EB" w:rsidP="0052682D">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1"/>
        <w:gridCol w:w="3945"/>
      </w:tblGrid>
      <w:tr w:rsidR="004463EB" w14:paraId="2BFCF31B" w14:textId="77777777" w:rsidTr="004463EB">
        <w:tc>
          <w:tcPr>
            <w:tcW w:w="4508" w:type="dxa"/>
          </w:tcPr>
          <w:p w14:paraId="1435EDB8" w14:textId="77777777" w:rsidR="004463EB" w:rsidRDefault="004463EB" w:rsidP="0052682D">
            <w:pPr>
              <w:spacing w:before="0"/>
            </w:pPr>
            <w:r>
              <w:rPr>
                <w:b/>
                <w:noProof/>
                <w:lang w:eastAsia="en-AU"/>
              </w:rPr>
              <w:drawing>
                <wp:anchor distT="0" distB="0" distL="114300" distR="114300" simplePos="0" relativeHeight="251658260" behindDoc="0" locked="0" layoutInCell="1" allowOverlap="1" wp14:anchorId="6BD4D77D" wp14:editId="5F5BD94F">
                  <wp:simplePos x="0" y="0"/>
                  <wp:positionH relativeFrom="column">
                    <wp:posOffset>-6350</wp:posOffset>
                  </wp:positionH>
                  <wp:positionV relativeFrom="paragraph">
                    <wp:posOffset>138</wp:posOffset>
                  </wp:positionV>
                  <wp:extent cx="3089275" cy="282257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a:extLst>
                              <a:ext uri="{28A0092B-C50C-407E-A947-70E740481C1C}">
                                <a14:useLocalDpi xmlns:a14="http://schemas.microsoft.com/office/drawing/2010/main" val="0"/>
                              </a:ext>
                            </a:extLst>
                          </a:blip>
                          <a:srcRect l="21876" t="1101" r="22195" b="1095"/>
                          <a:stretch/>
                        </pic:blipFill>
                        <pic:spPr bwMode="auto">
                          <a:xfrm>
                            <a:off x="0" y="0"/>
                            <a:ext cx="3089275" cy="282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08" w:type="dxa"/>
          </w:tcPr>
          <w:p w14:paraId="73ED5DD1" w14:textId="77777777" w:rsidR="004463EB" w:rsidRDefault="004463EB" w:rsidP="0052682D">
            <w:pPr>
              <w:pStyle w:val="ListParagraph"/>
              <w:numPr>
                <w:ilvl w:val="0"/>
                <w:numId w:val="38"/>
              </w:numPr>
              <w:spacing w:before="0"/>
            </w:pPr>
            <w:r>
              <w:t>15% through feedback mechanisms such as filling in forms, calling on a phone hotline, complaining on the department’s website, or just directly meeting departmental staff;</w:t>
            </w:r>
          </w:p>
          <w:p w14:paraId="7435210B" w14:textId="77777777" w:rsidR="004463EB" w:rsidRDefault="004463EB" w:rsidP="0052682D">
            <w:pPr>
              <w:pStyle w:val="ListParagraph"/>
              <w:numPr>
                <w:ilvl w:val="0"/>
                <w:numId w:val="38"/>
              </w:numPr>
              <w:spacing w:before="0"/>
            </w:pPr>
            <w:r>
              <w:t>14% through community reference groups, industry forums,;</w:t>
            </w:r>
          </w:p>
          <w:p w14:paraId="3541A898" w14:textId="77777777" w:rsidR="004463EB" w:rsidRDefault="004463EB" w:rsidP="0052682D">
            <w:pPr>
              <w:pStyle w:val="ListParagraph"/>
              <w:numPr>
                <w:ilvl w:val="0"/>
                <w:numId w:val="38"/>
              </w:numPr>
              <w:spacing w:before="0"/>
            </w:pPr>
            <w:r>
              <w:t>13% via formal submission processes where a consultation and discussion paper was released by the organisation, and stakeholders required to respond;</w:t>
            </w:r>
          </w:p>
          <w:p w14:paraId="32EDA3F7" w14:textId="77777777" w:rsidR="004463EB" w:rsidRDefault="004463EB" w:rsidP="0052682D">
            <w:pPr>
              <w:pStyle w:val="ListParagraph"/>
              <w:numPr>
                <w:ilvl w:val="0"/>
                <w:numId w:val="38"/>
              </w:numPr>
              <w:spacing w:before="0"/>
            </w:pPr>
            <w:r>
              <w:t>12% through targeted meetings with stakeholders; and</w:t>
            </w:r>
          </w:p>
          <w:p w14:paraId="61B7FEEA" w14:textId="77777777" w:rsidR="004463EB" w:rsidRDefault="004463EB" w:rsidP="0052682D">
            <w:pPr>
              <w:pStyle w:val="ListParagraph"/>
              <w:numPr>
                <w:ilvl w:val="0"/>
                <w:numId w:val="38"/>
              </w:numPr>
              <w:spacing w:before="0"/>
            </w:pPr>
            <w:r>
              <w:t xml:space="preserve">9% through survey responses from the public. </w:t>
            </w:r>
          </w:p>
          <w:p w14:paraId="6ABB3C15" w14:textId="77777777" w:rsidR="004463EB" w:rsidRDefault="004463EB" w:rsidP="0052682D">
            <w:pPr>
              <w:spacing w:before="0"/>
            </w:pPr>
          </w:p>
        </w:tc>
      </w:tr>
    </w:tbl>
    <w:p w14:paraId="220727DB" w14:textId="77777777" w:rsidR="00021AA8" w:rsidRDefault="00021AA8" w:rsidP="0052682D">
      <w:pPr>
        <w:spacing w:before="0"/>
      </w:pPr>
    </w:p>
    <w:p w14:paraId="0790B642" w14:textId="77777777" w:rsidR="00C70CFA" w:rsidRDefault="00C70CFA" w:rsidP="0052682D">
      <w:pPr>
        <w:pStyle w:val="ListParagraph"/>
        <w:spacing w:before="0" w:line="259" w:lineRule="auto"/>
        <w:ind w:left="0"/>
      </w:pPr>
    </w:p>
    <w:p w14:paraId="55ACB035" w14:textId="77777777" w:rsidR="004B3A27" w:rsidRDefault="004463EB" w:rsidP="0052682D">
      <w:pPr>
        <w:spacing w:before="0"/>
      </w:pPr>
      <w:r w:rsidRPr="004463EB">
        <w:rPr>
          <w:b/>
        </w:rPr>
        <w:t>Analysis</w:t>
      </w:r>
      <w:r>
        <w:t xml:space="preserve">: </w:t>
      </w:r>
      <w:r w:rsidR="004B3A27">
        <w:t xml:space="preserve">The more common ways the APS consults the public are predominantly transactional and static by nature. That is, they are not interactive and do not tend to build ongoing dialogue or relationships. </w:t>
      </w:r>
    </w:p>
    <w:p w14:paraId="5CF0BDDD" w14:textId="77777777" w:rsidR="004B3A27" w:rsidRDefault="004B3A27" w:rsidP="0052682D">
      <w:pPr>
        <w:spacing w:before="0"/>
        <w:rPr>
          <w:i/>
        </w:rPr>
      </w:pPr>
    </w:p>
    <w:p w14:paraId="1AB0B49C" w14:textId="77777777" w:rsidR="008637C0" w:rsidRDefault="008637C0">
      <w:pPr>
        <w:spacing w:before="0"/>
        <w:rPr>
          <w:rFonts w:ascii="Arial" w:eastAsia="MS Gothic" w:hAnsi="Arial"/>
          <w:iCs/>
          <w:color w:val="122748"/>
        </w:rPr>
      </w:pPr>
      <w:r>
        <w:rPr>
          <w:i/>
        </w:rPr>
        <w:br w:type="page"/>
      </w:r>
    </w:p>
    <w:p w14:paraId="080D78AD" w14:textId="77777777" w:rsidR="004B3A27" w:rsidRPr="0080300E" w:rsidRDefault="004B3A27" w:rsidP="0052682D">
      <w:pPr>
        <w:pStyle w:val="Heading6"/>
        <w:numPr>
          <w:ilvl w:val="0"/>
          <w:numId w:val="0"/>
        </w:numPr>
        <w:spacing w:before="0"/>
        <w:rPr>
          <w:i w:val="0"/>
        </w:rPr>
      </w:pPr>
      <w:r w:rsidRPr="0080300E">
        <w:rPr>
          <w:i w:val="0"/>
        </w:rPr>
        <w:lastRenderedPageBreak/>
        <w:t>Deliberate</w:t>
      </w:r>
      <w:r w:rsidR="00A34B60" w:rsidRPr="0080300E">
        <w:rPr>
          <w:i w:val="0"/>
        </w:rPr>
        <w:t xml:space="preserve"> results</w:t>
      </w:r>
      <w:r w:rsidRPr="0080300E">
        <w:rPr>
          <w:i w:val="0"/>
        </w:rPr>
        <w:t xml:space="preserve">: How </w:t>
      </w:r>
      <w:r w:rsidR="00B418C7" w:rsidRPr="0080300E">
        <w:rPr>
          <w:i w:val="0"/>
        </w:rPr>
        <w:t xml:space="preserve">is </w:t>
      </w:r>
      <w:r w:rsidRPr="0080300E">
        <w:rPr>
          <w:i w:val="0"/>
        </w:rPr>
        <w:t>help gathered from the public to solve a problem</w:t>
      </w:r>
    </w:p>
    <w:p w14:paraId="07DB3A93" w14:textId="77777777" w:rsidR="004B3A27" w:rsidRDefault="004B3A27" w:rsidP="0052682D">
      <w:pPr>
        <w:spacing w:before="0"/>
      </w:pPr>
      <w:r>
        <w:t>The respondents cited 39 examples of deliberating with the public. These included:</w:t>
      </w:r>
    </w:p>
    <w:p w14:paraId="0062D5F3" w14:textId="77777777" w:rsidR="00021AA8" w:rsidRDefault="00021AA8" w:rsidP="0052682D">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6"/>
        <w:gridCol w:w="3940"/>
      </w:tblGrid>
      <w:tr w:rsidR="00021AA8" w14:paraId="2FDBCC09" w14:textId="77777777" w:rsidTr="00021AA8">
        <w:tc>
          <w:tcPr>
            <w:tcW w:w="4508" w:type="dxa"/>
          </w:tcPr>
          <w:p w14:paraId="6AB675C2" w14:textId="77777777" w:rsidR="00021AA8" w:rsidRDefault="00021AA8" w:rsidP="0052682D">
            <w:pPr>
              <w:spacing w:before="0"/>
            </w:pPr>
            <w:r>
              <w:rPr>
                <w:noProof/>
                <w:lang w:eastAsia="en-AU"/>
              </w:rPr>
              <w:drawing>
                <wp:inline distT="0" distB="0" distL="0" distR="0" wp14:anchorId="61AC9220" wp14:editId="346EBB14">
                  <wp:extent cx="3092536" cy="2735249"/>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179" t="1133" r="22196" b="1482"/>
                          <a:stretch/>
                        </pic:blipFill>
                        <pic:spPr bwMode="auto">
                          <a:xfrm>
                            <a:off x="0" y="0"/>
                            <a:ext cx="3099680" cy="2741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74D0934E" w14:textId="77777777" w:rsidR="00021AA8" w:rsidRDefault="00021AA8" w:rsidP="0052682D">
            <w:pPr>
              <w:pStyle w:val="ListParagraph"/>
              <w:numPr>
                <w:ilvl w:val="0"/>
                <w:numId w:val="38"/>
              </w:numPr>
              <w:spacing w:before="0"/>
            </w:pPr>
            <w:r>
              <w:t>23% through established groups, forums and roundtables;</w:t>
            </w:r>
          </w:p>
          <w:p w14:paraId="00AFFAEB" w14:textId="77777777" w:rsidR="00021AA8" w:rsidRDefault="00021AA8" w:rsidP="0052682D">
            <w:pPr>
              <w:pStyle w:val="ListParagraph"/>
              <w:numPr>
                <w:ilvl w:val="0"/>
                <w:numId w:val="38"/>
              </w:numPr>
              <w:spacing w:before="0"/>
            </w:pPr>
            <w:r>
              <w:t>13% via established feedback mechanisms;</w:t>
            </w:r>
          </w:p>
          <w:p w14:paraId="7A39CC47" w14:textId="77777777" w:rsidR="00021AA8" w:rsidRDefault="00021AA8" w:rsidP="0052682D">
            <w:pPr>
              <w:pStyle w:val="ListParagraph"/>
              <w:numPr>
                <w:ilvl w:val="0"/>
                <w:numId w:val="38"/>
              </w:numPr>
              <w:spacing w:before="0"/>
            </w:pPr>
            <w:r>
              <w:t>13% through formal submission processes;</w:t>
            </w:r>
          </w:p>
          <w:p w14:paraId="165EC7DE" w14:textId="77777777" w:rsidR="00021AA8" w:rsidRDefault="00021AA8" w:rsidP="0052682D">
            <w:pPr>
              <w:pStyle w:val="ListParagraph"/>
              <w:numPr>
                <w:ilvl w:val="0"/>
                <w:numId w:val="38"/>
              </w:numPr>
              <w:spacing w:before="0"/>
            </w:pPr>
            <w:r>
              <w:t>8% through online platforms, workshops or hackathons, and market research; and</w:t>
            </w:r>
          </w:p>
          <w:p w14:paraId="4D264945" w14:textId="77777777" w:rsidR="00021AA8" w:rsidRDefault="00021AA8" w:rsidP="0052682D">
            <w:pPr>
              <w:pStyle w:val="ListParagraph"/>
              <w:numPr>
                <w:ilvl w:val="0"/>
                <w:numId w:val="38"/>
              </w:numPr>
              <w:spacing w:before="0"/>
            </w:pPr>
            <w:r>
              <w:t xml:space="preserve">7% through social media. </w:t>
            </w:r>
          </w:p>
          <w:p w14:paraId="50D5A9B1" w14:textId="77777777" w:rsidR="00021AA8" w:rsidRDefault="00021AA8" w:rsidP="0052682D">
            <w:pPr>
              <w:spacing w:before="0"/>
            </w:pPr>
          </w:p>
        </w:tc>
      </w:tr>
    </w:tbl>
    <w:p w14:paraId="1E2F3BDB" w14:textId="77777777" w:rsidR="004B3A27" w:rsidRDefault="004463EB" w:rsidP="0052682D">
      <w:pPr>
        <w:spacing w:before="0"/>
      </w:pPr>
      <w:r w:rsidRPr="004463EB">
        <w:rPr>
          <w:b/>
        </w:rPr>
        <w:t>Analysis</w:t>
      </w:r>
      <w:r>
        <w:t xml:space="preserve">: </w:t>
      </w:r>
      <w:r w:rsidR="004B3A27">
        <w:t xml:space="preserve">According to the survey, the APS utilises many of the same </w:t>
      </w:r>
      <w:r w:rsidR="007F7B39">
        <w:t>engagement practices</w:t>
      </w:r>
      <w:r w:rsidR="004B3A27">
        <w:t xml:space="preserve"> when they are seeking assistance to identify or solve a problem, as they do when they are seeking feedback. While groups/forums/roundtables are structures that can be utilised to deliberate on issues, many of the other approaches identified are predominantly one way, such as feedback, market research, surveys. This brings into question the degree of delibera</w:t>
      </w:r>
      <w:r w:rsidR="00A76699">
        <w:t>tion that is truly occurring.</w:t>
      </w:r>
    </w:p>
    <w:p w14:paraId="1517F815" w14:textId="77777777" w:rsidR="00A76699" w:rsidRPr="00A76699" w:rsidRDefault="00A76699" w:rsidP="0052682D">
      <w:pPr>
        <w:spacing w:before="0"/>
      </w:pPr>
    </w:p>
    <w:p w14:paraId="539507F5" w14:textId="77777777" w:rsidR="004B3A27" w:rsidRPr="0080300E" w:rsidRDefault="004B3A27" w:rsidP="0052682D">
      <w:pPr>
        <w:pStyle w:val="Heading6"/>
        <w:numPr>
          <w:ilvl w:val="0"/>
          <w:numId w:val="0"/>
        </w:numPr>
        <w:spacing w:before="0"/>
        <w:rPr>
          <w:i w:val="0"/>
        </w:rPr>
      </w:pPr>
      <w:r w:rsidRPr="0080300E">
        <w:rPr>
          <w:i w:val="0"/>
        </w:rPr>
        <w:t>Collaborate</w:t>
      </w:r>
      <w:r w:rsidR="00A34B60" w:rsidRPr="0080300E">
        <w:rPr>
          <w:i w:val="0"/>
        </w:rPr>
        <w:t xml:space="preserve"> results</w:t>
      </w:r>
      <w:r w:rsidRPr="0080300E">
        <w:rPr>
          <w:i w:val="0"/>
        </w:rPr>
        <w:t xml:space="preserve">: How </w:t>
      </w:r>
      <w:r w:rsidR="00B418C7" w:rsidRPr="0080300E">
        <w:rPr>
          <w:i w:val="0"/>
        </w:rPr>
        <w:t xml:space="preserve">is </w:t>
      </w:r>
      <w:r w:rsidRPr="0080300E">
        <w:rPr>
          <w:i w:val="0"/>
        </w:rPr>
        <w:t>help gathered from the public to implement a solution</w:t>
      </w:r>
    </w:p>
    <w:p w14:paraId="175F230A" w14:textId="77777777" w:rsidR="004B3A27" w:rsidRDefault="004B3A27" w:rsidP="0052682D">
      <w:pPr>
        <w:spacing w:before="0"/>
      </w:pPr>
      <w:r>
        <w:t>The respondents provided 34 examples of collaboration with the public. These include:</w:t>
      </w:r>
    </w:p>
    <w:p w14:paraId="37CFF2BA" w14:textId="77777777" w:rsidR="004463EB" w:rsidRDefault="004463EB" w:rsidP="0052682D">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463EB" w14:paraId="5947B3DC" w14:textId="77777777" w:rsidTr="004463EB">
        <w:tc>
          <w:tcPr>
            <w:tcW w:w="4508" w:type="dxa"/>
          </w:tcPr>
          <w:p w14:paraId="3F9F96F9" w14:textId="77777777" w:rsidR="004463EB" w:rsidRDefault="004463EB" w:rsidP="0052682D">
            <w:pPr>
              <w:spacing w:before="0"/>
            </w:pPr>
            <w:r>
              <w:rPr>
                <w:noProof/>
                <w:lang w:eastAsia="en-AU"/>
              </w:rPr>
              <w:drawing>
                <wp:inline distT="0" distB="0" distL="0" distR="0" wp14:anchorId="170BC5DC" wp14:editId="39B2495C">
                  <wp:extent cx="2689421" cy="2509283"/>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584" t="1270" r="11680" b="2158"/>
                          <a:stretch/>
                        </pic:blipFill>
                        <pic:spPr bwMode="auto">
                          <a:xfrm>
                            <a:off x="0" y="0"/>
                            <a:ext cx="2705728" cy="2524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686F9A48" w14:textId="77777777" w:rsidR="004463EB" w:rsidRDefault="004463EB" w:rsidP="0052682D">
            <w:pPr>
              <w:pStyle w:val="ListParagraph"/>
              <w:numPr>
                <w:ilvl w:val="0"/>
                <w:numId w:val="38"/>
              </w:numPr>
              <w:spacing w:before="0"/>
            </w:pPr>
            <w:r>
              <w:t>19% through established groups and forums;</w:t>
            </w:r>
          </w:p>
          <w:p w14:paraId="1C7EB578" w14:textId="77777777" w:rsidR="004463EB" w:rsidRDefault="004463EB" w:rsidP="0052682D">
            <w:pPr>
              <w:pStyle w:val="ListParagraph"/>
              <w:numPr>
                <w:ilvl w:val="0"/>
                <w:numId w:val="38"/>
              </w:numPr>
              <w:spacing w:before="0"/>
            </w:pPr>
            <w:r>
              <w:t xml:space="preserve">15% via workshops; </w:t>
            </w:r>
          </w:p>
          <w:p w14:paraId="440472FE" w14:textId="77777777" w:rsidR="004463EB" w:rsidRDefault="004463EB" w:rsidP="0052682D">
            <w:pPr>
              <w:pStyle w:val="ListParagraph"/>
              <w:numPr>
                <w:ilvl w:val="0"/>
                <w:numId w:val="38"/>
              </w:numPr>
              <w:spacing w:before="0"/>
            </w:pPr>
            <w:r>
              <w:t>12 % through formal submission processes, engaging a consultant or service provider, and challenges such as the Business Research and Innovation Initiative (BRII); and</w:t>
            </w:r>
          </w:p>
          <w:p w14:paraId="79BC4F2A" w14:textId="77777777" w:rsidR="004463EB" w:rsidRDefault="004463EB" w:rsidP="0052682D">
            <w:pPr>
              <w:pStyle w:val="ListParagraph"/>
              <w:numPr>
                <w:ilvl w:val="0"/>
                <w:numId w:val="38"/>
              </w:numPr>
              <w:spacing w:before="0"/>
            </w:pPr>
            <w:r>
              <w:t>11% through targeted consultations or meetings.</w:t>
            </w:r>
          </w:p>
          <w:p w14:paraId="4835F6BE" w14:textId="77777777" w:rsidR="004463EB" w:rsidRDefault="004463EB" w:rsidP="0052682D">
            <w:pPr>
              <w:spacing w:before="0"/>
            </w:pPr>
          </w:p>
        </w:tc>
      </w:tr>
    </w:tbl>
    <w:p w14:paraId="2ECBDAC9" w14:textId="77777777" w:rsidR="004463EB" w:rsidRDefault="004463EB" w:rsidP="0052682D">
      <w:pPr>
        <w:spacing w:before="0"/>
      </w:pPr>
    </w:p>
    <w:p w14:paraId="5D951F05" w14:textId="77777777" w:rsidR="00C70CFA" w:rsidRDefault="00C70CFA" w:rsidP="0052682D">
      <w:pPr>
        <w:spacing w:before="0"/>
      </w:pPr>
    </w:p>
    <w:p w14:paraId="3CD3E007" w14:textId="77777777" w:rsidR="00A76699" w:rsidRDefault="004463EB" w:rsidP="00A76699">
      <w:pPr>
        <w:spacing w:before="0"/>
      </w:pPr>
      <w:r w:rsidRPr="004463EB">
        <w:rPr>
          <w:b/>
        </w:rPr>
        <w:t>Analysis</w:t>
      </w:r>
      <w:r>
        <w:t xml:space="preserve">: </w:t>
      </w:r>
      <w:r w:rsidR="004B3A27">
        <w:t xml:space="preserve">The relatively high reliance on static processes, such as consultants, submissions and targeted consultations, potentially brings into question the level of understanding around collaborative processes and the degree to which they are genuinely utilised. </w:t>
      </w:r>
    </w:p>
    <w:p w14:paraId="274644E3" w14:textId="77777777" w:rsidR="00A76699" w:rsidRDefault="00A76699" w:rsidP="00A76699">
      <w:pPr>
        <w:spacing w:before="0"/>
      </w:pPr>
    </w:p>
    <w:p w14:paraId="4DCD71DC" w14:textId="77777777" w:rsidR="004B3A27" w:rsidRPr="0080300E" w:rsidRDefault="004B3A27" w:rsidP="00A76699">
      <w:pPr>
        <w:pStyle w:val="Heading6"/>
        <w:numPr>
          <w:ilvl w:val="0"/>
          <w:numId w:val="0"/>
        </w:numPr>
        <w:spacing w:before="0"/>
        <w:rPr>
          <w:i w:val="0"/>
        </w:rPr>
      </w:pPr>
      <w:r w:rsidRPr="0080300E">
        <w:rPr>
          <w:i w:val="0"/>
        </w:rPr>
        <w:lastRenderedPageBreak/>
        <w:t>Implications</w:t>
      </w:r>
      <w:r w:rsidR="008560F3" w:rsidRPr="0080300E">
        <w:rPr>
          <w:i w:val="0"/>
        </w:rPr>
        <w:t xml:space="preserve"> from survey question 1 – Types of engagement approach</w:t>
      </w:r>
    </w:p>
    <w:p w14:paraId="5D95E401" w14:textId="77777777" w:rsidR="004B3A27" w:rsidRDefault="004B3A27" w:rsidP="0052682D">
      <w:pPr>
        <w:spacing w:before="0"/>
      </w:pPr>
      <w:r>
        <w:t xml:space="preserve">More than half of the departments did not differentiate between information sharing/consultation, versus deliberation and collaboration. The </w:t>
      </w:r>
      <w:r w:rsidR="008560F3">
        <w:t>results</w:t>
      </w:r>
      <w:r>
        <w:t xml:space="preserve"> demonstrates a tendency for ‘one size fits all’ type models irrespective of the nature of the problem or opportunity. There is a lack of awareness of public participation process beyond information sharing and consultation. This is consistent with the findings from the user interviews with APS staff.</w:t>
      </w:r>
    </w:p>
    <w:p w14:paraId="5A58E775" w14:textId="77777777" w:rsidR="00C70CFA" w:rsidRDefault="00C70CFA" w:rsidP="0052682D">
      <w:pPr>
        <w:spacing w:before="0"/>
      </w:pPr>
    </w:p>
    <w:p w14:paraId="1FB45F54" w14:textId="77777777" w:rsidR="00B418C7" w:rsidRDefault="004B3A27" w:rsidP="0052682D">
      <w:pPr>
        <w:spacing w:before="0"/>
      </w:pPr>
      <w:r>
        <w:t xml:space="preserve">There is a greater emphasis on more transactional and passive </w:t>
      </w:r>
      <w:r w:rsidR="008560F3">
        <w:t>practices for</w:t>
      </w:r>
      <w:r>
        <w:t xml:space="preserve"> engaging the community (e.g., feedback and formal submission processes). This may simply reflect the degree to which the APS share information and consult. Alternatively it could mean, the APS is missing out on opportunities to engage more effectively due to this over reliance on more traditional modes of communication.</w:t>
      </w:r>
      <w:r w:rsidR="00562C37">
        <w:t xml:space="preserve"> </w:t>
      </w:r>
    </w:p>
    <w:p w14:paraId="65B9DB9A" w14:textId="77777777" w:rsidR="00DB4C2C" w:rsidRDefault="00DB4C2C" w:rsidP="0052682D">
      <w:pPr>
        <w:spacing w:before="0"/>
        <w:rPr>
          <w:rFonts w:ascii="Calibri Light" w:eastAsia="MS Gothic" w:hAnsi="Calibri Light"/>
          <w:bCs/>
          <w:color w:val="254F90"/>
          <w:sz w:val="24"/>
        </w:rPr>
      </w:pPr>
    </w:p>
    <w:p w14:paraId="262A84BB" w14:textId="77777777" w:rsidR="00551A9E" w:rsidRPr="0080300E" w:rsidRDefault="00551A9E" w:rsidP="00551A9E">
      <w:pPr>
        <w:pStyle w:val="Heading6"/>
        <w:numPr>
          <w:ilvl w:val="0"/>
          <w:numId w:val="0"/>
        </w:numPr>
        <w:spacing w:before="0"/>
        <w:rPr>
          <w:i w:val="0"/>
        </w:rPr>
      </w:pPr>
      <w:r w:rsidRPr="0080300E">
        <w:rPr>
          <w:i w:val="0"/>
        </w:rPr>
        <w:t>Key findings: Survey question - Barriers to engagement</w:t>
      </w:r>
    </w:p>
    <w:p w14:paraId="4832AEFC" w14:textId="77777777" w:rsidR="00551A9E" w:rsidRDefault="00551A9E" w:rsidP="00551A9E">
      <w:pPr>
        <w:spacing w:before="0"/>
      </w:pPr>
      <w:r>
        <w:t xml:space="preserve">The majority of the respondents cited </w:t>
      </w:r>
      <w:r w:rsidRPr="00707D9D">
        <w:t xml:space="preserve">the </w:t>
      </w:r>
      <w:r>
        <w:t xml:space="preserve">‘authorising environment’ as a recurring barrier, which prevented more meaningful consultation with the public. Respondents referred to the ‘authorising environment’ as: </w:t>
      </w:r>
    </w:p>
    <w:p w14:paraId="5B6FC419" w14:textId="77777777" w:rsidR="00551A9E" w:rsidRDefault="00551A9E" w:rsidP="00551A9E">
      <w:pPr>
        <w:pStyle w:val="ListParagraph"/>
        <w:numPr>
          <w:ilvl w:val="0"/>
          <w:numId w:val="38"/>
        </w:numPr>
        <w:spacing w:before="0"/>
      </w:pPr>
      <w:r>
        <w:t>insufficient time and resources;</w:t>
      </w:r>
    </w:p>
    <w:p w14:paraId="69C2E904" w14:textId="77777777" w:rsidR="00551A9E" w:rsidRDefault="00551A9E" w:rsidP="00551A9E">
      <w:pPr>
        <w:pStyle w:val="ListParagraph"/>
        <w:numPr>
          <w:ilvl w:val="0"/>
          <w:numId w:val="38"/>
        </w:numPr>
        <w:spacing w:before="0"/>
      </w:pPr>
      <w:r>
        <w:t xml:space="preserve">pressures from budget cycles; </w:t>
      </w:r>
    </w:p>
    <w:p w14:paraId="75723AE8" w14:textId="77777777" w:rsidR="00551A9E" w:rsidRDefault="00551A9E" w:rsidP="00551A9E">
      <w:pPr>
        <w:pStyle w:val="ListParagraph"/>
        <w:numPr>
          <w:ilvl w:val="0"/>
          <w:numId w:val="38"/>
        </w:numPr>
        <w:spacing w:before="0"/>
      </w:pPr>
      <w:r>
        <w:t xml:space="preserve">political sensitivities; </w:t>
      </w:r>
    </w:p>
    <w:p w14:paraId="3A4ACB2C" w14:textId="77777777" w:rsidR="00551A9E" w:rsidRDefault="00551A9E" w:rsidP="00551A9E">
      <w:pPr>
        <w:pStyle w:val="ListParagraph"/>
        <w:numPr>
          <w:ilvl w:val="0"/>
          <w:numId w:val="38"/>
        </w:numPr>
        <w:spacing w:before="0"/>
      </w:pPr>
      <w:r>
        <w:t xml:space="preserve">inability to share information due to confidentiality; </w:t>
      </w:r>
      <w:r w:rsidR="00B06E12">
        <w:t>and</w:t>
      </w:r>
    </w:p>
    <w:p w14:paraId="6261183F" w14:textId="3CD331AD" w:rsidR="00551A9E" w:rsidRDefault="00551A9E" w:rsidP="00551A9E">
      <w:pPr>
        <w:pStyle w:val="ListParagraph"/>
        <w:numPr>
          <w:ilvl w:val="0"/>
          <w:numId w:val="38"/>
        </w:numPr>
        <w:spacing w:before="0"/>
      </w:pPr>
      <w:r>
        <w:t>lack of capacity to travel and spend time in regional and country areas</w:t>
      </w:r>
      <w:r w:rsidR="00B06E12">
        <w:t>.</w:t>
      </w:r>
    </w:p>
    <w:p w14:paraId="1764FD68" w14:textId="77777777" w:rsidR="00551A9E" w:rsidRDefault="00551A9E" w:rsidP="00551A9E">
      <w:pPr>
        <w:pStyle w:val="ListParagraph"/>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3950"/>
      </w:tblGrid>
      <w:tr w:rsidR="00DB4C2C" w14:paraId="1DB11370" w14:textId="77777777" w:rsidTr="00DB4C2C">
        <w:tc>
          <w:tcPr>
            <w:tcW w:w="4508" w:type="dxa"/>
          </w:tcPr>
          <w:p w14:paraId="185A4537" w14:textId="77777777" w:rsidR="00DB4C2C" w:rsidRDefault="00DB4C2C" w:rsidP="00551A9E">
            <w:pPr>
              <w:spacing w:before="0"/>
            </w:pPr>
            <w:r>
              <w:rPr>
                <w:noProof/>
                <w:lang w:eastAsia="en-AU"/>
              </w:rPr>
              <w:drawing>
                <wp:inline distT="0" distB="0" distL="0" distR="0" wp14:anchorId="07B5305B" wp14:editId="4D0CD60B">
                  <wp:extent cx="3076575" cy="3152775"/>
                  <wp:effectExtent l="0" t="0" r="9525"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c>
          <w:tcPr>
            <w:tcW w:w="4508" w:type="dxa"/>
          </w:tcPr>
          <w:p w14:paraId="5A1E1EED" w14:textId="77777777" w:rsidR="00B06E12" w:rsidRDefault="00DB4C2C" w:rsidP="00DB4C2C">
            <w:pPr>
              <w:spacing w:before="0"/>
            </w:pPr>
            <w:r>
              <w:t xml:space="preserve">A lack of trust and confidence in the ability of stakeholders to engage in a constructive way was the second most cited barrier. The respondents expressed that, often stakeholders had vested interests that impacted their objectivity, and could be too passionate with strong views, and divergent ideas. This can lead to difficulty in managing their expectations. </w:t>
            </w:r>
          </w:p>
          <w:p w14:paraId="50956308" w14:textId="77777777" w:rsidR="00B06E12" w:rsidRDefault="00B06E12" w:rsidP="00DB4C2C">
            <w:pPr>
              <w:spacing w:before="0"/>
            </w:pPr>
          </w:p>
          <w:p w14:paraId="0E050A31" w14:textId="77777777" w:rsidR="00DB4C2C" w:rsidRDefault="00DB4C2C" w:rsidP="00DB4C2C">
            <w:pPr>
              <w:spacing w:before="0"/>
            </w:pPr>
            <w:r>
              <w:t xml:space="preserve">The respondents also recognised the importance of raising APS awareness, by providing appropriate training opportunities to design sophisticated engagement practices. The respondents suggested improving APS motivation to engage with the public. To achieve this, the APS must understand the potential benefits of better engagement, and have the appropriate incentives to engage in meaningful consultations. </w:t>
            </w:r>
          </w:p>
          <w:p w14:paraId="7264BCEF" w14:textId="77777777" w:rsidR="00DB4C2C" w:rsidRDefault="00DB4C2C" w:rsidP="00551A9E">
            <w:pPr>
              <w:spacing w:before="0"/>
            </w:pPr>
          </w:p>
        </w:tc>
      </w:tr>
    </w:tbl>
    <w:p w14:paraId="2D4377D8" w14:textId="77777777" w:rsidR="00DB4C2C" w:rsidRDefault="00DB4C2C" w:rsidP="00551A9E">
      <w:pPr>
        <w:spacing w:before="0"/>
      </w:pPr>
    </w:p>
    <w:p w14:paraId="1059703D" w14:textId="77777777" w:rsidR="00551A9E" w:rsidRPr="0080300E" w:rsidRDefault="00551A9E" w:rsidP="00551A9E">
      <w:pPr>
        <w:pStyle w:val="Heading6"/>
        <w:numPr>
          <w:ilvl w:val="0"/>
          <w:numId w:val="0"/>
        </w:numPr>
        <w:spacing w:before="0"/>
        <w:rPr>
          <w:i w:val="0"/>
        </w:rPr>
      </w:pPr>
      <w:r w:rsidRPr="0080300E">
        <w:rPr>
          <w:i w:val="0"/>
        </w:rPr>
        <w:lastRenderedPageBreak/>
        <w:t>Implications</w:t>
      </w:r>
    </w:p>
    <w:p w14:paraId="523394AC" w14:textId="77777777" w:rsidR="00551A9E" w:rsidRDefault="00551A9E">
      <w:pPr>
        <w:spacing w:before="0"/>
      </w:pPr>
      <w:r w:rsidRPr="006D1F12">
        <w:t>The authorising environment places constraints on more deliberative and collaborative type engagement approaches. In many instances this is appropriate, and even unavoidable. For example, when information is politically sensitive or ‘cabinet in confidence’, and cannot be disclosed, or when legal requirements demand a quicker turnaround. However, we need to ensure we strike an appropriate balance between respecting legitimate constraints, and aspects that are in our control.</w:t>
      </w:r>
    </w:p>
    <w:p w14:paraId="1FDB7363" w14:textId="77777777" w:rsidR="00A76699" w:rsidRDefault="00A76699">
      <w:pPr>
        <w:spacing w:before="0"/>
        <w:rPr>
          <w:rFonts w:ascii="Arial" w:eastAsia="MS Gothic" w:hAnsi="Arial"/>
          <w:iCs/>
          <w:color w:val="122748"/>
        </w:rPr>
      </w:pPr>
    </w:p>
    <w:p w14:paraId="40E65BD4" w14:textId="77777777" w:rsidR="004B3A27" w:rsidRPr="0080300E" w:rsidRDefault="00806177" w:rsidP="0052682D">
      <w:pPr>
        <w:pStyle w:val="Heading6"/>
        <w:numPr>
          <w:ilvl w:val="0"/>
          <w:numId w:val="0"/>
        </w:numPr>
        <w:spacing w:before="0"/>
        <w:rPr>
          <w:i w:val="0"/>
        </w:rPr>
      </w:pPr>
      <w:r w:rsidRPr="0080300E">
        <w:rPr>
          <w:i w:val="0"/>
        </w:rPr>
        <w:t xml:space="preserve">Key findings: Survey question - </w:t>
      </w:r>
      <w:r w:rsidR="004B3A27" w:rsidRPr="0080300E">
        <w:rPr>
          <w:i w:val="0"/>
        </w:rPr>
        <w:t xml:space="preserve">Potential improvements to engagement </w:t>
      </w:r>
    </w:p>
    <w:p w14:paraId="605DBD10" w14:textId="77777777" w:rsidR="00863704" w:rsidRDefault="004B3A27" w:rsidP="0052682D">
      <w:pPr>
        <w:spacing w:before="0"/>
      </w:pPr>
      <w:r>
        <w:t>The respondents identified a number way</w:t>
      </w:r>
      <w:r w:rsidR="00A235F8">
        <w:t>s to improve</w:t>
      </w:r>
      <w:r>
        <w:t xml:space="preserve"> APS engage</w:t>
      </w:r>
      <w:r w:rsidR="00A235F8">
        <w:t>ment</w:t>
      </w:r>
      <w:r>
        <w:t xml:space="preserve"> with the public. </w:t>
      </w:r>
    </w:p>
    <w:p w14:paraId="072B01FB" w14:textId="77777777" w:rsidR="00863704" w:rsidRDefault="00863704" w:rsidP="0052682D">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3530"/>
      </w:tblGrid>
      <w:tr w:rsidR="00863704" w14:paraId="6D56B551" w14:textId="77777777" w:rsidTr="00863704">
        <w:tc>
          <w:tcPr>
            <w:tcW w:w="4508" w:type="dxa"/>
          </w:tcPr>
          <w:p w14:paraId="17F7B4A1" w14:textId="77777777" w:rsidR="00863704" w:rsidRDefault="00863704" w:rsidP="0052682D">
            <w:pPr>
              <w:spacing w:before="0"/>
            </w:pPr>
            <w:r>
              <w:rPr>
                <w:noProof/>
                <w:lang w:eastAsia="en-AU"/>
              </w:rPr>
              <w:drawing>
                <wp:anchor distT="0" distB="0" distL="114300" distR="114300" simplePos="0" relativeHeight="251658276" behindDoc="0" locked="0" layoutInCell="1" allowOverlap="1" wp14:anchorId="007C4CAD" wp14:editId="3B9632CF">
                  <wp:simplePos x="0" y="0"/>
                  <wp:positionH relativeFrom="margin">
                    <wp:posOffset>13970</wp:posOffset>
                  </wp:positionH>
                  <wp:positionV relativeFrom="paragraph">
                    <wp:posOffset>61595</wp:posOffset>
                  </wp:positionV>
                  <wp:extent cx="3348990" cy="2238375"/>
                  <wp:effectExtent l="0" t="0" r="3810" b="9525"/>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tc>
        <w:tc>
          <w:tcPr>
            <w:tcW w:w="4508" w:type="dxa"/>
          </w:tcPr>
          <w:p w14:paraId="14D9520B" w14:textId="77777777" w:rsidR="00863704" w:rsidRDefault="00863704" w:rsidP="00863704">
            <w:pPr>
              <w:spacing w:before="0"/>
            </w:pPr>
            <w:r>
              <w:t xml:space="preserve">The key improvements include: </w:t>
            </w:r>
          </w:p>
          <w:p w14:paraId="702D2365" w14:textId="77777777" w:rsidR="00863704" w:rsidRDefault="00863704" w:rsidP="00863704">
            <w:pPr>
              <w:pStyle w:val="ListParagraph"/>
              <w:numPr>
                <w:ilvl w:val="0"/>
                <w:numId w:val="38"/>
              </w:numPr>
              <w:spacing w:before="0"/>
            </w:pPr>
            <w:r>
              <w:t>building relationships with the public;</w:t>
            </w:r>
          </w:p>
          <w:p w14:paraId="0EB3CAC3" w14:textId="77777777" w:rsidR="00863704" w:rsidRDefault="00863704" w:rsidP="00863704">
            <w:pPr>
              <w:pStyle w:val="ListParagraph"/>
              <w:numPr>
                <w:ilvl w:val="0"/>
                <w:numId w:val="38"/>
              </w:numPr>
              <w:spacing w:before="0"/>
            </w:pPr>
            <w:r>
              <w:t>applying more advanced methodologies;</w:t>
            </w:r>
          </w:p>
          <w:p w14:paraId="22765210" w14:textId="77777777" w:rsidR="00863704" w:rsidRDefault="00863704" w:rsidP="00863704">
            <w:pPr>
              <w:pStyle w:val="ListParagraph"/>
              <w:numPr>
                <w:ilvl w:val="0"/>
                <w:numId w:val="38"/>
              </w:numPr>
              <w:spacing w:before="0"/>
            </w:pPr>
            <w:r>
              <w:t xml:space="preserve">making changes to the ‘authorising environment’; and </w:t>
            </w:r>
          </w:p>
          <w:p w14:paraId="303704A2" w14:textId="77777777" w:rsidR="00863704" w:rsidRDefault="00863704" w:rsidP="00863704">
            <w:pPr>
              <w:pStyle w:val="ListParagraph"/>
              <w:numPr>
                <w:ilvl w:val="0"/>
                <w:numId w:val="38"/>
              </w:numPr>
              <w:spacing w:before="0"/>
            </w:pPr>
            <w:r>
              <w:t xml:space="preserve">creating more opportunities to co-design with the public. </w:t>
            </w:r>
          </w:p>
          <w:p w14:paraId="49B98601" w14:textId="77777777" w:rsidR="00863704" w:rsidRDefault="00863704" w:rsidP="0052682D">
            <w:pPr>
              <w:spacing w:before="0"/>
            </w:pPr>
          </w:p>
        </w:tc>
      </w:tr>
    </w:tbl>
    <w:p w14:paraId="3276E647" w14:textId="77777777" w:rsidR="004B3A27" w:rsidRPr="0080300E" w:rsidRDefault="004B3A27" w:rsidP="0052682D">
      <w:pPr>
        <w:spacing w:before="0"/>
        <w:rPr>
          <w:u w:val="single"/>
        </w:rPr>
      </w:pPr>
      <w:r w:rsidRPr="0080300E">
        <w:rPr>
          <w:u w:val="single"/>
        </w:rPr>
        <w:t>Building relationships</w:t>
      </w:r>
    </w:p>
    <w:p w14:paraId="166D0365" w14:textId="77777777" w:rsidR="004B3A27" w:rsidRDefault="004B3A27" w:rsidP="0052682D">
      <w:pPr>
        <w:spacing w:before="0"/>
      </w:pPr>
      <w:r>
        <w:t xml:space="preserve">Respondents identified a number of areas of improvement in order to build ongoing relationship with the public. These include: </w:t>
      </w:r>
    </w:p>
    <w:p w14:paraId="6F27E5BF" w14:textId="77777777" w:rsidR="004B3A27" w:rsidRDefault="004B3A27" w:rsidP="0052682D">
      <w:pPr>
        <w:pStyle w:val="ListParagraph"/>
        <w:numPr>
          <w:ilvl w:val="0"/>
          <w:numId w:val="38"/>
        </w:numPr>
        <w:spacing w:before="0"/>
      </w:pPr>
      <w:r>
        <w:t>earlier and more frequent engagement;</w:t>
      </w:r>
    </w:p>
    <w:p w14:paraId="68A5C918" w14:textId="77777777" w:rsidR="004B3A27" w:rsidRDefault="004B3A27" w:rsidP="0052682D">
      <w:pPr>
        <w:pStyle w:val="ListParagraph"/>
        <w:numPr>
          <w:ilvl w:val="0"/>
          <w:numId w:val="38"/>
        </w:numPr>
        <w:spacing w:before="0"/>
      </w:pPr>
      <w:r>
        <w:t>more sustained and systematic ‘town hall’ type engagements;</w:t>
      </w:r>
    </w:p>
    <w:p w14:paraId="3B208F89" w14:textId="77777777" w:rsidR="004B3A27" w:rsidRDefault="004B3A27" w:rsidP="0052682D">
      <w:pPr>
        <w:pStyle w:val="ListParagraph"/>
        <w:numPr>
          <w:ilvl w:val="0"/>
          <w:numId w:val="38"/>
        </w:numPr>
        <w:spacing w:before="0"/>
      </w:pPr>
      <w:r>
        <w:t xml:space="preserve">closing the loop and keeping the public informed; and </w:t>
      </w:r>
    </w:p>
    <w:p w14:paraId="6B2F513C" w14:textId="77777777" w:rsidR="004B3A27" w:rsidRDefault="004B3A27" w:rsidP="0052682D">
      <w:pPr>
        <w:pStyle w:val="ListParagraph"/>
        <w:numPr>
          <w:ilvl w:val="0"/>
          <w:numId w:val="38"/>
        </w:numPr>
        <w:spacing w:before="0"/>
      </w:pPr>
      <w:r>
        <w:t xml:space="preserve">culturally appropriate engagement approaches. </w:t>
      </w:r>
    </w:p>
    <w:p w14:paraId="114C5C2B" w14:textId="77777777" w:rsidR="00C70CFA" w:rsidRDefault="00C70CFA" w:rsidP="0052682D">
      <w:pPr>
        <w:pStyle w:val="ListParagraph"/>
        <w:spacing w:before="0"/>
      </w:pPr>
    </w:p>
    <w:p w14:paraId="39788A5B" w14:textId="77777777" w:rsidR="004B3A27" w:rsidRPr="0080300E" w:rsidRDefault="004B3A27" w:rsidP="0052682D">
      <w:pPr>
        <w:spacing w:before="0"/>
        <w:rPr>
          <w:u w:val="single"/>
        </w:rPr>
      </w:pPr>
      <w:r w:rsidRPr="0080300E">
        <w:rPr>
          <w:u w:val="single"/>
        </w:rPr>
        <w:t>Advanced methodologies</w:t>
      </w:r>
    </w:p>
    <w:p w14:paraId="60608964" w14:textId="77777777" w:rsidR="004B3A27" w:rsidRDefault="004B3A27" w:rsidP="0052682D">
      <w:pPr>
        <w:spacing w:before="0"/>
      </w:pPr>
      <w:r>
        <w:t xml:space="preserve">Improvements to advanced methodologies related to improving the process or methodology of the engagement itself and included: </w:t>
      </w:r>
    </w:p>
    <w:p w14:paraId="7283B457" w14:textId="77777777" w:rsidR="004B3A27" w:rsidRDefault="004B3A27" w:rsidP="0052682D">
      <w:pPr>
        <w:pStyle w:val="ListParagraph"/>
        <w:numPr>
          <w:ilvl w:val="0"/>
          <w:numId w:val="38"/>
        </w:numPr>
        <w:spacing w:before="0"/>
      </w:pPr>
      <w:r>
        <w:t xml:space="preserve">engagements that are more representative of the population; </w:t>
      </w:r>
    </w:p>
    <w:p w14:paraId="41AA66D7" w14:textId="77777777" w:rsidR="004B3A27" w:rsidRDefault="004B3A27" w:rsidP="0052682D">
      <w:pPr>
        <w:pStyle w:val="ListParagraph"/>
        <w:numPr>
          <w:ilvl w:val="0"/>
          <w:numId w:val="38"/>
        </w:numPr>
        <w:spacing w:before="0"/>
      </w:pPr>
      <w:r>
        <w:t xml:space="preserve">more accessible to the public; </w:t>
      </w:r>
    </w:p>
    <w:p w14:paraId="41381C0C" w14:textId="77777777" w:rsidR="004B3A27" w:rsidRDefault="004B3A27" w:rsidP="0052682D">
      <w:pPr>
        <w:pStyle w:val="ListParagraph"/>
        <w:numPr>
          <w:ilvl w:val="0"/>
          <w:numId w:val="38"/>
        </w:numPr>
        <w:spacing w:before="0"/>
      </w:pPr>
      <w:r>
        <w:t>clear and concise in its presentation to the public;</w:t>
      </w:r>
    </w:p>
    <w:p w14:paraId="2098DF50" w14:textId="77777777" w:rsidR="004B3A27" w:rsidRDefault="004B3A27" w:rsidP="0052682D">
      <w:pPr>
        <w:pStyle w:val="ListParagraph"/>
        <w:numPr>
          <w:ilvl w:val="0"/>
          <w:numId w:val="38"/>
        </w:numPr>
        <w:spacing w:before="0"/>
      </w:pPr>
      <w:r>
        <w:t xml:space="preserve">having dedicated engagement officers; </w:t>
      </w:r>
    </w:p>
    <w:p w14:paraId="23BBC992" w14:textId="77777777" w:rsidR="004B3A27" w:rsidRDefault="004B3A27" w:rsidP="0052682D">
      <w:pPr>
        <w:pStyle w:val="ListParagraph"/>
        <w:numPr>
          <w:ilvl w:val="0"/>
          <w:numId w:val="38"/>
        </w:numPr>
        <w:spacing w:before="0"/>
      </w:pPr>
      <w:r>
        <w:t>engaging with stakeholders more strategically and proactively; and</w:t>
      </w:r>
    </w:p>
    <w:p w14:paraId="7630A0C8" w14:textId="77777777" w:rsidR="004B3A27" w:rsidRDefault="004B3A27" w:rsidP="0052682D">
      <w:pPr>
        <w:pStyle w:val="ListParagraph"/>
        <w:numPr>
          <w:ilvl w:val="0"/>
          <w:numId w:val="38"/>
        </w:numPr>
        <w:spacing w:before="0"/>
      </w:pPr>
      <w:r>
        <w:t>implementing an evaluation process to obtain feedback.</w:t>
      </w:r>
    </w:p>
    <w:p w14:paraId="42950215" w14:textId="77777777" w:rsidR="00C70CFA" w:rsidRDefault="00C70CFA" w:rsidP="0052682D">
      <w:pPr>
        <w:pStyle w:val="ListParagraph"/>
        <w:spacing w:before="0"/>
      </w:pPr>
    </w:p>
    <w:p w14:paraId="697DA8FB" w14:textId="77777777" w:rsidR="004B3A27" w:rsidRPr="0080300E" w:rsidRDefault="004B3A27" w:rsidP="0052682D">
      <w:pPr>
        <w:spacing w:before="0"/>
        <w:rPr>
          <w:u w:val="single"/>
        </w:rPr>
      </w:pPr>
      <w:r w:rsidRPr="0080300E">
        <w:rPr>
          <w:u w:val="single"/>
        </w:rPr>
        <w:t>Authorising environment</w:t>
      </w:r>
    </w:p>
    <w:p w14:paraId="14C89EB8" w14:textId="77777777" w:rsidR="004B3A27" w:rsidRDefault="004B3A27" w:rsidP="0052682D">
      <w:pPr>
        <w:spacing w:before="0"/>
      </w:pPr>
      <w:r>
        <w:t xml:space="preserve">Respondents described authorising environment to include: </w:t>
      </w:r>
    </w:p>
    <w:p w14:paraId="6F7DC425" w14:textId="77777777" w:rsidR="004B3A27" w:rsidRDefault="004B3A27" w:rsidP="0052682D">
      <w:pPr>
        <w:pStyle w:val="ListParagraph"/>
        <w:numPr>
          <w:ilvl w:val="0"/>
          <w:numId w:val="38"/>
        </w:numPr>
        <w:spacing w:before="0"/>
      </w:pPr>
      <w:r>
        <w:t>Limited time to undertake engagement with the public;</w:t>
      </w:r>
    </w:p>
    <w:p w14:paraId="46DAAE56" w14:textId="77777777" w:rsidR="004B3A27" w:rsidRDefault="004B3A27" w:rsidP="0052682D">
      <w:pPr>
        <w:pStyle w:val="ListParagraph"/>
        <w:numPr>
          <w:ilvl w:val="0"/>
          <w:numId w:val="38"/>
        </w:numPr>
        <w:spacing w:before="0"/>
      </w:pPr>
      <w:r>
        <w:t xml:space="preserve">managing political sensitivities; </w:t>
      </w:r>
    </w:p>
    <w:p w14:paraId="4E5EEC7D" w14:textId="77777777" w:rsidR="004B3A27" w:rsidRDefault="004B3A27" w:rsidP="0052682D">
      <w:pPr>
        <w:pStyle w:val="ListParagraph"/>
        <w:numPr>
          <w:ilvl w:val="0"/>
          <w:numId w:val="38"/>
        </w:numPr>
        <w:spacing w:before="0"/>
      </w:pPr>
      <w:r>
        <w:t>inability to share information due to confidentiality;</w:t>
      </w:r>
    </w:p>
    <w:p w14:paraId="2AA349AF" w14:textId="77777777" w:rsidR="004B3A27" w:rsidRDefault="004B3A27" w:rsidP="0052682D">
      <w:pPr>
        <w:pStyle w:val="ListParagraph"/>
        <w:numPr>
          <w:ilvl w:val="0"/>
          <w:numId w:val="38"/>
        </w:numPr>
        <w:spacing w:before="0"/>
      </w:pPr>
      <w:r>
        <w:t xml:space="preserve">limited authority of APS staff to make decisions and commit to actions; </w:t>
      </w:r>
      <w:r w:rsidR="00B06E12">
        <w:t>and</w:t>
      </w:r>
    </w:p>
    <w:p w14:paraId="554E82FC" w14:textId="761B4A0C" w:rsidR="004B3A27" w:rsidRDefault="004B3A27" w:rsidP="0052682D">
      <w:pPr>
        <w:pStyle w:val="ListParagraph"/>
        <w:numPr>
          <w:ilvl w:val="0"/>
          <w:numId w:val="38"/>
        </w:numPr>
        <w:spacing w:before="0"/>
      </w:pPr>
      <w:r>
        <w:t>lack of a whole of APS environment to facilitate deeper engagement with the public</w:t>
      </w:r>
      <w:r w:rsidR="00B06E12">
        <w:t>.</w:t>
      </w:r>
    </w:p>
    <w:p w14:paraId="6D7C2D5E" w14:textId="77777777" w:rsidR="00C70CFA" w:rsidRDefault="00C70CFA" w:rsidP="0052682D">
      <w:pPr>
        <w:pStyle w:val="ListParagraph"/>
        <w:spacing w:before="0"/>
      </w:pPr>
    </w:p>
    <w:p w14:paraId="4FE56BAE" w14:textId="77777777" w:rsidR="004B3A27" w:rsidRPr="0080300E" w:rsidRDefault="004B3A27" w:rsidP="0052682D">
      <w:pPr>
        <w:spacing w:before="0"/>
        <w:rPr>
          <w:u w:val="single"/>
        </w:rPr>
      </w:pPr>
      <w:r w:rsidRPr="0080300E">
        <w:rPr>
          <w:u w:val="single"/>
        </w:rPr>
        <w:t>Co-design opportunities</w:t>
      </w:r>
    </w:p>
    <w:p w14:paraId="2F60C7DB" w14:textId="77777777" w:rsidR="00C70CFA" w:rsidRDefault="004B3A27" w:rsidP="0052682D">
      <w:pPr>
        <w:spacing w:before="0"/>
      </w:pPr>
      <w:r>
        <w:t xml:space="preserve">The respondents perceived the opportunity to co-design with the public as </w:t>
      </w:r>
      <w:r w:rsidR="008334B1">
        <w:t xml:space="preserve">a </w:t>
      </w:r>
      <w:r>
        <w:t xml:space="preserve">way to develop deeper understanding of end users. Similarly, respondents expressed that testing ideas with end users, through ongoing trusted stakeholder forums would </w:t>
      </w:r>
      <w:r w:rsidR="008334B1">
        <w:t xml:space="preserve">help </w:t>
      </w:r>
      <w:r>
        <w:t>ensure</w:t>
      </w:r>
      <w:r w:rsidR="008334B1">
        <w:t xml:space="preserve"> </w:t>
      </w:r>
      <w:r>
        <w:t xml:space="preserve">that policy aligns with user needs. </w:t>
      </w:r>
    </w:p>
    <w:p w14:paraId="2EDFE7A3" w14:textId="77777777" w:rsidR="00C70CFA" w:rsidRDefault="00C70CFA" w:rsidP="0052682D">
      <w:pPr>
        <w:spacing w:before="0"/>
      </w:pPr>
    </w:p>
    <w:p w14:paraId="5EC63234" w14:textId="77777777" w:rsidR="004B3A27" w:rsidRDefault="004B3A27" w:rsidP="0052682D">
      <w:pPr>
        <w:spacing w:before="0"/>
      </w:pPr>
      <w:r>
        <w:t xml:space="preserve">However, respondents are pragmatic and recognised that feasibility of a co-design model will need to be assessed on a case by case basis. </w:t>
      </w:r>
    </w:p>
    <w:p w14:paraId="7480D47F" w14:textId="77777777" w:rsidR="00C70CFA" w:rsidRDefault="00C70CFA" w:rsidP="0052682D">
      <w:pPr>
        <w:spacing w:before="0"/>
        <w:rPr>
          <w:i/>
        </w:rPr>
      </w:pPr>
    </w:p>
    <w:p w14:paraId="0D6503A7" w14:textId="77777777" w:rsidR="004B3A27" w:rsidRPr="0080300E" w:rsidRDefault="004B3A27" w:rsidP="0052682D">
      <w:pPr>
        <w:spacing w:before="0"/>
        <w:rPr>
          <w:u w:val="single"/>
        </w:rPr>
      </w:pPr>
      <w:r w:rsidRPr="0080300E">
        <w:rPr>
          <w:u w:val="single"/>
        </w:rPr>
        <w:t>Coordinated and systematic approach</w:t>
      </w:r>
    </w:p>
    <w:p w14:paraId="7749C65A" w14:textId="77777777" w:rsidR="004B3A27" w:rsidRPr="002B3E52" w:rsidRDefault="004B3A27" w:rsidP="0052682D">
      <w:pPr>
        <w:spacing w:before="0"/>
      </w:pPr>
      <w:r>
        <w:t>Respondents observed a need to create a coordinated and systematic approach to engagement, both within an organisation and across the APS. This would increase collaboration, create consistency, encourage pa</w:t>
      </w:r>
      <w:r w:rsidR="008334B1">
        <w:t>rtnerships, and reduce duplication</w:t>
      </w:r>
      <w:r>
        <w:t xml:space="preserve"> and consultation fatigue for stakeholders. To achieve this, it was suggested that a central stakeholder engagement strategy may be helpful. </w:t>
      </w:r>
    </w:p>
    <w:p w14:paraId="644B5CBC" w14:textId="77777777" w:rsidR="004B3A27" w:rsidRPr="002B3E52" w:rsidRDefault="004B3A27" w:rsidP="0052682D">
      <w:pPr>
        <w:spacing w:before="0"/>
        <w:rPr>
          <w:b/>
        </w:rPr>
      </w:pPr>
    </w:p>
    <w:p w14:paraId="3A3183D2" w14:textId="77777777" w:rsidR="004B3A27" w:rsidRPr="0080300E" w:rsidRDefault="004B3A27" w:rsidP="0052682D">
      <w:pPr>
        <w:pStyle w:val="Heading6"/>
        <w:numPr>
          <w:ilvl w:val="0"/>
          <w:numId w:val="0"/>
        </w:numPr>
        <w:spacing w:before="0"/>
        <w:rPr>
          <w:i w:val="0"/>
        </w:rPr>
      </w:pPr>
      <w:r w:rsidRPr="0080300E">
        <w:rPr>
          <w:i w:val="0"/>
        </w:rPr>
        <w:t>Implications</w:t>
      </w:r>
    </w:p>
    <w:p w14:paraId="189ADBDE" w14:textId="77777777" w:rsidR="004B3A27" w:rsidRDefault="004B3A27" w:rsidP="0052682D">
      <w:pPr>
        <w:spacing w:before="0"/>
      </w:pPr>
      <w:r>
        <w:t xml:space="preserve">Consistent with the APS user research, there appears to </w:t>
      </w:r>
      <w:r w:rsidRPr="005270BA">
        <w:t xml:space="preserve">be a </w:t>
      </w:r>
      <w:r w:rsidRPr="00D5579F">
        <w:t>knowing/doing gap</w:t>
      </w:r>
      <w:r w:rsidRPr="005270BA">
        <w:t xml:space="preserve"> between</w:t>
      </w:r>
      <w:r>
        <w:t xml:space="preserve"> what the respondents know on sharing information and consultation, and what they are actually doing in practice</w:t>
      </w:r>
      <w:r w:rsidRPr="003E473A">
        <w:t>.</w:t>
      </w:r>
      <w:r>
        <w:t xml:space="preserve"> When asked what their organisation can improve, they demonstrated an understanding of what a good methodology looks like. </w:t>
      </w:r>
    </w:p>
    <w:p w14:paraId="07F19F8E" w14:textId="77777777" w:rsidR="00C70CFA" w:rsidRDefault="00C70CFA" w:rsidP="0052682D">
      <w:pPr>
        <w:spacing w:before="0"/>
      </w:pPr>
    </w:p>
    <w:p w14:paraId="5B82BE23" w14:textId="77777777" w:rsidR="004B3A27" w:rsidRDefault="004B3A27" w:rsidP="0052682D">
      <w:pPr>
        <w:spacing w:before="0"/>
      </w:pPr>
      <w:r>
        <w:t>Respondents suggested the following:</w:t>
      </w:r>
    </w:p>
    <w:p w14:paraId="41C51D5B" w14:textId="77777777" w:rsidR="004B3A27" w:rsidRDefault="004B3A27" w:rsidP="0052682D">
      <w:pPr>
        <w:pStyle w:val="ListParagraph"/>
        <w:numPr>
          <w:ilvl w:val="0"/>
          <w:numId w:val="38"/>
        </w:numPr>
        <w:spacing w:before="0"/>
      </w:pPr>
      <w:r>
        <w:t xml:space="preserve">engaging with stakeholders earlier; </w:t>
      </w:r>
    </w:p>
    <w:p w14:paraId="42040154" w14:textId="77777777" w:rsidR="004B3A27" w:rsidRDefault="004B3A27" w:rsidP="0052682D">
      <w:pPr>
        <w:pStyle w:val="ListParagraph"/>
        <w:numPr>
          <w:ilvl w:val="0"/>
          <w:numId w:val="38"/>
        </w:numPr>
        <w:spacing w:before="0"/>
      </w:pPr>
      <w:r>
        <w:t xml:space="preserve">having stakeholders involved in identifying the problem, and designing the solution; </w:t>
      </w:r>
    </w:p>
    <w:p w14:paraId="2EB3C21E" w14:textId="77777777" w:rsidR="004B3A27" w:rsidRDefault="004B3A27" w:rsidP="0052682D">
      <w:pPr>
        <w:pStyle w:val="ListParagraph"/>
        <w:numPr>
          <w:ilvl w:val="0"/>
          <w:numId w:val="38"/>
        </w:numPr>
        <w:spacing w:before="0"/>
      </w:pPr>
      <w:r>
        <w:t xml:space="preserve">being proactive in seeking feedback from stakeholders; </w:t>
      </w:r>
    </w:p>
    <w:p w14:paraId="412AC121" w14:textId="77777777" w:rsidR="004B3A27" w:rsidRDefault="004B3A27" w:rsidP="0052682D">
      <w:pPr>
        <w:pStyle w:val="ListParagraph"/>
        <w:numPr>
          <w:ilvl w:val="0"/>
          <w:numId w:val="38"/>
        </w:numPr>
        <w:spacing w:before="0"/>
      </w:pPr>
      <w:r>
        <w:t xml:space="preserve">closing the loop; </w:t>
      </w:r>
    </w:p>
    <w:p w14:paraId="203FECBA" w14:textId="77777777" w:rsidR="004B3A27" w:rsidRDefault="004B3A27" w:rsidP="0052682D">
      <w:pPr>
        <w:pStyle w:val="ListParagraph"/>
        <w:numPr>
          <w:ilvl w:val="0"/>
          <w:numId w:val="38"/>
        </w:numPr>
        <w:spacing w:before="0"/>
      </w:pPr>
      <w:r>
        <w:t xml:space="preserve">moving away from engaging in ‘default’ behaviour; </w:t>
      </w:r>
    </w:p>
    <w:p w14:paraId="4F6957F6" w14:textId="77777777" w:rsidR="004B3A27" w:rsidRDefault="004B3A27" w:rsidP="0052682D">
      <w:pPr>
        <w:pStyle w:val="ListParagraph"/>
        <w:numPr>
          <w:ilvl w:val="0"/>
          <w:numId w:val="38"/>
        </w:numPr>
        <w:spacing w:before="0"/>
      </w:pPr>
      <w:r>
        <w:t xml:space="preserve">undertaking user research; and </w:t>
      </w:r>
    </w:p>
    <w:p w14:paraId="176061A5" w14:textId="77777777" w:rsidR="004B3A27" w:rsidRDefault="004B3A27" w:rsidP="0052682D">
      <w:pPr>
        <w:pStyle w:val="ListParagraph"/>
        <w:numPr>
          <w:ilvl w:val="0"/>
          <w:numId w:val="38"/>
        </w:numPr>
        <w:spacing w:before="0"/>
      </w:pPr>
      <w:r>
        <w:t xml:space="preserve">reducing consultation fatigue by ensuring there is more collaboration across government. </w:t>
      </w:r>
    </w:p>
    <w:p w14:paraId="678EB248" w14:textId="77777777" w:rsidR="00C70CFA" w:rsidRDefault="00C70CFA" w:rsidP="0052682D">
      <w:pPr>
        <w:spacing w:before="0"/>
      </w:pPr>
    </w:p>
    <w:p w14:paraId="685A6EF6" w14:textId="77777777" w:rsidR="004B3A27" w:rsidRDefault="004B3A27" w:rsidP="0052682D">
      <w:pPr>
        <w:spacing w:before="0"/>
      </w:pPr>
      <w:r>
        <w:t xml:space="preserve">In practice though, only two of the departments had an example about engaging in deliberative practices. Only one department could potentially fall into the category of engaging in collaborative practices. </w:t>
      </w:r>
    </w:p>
    <w:p w14:paraId="705FC867" w14:textId="77777777" w:rsidR="00DB7C46" w:rsidRDefault="00DB7C46">
      <w:pPr>
        <w:spacing w:before="0"/>
        <w:rPr>
          <w:u w:val="single"/>
        </w:rPr>
      </w:pPr>
    </w:p>
    <w:p w14:paraId="25980CFB" w14:textId="77777777" w:rsidR="00DB7C46" w:rsidRPr="00DB7C46" w:rsidRDefault="00DB7C46" w:rsidP="00DB7C46">
      <w:pPr>
        <w:pStyle w:val="Heading6"/>
        <w:numPr>
          <w:ilvl w:val="0"/>
          <w:numId w:val="0"/>
        </w:numPr>
        <w:spacing w:before="0"/>
        <w:rPr>
          <w:i w:val="0"/>
        </w:rPr>
      </w:pPr>
      <w:r w:rsidRPr="00DB7C46">
        <w:rPr>
          <w:i w:val="0"/>
        </w:rPr>
        <w:t>Survey Summary</w:t>
      </w:r>
      <w:r w:rsidR="00EA27CC">
        <w:rPr>
          <w:i w:val="0"/>
        </w:rPr>
        <w:t xml:space="preserve"> </w:t>
      </w:r>
    </w:p>
    <w:p w14:paraId="5536D2DF" w14:textId="77777777" w:rsidR="00DB7C46" w:rsidRDefault="00DB7C46" w:rsidP="00DB7C46">
      <w:pPr>
        <w:spacing w:before="0"/>
      </w:pPr>
      <w:r>
        <w:t>For the most part the findings from the survey support the insights developed from the user research.</w:t>
      </w:r>
      <w:r w:rsidR="00EA27CC">
        <w:t xml:space="preserve"> </w:t>
      </w:r>
      <w:r>
        <w:t>The APS engages the community in a wide variety of ways, with the majority of approaches focussed on information sharing and consultations.</w:t>
      </w:r>
      <w:r w:rsidR="00EA27CC">
        <w:t xml:space="preserve"> </w:t>
      </w:r>
    </w:p>
    <w:p w14:paraId="33449F1C" w14:textId="77777777" w:rsidR="00DB7C46" w:rsidRDefault="00DB7C46" w:rsidP="00DB7C46">
      <w:pPr>
        <w:spacing w:before="0"/>
      </w:pPr>
    </w:p>
    <w:p w14:paraId="6A98D6CD" w14:textId="77777777" w:rsidR="00DB7C46" w:rsidRDefault="00DB7C46" w:rsidP="00DB7C46">
      <w:pPr>
        <w:spacing w:before="0"/>
      </w:pPr>
      <w:r>
        <w:t>The APS does undertake deliberative and collaborative engagements, interestingly many of the channels used to consult are also used to deliberate and collaborate.</w:t>
      </w:r>
    </w:p>
    <w:p w14:paraId="04756A51" w14:textId="77777777" w:rsidR="00DB7C46" w:rsidRDefault="00DB7C46" w:rsidP="00DB7C46">
      <w:pPr>
        <w:spacing w:before="0"/>
      </w:pPr>
    </w:p>
    <w:p w14:paraId="277C51DC" w14:textId="77777777" w:rsidR="00DB7C46" w:rsidRDefault="00DB7C46" w:rsidP="00DB7C46">
      <w:pPr>
        <w:spacing w:before="0"/>
      </w:pPr>
      <w:r>
        <w:t>Respondents identified the “author</w:t>
      </w:r>
      <w:r w:rsidR="00A61365">
        <w:t>i</w:t>
      </w:r>
      <w:r>
        <w:t>sing environment” as a key barrier to more open engagement.</w:t>
      </w:r>
      <w:r w:rsidR="00EA27CC">
        <w:t xml:space="preserve"> </w:t>
      </w:r>
      <w:r>
        <w:t>This was followed by a lack of trust in the ability of stakeholders to engage in a constructive way and a lack of awareness amongst public servants of different approaches and their value.</w:t>
      </w:r>
    </w:p>
    <w:p w14:paraId="675D33BF" w14:textId="77777777" w:rsidR="00DB7C46" w:rsidRDefault="00DB7C46" w:rsidP="00DB7C46">
      <w:pPr>
        <w:spacing w:before="0"/>
      </w:pPr>
    </w:p>
    <w:p w14:paraId="7D970385" w14:textId="77777777" w:rsidR="00DB7C46" w:rsidRDefault="00DB7C46" w:rsidP="00DB7C46">
      <w:pPr>
        <w:spacing w:before="0"/>
      </w:pPr>
      <w:r>
        <w:t xml:space="preserve">Departments were able to identify a range of potential improvements covering improving relationships, applying more advanced methodologies and creating more opportunities to co- </w:t>
      </w:r>
      <w:r>
        <w:lastRenderedPageBreak/>
        <w:t>design.</w:t>
      </w:r>
      <w:r w:rsidR="00EA27CC">
        <w:t xml:space="preserve"> </w:t>
      </w:r>
      <w:r>
        <w:t>The suggested improvements underlines the fact that the APS does understand what is required to undertake meaningful engagement with the community we simply do not practice this often enough.</w:t>
      </w:r>
    </w:p>
    <w:p w14:paraId="256EFD0E" w14:textId="77777777" w:rsidR="00DB7C46" w:rsidRDefault="00DB7C46" w:rsidP="00DB7C46">
      <w:pPr>
        <w:spacing w:before="0"/>
      </w:pPr>
    </w:p>
    <w:p w14:paraId="2DEEBFC1" w14:textId="77777777" w:rsidR="00DB7C46" w:rsidRDefault="00DB7C46" w:rsidP="00DB7C46">
      <w:pPr>
        <w:spacing w:before="0"/>
      </w:pPr>
      <w:r>
        <w:t>The survey provides a quantitative way of testing the findings from the user research, confirming much of the user research.</w:t>
      </w:r>
      <w:r w:rsidR="00EA27CC">
        <w:t xml:space="preserve"> </w:t>
      </w:r>
      <w:r>
        <w:t>It also provides practical examples that will support the development of design questions in the define stage.</w:t>
      </w:r>
      <w:r w:rsidR="003A2622">
        <w:t xml:space="preserve"> </w:t>
      </w:r>
    </w:p>
    <w:bookmarkEnd w:id="72"/>
    <w:p w14:paraId="3B3F1566" w14:textId="77777777" w:rsidR="002F79D6" w:rsidRDefault="002F79D6" w:rsidP="00032C19">
      <w:pPr>
        <w:spacing w:before="0"/>
      </w:pPr>
    </w:p>
    <w:p w14:paraId="7E24AC10" w14:textId="77777777" w:rsidR="0099313B" w:rsidRDefault="0099313B">
      <w:pPr>
        <w:spacing w:before="0"/>
        <w:rPr>
          <w:rFonts w:ascii="Calibri Light" w:eastAsia="MS Gothic" w:hAnsi="Calibri Light"/>
          <w:b/>
          <w:bCs/>
          <w:color w:val="276C6C"/>
          <w:sz w:val="74"/>
          <w:szCs w:val="28"/>
        </w:rPr>
      </w:pPr>
      <w:r>
        <w:rPr>
          <w:b/>
          <w:sz w:val="74"/>
        </w:rPr>
        <w:br w:type="page"/>
      </w:r>
    </w:p>
    <w:p w14:paraId="5FE9E2FD" w14:textId="77777777" w:rsidR="00724658" w:rsidRPr="00912607" w:rsidRDefault="00724658" w:rsidP="00724658">
      <w:pPr>
        <w:pStyle w:val="H1"/>
        <w:spacing w:before="0" w:after="0"/>
        <w:rPr>
          <w:b/>
          <w:sz w:val="74"/>
        </w:rPr>
      </w:pPr>
      <w:bookmarkStart w:id="74" w:name="_Toc495915990"/>
      <w:r w:rsidRPr="00912607">
        <w:rPr>
          <w:b/>
          <w:sz w:val="74"/>
        </w:rPr>
        <w:lastRenderedPageBreak/>
        <w:t xml:space="preserve">Chapter </w:t>
      </w:r>
      <w:r>
        <w:rPr>
          <w:b/>
          <w:sz w:val="74"/>
        </w:rPr>
        <w:t>three</w:t>
      </w:r>
      <w:r w:rsidRPr="00912607">
        <w:rPr>
          <w:b/>
          <w:sz w:val="74"/>
        </w:rPr>
        <w:t>:</w:t>
      </w:r>
      <w:r>
        <w:rPr>
          <w:b/>
          <w:sz w:val="74"/>
        </w:rPr>
        <w:t xml:space="preserve"> Define</w:t>
      </w:r>
      <w:bookmarkEnd w:id="74"/>
    </w:p>
    <w:p w14:paraId="2AB5E372" w14:textId="77777777" w:rsidR="00724658" w:rsidRDefault="00724658" w:rsidP="00724658">
      <w:pPr>
        <w:pStyle w:val="H1"/>
        <w:spacing w:before="0" w:after="0"/>
        <w:rPr>
          <w:sz w:val="74"/>
        </w:rPr>
      </w:pPr>
      <w:bookmarkStart w:id="75" w:name="_Toc495915991"/>
      <w:r>
        <w:rPr>
          <w:sz w:val="74"/>
        </w:rPr>
        <w:t>What are the opportunities for solutions in the Create phase</w:t>
      </w:r>
      <w:r w:rsidRPr="00912607">
        <w:rPr>
          <w:sz w:val="74"/>
        </w:rPr>
        <w:t>?</w:t>
      </w:r>
      <w:bookmarkEnd w:id="75"/>
    </w:p>
    <w:p w14:paraId="1EE35698" w14:textId="77777777" w:rsidR="00506B77" w:rsidRDefault="00506B77" w:rsidP="00E53DA3">
      <w:pPr>
        <w:spacing w:before="0"/>
        <w:rPr>
          <w:rFonts w:asciiTheme="majorHAnsi" w:hAnsiTheme="majorHAnsi"/>
          <w:i/>
          <w:sz w:val="30"/>
        </w:rPr>
      </w:pPr>
      <w:r w:rsidRPr="00506B77">
        <w:rPr>
          <w:rFonts w:asciiTheme="majorHAnsi" w:hAnsiTheme="majorHAnsi"/>
          <w:i/>
          <w:sz w:val="30"/>
        </w:rPr>
        <w:t>An APS wide framework could build trust and confidence by assisting public servants to: diagnose the nature of the challenge before them and apply the right approach for engaging the community that matches the problem; get the basics right from the start when they engage; better understand the benefits of accessing expertise in the community; and better navigate internal processes.</w:t>
      </w:r>
      <w:r w:rsidR="003A2622">
        <w:rPr>
          <w:rFonts w:asciiTheme="majorHAnsi" w:hAnsiTheme="majorHAnsi"/>
          <w:i/>
          <w:sz w:val="30"/>
        </w:rPr>
        <w:t xml:space="preserve"> </w:t>
      </w:r>
      <w:r w:rsidRPr="00506B77">
        <w:rPr>
          <w:rFonts w:asciiTheme="majorHAnsi" w:hAnsiTheme="majorHAnsi"/>
          <w:i/>
          <w:sz w:val="30"/>
        </w:rPr>
        <w:t>Importantly making better use of the expertise in the community will require many public servants to think differently about their roles and the role of the community in the work of government.</w:t>
      </w:r>
    </w:p>
    <w:p w14:paraId="127DD851" w14:textId="77777777" w:rsidR="00506B77" w:rsidRDefault="00506B77" w:rsidP="00E53DA3">
      <w:pPr>
        <w:spacing w:before="0"/>
        <w:rPr>
          <w:rFonts w:asciiTheme="majorHAnsi" w:hAnsiTheme="majorHAnsi"/>
          <w:i/>
          <w:sz w:val="30"/>
        </w:rPr>
      </w:pPr>
    </w:p>
    <w:p w14:paraId="00E05FC4" w14:textId="77777777" w:rsidR="00E53DA3" w:rsidRPr="00E53DA3" w:rsidRDefault="00506B77" w:rsidP="00E53DA3">
      <w:pPr>
        <w:spacing w:before="0"/>
        <w:rPr>
          <w:rFonts w:asciiTheme="majorHAnsi" w:hAnsiTheme="majorHAnsi"/>
          <w:i/>
          <w:sz w:val="30"/>
        </w:rPr>
      </w:pPr>
      <w:r>
        <w:rPr>
          <w:rFonts w:asciiTheme="majorHAnsi" w:hAnsiTheme="majorHAnsi"/>
          <w:i/>
          <w:sz w:val="30"/>
        </w:rPr>
        <w:t xml:space="preserve">To this end, we have </w:t>
      </w:r>
      <w:r w:rsidR="00E53DA3" w:rsidRPr="00E53DA3">
        <w:rPr>
          <w:rFonts w:asciiTheme="majorHAnsi" w:hAnsiTheme="majorHAnsi"/>
          <w:i/>
          <w:sz w:val="30"/>
        </w:rPr>
        <w:t>design questions and stimulus</w:t>
      </w:r>
      <w:r w:rsidR="00400CE8">
        <w:rPr>
          <w:rFonts w:asciiTheme="majorHAnsi" w:hAnsiTheme="majorHAnsi"/>
          <w:i/>
          <w:sz w:val="30"/>
        </w:rPr>
        <w:t xml:space="preserve"> to </w:t>
      </w:r>
      <w:r w:rsidR="00741426">
        <w:rPr>
          <w:rFonts w:asciiTheme="majorHAnsi" w:hAnsiTheme="majorHAnsi"/>
          <w:i/>
          <w:sz w:val="30"/>
        </w:rPr>
        <w:t xml:space="preserve">form the platform on which we can develop </w:t>
      </w:r>
      <w:r w:rsidR="00E53DA3" w:rsidRPr="00E53DA3">
        <w:rPr>
          <w:rFonts w:asciiTheme="majorHAnsi" w:hAnsiTheme="majorHAnsi"/>
          <w:i/>
          <w:sz w:val="30"/>
        </w:rPr>
        <w:t>interesting and innovative ways to improve APS public participation, as well as develop a framework that our users value.</w:t>
      </w:r>
    </w:p>
    <w:p w14:paraId="3AC6887E" w14:textId="77777777" w:rsidR="00724658" w:rsidRPr="00912607" w:rsidRDefault="00724658" w:rsidP="00724658">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472"/>
      </w:tblGrid>
      <w:tr w:rsidR="00724658" w14:paraId="5EDA17F4" w14:textId="77777777" w:rsidTr="00506B77">
        <w:tc>
          <w:tcPr>
            <w:tcW w:w="3544" w:type="dxa"/>
            <w:shd w:val="clear" w:color="auto" w:fill="DEEAF6" w:themeFill="accent1" w:themeFillTint="33"/>
            <w:vAlign w:val="center"/>
          </w:tcPr>
          <w:p w14:paraId="6D6F1CA5" w14:textId="77777777" w:rsidR="00A95AE2" w:rsidRPr="00912607" w:rsidRDefault="00A95AE2" w:rsidP="00A95AE2">
            <w:pPr>
              <w:spacing w:before="0"/>
              <w:rPr>
                <w:rFonts w:ascii="Times New Roman" w:hAnsi="Times New Roman"/>
                <w:b/>
                <w:noProof/>
                <w:sz w:val="94"/>
                <w:lang w:eastAsia="en-AU"/>
              </w:rPr>
            </w:pPr>
            <w:r w:rsidRPr="00912607">
              <w:rPr>
                <w:rFonts w:ascii="Times New Roman" w:hAnsi="Times New Roman"/>
                <w:b/>
                <w:noProof/>
                <w:sz w:val="94"/>
                <w:lang w:eastAsia="en-AU"/>
              </w:rPr>
              <w:t>“</w:t>
            </w:r>
          </w:p>
          <w:p w14:paraId="5AAAC732" w14:textId="77777777" w:rsidR="00700BEB" w:rsidRPr="00506B77" w:rsidRDefault="00A95AE2" w:rsidP="00A95AE2">
            <w:pPr>
              <w:spacing w:before="0"/>
              <w:rPr>
                <w:rFonts w:ascii="Merriweather" w:hAnsi="Merriweather"/>
                <w:color w:val="181818"/>
                <w:sz w:val="17"/>
                <w:szCs w:val="21"/>
              </w:rPr>
            </w:pPr>
            <w:r w:rsidRPr="00506B77">
              <w:rPr>
                <w:rFonts w:asciiTheme="majorHAnsi" w:hAnsiTheme="majorHAnsi" w:cs="Arial"/>
                <w:noProof/>
                <w:sz w:val="30"/>
                <w:szCs w:val="20"/>
                <w:lang w:eastAsia="en-AU"/>
              </w:rPr>
              <w:t xml:space="preserve">The scientist is not a person who gives the right answers, </w:t>
            </w:r>
            <w:r w:rsidR="00EB539C" w:rsidRPr="00506B77">
              <w:rPr>
                <w:rFonts w:asciiTheme="majorHAnsi" w:hAnsiTheme="majorHAnsi" w:cs="Arial"/>
                <w:noProof/>
                <w:sz w:val="30"/>
                <w:szCs w:val="20"/>
                <w:lang w:eastAsia="en-AU"/>
              </w:rPr>
              <w:t xml:space="preserve">but </w:t>
            </w:r>
            <w:r w:rsidRPr="00506B77">
              <w:rPr>
                <w:rFonts w:asciiTheme="majorHAnsi" w:hAnsiTheme="majorHAnsi" w:cs="Arial"/>
                <w:noProof/>
                <w:sz w:val="30"/>
                <w:szCs w:val="20"/>
                <w:lang w:eastAsia="en-AU"/>
              </w:rPr>
              <w:t>the one who asks the right questions.</w:t>
            </w:r>
            <w:r w:rsidRPr="00506B77">
              <w:rPr>
                <w:rFonts w:ascii="Merriweather" w:hAnsi="Merriweather"/>
                <w:color w:val="181818"/>
                <w:sz w:val="17"/>
                <w:szCs w:val="21"/>
              </w:rPr>
              <w:t xml:space="preserve"> </w:t>
            </w:r>
            <w:r w:rsidRPr="00506B77">
              <w:rPr>
                <w:rFonts w:ascii="Merriweather" w:hAnsi="Merriweather"/>
                <w:color w:val="181818"/>
                <w:sz w:val="17"/>
                <w:szCs w:val="21"/>
              </w:rPr>
              <w:br/>
            </w:r>
            <w:hyperlink r:id="rId109" w:history="1">
              <w:r w:rsidRPr="00506B77">
                <w:rPr>
                  <w:rFonts w:asciiTheme="majorHAnsi" w:hAnsiTheme="majorHAnsi" w:cs="Arial"/>
                  <w:noProof/>
                  <w:sz w:val="16"/>
                  <w:lang w:eastAsia="en-AU"/>
                </w:rPr>
                <w:t>Claude Lévi-Strauss</w:t>
              </w:r>
            </w:hyperlink>
          </w:p>
          <w:p w14:paraId="64A8C0AC" w14:textId="77777777" w:rsidR="00A95AE2" w:rsidRPr="00506B77" w:rsidRDefault="00A95AE2" w:rsidP="00700BEB">
            <w:pPr>
              <w:spacing w:before="0"/>
              <w:rPr>
                <w:rFonts w:ascii="Merriweather" w:hAnsi="Merriweather"/>
                <w:color w:val="181818"/>
                <w:sz w:val="17"/>
                <w:szCs w:val="21"/>
              </w:rPr>
            </w:pPr>
          </w:p>
          <w:p w14:paraId="38F47BD3" w14:textId="77777777" w:rsidR="00A95AE2" w:rsidRPr="00506B77" w:rsidRDefault="00A95AE2" w:rsidP="00A95AE2">
            <w:pPr>
              <w:spacing w:before="0"/>
              <w:rPr>
                <w:rFonts w:asciiTheme="majorHAnsi" w:hAnsiTheme="majorHAnsi" w:cs="Arial"/>
                <w:noProof/>
                <w:sz w:val="30"/>
                <w:szCs w:val="20"/>
                <w:lang w:eastAsia="en-AU"/>
              </w:rPr>
            </w:pPr>
            <w:r w:rsidRPr="00506B77">
              <w:rPr>
                <w:rFonts w:asciiTheme="majorHAnsi" w:hAnsiTheme="majorHAnsi" w:cs="Arial"/>
                <w:noProof/>
                <w:sz w:val="30"/>
                <w:szCs w:val="20"/>
                <w:lang w:eastAsia="en-AU"/>
              </w:rPr>
              <w:t>T</w:t>
            </w:r>
            <w:r w:rsidR="00A60BCC" w:rsidRPr="00506B77">
              <w:rPr>
                <w:rFonts w:asciiTheme="majorHAnsi" w:hAnsiTheme="majorHAnsi" w:cs="Arial"/>
                <w:noProof/>
                <w:sz w:val="30"/>
                <w:szCs w:val="20"/>
                <w:lang w:eastAsia="en-AU"/>
              </w:rPr>
              <w:t>here are no rig</w:t>
            </w:r>
            <w:r w:rsidRPr="00506B77">
              <w:rPr>
                <w:rFonts w:asciiTheme="majorHAnsi" w:hAnsiTheme="majorHAnsi" w:cs="Arial"/>
                <w:noProof/>
                <w:sz w:val="30"/>
                <w:szCs w:val="20"/>
                <w:lang w:eastAsia="en-AU"/>
              </w:rPr>
              <w:t>ht answers to wrong questions.</w:t>
            </w:r>
          </w:p>
          <w:p w14:paraId="163F125D" w14:textId="77777777" w:rsidR="00506B77" w:rsidRPr="00506B77" w:rsidRDefault="00A60BCC" w:rsidP="00506B77">
            <w:pPr>
              <w:spacing w:before="0"/>
              <w:rPr>
                <w:rFonts w:asciiTheme="majorHAnsi" w:hAnsiTheme="majorHAnsi" w:cs="Arial"/>
                <w:iCs/>
                <w:noProof/>
                <w:sz w:val="20"/>
                <w:lang w:eastAsia="en-AU"/>
              </w:rPr>
            </w:pPr>
            <w:r w:rsidRPr="00506B77">
              <w:rPr>
                <w:rFonts w:asciiTheme="majorHAnsi" w:hAnsiTheme="majorHAnsi" w:cs="Arial"/>
                <w:iCs/>
                <w:noProof/>
                <w:sz w:val="16"/>
                <w:lang w:eastAsia="en-AU"/>
              </w:rPr>
              <w:t>Ursula K. Le Guin</w:t>
            </w:r>
          </w:p>
        </w:tc>
        <w:tc>
          <w:tcPr>
            <w:tcW w:w="5472" w:type="dxa"/>
            <w:shd w:val="clear" w:color="auto" w:fill="DEEAF6" w:themeFill="accent1" w:themeFillTint="33"/>
          </w:tcPr>
          <w:p w14:paraId="0CB042EB" w14:textId="77777777" w:rsidR="00741426" w:rsidRPr="00741426" w:rsidRDefault="00741426" w:rsidP="00CD4B45">
            <w:pPr>
              <w:pStyle w:val="Bodytext-Indent"/>
              <w:spacing w:before="180"/>
              <w:ind w:left="0"/>
              <w:jc w:val="left"/>
              <w:rPr>
                <w:b/>
              </w:rPr>
            </w:pPr>
            <w:r w:rsidRPr="00741426">
              <w:rPr>
                <w:b/>
              </w:rPr>
              <w:t>Chapter process overview</w:t>
            </w:r>
          </w:p>
          <w:p w14:paraId="6103EFA3" w14:textId="77777777" w:rsidR="00724658" w:rsidRDefault="00724658" w:rsidP="00CD4B45">
            <w:pPr>
              <w:pStyle w:val="Bodytext-Indent"/>
              <w:spacing w:before="180"/>
              <w:ind w:left="0"/>
              <w:jc w:val="left"/>
            </w:pPr>
            <w:r w:rsidRPr="004F4056">
              <w:t xml:space="preserve">The Problem Identification stage defined </w:t>
            </w:r>
            <w:r w:rsidRPr="00EC012B">
              <w:rPr>
                <w:u w:val="single"/>
              </w:rPr>
              <w:t>what</w:t>
            </w:r>
            <w:r>
              <w:t xml:space="preserve"> </w:t>
            </w:r>
            <w:r w:rsidRPr="004F4056">
              <w:t>the real issue we’re trying to solve</w:t>
            </w:r>
            <w:r>
              <w:t xml:space="preserve"> is</w:t>
            </w:r>
            <w:r w:rsidRPr="004F4056">
              <w:t xml:space="preserve">. </w:t>
            </w:r>
          </w:p>
          <w:p w14:paraId="6F0D17E1" w14:textId="77777777" w:rsidR="00724658" w:rsidRDefault="00724658" w:rsidP="00EE0957">
            <w:pPr>
              <w:pStyle w:val="BodyText"/>
              <w:jc w:val="left"/>
            </w:pPr>
          </w:p>
          <w:p w14:paraId="645A0082" w14:textId="77777777" w:rsidR="00724658" w:rsidRDefault="00724658" w:rsidP="00EE0957">
            <w:pPr>
              <w:pStyle w:val="BodyText"/>
              <w:jc w:val="left"/>
            </w:pPr>
            <w:r w:rsidRPr="004F4056">
              <w:t xml:space="preserve">The Empathise stage </w:t>
            </w:r>
            <w:r>
              <w:t xml:space="preserve">explores </w:t>
            </w:r>
            <w:r w:rsidRPr="00EC012B">
              <w:rPr>
                <w:u w:val="single"/>
              </w:rPr>
              <w:t>why</w:t>
            </w:r>
            <w:r>
              <w:t xml:space="preserve"> this issue occurs – discovering users’ explicit and implicit needs so they can be met through design solutions. </w:t>
            </w:r>
          </w:p>
          <w:p w14:paraId="6BD2591C" w14:textId="77777777" w:rsidR="00724658" w:rsidRDefault="00724658" w:rsidP="00EE0957">
            <w:pPr>
              <w:pStyle w:val="BodyText"/>
              <w:jc w:val="left"/>
            </w:pPr>
          </w:p>
          <w:p w14:paraId="7FB177DC" w14:textId="77777777" w:rsidR="00724658" w:rsidRDefault="00A26C42" w:rsidP="00506B77">
            <w:pPr>
              <w:pStyle w:val="BodyText"/>
              <w:jc w:val="left"/>
            </w:pPr>
            <w:r>
              <w:t xml:space="preserve">Now we have a rich and nuanced problem to solve, and have a deep understanding of our users, we can </w:t>
            </w:r>
            <w:r w:rsidRPr="00CC5147">
              <w:rPr>
                <w:u w:val="single"/>
              </w:rPr>
              <w:t>define</w:t>
            </w:r>
            <w:r>
              <w:t xml:space="preserve"> our opportunities for how we solve the problem.</w:t>
            </w:r>
            <w:r w:rsidR="00506B77">
              <w:t xml:space="preserve"> These opportunities are our design questions – thoughtful and thought provoking questions that can help us come up with solutions that mean public participation is no longer hidden in plain sight. </w:t>
            </w:r>
          </w:p>
          <w:p w14:paraId="56503A51" w14:textId="77777777" w:rsidR="00506B77" w:rsidRDefault="00506B77" w:rsidP="00506B77">
            <w:pPr>
              <w:pStyle w:val="BodyText"/>
              <w:jc w:val="left"/>
            </w:pPr>
          </w:p>
        </w:tc>
      </w:tr>
    </w:tbl>
    <w:p w14:paraId="6FD5E65F" w14:textId="77777777" w:rsidR="00800497" w:rsidRDefault="00CD4B45" w:rsidP="0052682D">
      <w:pPr>
        <w:pStyle w:val="H2"/>
        <w:spacing w:before="0" w:after="0"/>
      </w:pPr>
      <w:bookmarkStart w:id="76" w:name="_Toc495915992"/>
      <w:r>
        <w:lastRenderedPageBreak/>
        <w:t>Analysing the problem identification and empathise stages</w:t>
      </w:r>
      <w:r w:rsidR="0099313B">
        <w:t xml:space="preserve"> (chapters 1 and 2)</w:t>
      </w:r>
      <w:bookmarkEnd w:id="76"/>
    </w:p>
    <w:p w14:paraId="7BF3B894" w14:textId="77777777" w:rsidR="00800497" w:rsidRDefault="00800497" w:rsidP="0052682D">
      <w:pPr>
        <w:spacing w:before="0"/>
      </w:pPr>
      <w:r>
        <w:t>The aim of the research conducted for this report was twofold, firstly to test the proposition that the APS was missing out on opportunities to solve complex problems and build trust in decisions by not effectively accessing the available expertise within the community.</w:t>
      </w:r>
      <w:r w:rsidR="00EA27CC">
        <w:t xml:space="preserve"> </w:t>
      </w:r>
      <w:r>
        <w:t xml:space="preserve">Secondly, if this was true, to test the hypothesis that this was due to a lack of awareness, confidence and capability. </w:t>
      </w:r>
    </w:p>
    <w:p w14:paraId="4FFCFF86" w14:textId="77777777" w:rsidR="00CD4CA7" w:rsidRDefault="00CD4CA7" w:rsidP="0052682D">
      <w:pPr>
        <w:spacing w:before="0"/>
      </w:pPr>
    </w:p>
    <w:p w14:paraId="37E397F7" w14:textId="77777777" w:rsidR="00800497" w:rsidRDefault="00800497" w:rsidP="0052682D">
      <w:pPr>
        <w:spacing w:before="0"/>
      </w:pPr>
      <w:r>
        <w:t>The analysis in this report shows that the APS does engage with the community in a variety of ways.</w:t>
      </w:r>
      <w:r w:rsidR="00562C37">
        <w:t xml:space="preserve"> </w:t>
      </w:r>
      <w:r>
        <w:t>More deliberative or collaborative practices are very patchy across the APS with the more common approaches being information sharing and consultation.</w:t>
      </w:r>
      <w:r w:rsidR="00562C37">
        <w:t xml:space="preserve"> </w:t>
      </w:r>
      <w:r>
        <w:t>The research clearly shows that the APS is missing out on opportunities to better engage the community</w:t>
      </w:r>
      <w:r w:rsidR="005A1A78">
        <w:t xml:space="preserve"> and the expertise they hold</w:t>
      </w:r>
      <w:r>
        <w:t>.</w:t>
      </w:r>
      <w:r w:rsidR="00562C37">
        <w:t xml:space="preserve"> </w:t>
      </w:r>
      <w:r>
        <w:t>This was reflected in the user research and acknowledged by departments in the survey of current practice as an area for improvement.</w:t>
      </w:r>
    </w:p>
    <w:p w14:paraId="3149A1DE" w14:textId="77777777" w:rsidR="00CD4CA7" w:rsidRDefault="00CD4CA7" w:rsidP="0052682D">
      <w:pPr>
        <w:spacing w:before="0"/>
      </w:pPr>
    </w:p>
    <w:p w14:paraId="70D391E5" w14:textId="77777777" w:rsidR="00800497" w:rsidRDefault="00800497" w:rsidP="0052682D">
      <w:pPr>
        <w:spacing w:before="0"/>
      </w:pPr>
      <w:r>
        <w:t>Why these opportunities are not being seized is a little more interesting.</w:t>
      </w:r>
      <w:r w:rsidR="00562C37">
        <w:t xml:space="preserve"> </w:t>
      </w:r>
      <w:r>
        <w:t xml:space="preserve">It is fair to say that the research does support the hypothesis that opportunities are being missed due to a lack of awareness, trust and capability, but there is more to it. </w:t>
      </w:r>
    </w:p>
    <w:p w14:paraId="7F90ECA2" w14:textId="77777777" w:rsidR="00CD4CA7" w:rsidRDefault="00CD4CA7" w:rsidP="0052682D">
      <w:pPr>
        <w:spacing w:before="0"/>
      </w:pPr>
    </w:p>
    <w:p w14:paraId="75D2F929" w14:textId="77777777" w:rsidR="00800497" w:rsidRDefault="00800497" w:rsidP="0052682D">
      <w:pPr>
        <w:spacing w:before="0"/>
      </w:pPr>
      <w:r>
        <w:t>The research has shown that for many in the APS engaging the community is about gaining buy in for decisions that may have already been made.</w:t>
      </w:r>
      <w:r w:rsidR="00562C37">
        <w:t xml:space="preserve"> </w:t>
      </w:r>
      <w:r>
        <w:t>For some in the APS the perceived risks involved and resources required in engaging the community in more meaningful ways outweighs the return. Moreover, many do not trust the community to be able to engage with issues in a constructive way to deliver a sensible and considered outcome.</w:t>
      </w:r>
    </w:p>
    <w:p w14:paraId="39AD92E8" w14:textId="77777777" w:rsidR="00CD4CA7" w:rsidRDefault="00CD4CA7" w:rsidP="0052682D">
      <w:pPr>
        <w:spacing w:before="0"/>
      </w:pPr>
    </w:p>
    <w:p w14:paraId="52E98F3E" w14:textId="77777777" w:rsidR="00CD4CA7" w:rsidRDefault="00800497" w:rsidP="0052682D">
      <w:pPr>
        <w:spacing w:before="0"/>
      </w:pPr>
      <w:r>
        <w:t>The user research and the survey showed that the APS is rightly constrained on occasion by legal</w:t>
      </w:r>
      <w:r w:rsidR="00340D66">
        <w:t xml:space="preserve"> and parliamentary requirements, a</w:t>
      </w:r>
      <w:r>
        <w:t xml:space="preserve"> point that was understood and appreciated by those outside the APS.</w:t>
      </w:r>
    </w:p>
    <w:p w14:paraId="652929DE" w14:textId="77777777" w:rsidR="00340D66" w:rsidRDefault="00340D66" w:rsidP="0052682D">
      <w:pPr>
        <w:spacing w:before="0"/>
      </w:pPr>
    </w:p>
    <w:p w14:paraId="77381C83" w14:textId="77777777" w:rsidR="00800497" w:rsidRDefault="00800497" w:rsidP="0052682D">
      <w:pPr>
        <w:spacing w:before="0"/>
      </w:pPr>
      <w:r>
        <w:t>From the perspective of the community, they see that they do have expertise to offer and that it is in the interest of everyone for that expertise to be used.</w:t>
      </w:r>
      <w:r w:rsidR="00562C37">
        <w:t xml:space="preserve"> </w:t>
      </w:r>
      <w:r>
        <w:t>They can be sceptical of the motivations of government and frustrated when the basics of good engagement are not followed (time, scope, closing the loop, clarity of purpose and authority).</w:t>
      </w:r>
      <w:r w:rsidR="00562C37">
        <w:t xml:space="preserve"> </w:t>
      </w:r>
    </w:p>
    <w:p w14:paraId="3EAAB8E3" w14:textId="77777777" w:rsidR="00CD4CA7" w:rsidRDefault="00CD4CA7" w:rsidP="0052682D">
      <w:pPr>
        <w:spacing w:before="0"/>
      </w:pPr>
    </w:p>
    <w:p w14:paraId="3683BA80" w14:textId="77777777" w:rsidR="00800497" w:rsidRDefault="00800497" w:rsidP="0052682D">
      <w:pPr>
        <w:spacing w:before="0"/>
      </w:pPr>
      <w:r>
        <w:t>Interestingly the issue of intent and the fundamentals are connected.</w:t>
      </w:r>
      <w:r w:rsidR="00562C37">
        <w:t xml:space="preserve"> </w:t>
      </w:r>
      <w:r>
        <w:t>Sometimes the basics are not followed due to outside constraints, other times because people are unaware and on some occasions because the intention was not to engage in a meaningful way.</w:t>
      </w:r>
      <w:r w:rsidR="00562C37">
        <w:t xml:space="preserve"> </w:t>
      </w:r>
      <w:r>
        <w:t>This can also reflect a reoccurring issue across the research, of a knowing doing gap.</w:t>
      </w:r>
      <w:r w:rsidR="00562C37">
        <w:t xml:space="preserve"> </w:t>
      </w:r>
      <w:r>
        <w:t>Many public servants are aware of what is involved in good engagement but this is not reflected in their practice.</w:t>
      </w:r>
    </w:p>
    <w:p w14:paraId="769698C3" w14:textId="77777777" w:rsidR="00173F77" w:rsidRDefault="00173F77" w:rsidP="0052682D">
      <w:pPr>
        <w:spacing w:before="0"/>
      </w:pPr>
    </w:p>
    <w:p w14:paraId="0A6F6FFF" w14:textId="77777777" w:rsidR="00506B77" w:rsidRDefault="00800497" w:rsidP="00506B77">
      <w:pPr>
        <w:spacing w:before="0"/>
      </w:pPr>
      <w:r>
        <w:t>Two key themes have emerged through the research, trust and confidence.</w:t>
      </w:r>
      <w:r w:rsidR="00562C37">
        <w:t xml:space="preserve"> </w:t>
      </w:r>
      <w:r>
        <w:t>If the APS is to take better advantage of the opportunities presented by greater utilisation of the expertise available in the community they will need to build greater trust and confidence in the relationship with the community.</w:t>
      </w:r>
      <w:r w:rsidR="00562C37">
        <w:t xml:space="preserve"> </w:t>
      </w:r>
      <w:r>
        <w:t>The APS will also need to build trust and confidence in the many varied processes for engaging the community in a meaningful way.</w:t>
      </w:r>
    </w:p>
    <w:p w14:paraId="7028468D" w14:textId="77777777" w:rsidR="00506B77" w:rsidRDefault="00506B77" w:rsidP="00506B77">
      <w:pPr>
        <w:spacing w:before="0"/>
      </w:pPr>
    </w:p>
    <w:p w14:paraId="542782E9" w14:textId="77777777" w:rsidR="00506B77" w:rsidRDefault="00506B77" w:rsidP="00506B77">
      <w:pPr>
        <w:spacing w:before="0"/>
      </w:pPr>
      <w:r>
        <w:t>An APS wide framework could build trust and confidence by assisting public servants to: diagnose the nature of the challenge before them and apply the right approach for engaging the community that matches the problem; get the basics right from the start when they engage; better understand the benefits of accessing expertise in the community; and better navigate internal processes.</w:t>
      </w:r>
      <w:r w:rsidR="003A2622">
        <w:t xml:space="preserve"> </w:t>
      </w:r>
      <w:r>
        <w:lastRenderedPageBreak/>
        <w:t xml:space="preserve">Importantly making better use of the expertise in the community will require many public servants to think differently about their roles and the role of the community in the work of government. </w:t>
      </w:r>
    </w:p>
    <w:p w14:paraId="0AD60FDF" w14:textId="77777777" w:rsidR="00506B77" w:rsidRDefault="00506B77" w:rsidP="00506B77">
      <w:r>
        <w:t>This gives rise to the following design questions that will form the basis for the create phase in this project:</w:t>
      </w:r>
    </w:p>
    <w:p w14:paraId="6774A774" w14:textId="1EBD14B1" w:rsidR="00BA77F0" w:rsidRDefault="00BA77F0" w:rsidP="00BA77F0">
      <w:pPr>
        <w:numPr>
          <w:ilvl w:val="0"/>
          <w:numId w:val="56"/>
        </w:numPr>
        <w:spacing w:before="0"/>
        <w:contextualSpacing/>
      </w:pPr>
      <w:r>
        <w:t xml:space="preserve">How might we help public servants to select the right way to engage the public for the challenge before them? </w:t>
      </w:r>
    </w:p>
    <w:p w14:paraId="6572F59C" w14:textId="135629B8" w:rsidR="00BA77F0" w:rsidRDefault="00BA77F0" w:rsidP="00BA77F0">
      <w:pPr>
        <w:numPr>
          <w:ilvl w:val="0"/>
          <w:numId w:val="56"/>
        </w:numPr>
        <w:spacing w:before="0"/>
        <w:contextualSpacing/>
      </w:pPr>
      <w:r>
        <w:t>How can we assist the APS to see the benefits from engaging the expertise of the community?</w:t>
      </w:r>
    </w:p>
    <w:p w14:paraId="2EA06D53" w14:textId="2E2E7CB3" w:rsidR="00BA77F0" w:rsidRDefault="00BA77F0" w:rsidP="00BA77F0">
      <w:pPr>
        <w:numPr>
          <w:ilvl w:val="0"/>
          <w:numId w:val="56"/>
        </w:numPr>
        <w:spacing w:before="0"/>
        <w:contextualSpacing/>
      </w:pPr>
      <w:r>
        <w:t>How can we help the APS to get the basics of engagement right?</w:t>
      </w:r>
    </w:p>
    <w:p w14:paraId="0F880B69" w14:textId="5E278463" w:rsidR="00BA77F0" w:rsidRDefault="00BA77F0" w:rsidP="00BA77F0">
      <w:pPr>
        <w:numPr>
          <w:ilvl w:val="0"/>
          <w:numId w:val="56"/>
        </w:numPr>
        <w:spacing w:before="0"/>
        <w:contextualSpacing/>
      </w:pPr>
      <w:r>
        <w:t xml:space="preserve"> How might we re-think critical business processes to better reflect the importance of community expertise?</w:t>
      </w:r>
    </w:p>
    <w:p w14:paraId="06412026" w14:textId="69F4A205" w:rsidR="00BA77F0" w:rsidRDefault="00BA77F0" w:rsidP="00BA77F0">
      <w:pPr>
        <w:pStyle w:val="ListParagraph"/>
        <w:numPr>
          <w:ilvl w:val="0"/>
          <w:numId w:val="56"/>
        </w:numPr>
        <w:spacing w:before="0"/>
      </w:pPr>
      <w:r>
        <w:t xml:space="preserve">How might we re-imagine public servant roles such as policy officer to make better use of community expertise? </w:t>
      </w:r>
    </w:p>
    <w:p w14:paraId="0B7B11B9" w14:textId="77777777" w:rsidR="00BA77F0" w:rsidRDefault="00BA77F0" w:rsidP="00BA77F0">
      <w:pPr>
        <w:pStyle w:val="ListParagraph"/>
        <w:numPr>
          <w:ilvl w:val="0"/>
          <w:numId w:val="56"/>
        </w:numPr>
        <w:spacing w:before="0"/>
      </w:pPr>
      <w:r>
        <w:t>How might we shift incentives to better encourage the development of the skills needed to tap community expertise?</w:t>
      </w:r>
    </w:p>
    <w:p w14:paraId="6F3A8584" w14:textId="77777777" w:rsidR="00506B77" w:rsidRDefault="00506B77" w:rsidP="00506B77">
      <w:r>
        <w:t xml:space="preserve">As outlined in the report, technology has the potential to make a significant impact on the way the community is engaged. In this context there is cause for optimism in what may be achieved through the BRII challenge. It will be important that if the technological solution that is developed through the BRII challenge is shown to be beneficial, that it is widely adopted. </w:t>
      </w:r>
    </w:p>
    <w:p w14:paraId="3321091F" w14:textId="77777777" w:rsidR="00506B77" w:rsidRDefault="00506B77" w:rsidP="00506B77">
      <w:pPr>
        <w:keepNext/>
        <w:rPr>
          <w:rFonts w:ascii="Arial" w:hAnsi="Arial" w:cs="Arial"/>
          <w:color w:val="122748"/>
        </w:rPr>
      </w:pPr>
      <w:r>
        <w:rPr>
          <w:rFonts w:ascii="Arial" w:hAnsi="Arial" w:cs="Arial"/>
          <w:color w:val="122748"/>
        </w:rPr>
        <w:t xml:space="preserve">Quick Wins </w:t>
      </w:r>
    </w:p>
    <w:p w14:paraId="1567C0F5" w14:textId="77777777" w:rsidR="00506B77" w:rsidRDefault="00506B77" w:rsidP="00506B77">
      <w:r>
        <w:t xml:space="preserve">Every agency in the APS has key stakeholders and different ways of engaging those stakeholders. The research has shown that these relationships can be transactional, made up of a series of single issue interactions. This does not necessarily need to be the case. A quick win from this research could be for department’s to assess the nature of the relationship with key stakeholders and to see to the extent possible that they could be move to more of a partnership model. To see the extent to which the nature of the engagement could move from a transactional footing to more on an on-going dialogue. WA Partnerships presents one viable model for such a relationship. </w:t>
      </w:r>
    </w:p>
    <w:p w14:paraId="4862308C" w14:textId="77777777" w:rsidR="00800497" w:rsidRDefault="00800497" w:rsidP="00CD4B45">
      <w:pPr>
        <w:pStyle w:val="ListParagraph"/>
        <w:spacing w:before="0"/>
      </w:pPr>
    </w:p>
    <w:p w14:paraId="79ED57E0" w14:textId="77777777" w:rsidR="00F811C9" w:rsidRDefault="00F811C9" w:rsidP="0052682D">
      <w:pPr>
        <w:spacing w:before="0"/>
      </w:pPr>
    </w:p>
    <w:p w14:paraId="21513798" w14:textId="77777777" w:rsidR="0009228E" w:rsidRDefault="0009228E">
      <w:pPr>
        <w:spacing w:before="0"/>
        <w:rPr>
          <w:rFonts w:ascii="Calibri Light" w:eastAsia="MS Gothic" w:hAnsi="Calibri Light"/>
          <w:bCs/>
          <w:color w:val="3AA2A2"/>
          <w:sz w:val="32"/>
          <w:szCs w:val="26"/>
        </w:rPr>
      </w:pPr>
      <w:r>
        <w:br w:type="page"/>
      </w:r>
    </w:p>
    <w:p w14:paraId="43CE8894" w14:textId="77777777" w:rsidR="008E700A" w:rsidRPr="00B83643" w:rsidRDefault="008E700A" w:rsidP="008E700A">
      <w:pPr>
        <w:pStyle w:val="H2"/>
        <w:spacing w:before="0" w:after="0"/>
      </w:pPr>
      <w:bookmarkStart w:id="77" w:name="_Toc494191081"/>
      <w:bookmarkStart w:id="78" w:name="_Toc495915993"/>
      <w:r w:rsidRPr="00B83643">
        <w:lastRenderedPageBreak/>
        <w:t>Design Questions</w:t>
      </w:r>
      <w:r>
        <w:t xml:space="preserve"> – Ideation Platforms</w:t>
      </w:r>
      <w:bookmarkEnd w:id="77"/>
      <w:bookmarkEnd w:id="78"/>
      <w:r w:rsidRPr="00B83643">
        <w:t xml:space="preserve"> </w:t>
      </w:r>
    </w:p>
    <w:p w14:paraId="655A5EBE" w14:textId="77777777" w:rsidR="008E700A" w:rsidRDefault="008E700A" w:rsidP="0073040C">
      <w:pPr>
        <w:spacing w:before="0"/>
        <w:rPr>
          <w:rFonts w:asciiTheme="majorHAnsi" w:hAnsiTheme="majorHAnsi"/>
          <w:i/>
          <w:sz w:val="30"/>
        </w:rPr>
      </w:pPr>
      <w:r w:rsidRPr="0073040C">
        <w:rPr>
          <w:rFonts w:asciiTheme="majorHAnsi" w:hAnsiTheme="majorHAnsi"/>
          <w:i/>
          <w:sz w:val="30"/>
        </w:rPr>
        <w:t>The insights generated from the research have identified a number of challenges faced by people involved in participation and engagement activities. The “How might we.</w:t>
      </w:r>
      <w:r w:rsidR="002A5D03" w:rsidRPr="0073040C">
        <w:rPr>
          <w:rFonts w:asciiTheme="majorHAnsi" w:hAnsiTheme="majorHAnsi"/>
          <w:i/>
          <w:sz w:val="30"/>
        </w:rPr>
        <w:t>.</w:t>
      </w:r>
      <w:r w:rsidRPr="0073040C">
        <w:rPr>
          <w:rFonts w:asciiTheme="majorHAnsi" w:hAnsiTheme="majorHAnsi"/>
          <w:i/>
          <w:sz w:val="30"/>
        </w:rPr>
        <w:t>.” design questions transfer the challenges into opportunities for design.</w:t>
      </w:r>
      <w:r w:rsidR="00EA27CC" w:rsidRPr="0073040C">
        <w:rPr>
          <w:rFonts w:asciiTheme="majorHAnsi" w:hAnsiTheme="majorHAnsi"/>
          <w:i/>
          <w:sz w:val="30"/>
        </w:rPr>
        <w:t xml:space="preserve"> </w:t>
      </w:r>
      <w:r w:rsidRPr="0073040C">
        <w:rPr>
          <w:rFonts w:asciiTheme="majorHAnsi" w:hAnsiTheme="majorHAnsi"/>
          <w:i/>
          <w:sz w:val="30"/>
        </w:rPr>
        <w:t xml:space="preserve">The questions will become the launch pads for ideas in the </w:t>
      </w:r>
      <w:r w:rsidR="00F36D7A">
        <w:rPr>
          <w:rFonts w:asciiTheme="majorHAnsi" w:hAnsiTheme="majorHAnsi"/>
          <w:i/>
          <w:sz w:val="30"/>
        </w:rPr>
        <w:t>C</w:t>
      </w:r>
      <w:r w:rsidRPr="0073040C">
        <w:rPr>
          <w:rFonts w:asciiTheme="majorHAnsi" w:hAnsiTheme="majorHAnsi"/>
          <w:i/>
          <w:sz w:val="30"/>
        </w:rPr>
        <w:t>reate phase.</w:t>
      </w:r>
      <w:r w:rsidR="00EA27CC" w:rsidRPr="0073040C">
        <w:rPr>
          <w:rFonts w:asciiTheme="majorHAnsi" w:hAnsiTheme="majorHAnsi"/>
          <w:i/>
          <w:sz w:val="30"/>
        </w:rPr>
        <w:t xml:space="preserve"> </w:t>
      </w:r>
      <w:r w:rsidRPr="0073040C">
        <w:rPr>
          <w:rFonts w:asciiTheme="majorHAnsi" w:hAnsiTheme="majorHAnsi"/>
          <w:i/>
          <w:sz w:val="30"/>
        </w:rPr>
        <w:t>The following design questions all relate to challenges identified through the research and should, in some, way address the two key themes of trust and confidence.</w:t>
      </w:r>
      <w:r w:rsidR="00EA27CC" w:rsidRPr="0073040C">
        <w:rPr>
          <w:rFonts w:asciiTheme="majorHAnsi" w:hAnsiTheme="majorHAnsi"/>
          <w:i/>
          <w:sz w:val="30"/>
        </w:rPr>
        <w:t xml:space="preserve"> </w:t>
      </w:r>
    </w:p>
    <w:p w14:paraId="56F19C14" w14:textId="77777777" w:rsidR="00F36D7A" w:rsidRDefault="00F36D7A" w:rsidP="0073040C">
      <w:pPr>
        <w:spacing w:before="0"/>
        <w:rPr>
          <w:rFonts w:asciiTheme="majorHAnsi" w:hAnsiTheme="majorHAnsi"/>
          <w:i/>
          <w:sz w:val="30"/>
        </w:rPr>
      </w:pPr>
    </w:p>
    <w:p w14:paraId="0DFD8B2D" w14:textId="77777777" w:rsidR="00F36D7A" w:rsidRPr="0073040C" w:rsidRDefault="00F36D7A" w:rsidP="0073040C">
      <w:pPr>
        <w:spacing w:before="0"/>
        <w:rPr>
          <w:rFonts w:asciiTheme="majorHAnsi" w:hAnsiTheme="majorHAnsi"/>
          <w:i/>
          <w:sz w:val="30"/>
        </w:rPr>
      </w:pPr>
      <w:r>
        <w:rPr>
          <w:rFonts w:asciiTheme="majorHAnsi" w:hAnsiTheme="majorHAnsi"/>
          <w:i/>
          <w:sz w:val="30"/>
        </w:rPr>
        <w:t>We have also mapped our design questions against our themes, to show the basis on which they were developed (Appendix D).</w:t>
      </w:r>
    </w:p>
    <w:p w14:paraId="52D10401" w14:textId="77777777" w:rsidR="0073040C" w:rsidRDefault="0073040C" w:rsidP="008E700A">
      <w:pPr>
        <w:pStyle w:val="Heading6"/>
        <w:numPr>
          <w:ilvl w:val="0"/>
          <w:numId w:val="0"/>
        </w:numPr>
        <w:spacing w:before="0"/>
      </w:pPr>
    </w:p>
    <w:p w14:paraId="37937F38" w14:textId="77777777" w:rsidR="008E700A" w:rsidRPr="00DA29CE" w:rsidRDefault="008E700A" w:rsidP="008E700A">
      <w:pPr>
        <w:pStyle w:val="Heading6"/>
        <w:numPr>
          <w:ilvl w:val="0"/>
          <w:numId w:val="0"/>
        </w:numPr>
        <w:spacing w:before="0"/>
      </w:pPr>
      <w:r w:rsidRPr="00DA29CE">
        <w:t>Horses for Courses</w:t>
      </w:r>
    </w:p>
    <w:p w14:paraId="30844D8E" w14:textId="77777777" w:rsidR="008E700A" w:rsidRDefault="008E700A" w:rsidP="008E700A">
      <w:pPr>
        <w:spacing w:before="0"/>
      </w:pPr>
      <w:r>
        <w:t>How might we help public servants to select the right way to engage the public for the challenge before them?</w:t>
      </w:r>
    </w:p>
    <w:p w14:paraId="5E9FFBA1" w14:textId="77777777" w:rsidR="008E700A" w:rsidRDefault="008E700A" w:rsidP="008E700A">
      <w:r>
        <w:t>The research indicates that public servant are not necessarily analysing the nature of the challenges before them and applying the most appropriate engagement to make best use of the expertise within the community.</w:t>
      </w:r>
      <w:r w:rsidR="00EA27CC">
        <w:t xml:space="preserve"> </w:t>
      </w:r>
      <w:r>
        <w:t>Information sharing and consultation are the go to engagement methods which is leading to a more transactional relationship with the community and lost opportunities.</w:t>
      </w:r>
    </w:p>
    <w:p w14:paraId="3A852E6C" w14:textId="77777777" w:rsidR="008E700A" w:rsidRDefault="008E700A" w:rsidP="008E700A">
      <w:r>
        <w:t>A better appreciation of the nature of the problem will assist public servants to make more informed decisions on how they engage the community.</w:t>
      </w:r>
    </w:p>
    <w:p w14:paraId="2252C465" w14:textId="77777777" w:rsidR="008E700A" w:rsidRDefault="008E700A" w:rsidP="008E700A">
      <w:r>
        <w:t>In developing ideas from this question consideration will need to be given to the external constraints on public servants and the multitude of ways that the community can be effectively engaged.</w:t>
      </w:r>
      <w:r w:rsidR="00EA27CC">
        <w:t xml:space="preserve"> </w:t>
      </w:r>
      <w:r>
        <w:t>Consideration will also need to be given to the possibility of problems being misdiagnosed due to the perceived effort required in engaging the community in more meaningful ways.</w:t>
      </w:r>
    </w:p>
    <w:p w14:paraId="5C452464" w14:textId="77777777" w:rsidR="00D83E3F" w:rsidRDefault="00D83E3F" w:rsidP="008E700A">
      <w:pPr>
        <w:pStyle w:val="Heading6"/>
        <w:numPr>
          <w:ilvl w:val="0"/>
          <w:numId w:val="0"/>
        </w:numPr>
        <w:spacing w:before="0"/>
      </w:pPr>
    </w:p>
    <w:p w14:paraId="6391F807" w14:textId="77777777" w:rsidR="008E700A" w:rsidRPr="00695FBD" w:rsidRDefault="008E700A" w:rsidP="008E700A">
      <w:pPr>
        <w:pStyle w:val="Heading6"/>
        <w:numPr>
          <w:ilvl w:val="0"/>
          <w:numId w:val="0"/>
        </w:numPr>
        <w:spacing w:before="0"/>
        <w:rPr>
          <w:i w:val="0"/>
        </w:rPr>
      </w:pPr>
      <w:r w:rsidRPr="00695FBD">
        <w:t>Return on Investment</w:t>
      </w:r>
    </w:p>
    <w:p w14:paraId="71E50D5D" w14:textId="253DC63D" w:rsidR="008E700A" w:rsidRDefault="008E700A" w:rsidP="008E700A">
      <w:pPr>
        <w:spacing w:before="0"/>
      </w:pPr>
      <w:r>
        <w:t xml:space="preserve">How can we assist </w:t>
      </w:r>
      <w:r w:rsidR="00BA77F0">
        <w:t xml:space="preserve">the APS </w:t>
      </w:r>
      <w:r>
        <w:t>to see the benefits from meaningful engagement with the community?</w:t>
      </w:r>
    </w:p>
    <w:p w14:paraId="7B3EAD68" w14:textId="77777777" w:rsidR="008E700A" w:rsidRPr="00286915" w:rsidRDefault="008E700A" w:rsidP="008E700A">
      <w:pPr>
        <w:spacing w:before="0"/>
        <w:rPr>
          <w:b/>
        </w:rPr>
      </w:pPr>
    </w:p>
    <w:p w14:paraId="2E8F5C1A" w14:textId="77777777" w:rsidR="008E700A" w:rsidRDefault="008E700A" w:rsidP="008E700A">
      <w:pPr>
        <w:spacing w:before="0"/>
      </w:pPr>
      <w:r>
        <w:t xml:space="preserve">Increasingly the challenges facing public servants cannot be effectively addressed without help. To bring others into the problem solving process requires public servants to first see that </w:t>
      </w:r>
      <w:r w:rsidR="00B043E9">
        <w:t>their</w:t>
      </w:r>
      <w:r>
        <w:t xml:space="preserve"> effort involved in meaningful engagement is worth the investment.</w:t>
      </w:r>
      <w:r w:rsidR="00EA27CC">
        <w:t xml:space="preserve"> </w:t>
      </w:r>
      <w:r>
        <w:t xml:space="preserve">The research also indicated that obtaining buy in from the community is a key consideration for many public servants but the use of traditional information sharing and consultation methods limits the potential to create shared understanding and commitment. </w:t>
      </w:r>
    </w:p>
    <w:p w14:paraId="4CCD2BE2" w14:textId="77777777" w:rsidR="008E700A" w:rsidRPr="00286915" w:rsidRDefault="008E700A" w:rsidP="008E700A">
      <w:pPr>
        <w:spacing w:before="0"/>
        <w:rPr>
          <w:b/>
        </w:rPr>
      </w:pPr>
    </w:p>
    <w:p w14:paraId="76196027" w14:textId="77777777" w:rsidR="008E700A" w:rsidRPr="00286915" w:rsidRDefault="008E700A" w:rsidP="008E700A">
      <w:pPr>
        <w:spacing w:before="0"/>
        <w:rPr>
          <w:b/>
        </w:rPr>
      </w:pPr>
      <w:r>
        <w:t>There is considerable potential for the development of better policy and programmes if the APS can meaningfully engage the expertise that exists in the community. Moreover the holders of this expertise in the community are willing and able to assist and they are cognisant of the constraints on public servants.</w:t>
      </w:r>
    </w:p>
    <w:p w14:paraId="468ABD51" w14:textId="77777777" w:rsidR="008E700A" w:rsidRDefault="008E700A" w:rsidP="008E700A">
      <w:pPr>
        <w:spacing w:before="0"/>
      </w:pPr>
    </w:p>
    <w:p w14:paraId="538D9DB9" w14:textId="77777777" w:rsidR="008E700A" w:rsidRDefault="008E700A" w:rsidP="008E700A">
      <w:pPr>
        <w:spacing w:before="0"/>
      </w:pPr>
      <w:r>
        <w:lastRenderedPageBreak/>
        <w:t>It will be important to not lose sight of the fact that not all issues require engagement with the community. The research has identified a knowing doing gap within the public service, so many will understand the benefits but perhaps they do not feel the investment is warranted.</w:t>
      </w:r>
    </w:p>
    <w:p w14:paraId="7AE89F1D" w14:textId="77777777" w:rsidR="008E700A" w:rsidRDefault="008E700A" w:rsidP="008E700A">
      <w:pPr>
        <w:spacing w:before="0"/>
      </w:pPr>
    </w:p>
    <w:p w14:paraId="492D24BB" w14:textId="77777777" w:rsidR="008E700A" w:rsidRPr="00A76699" w:rsidRDefault="008E700A" w:rsidP="00A76699">
      <w:pPr>
        <w:pStyle w:val="Heading6"/>
        <w:numPr>
          <w:ilvl w:val="0"/>
          <w:numId w:val="0"/>
        </w:numPr>
        <w:spacing w:before="0"/>
        <w:rPr>
          <w:i w:val="0"/>
        </w:rPr>
      </w:pPr>
      <w:r w:rsidRPr="00695FBD">
        <w:t xml:space="preserve">Back to Basics </w:t>
      </w:r>
    </w:p>
    <w:p w14:paraId="63E6E3E3" w14:textId="4DEADE5D" w:rsidR="008E700A" w:rsidRDefault="008E700A" w:rsidP="008E700A">
      <w:pPr>
        <w:spacing w:before="0"/>
      </w:pPr>
      <w:r>
        <w:t>How can we help the APS to get the basics of engagement right?</w:t>
      </w:r>
    </w:p>
    <w:p w14:paraId="2BC16005" w14:textId="77777777" w:rsidR="008E700A" w:rsidRDefault="008E700A" w:rsidP="008E700A">
      <w:pPr>
        <w:spacing w:before="0"/>
      </w:pPr>
    </w:p>
    <w:p w14:paraId="348D7084" w14:textId="77777777" w:rsidR="008E700A" w:rsidRDefault="008E700A" w:rsidP="008E700A">
      <w:pPr>
        <w:spacing w:before="0"/>
      </w:pPr>
      <w:r>
        <w:t>The research has shown that there is a gap between what public servants know about good engagement and what they actually do in practice.</w:t>
      </w:r>
      <w:r w:rsidR="00EA27CC">
        <w:t xml:space="preserve"> </w:t>
      </w:r>
      <w:r>
        <w:t>Sometimes this is due to a concern about the risk of applying more open engagement methods, other times it is due to a lack of capability or understanding.</w:t>
      </w:r>
      <w:r w:rsidR="00EA27CC">
        <w:t xml:space="preserve"> </w:t>
      </w:r>
      <w:r>
        <w:t>A lack of transparency and the inability to close the loop in engagements leads to a level of frustration with stakeholders and on occasion cynicism.</w:t>
      </w:r>
    </w:p>
    <w:p w14:paraId="3122437B" w14:textId="77777777" w:rsidR="008E700A" w:rsidRDefault="008E700A" w:rsidP="008E700A">
      <w:pPr>
        <w:spacing w:before="0"/>
      </w:pPr>
    </w:p>
    <w:p w14:paraId="0A83A31F" w14:textId="77777777" w:rsidR="008E700A" w:rsidRDefault="008E700A" w:rsidP="008E700A">
      <w:pPr>
        <w:spacing w:before="0"/>
      </w:pPr>
      <w:r>
        <w:t>There is an opportunity to shift the nature of the relationship with the community and make the expertise they hold easier to access by ensuring that when engaging the community that the APS gets the basics right every time.</w:t>
      </w:r>
      <w:r w:rsidR="00EA27CC">
        <w:t xml:space="preserve"> </w:t>
      </w:r>
      <w:r>
        <w:t xml:space="preserve">The community is pragmatic and realistic with an appreciation of the constraints on the APS which should give the APS greater confidence in being open and transparent with the community when they can and </w:t>
      </w:r>
      <w:r w:rsidR="00B043E9">
        <w:t>explain</w:t>
      </w:r>
      <w:r>
        <w:t xml:space="preserve"> why when they can’t.</w:t>
      </w:r>
    </w:p>
    <w:p w14:paraId="7715A324" w14:textId="77777777" w:rsidR="008E700A" w:rsidRDefault="008E700A" w:rsidP="008E700A">
      <w:pPr>
        <w:spacing w:before="0"/>
      </w:pPr>
    </w:p>
    <w:p w14:paraId="142095D7" w14:textId="77777777" w:rsidR="008E700A" w:rsidRPr="007C6876" w:rsidRDefault="008E700A" w:rsidP="008E700A">
      <w:pPr>
        <w:spacing w:before="0"/>
      </w:pPr>
      <w:r>
        <w:t>The research clearly shows that there is a high level of mistrust with much of the current government engagement which means that engagements often fail to make the most of the community’s expertise.</w:t>
      </w:r>
      <w:r w:rsidR="00EA27CC">
        <w:t xml:space="preserve"> </w:t>
      </w:r>
      <w:r>
        <w:t>Importantly the community believe that getting the basics right is crucial to building trust and forms the building blocks for more advanced engagements.</w:t>
      </w:r>
    </w:p>
    <w:p w14:paraId="41211306" w14:textId="77777777" w:rsidR="007F700F" w:rsidRDefault="007F700F" w:rsidP="007F700F">
      <w:pPr>
        <w:spacing w:before="0"/>
      </w:pPr>
    </w:p>
    <w:p w14:paraId="2CE3B6AE" w14:textId="77777777" w:rsidR="008E700A" w:rsidRDefault="008E700A" w:rsidP="007F700F">
      <w:pPr>
        <w:spacing w:before="0"/>
      </w:pPr>
      <w:r>
        <w:t>In generating ideas from this question it will be important to keep in mind the interconnectedness of the issues in this area.</w:t>
      </w:r>
      <w:r w:rsidR="00EA27CC">
        <w:t xml:space="preserve"> </w:t>
      </w:r>
      <w:r>
        <w:t>Like the community public servants are pragmatic, they operate under certain constraints and the research shows that they do not universally appreciate the value in engaging with the community in more open ways.</w:t>
      </w:r>
      <w:r w:rsidR="00EA27CC">
        <w:t xml:space="preserve"> </w:t>
      </w:r>
      <w:r>
        <w:t>These realities will need to be considered when developing solutions.</w:t>
      </w:r>
    </w:p>
    <w:p w14:paraId="36E40176" w14:textId="77777777" w:rsidR="00867D38" w:rsidRDefault="00867D38" w:rsidP="007F700F">
      <w:pPr>
        <w:spacing w:before="0"/>
      </w:pPr>
    </w:p>
    <w:p w14:paraId="6418D3F2" w14:textId="77777777" w:rsidR="00340D66" w:rsidRPr="00340D66" w:rsidRDefault="00D83E3F" w:rsidP="00340D66">
      <w:pPr>
        <w:pStyle w:val="Heading6"/>
        <w:numPr>
          <w:ilvl w:val="0"/>
          <w:numId w:val="0"/>
        </w:numPr>
        <w:spacing w:before="0"/>
      </w:pPr>
      <w:r>
        <w:t>Breaking the Wheel</w:t>
      </w:r>
    </w:p>
    <w:p w14:paraId="2787E114" w14:textId="46616536" w:rsidR="007F700F" w:rsidRDefault="007F700F" w:rsidP="00340D66">
      <w:pPr>
        <w:spacing w:before="0"/>
      </w:pPr>
      <w:r>
        <w:t xml:space="preserve">How </w:t>
      </w:r>
      <w:r w:rsidR="00BA77F0">
        <w:t>might we re-think critical business processes to better reflect the importance of community expertise?</w:t>
      </w:r>
    </w:p>
    <w:p w14:paraId="22D280E7" w14:textId="77777777" w:rsidR="00340D66" w:rsidRDefault="00340D66" w:rsidP="00340D66">
      <w:pPr>
        <w:spacing w:before="0"/>
      </w:pPr>
    </w:p>
    <w:p w14:paraId="00A7E015" w14:textId="77777777" w:rsidR="007F700F" w:rsidRDefault="007F700F" w:rsidP="007F700F">
      <w:pPr>
        <w:spacing w:before="0"/>
      </w:pPr>
      <w:r>
        <w:t>The research has shown that some of the internal processes to government such as parliamentary, security and legal requirements do not necessarily align well with more open forms of dialogue with the community.</w:t>
      </w:r>
      <w:r w:rsidR="00EA27CC">
        <w:t xml:space="preserve"> </w:t>
      </w:r>
      <w:r>
        <w:t>The survey of departments expanded on this point when identifying barriers and areas for improvement and included issues such as limited authority to make decisions or take actions, time constraints, engagement of senior staff, and a culture of risk aversion which requires ‘nearly developed answers’ before going out to the public.</w:t>
      </w:r>
    </w:p>
    <w:p w14:paraId="434C4804" w14:textId="77777777" w:rsidR="007F700F" w:rsidRDefault="007F700F" w:rsidP="007F700F">
      <w:pPr>
        <w:spacing w:before="0"/>
      </w:pPr>
    </w:p>
    <w:p w14:paraId="607398BE" w14:textId="77777777" w:rsidR="007F700F" w:rsidRDefault="007F700F" w:rsidP="007F700F">
      <w:pPr>
        <w:spacing w:before="0"/>
      </w:pPr>
      <w:r>
        <w:t>It is clear from the research that many of the constraints, such as parliamentary and legal are valid and out of the control of public servants but many are not.</w:t>
      </w:r>
      <w:r w:rsidR="00EA27CC">
        <w:t xml:space="preserve"> </w:t>
      </w:r>
      <w:r>
        <w:t xml:space="preserve">There is a need to ensure that the constraints are valid and are the reason for limited engagement and not the excuse. </w:t>
      </w:r>
    </w:p>
    <w:p w14:paraId="4DB7ADC7" w14:textId="77777777" w:rsidR="007F700F" w:rsidRDefault="007F700F" w:rsidP="007F700F">
      <w:pPr>
        <w:spacing w:before="0"/>
      </w:pPr>
    </w:p>
    <w:p w14:paraId="1A9295B2" w14:textId="77777777" w:rsidR="007F700F" w:rsidRDefault="007F700F" w:rsidP="007F700F">
      <w:pPr>
        <w:spacing w:before="0"/>
      </w:pPr>
      <w:r>
        <w:t>If we can find ways of helping public servants to be able to navigate this more effectively it will open up more opportunities for more meaningful engagement.</w:t>
      </w:r>
      <w:r w:rsidR="00EA27CC">
        <w:t xml:space="preserve"> </w:t>
      </w:r>
      <w:r>
        <w:t>Moreover, it will give public servants the confidence to be more upfront with the community on when and how they can engage, which will in turn foster greater trust.</w:t>
      </w:r>
      <w:r w:rsidR="00EA27CC">
        <w:t xml:space="preserve"> </w:t>
      </w:r>
      <w:r>
        <w:t>It has the potential to promote more ongoing partnerships.</w:t>
      </w:r>
      <w:r w:rsidR="00EA27CC">
        <w:t xml:space="preserve"> </w:t>
      </w:r>
    </w:p>
    <w:p w14:paraId="04857E72" w14:textId="77777777" w:rsidR="00DB2F21" w:rsidRDefault="00DB2F21" w:rsidP="007F700F">
      <w:pPr>
        <w:spacing w:before="0"/>
      </w:pPr>
    </w:p>
    <w:p w14:paraId="10509869" w14:textId="77777777" w:rsidR="00DB2F21" w:rsidRPr="00DB2F21" w:rsidRDefault="00DB2F21" w:rsidP="00DB2F21">
      <w:pPr>
        <w:pStyle w:val="Heading6"/>
        <w:numPr>
          <w:ilvl w:val="0"/>
          <w:numId w:val="0"/>
        </w:numPr>
        <w:spacing w:before="0"/>
      </w:pPr>
      <w:r>
        <w:t>What’s in a Name?</w:t>
      </w:r>
    </w:p>
    <w:p w14:paraId="7EF3A212" w14:textId="77777777" w:rsidR="00DB2F21" w:rsidRDefault="00DB2F21" w:rsidP="00DB2F21">
      <w:pPr>
        <w:spacing w:before="0"/>
      </w:pPr>
      <w:r>
        <w:t>How might we re-imagine public servant roles such as policy officer to make better use of community expertise?</w:t>
      </w:r>
      <w:r w:rsidR="003A2622">
        <w:t xml:space="preserve"> </w:t>
      </w:r>
    </w:p>
    <w:p w14:paraId="639D9A00" w14:textId="77777777" w:rsidR="00DB2F21" w:rsidRDefault="00DB2F21" w:rsidP="00DB2F21">
      <w:pPr>
        <w:spacing w:before="0"/>
      </w:pPr>
    </w:p>
    <w:p w14:paraId="3029EFCE" w14:textId="77777777" w:rsidR="00DB2F21" w:rsidRDefault="00DB2F21" w:rsidP="00DB2F21">
      <w:pPr>
        <w:spacing w:before="0"/>
      </w:pPr>
      <w:r>
        <w:t xml:space="preserve">The research suggests that many public servants need to </w:t>
      </w:r>
      <w:r w:rsidRPr="00DB2F21">
        <w:t>re-imagine</w:t>
      </w:r>
      <w:r>
        <w:t xml:space="preserve"> the way they think about their role and the role of those who hold expertise in the community.</w:t>
      </w:r>
      <w:r w:rsidR="003A2622">
        <w:t xml:space="preserve"> </w:t>
      </w:r>
      <w:r w:rsidRPr="00DB2F21">
        <w:t>Their professional identi</w:t>
      </w:r>
      <w:r>
        <w:t>ty</w:t>
      </w:r>
      <w:r w:rsidRPr="00DB2F21">
        <w:t xml:space="preserve"> </w:t>
      </w:r>
      <w:r>
        <w:t>is a key driver of behaviours and can have a significant impact on the way we interact. The research would suggest that some public servants do not access the expertise in the community because they do not value that expertise, this is in part because they see themselves as the holders of the more relevant expertise.</w:t>
      </w:r>
    </w:p>
    <w:p w14:paraId="53E18AB3" w14:textId="77777777" w:rsidR="00DB2F21" w:rsidRDefault="00DB2F21" w:rsidP="00DB2F21">
      <w:pPr>
        <w:spacing w:before="0"/>
      </w:pPr>
    </w:p>
    <w:p w14:paraId="0E92DF34" w14:textId="77777777" w:rsidR="00DB2F21" w:rsidRDefault="00DB2F21" w:rsidP="00DB2F21">
      <w:pPr>
        <w:spacing w:before="0"/>
      </w:pPr>
      <w:r>
        <w:t xml:space="preserve">A re-imagining of the role of a public servant and </w:t>
      </w:r>
      <w:r w:rsidRPr="00DB2F21">
        <w:t xml:space="preserve">their professional identity </w:t>
      </w:r>
      <w:r>
        <w:t>could lead to more effective engagement with the community.</w:t>
      </w:r>
      <w:r w:rsidR="003A2622">
        <w:t xml:space="preserve"> </w:t>
      </w:r>
    </w:p>
    <w:p w14:paraId="33899021" w14:textId="77777777" w:rsidR="00DB2F21" w:rsidRDefault="00DB2F21" w:rsidP="00DB2F21">
      <w:pPr>
        <w:spacing w:before="0"/>
      </w:pPr>
    </w:p>
    <w:p w14:paraId="3F6B0B58" w14:textId="77777777" w:rsidR="00DB2F21" w:rsidRDefault="00DB2F21" w:rsidP="00DB2F21">
      <w:pPr>
        <w:spacing w:before="0"/>
      </w:pPr>
      <w:r w:rsidRPr="00DB2F21">
        <w:t xml:space="preserve">The research was clear that the non APS are looking to form more meaningful and on-going relationships with the APS. </w:t>
      </w:r>
      <w:r>
        <w:t xml:space="preserve">If we were to reconsider the role of a public servant to be more of a connector to expertise, interpreter of that expertise and navigator of government process, this </w:t>
      </w:r>
      <w:r w:rsidRPr="00DB2F21">
        <w:t>c</w:t>
      </w:r>
      <w:r>
        <w:t xml:space="preserve">ould </w:t>
      </w:r>
      <w:r w:rsidRPr="00DB2F21">
        <w:t xml:space="preserve">provide the basis for more of a partnership approach with the community </w:t>
      </w:r>
      <w:r>
        <w:t>lead</w:t>
      </w:r>
      <w:r w:rsidRPr="00DB2F21">
        <w:t>ing</w:t>
      </w:r>
      <w:r>
        <w:t xml:space="preserve"> to a more effective engagement with the community and better outcomes.</w:t>
      </w:r>
      <w:r w:rsidR="003A2622">
        <w:t xml:space="preserve"> </w:t>
      </w:r>
    </w:p>
    <w:p w14:paraId="089F0225" w14:textId="77777777" w:rsidR="00DB2F21" w:rsidRDefault="00DB2F21" w:rsidP="00DB2F21">
      <w:pPr>
        <w:pStyle w:val="Heading6"/>
        <w:numPr>
          <w:ilvl w:val="0"/>
          <w:numId w:val="0"/>
        </w:numPr>
        <w:spacing w:before="0"/>
      </w:pPr>
    </w:p>
    <w:p w14:paraId="5721EA61" w14:textId="77777777" w:rsidR="00DB2F21" w:rsidRPr="00DB2F21" w:rsidRDefault="00DB2F21" w:rsidP="00DB2F21">
      <w:pPr>
        <w:pStyle w:val="Heading6"/>
        <w:numPr>
          <w:ilvl w:val="0"/>
          <w:numId w:val="0"/>
        </w:numPr>
        <w:spacing w:before="0"/>
      </w:pPr>
      <w:r>
        <w:t>Reward for Effort</w:t>
      </w:r>
    </w:p>
    <w:p w14:paraId="73640B8A" w14:textId="2CE8E22F" w:rsidR="00BA77F0" w:rsidRDefault="00BA77F0" w:rsidP="00BA77F0">
      <w:pPr>
        <w:spacing w:before="0" w:line="252" w:lineRule="auto"/>
      </w:pPr>
      <w:r>
        <w:t>How might we shift incentives to better encourage the development of the skills needed to tap community expertise?</w:t>
      </w:r>
    </w:p>
    <w:p w14:paraId="113F3D9A" w14:textId="77777777" w:rsidR="00DB2F21" w:rsidRDefault="00DB2F21" w:rsidP="00DB2F21">
      <w:pPr>
        <w:spacing w:before="0"/>
      </w:pPr>
    </w:p>
    <w:p w14:paraId="422AE8DA" w14:textId="77777777" w:rsidR="00DB2F21" w:rsidRDefault="00DB2F21" w:rsidP="00DB2F21">
      <w:pPr>
        <w:spacing w:before="0"/>
      </w:pPr>
      <w:r>
        <w:t>Both the user research and stocktake show that there appears to be a knowing/doing gap between what public servants know on sharing information and consultation, and what they do in practice.</w:t>
      </w:r>
      <w:r w:rsidR="003A2622">
        <w:t xml:space="preserve"> </w:t>
      </w:r>
      <w:r>
        <w:t>This gap would appear, in part, to be due to a lack of incentives and capability.</w:t>
      </w:r>
      <w:r w:rsidR="003A2622">
        <w:t xml:space="preserve"> </w:t>
      </w:r>
    </w:p>
    <w:p w14:paraId="0333DDF9" w14:textId="77777777" w:rsidR="00DB2F21" w:rsidRDefault="00DB2F21" w:rsidP="00DB2F21">
      <w:pPr>
        <w:spacing w:before="0"/>
      </w:pPr>
    </w:p>
    <w:p w14:paraId="77D746B6" w14:textId="77777777" w:rsidR="00DB2F21" w:rsidRDefault="00DB2F21" w:rsidP="00DB2F21">
      <w:pPr>
        <w:spacing w:before="0"/>
      </w:pPr>
      <w:r>
        <w:t>APS users identified a lack of capability as an issue but they also wanted to undertake more meaningful engagement. There was also a recognition that on many occasions the basics, such as closing the loop, are not done well by public servants.</w:t>
      </w:r>
      <w:r w:rsidR="003A2622">
        <w:t xml:space="preserve"> </w:t>
      </w:r>
      <w:r>
        <w:t>This impacts on both trust and confidence in the government decision making.</w:t>
      </w:r>
    </w:p>
    <w:p w14:paraId="18C0A93C" w14:textId="77777777" w:rsidR="00DB2F21" w:rsidRDefault="00DB2F21" w:rsidP="00DB2F21">
      <w:pPr>
        <w:spacing w:before="0"/>
      </w:pPr>
    </w:p>
    <w:p w14:paraId="3229299B" w14:textId="77777777" w:rsidR="00DB2F21" w:rsidRDefault="00DB2F21" w:rsidP="00DB2F21">
      <w:pPr>
        <w:spacing w:before="0"/>
      </w:pPr>
      <w:r>
        <w:t>Recruitment, promotion and rewards systems are key drivers for change.</w:t>
      </w:r>
      <w:r w:rsidR="003A2622">
        <w:t xml:space="preserve"> </w:t>
      </w:r>
      <w:r>
        <w:t>If we can augment these processes to reflect the importance of engaging the community we will both enhance capability across the APS and incentives public servants to engage with community in more meaningful ways.</w:t>
      </w:r>
      <w:r w:rsidR="003A2622">
        <w:t xml:space="preserve"> </w:t>
      </w:r>
      <w:r>
        <w:t>Changing the incentives structure will also provide motivation for public servants to recognise the value of the expertise held in the community and the confidence to access that expertise.</w:t>
      </w:r>
    </w:p>
    <w:p w14:paraId="702DEBBC" w14:textId="77777777" w:rsidR="00DB2F21" w:rsidRDefault="00DB2F21" w:rsidP="007F700F">
      <w:pPr>
        <w:spacing w:before="0"/>
      </w:pPr>
    </w:p>
    <w:p w14:paraId="2CB96FA1" w14:textId="77777777" w:rsidR="007F700F" w:rsidRDefault="007F700F" w:rsidP="008E700A"/>
    <w:p w14:paraId="60FC2F5B" w14:textId="77777777" w:rsidR="00610F99" w:rsidRDefault="00610F99" w:rsidP="0052682D">
      <w:pPr>
        <w:spacing w:before="0"/>
        <w:rPr>
          <w:rStyle w:val="PageNumber"/>
          <w:color w:val="276C6C"/>
          <w:sz w:val="40"/>
        </w:rPr>
      </w:pPr>
      <w:bookmarkStart w:id="79" w:name="_Toc481566954"/>
      <w:bookmarkStart w:id="80" w:name="_Toc492983330"/>
    </w:p>
    <w:p w14:paraId="40D5F266" w14:textId="2FC56B4A" w:rsidR="00FD6CC1" w:rsidRPr="00BA77F0" w:rsidRDefault="00610F99" w:rsidP="00BA77F0">
      <w:pPr>
        <w:spacing w:before="0"/>
        <w:rPr>
          <w:color w:val="276C6C"/>
          <w:sz w:val="40"/>
        </w:rPr>
      </w:pPr>
      <w:r>
        <w:rPr>
          <w:rStyle w:val="PageNumber"/>
          <w:color w:val="276C6C"/>
          <w:sz w:val="40"/>
        </w:rPr>
        <w:br w:type="page"/>
      </w:r>
      <w:bookmarkEnd w:id="79"/>
      <w:bookmarkEnd w:id="80"/>
    </w:p>
    <w:p w14:paraId="77D2B8DF" w14:textId="77777777" w:rsidR="00914A7F" w:rsidRPr="006F5A59" w:rsidRDefault="00914A7F" w:rsidP="00914A7F">
      <w:pPr>
        <w:pStyle w:val="H1"/>
        <w:spacing w:before="0" w:after="0"/>
        <w:rPr>
          <w:rStyle w:val="PageNumber"/>
          <w:color w:val="276C6C"/>
          <w:sz w:val="40"/>
        </w:rPr>
      </w:pPr>
      <w:bookmarkStart w:id="81" w:name="_Toc495915994"/>
      <w:r w:rsidRPr="006F5A59">
        <w:rPr>
          <w:rStyle w:val="PageNumber"/>
          <w:color w:val="276C6C"/>
          <w:sz w:val="40"/>
        </w:rPr>
        <w:lastRenderedPageBreak/>
        <w:t>References</w:t>
      </w:r>
      <w:bookmarkEnd w:id="81"/>
    </w:p>
    <w:p w14:paraId="6A0B3919" w14:textId="77777777" w:rsidR="00914A7F" w:rsidRDefault="00914A7F" w:rsidP="00914A7F">
      <w:pPr>
        <w:pStyle w:val="BodyText"/>
        <w:jc w:val="left"/>
      </w:pPr>
      <w:r w:rsidRPr="001B1633">
        <w:t xml:space="preserve">Alan Cooper, Inmates Are Running the Asylum, </w:t>
      </w:r>
      <w:r>
        <w:t xml:space="preserve">Pearson Education, </w:t>
      </w:r>
      <w:r w:rsidRPr="001B1633">
        <w:t>1998</w:t>
      </w:r>
    </w:p>
    <w:p w14:paraId="4B9A581C" w14:textId="77777777" w:rsidR="00914A7F" w:rsidRDefault="00914A7F" w:rsidP="00914A7F">
      <w:pPr>
        <w:pStyle w:val="BodyText"/>
        <w:jc w:val="left"/>
      </w:pPr>
    </w:p>
    <w:p w14:paraId="7B3316D1" w14:textId="77777777" w:rsidR="00914A7F" w:rsidRDefault="00914A7F" w:rsidP="00914A7F">
      <w:pPr>
        <w:pStyle w:val="BodyText"/>
        <w:jc w:val="left"/>
      </w:pPr>
      <w:r>
        <w:t>Alisha Green ‘</w:t>
      </w:r>
      <w:r w:rsidRPr="00ED13B5">
        <w:t>Social media and public comments in rulemaking</w:t>
      </w:r>
      <w:r>
        <w:t xml:space="preserve">’, Sunlight Foundation, 2012. Link: </w:t>
      </w:r>
      <w:r w:rsidRPr="00FE071F">
        <w:t>https://sunlightfoundation.com/2012/11/15/social-media-and-public-comments-in-rulemaking/</w:t>
      </w:r>
      <w:r>
        <w:t>.</w:t>
      </w:r>
    </w:p>
    <w:p w14:paraId="71FF384C" w14:textId="77777777" w:rsidR="00914A7F" w:rsidRDefault="00914A7F" w:rsidP="00914A7F">
      <w:pPr>
        <w:pStyle w:val="BodyText"/>
        <w:jc w:val="left"/>
      </w:pPr>
    </w:p>
    <w:p w14:paraId="671FBCDC" w14:textId="77777777" w:rsidR="00914A7F" w:rsidRDefault="00914A7F" w:rsidP="00914A7F">
      <w:pPr>
        <w:pStyle w:val="BodyText"/>
        <w:jc w:val="left"/>
      </w:pPr>
      <w:r>
        <w:t>Amelia Loye, Engage2 ‘</w:t>
      </w:r>
      <w:r w:rsidRPr="002C4BC3">
        <w:t>OGPAU Engagement report</w:t>
      </w:r>
      <w:r>
        <w:t>: Development of Australia’s First National Action Plan’, Engage2/Department of the Prime Minister and Cabinet, 2016.</w:t>
      </w:r>
    </w:p>
    <w:p w14:paraId="479D2A80" w14:textId="77777777" w:rsidR="00914A7F" w:rsidRDefault="00914A7F" w:rsidP="00914A7F">
      <w:pPr>
        <w:pStyle w:val="BodyText"/>
        <w:jc w:val="left"/>
      </w:pPr>
    </w:p>
    <w:p w14:paraId="73743D86" w14:textId="77777777" w:rsidR="00914A7F" w:rsidRDefault="00914A7F" w:rsidP="00914A7F">
      <w:pPr>
        <w:pStyle w:val="BodyText"/>
        <w:jc w:val="left"/>
      </w:pPr>
      <w:r>
        <w:t>Andrew Markus ‘Mapping social cohesion: The Scanlon Foundation surveys 2016’, Scanlon Foundation, Monash University, 2016.</w:t>
      </w:r>
    </w:p>
    <w:p w14:paraId="4D693364" w14:textId="77777777" w:rsidR="00914A7F" w:rsidRDefault="00914A7F" w:rsidP="00914A7F">
      <w:pPr>
        <w:pStyle w:val="BodyText"/>
        <w:jc w:val="left"/>
      </w:pPr>
    </w:p>
    <w:p w14:paraId="57E56AF4" w14:textId="77777777" w:rsidR="00914A7F" w:rsidRDefault="00914A7F" w:rsidP="00914A7F">
      <w:pPr>
        <w:pStyle w:val="BodyText"/>
        <w:jc w:val="left"/>
      </w:pPr>
      <w:r>
        <w:t>Audrey Tang ‘</w:t>
      </w:r>
      <w:r w:rsidRPr="003D1687">
        <w:t>Implement ‘open government’ in daily lives</w:t>
      </w:r>
      <w:r>
        <w:t xml:space="preserve">’, Focus Taiwan, 2016. Link: </w:t>
      </w:r>
      <w:r w:rsidRPr="001620A4">
        <w:t>http://focustaiwan.tw/news/asoc/201612100006.aspx</w:t>
      </w:r>
      <w:r>
        <w:t>.</w:t>
      </w:r>
    </w:p>
    <w:p w14:paraId="1744F480" w14:textId="77777777" w:rsidR="00914A7F" w:rsidRDefault="00914A7F" w:rsidP="00914A7F">
      <w:pPr>
        <w:pStyle w:val="BodyText"/>
        <w:jc w:val="left"/>
      </w:pPr>
    </w:p>
    <w:p w14:paraId="4B648E84" w14:textId="77777777" w:rsidR="00914A7F" w:rsidRDefault="00914A7F" w:rsidP="00914A7F">
      <w:pPr>
        <w:pStyle w:val="BodyText"/>
        <w:jc w:val="left"/>
      </w:pPr>
      <w:r>
        <w:t>Australian Government ‘Open Gover</w:t>
      </w:r>
      <w:r w:rsidRPr="00BF35FA">
        <w:t>nment National Action Plan 2016-18</w:t>
      </w:r>
      <w:r>
        <w:t>’, Australian Public Service, 2016.</w:t>
      </w:r>
    </w:p>
    <w:p w14:paraId="6BBC4ABF" w14:textId="77777777" w:rsidR="00914A7F" w:rsidRDefault="00914A7F" w:rsidP="00914A7F">
      <w:pPr>
        <w:pStyle w:val="BodyText"/>
        <w:jc w:val="left"/>
      </w:pPr>
    </w:p>
    <w:p w14:paraId="318C77B3" w14:textId="77777777" w:rsidR="00914A7F" w:rsidRDefault="00914A7F" w:rsidP="00914A7F">
      <w:pPr>
        <w:pStyle w:val="BodyText"/>
        <w:jc w:val="left"/>
      </w:pPr>
      <w:r>
        <w:t>Bang the Table ‘</w:t>
      </w:r>
      <w:r w:rsidRPr="000D2695">
        <w:t>Adapting the 90-9-1 rule for online citizen engagement</w:t>
      </w:r>
      <w:r>
        <w:t>’, Bang the Table, 2012.</w:t>
      </w:r>
    </w:p>
    <w:p w14:paraId="74D8E0AC" w14:textId="77777777" w:rsidR="00914A7F" w:rsidRDefault="00914A7F" w:rsidP="00914A7F">
      <w:pPr>
        <w:pStyle w:val="BodyText"/>
        <w:jc w:val="left"/>
      </w:pPr>
    </w:p>
    <w:p w14:paraId="3F300DBC" w14:textId="77777777" w:rsidR="00914A7F" w:rsidRDefault="00914A7F" w:rsidP="00914A7F">
      <w:pPr>
        <w:pStyle w:val="BodyText"/>
        <w:jc w:val="left"/>
      </w:pPr>
      <w:r>
        <w:t>Bang the Table, ‘</w:t>
      </w:r>
      <w:r w:rsidRPr="000D2695">
        <w:t>Community Engagement versus Civic Engagement versus Public Involvement</w:t>
      </w:r>
      <w:r>
        <w:t>’, Bang the Table, 2014.</w:t>
      </w:r>
    </w:p>
    <w:p w14:paraId="318BCAD3" w14:textId="77777777" w:rsidR="00914A7F" w:rsidRDefault="00914A7F" w:rsidP="00914A7F">
      <w:pPr>
        <w:pStyle w:val="BodyText"/>
        <w:jc w:val="left"/>
      </w:pPr>
    </w:p>
    <w:p w14:paraId="5AF0DF36" w14:textId="77777777" w:rsidR="00914A7F" w:rsidRDefault="00914A7F" w:rsidP="00914A7F">
      <w:pPr>
        <w:pStyle w:val="BodyText"/>
        <w:jc w:val="left"/>
      </w:pPr>
      <w:r>
        <w:t>Barbara Belcher ‘</w:t>
      </w:r>
      <w:r w:rsidRPr="0011116A">
        <w:t>The Independent Review of Whole-of-Government Internal Regulation (Belcher</w:t>
      </w:r>
      <w:r>
        <w:t xml:space="preserve"> Red Tape Review)’, Secretaries Board and Department of Finance, 2015.</w:t>
      </w:r>
    </w:p>
    <w:p w14:paraId="65AFFD4C" w14:textId="77777777" w:rsidR="00914A7F" w:rsidRDefault="00914A7F" w:rsidP="00914A7F">
      <w:pPr>
        <w:pStyle w:val="BodyText"/>
        <w:jc w:val="left"/>
      </w:pPr>
    </w:p>
    <w:p w14:paraId="2B952EEB" w14:textId="77777777" w:rsidR="00914A7F" w:rsidRDefault="00914A7F" w:rsidP="00914A7F">
      <w:pPr>
        <w:pStyle w:val="BodyText"/>
        <w:jc w:val="left"/>
      </w:pPr>
      <w:r>
        <w:t>Benjamin Bowman ‘</w:t>
      </w:r>
      <w:r w:rsidRPr="00957C3F">
        <w:t>Hate the players, love the game: why young people aren’t voting</w:t>
      </w:r>
      <w:r>
        <w:t xml:space="preserve">’, The Conversation, 2015. Link: </w:t>
      </w:r>
      <w:r w:rsidRPr="001620A4">
        <w:t>https://theconversation.com/hate-the-players-love-the-game-why-young-people-arent-voting-40921</w:t>
      </w:r>
      <w:r>
        <w:t>.</w:t>
      </w:r>
    </w:p>
    <w:p w14:paraId="1535ACD7" w14:textId="77777777" w:rsidR="00914A7F" w:rsidRDefault="00914A7F" w:rsidP="00914A7F">
      <w:pPr>
        <w:pStyle w:val="BodyText"/>
        <w:jc w:val="left"/>
      </w:pPr>
    </w:p>
    <w:p w14:paraId="473461D0" w14:textId="77777777" w:rsidR="00914A7F" w:rsidRDefault="00914A7F" w:rsidP="00914A7F">
      <w:pPr>
        <w:pStyle w:val="BodyText"/>
        <w:jc w:val="left"/>
      </w:pPr>
      <w:r>
        <w:t>Bernice Bovenkerk, ‘</w:t>
      </w:r>
      <w:r w:rsidRPr="00B30F84">
        <w:t>Deliberate democracy and its limits</w:t>
      </w:r>
      <w:r>
        <w:t>’, in ‘The Biotechnology Debate’, Springer, 2012.</w:t>
      </w:r>
    </w:p>
    <w:p w14:paraId="3F993AC2" w14:textId="77777777" w:rsidR="00914A7F" w:rsidRDefault="00914A7F" w:rsidP="00914A7F">
      <w:pPr>
        <w:pStyle w:val="BodyText"/>
        <w:jc w:val="left"/>
      </w:pPr>
    </w:p>
    <w:p w14:paraId="74700847" w14:textId="77777777" w:rsidR="00914A7F" w:rsidRDefault="00914A7F" w:rsidP="00914A7F">
      <w:pPr>
        <w:pStyle w:val="BodyText"/>
        <w:jc w:val="left"/>
      </w:pPr>
      <w:r>
        <w:t>Beth Noveck ‘Smart citizens, smarter state’, Harvard University Press, 2015.</w:t>
      </w:r>
    </w:p>
    <w:p w14:paraId="08FA89E7" w14:textId="77777777" w:rsidR="00914A7F" w:rsidRDefault="00914A7F" w:rsidP="00914A7F">
      <w:pPr>
        <w:pStyle w:val="BodyText"/>
        <w:jc w:val="left"/>
      </w:pPr>
    </w:p>
    <w:p w14:paraId="0E890B02" w14:textId="77777777" w:rsidR="00914A7F" w:rsidRDefault="00914A7F" w:rsidP="00914A7F">
      <w:pPr>
        <w:pStyle w:val="BodyText"/>
        <w:jc w:val="left"/>
      </w:pPr>
      <w:r>
        <w:t>Bob Douglas ‘</w:t>
      </w:r>
      <w:r w:rsidRPr="00CE3B27">
        <w:t>The case for a national public interest council</w:t>
      </w:r>
      <w:r>
        <w:t>’, in ‘Who speaks for and protects the public interest in Australia? Essays by notable Australians,’ Australia21, 2015.</w:t>
      </w:r>
    </w:p>
    <w:p w14:paraId="3A780605" w14:textId="77777777" w:rsidR="00914A7F" w:rsidRDefault="00914A7F" w:rsidP="00914A7F">
      <w:pPr>
        <w:pStyle w:val="BodyText"/>
        <w:jc w:val="left"/>
      </w:pPr>
    </w:p>
    <w:p w14:paraId="298BD3CC" w14:textId="77777777" w:rsidR="00914A7F" w:rsidRDefault="00914A7F" w:rsidP="00914A7F">
      <w:pPr>
        <w:pStyle w:val="BodyText"/>
        <w:jc w:val="left"/>
      </w:pPr>
      <w:r>
        <w:t>Brenton Holmes ‘</w:t>
      </w:r>
      <w:r w:rsidRPr="00DA7EAA">
        <w:t>Citizens' engagement in policymaking and the design of public services</w:t>
      </w:r>
      <w:r>
        <w:t>’, Australian Parliamentary Library, 2011.</w:t>
      </w:r>
    </w:p>
    <w:p w14:paraId="7448F4C0" w14:textId="77777777" w:rsidR="00914A7F" w:rsidRDefault="00914A7F" w:rsidP="00914A7F">
      <w:pPr>
        <w:pStyle w:val="BodyText"/>
        <w:jc w:val="left"/>
      </w:pPr>
    </w:p>
    <w:p w14:paraId="2DE25A12" w14:textId="77777777" w:rsidR="00914A7F" w:rsidRDefault="00914A7F" w:rsidP="00914A7F">
      <w:pPr>
        <w:pStyle w:val="BodyText"/>
        <w:jc w:val="left"/>
      </w:pPr>
      <w:r>
        <w:t>Cameron Shorter ‘Making GovHack (and open government) more impactful’, The Mandarin, 2017.</w:t>
      </w:r>
    </w:p>
    <w:p w14:paraId="5FA622CE" w14:textId="77777777" w:rsidR="00914A7F" w:rsidRDefault="00914A7F" w:rsidP="00914A7F">
      <w:pPr>
        <w:pStyle w:val="BodyText"/>
        <w:jc w:val="left"/>
      </w:pPr>
    </w:p>
    <w:p w14:paraId="03921082" w14:textId="77777777" w:rsidR="00914A7F" w:rsidRDefault="00914A7F" w:rsidP="00914A7F">
      <w:pPr>
        <w:pStyle w:val="BodyText"/>
        <w:jc w:val="left"/>
      </w:pPr>
      <w:r>
        <w:t>Carolyn Hendriks ‘</w:t>
      </w:r>
      <w:r w:rsidRPr="00BF35FA">
        <w:t>Participatory and collaborative governance</w:t>
      </w:r>
      <w:r>
        <w:t>,’ chapter 17 in ‘</w:t>
      </w:r>
      <w:r w:rsidRPr="00BF35FA">
        <w:t>Contemporary politics in Australia:</w:t>
      </w:r>
      <w:r>
        <w:t xml:space="preserve"> Theories, practices and issues’, Cambridge Press, 2012.</w:t>
      </w:r>
    </w:p>
    <w:p w14:paraId="158FEC46" w14:textId="77777777" w:rsidR="00914A7F" w:rsidRDefault="00914A7F" w:rsidP="00914A7F">
      <w:pPr>
        <w:pStyle w:val="BodyText"/>
        <w:jc w:val="left"/>
      </w:pPr>
    </w:p>
    <w:p w14:paraId="4D67F0E0" w14:textId="77777777" w:rsidR="00914A7F" w:rsidRDefault="00914A7F" w:rsidP="00914A7F">
      <w:pPr>
        <w:pStyle w:val="BodyText"/>
        <w:jc w:val="left"/>
      </w:pPr>
      <w:r>
        <w:t>Carolyn Hendriks ‘</w:t>
      </w:r>
      <w:r w:rsidRPr="00BF35FA">
        <w:t>Policy evaluation and public participation</w:t>
      </w:r>
      <w:r>
        <w:t xml:space="preserve">’, chapter in ‘Routledge Handbook of Public Policy,’ Routledge, 2013. </w:t>
      </w:r>
    </w:p>
    <w:p w14:paraId="2790AB1A" w14:textId="77777777" w:rsidR="00914A7F" w:rsidRDefault="00914A7F" w:rsidP="00914A7F">
      <w:pPr>
        <w:pStyle w:val="BodyText"/>
        <w:jc w:val="left"/>
      </w:pPr>
    </w:p>
    <w:p w14:paraId="7400C33B" w14:textId="77777777" w:rsidR="00914A7F" w:rsidRDefault="00914A7F" w:rsidP="00914A7F">
      <w:pPr>
        <w:pStyle w:val="BodyText"/>
        <w:jc w:val="left"/>
      </w:pPr>
      <w:r>
        <w:t>Carolyn Hendriks ‘</w:t>
      </w:r>
      <w:r w:rsidRPr="00FF3E0D">
        <w:t>Conscious Coupling: Linking Citizens and Elites in Policy Deliberations</w:t>
      </w:r>
      <w:r>
        <w:t>’, Melbourne University School of Government, 2015.</w:t>
      </w:r>
    </w:p>
    <w:p w14:paraId="5C4EB6E0" w14:textId="77777777" w:rsidR="00914A7F" w:rsidRDefault="00914A7F" w:rsidP="00914A7F">
      <w:pPr>
        <w:pStyle w:val="BodyText"/>
        <w:jc w:val="left"/>
      </w:pPr>
    </w:p>
    <w:p w14:paraId="52CAA6BC" w14:textId="77777777" w:rsidR="00914A7F" w:rsidRDefault="00914A7F" w:rsidP="00914A7F">
      <w:pPr>
        <w:pStyle w:val="BodyText"/>
        <w:jc w:val="left"/>
      </w:pPr>
      <w:r>
        <w:t>Celeste Young ‘</w:t>
      </w:r>
      <w:r w:rsidRPr="003D1687">
        <w:t>Citizen’s juries: panacea for policy ‘ills’ or transforming government?</w:t>
      </w:r>
      <w:r>
        <w:t>’, Victoria Institute of Strategic Economic Studies and Bang the Table, 2017.</w:t>
      </w:r>
    </w:p>
    <w:p w14:paraId="436B61B3" w14:textId="77777777" w:rsidR="00914A7F" w:rsidRDefault="00914A7F" w:rsidP="00914A7F">
      <w:pPr>
        <w:pStyle w:val="BodyText"/>
        <w:jc w:val="left"/>
      </w:pPr>
    </w:p>
    <w:p w14:paraId="098FDCFB" w14:textId="77777777" w:rsidR="00914A7F" w:rsidRDefault="00914A7F" w:rsidP="00914A7F">
      <w:pPr>
        <w:pStyle w:val="BodyText"/>
        <w:jc w:val="left"/>
      </w:pPr>
      <w:r>
        <w:t>Clara Jamart ‘</w:t>
      </w:r>
      <w:r w:rsidRPr="00747083">
        <w:t>Sharing Power : How might participatory democracy be privileged?</w:t>
      </w:r>
      <w:r>
        <w:t>’, Agter, 2010.</w:t>
      </w:r>
    </w:p>
    <w:p w14:paraId="6F1D5190" w14:textId="77777777" w:rsidR="00914A7F" w:rsidRDefault="00914A7F" w:rsidP="00914A7F">
      <w:pPr>
        <w:pStyle w:val="BodyText"/>
        <w:jc w:val="left"/>
      </w:pPr>
    </w:p>
    <w:p w14:paraId="52CEECFC" w14:textId="77777777" w:rsidR="00914A7F" w:rsidRDefault="00914A7F" w:rsidP="00914A7F">
      <w:pPr>
        <w:pStyle w:val="BodyText"/>
        <w:jc w:val="left"/>
      </w:pPr>
      <w:r>
        <w:t>Crispin Butteris ‘</w:t>
      </w:r>
      <w:r w:rsidRPr="000D2695">
        <w:t>What is community engagement, exactly?</w:t>
      </w:r>
      <w:r>
        <w:t>’, Bang the Table, 2016.</w:t>
      </w:r>
    </w:p>
    <w:p w14:paraId="67665A22" w14:textId="77777777" w:rsidR="00914A7F" w:rsidRDefault="00914A7F" w:rsidP="00914A7F">
      <w:pPr>
        <w:pStyle w:val="BodyText"/>
        <w:jc w:val="left"/>
      </w:pPr>
    </w:p>
    <w:p w14:paraId="5C9CBB58" w14:textId="77777777" w:rsidR="00914A7F" w:rsidRDefault="00914A7F" w:rsidP="00914A7F">
      <w:pPr>
        <w:pStyle w:val="BodyText"/>
        <w:jc w:val="left"/>
      </w:pPr>
      <w:r>
        <w:t>Crispin Butteris, ‘</w:t>
      </w:r>
      <w:r w:rsidRPr="00F23DB3">
        <w:t>Quality versus quantity in online participation</w:t>
      </w:r>
      <w:r>
        <w:t>’, Bang the Table, 2012.</w:t>
      </w:r>
    </w:p>
    <w:p w14:paraId="03CBF584" w14:textId="77777777" w:rsidR="00914A7F" w:rsidRDefault="00914A7F" w:rsidP="00914A7F">
      <w:pPr>
        <w:pStyle w:val="BodyText"/>
        <w:jc w:val="left"/>
      </w:pPr>
    </w:p>
    <w:p w14:paraId="42967490" w14:textId="77777777" w:rsidR="00914A7F" w:rsidRDefault="00914A7F" w:rsidP="00914A7F">
      <w:pPr>
        <w:pStyle w:val="BodyText"/>
        <w:jc w:val="left"/>
      </w:pPr>
      <w:r>
        <w:t>David Donaldson ‘</w:t>
      </w:r>
      <w:r w:rsidRPr="00FE6925">
        <w:t>Parkinson: implementation is harder than policy, don’t undervalue it</w:t>
      </w:r>
      <w:r>
        <w:t xml:space="preserve">’, The Mandarin, 2016. Link: </w:t>
      </w:r>
      <w:r w:rsidRPr="001620A4">
        <w:t>https://www.themandarin.com.au/71254-martin-parkinson-never-lose-sight-implementation-150-times-harder-policy/</w:t>
      </w:r>
      <w:r>
        <w:t>.</w:t>
      </w:r>
    </w:p>
    <w:p w14:paraId="21028737" w14:textId="77777777" w:rsidR="00914A7F" w:rsidRDefault="00914A7F" w:rsidP="00914A7F">
      <w:pPr>
        <w:pStyle w:val="BodyText"/>
        <w:jc w:val="left"/>
      </w:pPr>
    </w:p>
    <w:p w14:paraId="790A06B8" w14:textId="77777777" w:rsidR="00914A7F" w:rsidRDefault="00914A7F" w:rsidP="00914A7F">
      <w:pPr>
        <w:pStyle w:val="BodyText"/>
        <w:jc w:val="left"/>
      </w:pPr>
      <w:r>
        <w:t>David Marr ‘</w:t>
      </w:r>
      <w:r w:rsidRPr="00C9523E">
        <w:t>The White Queen</w:t>
      </w:r>
      <w:r>
        <w:t>’, Quarterly Essay, 2017.</w:t>
      </w:r>
    </w:p>
    <w:p w14:paraId="10B0B476" w14:textId="77777777" w:rsidR="00914A7F" w:rsidRDefault="00914A7F" w:rsidP="00914A7F">
      <w:pPr>
        <w:pStyle w:val="BodyText"/>
        <w:jc w:val="left"/>
      </w:pPr>
    </w:p>
    <w:p w14:paraId="6607D0D5" w14:textId="77777777" w:rsidR="00914A7F" w:rsidRDefault="00914A7F" w:rsidP="00914A7F">
      <w:pPr>
        <w:pStyle w:val="BodyText"/>
        <w:jc w:val="left"/>
      </w:pPr>
      <w:r>
        <w:t>Delib ‘</w:t>
      </w:r>
      <w:r w:rsidRPr="00C9523E">
        <w:t>‘Digital democracy in practice’ – seminar/Q&amp;A with Exeter University students</w:t>
      </w:r>
      <w:r>
        <w:t>’, Delib, 2017.</w:t>
      </w:r>
    </w:p>
    <w:p w14:paraId="54E35D89" w14:textId="77777777" w:rsidR="00914A7F" w:rsidRDefault="00914A7F" w:rsidP="00914A7F">
      <w:pPr>
        <w:pStyle w:val="BodyText"/>
        <w:jc w:val="left"/>
      </w:pPr>
    </w:p>
    <w:p w14:paraId="318828A9" w14:textId="77777777" w:rsidR="00914A7F" w:rsidRDefault="00914A7F" w:rsidP="00914A7F">
      <w:pPr>
        <w:pStyle w:val="BodyText"/>
        <w:jc w:val="left"/>
      </w:pPr>
      <w:r>
        <w:t>Don Lenihan ‘</w:t>
      </w:r>
      <w:r w:rsidRPr="00C9523E">
        <w:t>An Ontario Public Engagement Framework: Report of the Open Dialogue Initiative</w:t>
      </w:r>
      <w:r>
        <w:t>’, 2016.</w:t>
      </w:r>
    </w:p>
    <w:p w14:paraId="4F8CB7B5" w14:textId="77777777" w:rsidR="00914A7F" w:rsidRDefault="00914A7F" w:rsidP="00914A7F">
      <w:pPr>
        <w:pStyle w:val="BodyText"/>
        <w:jc w:val="left"/>
      </w:pPr>
    </w:p>
    <w:p w14:paraId="64706C33" w14:textId="77777777" w:rsidR="00914A7F" w:rsidRDefault="00914A7F" w:rsidP="00914A7F">
      <w:pPr>
        <w:pStyle w:val="BodyText"/>
        <w:jc w:val="left"/>
      </w:pPr>
      <w:r>
        <w:t>Don Lenihan ‘</w:t>
      </w:r>
      <w:r w:rsidRPr="00DA7EAA">
        <w:t>Building a strategic design capacity with community - a report on the DHS Co-Design Community Engagement Prototype</w:t>
      </w:r>
      <w:r>
        <w:t>’, Department of Human Services/Canada’s Public Policy Forum, 2012.</w:t>
      </w:r>
    </w:p>
    <w:p w14:paraId="47F3CB60" w14:textId="77777777" w:rsidR="00914A7F" w:rsidRDefault="00914A7F" w:rsidP="00914A7F">
      <w:pPr>
        <w:pStyle w:val="BodyText"/>
        <w:jc w:val="left"/>
      </w:pPr>
    </w:p>
    <w:p w14:paraId="6ECDFC76" w14:textId="77777777" w:rsidR="00914A7F" w:rsidRDefault="00914A7F" w:rsidP="00914A7F">
      <w:pPr>
        <w:pStyle w:val="BodyText"/>
        <w:jc w:val="left"/>
      </w:pPr>
      <w:r>
        <w:t>Don Lenihan, Canada’s Public Policy Forum ‘A Case Study of Ontario’s Condominium Act Review’, Canada’s Public Policy Forum, 2014.</w:t>
      </w:r>
    </w:p>
    <w:p w14:paraId="6F5B2BDB" w14:textId="77777777" w:rsidR="00914A7F" w:rsidRDefault="00914A7F" w:rsidP="00914A7F">
      <w:pPr>
        <w:pStyle w:val="BodyText"/>
        <w:jc w:val="left"/>
      </w:pPr>
    </w:p>
    <w:p w14:paraId="17AE6D78" w14:textId="77777777" w:rsidR="00914A7F" w:rsidRDefault="00914A7F" w:rsidP="00914A7F">
      <w:pPr>
        <w:pStyle w:val="BodyText"/>
        <w:jc w:val="left"/>
      </w:pPr>
      <w:r>
        <w:t>Don Lenihan ‘</w:t>
      </w:r>
      <w:r w:rsidRPr="008E05E9">
        <w:t xml:space="preserve">Is </w:t>
      </w:r>
      <w:r>
        <w:t>‘</w:t>
      </w:r>
      <w:r w:rsidRPr="008E05E9">
        <w:t>Open Dialogue</w:t>
      </w:r>
      <w:r>
        <w:t>’</w:t>
      </w:r>
      <w:r w:rsidRPr="008E05E9">
        <w:t xml:space="preserve"> the Answer to </w:t>
      </w:r>
      <w:r>
        <w:t>‘</w:t>
      </w:r>
      <w:r w:rsidRPr="008E05E9">
        <w:t>Post-fact</w:t>
      </w:r>
      <w:r>
        <w:t>’</w:t>
      </w:r>
      <w:r w:rsidRPr="008E05E9">
        <w:t xml:space="preserve"> populism?</w:t>
      </w:r>
      <w:r>
        <w:t>’, Canada 20/20, 2017.</w:t>
      </w:r>
    </w:p>
    <w:p w14:paraId="19AA4048" w14:textId="77777777" w:rsidR="00914A7F" w:rsidRDefault="00914A7F" w:rsidP="00914A7F">
      <w:pPr>
        <w:pStyle w:val="BodyText"/>
        <w:jc w:val="left"/>
      </w:pPr>
    </w:p>
    <w:p w14:paraId="3370B9A9" w14:textId="77777777" w:rsidR="00914A7F" w:rsidRDefault="00914A7F" w:rsidP="00914A7F">
      <w:pPr>
        <w:pStyle w:val="BodyText"/>
        <w:jc w:val="left"/>
      </w:pPr>
      <w:r>
        <w:t>Don Lenihan ‘Rescuing policy: The case for public engagement’, Public Policy Forum, Canada, 2012.</w:t>
      </w:r>
    </w:p>
    <w:p w14:paraId="068F6862" w14:textId="77777777" w:rsidR="00914A7F" w:rsidRDefault="00914A7F" w:rsidP="00914A7F">
      <w:pPr>
        <w:pStyle w:val="BodyText"/>
        <w:jc w:val="left"/>
      </w:pPr>
    </w:p>
    <w:p w14:paraId="46A41EDD" w14:textId="77777777" w:rsidR="00914A7F" w:rsidRDefault="00914A7F" w:rsidP="00914A7F">
      <w:pPr>
        <w:pStyle w:val="BodyText"/>
        <w:jc w:val="left"/>
      </w:pPr>
      <w:r>
        <w:t>Don Lenihan, Tom Pitfield ‘</w:t>
      </w:r>
      <w:r w:rsidRPr="00DA7EAA">
        <w:t>How big data is about to explode policymaking as we know it: The rise of civil analytics</w:t>
      </w:r>
      <w:r>
        <w:t>’, Canada2020, 2017.</w:t>
      </w:r>
    </w:p>
    <w:p w14:paraId="2140E505" w14:textId="77777777" w:rsidR="00914A7F" w:rsidRDefault="00914A7F" w:rsidP="00914A7F">
      <w:pPr>
        <w:pStyle w:val="BodyText"/>
        <w:jc w:val="left"/>
      </w:pPr>
    </w:p>
    <w:p w14:paraId="519EB766" w14:textId="77777777" w:rsidR="00914A7F" w:rsidRDefault="00914A7F" w:rsidP="00914A7F">
      <w:pPr>
        <w:pStyle w:val="BodyText"/>
        <w:jc w:val="left"/>
      </w:pPr>
      <w:r>
        <w:t>E. Allan Lind, Christiane Arndt ‘</w:t>
      </w:r>
      <w:r w:rsidRPr="00E40C64">
        <w:t>Perceived fairness and regulatory policy: A behavioural science perspective on government-citizen interactions</w:t>
      </w:r>
      <w:r>
        <w:t xml:space="preserve">’, OECD Regulatory Policy Working Papers, OECD, 2016. </w:t>
      </w:r>
    </w:p>
    <w:p w14:paraId="50EEA1F0" w14:textId="77777777" w:rsidR="00914A7F" w:rsidRDefault="00914A7F" w:rsidP="00914A7F">
      <w:pPr>
        <w:pStyle w:val="BodyText"/>
        <w:jc w:val="left"/>
      </w:pPr>
    </w:p>
    <w:p w14:paraId="6DC764E1" w14:textId="77777777" w:rsidR="00914A7F" w:rsidRDefault="00914A7F" w:rsidP="00914A7F">
      <w:pPr>
        <w:pStyle w:val="BodyText"/>
        <w:jc w:val="left"/>
      </w:pPr>
      <w:r>
        <w:t xml:space="preserve">Gabrielle Chan ‘Trump-style political disaffection taking hold in Australia, review says’, The Guardian, 2017. Original survey data the article draws on is here: </w:t>
      </w:r>
      <w:r w:rsidRPr="001620A4">
        <w:t>http://australianelectionstudy.org/</w:t>
      </w:r>
      <w:r>
        <w:t>.</w:t>
      </w:r>
    </w:p>
    <w:p w14:paraId="1575ECC6" w14:textId="77777777" w:rsidR="00914A7F" w:rsidRDefault="00914A7F" w:rsidP="00914A7F">
      <w:pPr>
        <w:pStyle w:val="BodyText"/>
        <w:jc w:val="left"/>
      </w:pPr>
    </w:p>
    <w:p w14:paraId="68092418" w14:textId="77777777" w:rsidR="00914A7F" w:rsidRDefault="00914A7F" w:rsidP="00914A7F">
      <w:pPr>
        <w:pStyle w:val="BodyText"/>
        <w:jc w:val="left"/>
      </w:pPr>
      <w:r>
        <w:t xml:space="preserve">Geoffrey Moore ‘Crossing the chasm’, Harper Business Essentials, 1991. </w:t>
      </w:r>
    </w:p>
    <w:p w14:paraId="41BAA774" w14:textId="77777777" w:rsidR="00914A7F" w:rsidRDefault="00914A7F" w:rsidP="00914A7F">
      <w:pPr>
        <w:pStyle w:val="BodyText"/>
        <w:jc w:val="left"/>
      </w:pPr>
    </w:p>
    <w:p w14:paraId="30B6D4D9" w14:textId="77777777" w:rsidR="00914A7F" w:rsidRDefault="00914A7F" w:rsidP="00914A7F">
      <w:pPr>
        <w:pStyle w:val="BodyText"/>
        <w:jc w:val="left"/>
      </w:pPr>
      <w:r>
        <w:t>Gordon de Brouwer ‘Secretary Valedictory’, speech delivered at Institute of Public Administration Australia, ACT Division, 2017.</w:t>
      </w:r>
    </w:p>
    <w:p w14:paraId="71105C26" w14:textId="77777777" w:rsidR="00914A7F" w:rsidRDefault="00914A7F" w:rsidP="00914A7F">
      <w:pPr>
        <w:pStyle w:val="BodyText"/>
        <w:jc w:val="left"/>
      </w:pPr>
    </w:p>
    <w:p w14:paraId="1BAC1D69" w14:textId="77777777" w:rsidR="00914A7F" w:rsidRDefault="00914A7F" w:rsidP="00914A7F">
      <w:pPr>
        <w:pStyle w:val="BodyText"/>
        <w:jc w:val="left"/>
      </w:pPr>
      <w:r>
        <w:t xml:space="preserve">Government of Ontario ‘Public Engagement’, last accessed August 2017. Link: </w:t>
      </w:r>
      <w:r w:rsidRPr="00AB064B">
        <w:t>https://www.ontario.ca/page/public-engagement</w:t>
      </w:r>
      <w:r>
        <w:t>.</w:t>
      </w:r>
    </w:p>
    <w:p w14:paraId="34F10582" w14:textId="77777777" w:rsidR="00914A7F" w:rsidRDefault="00914A7F" w:rsidP="00914A7F">
      <w:pPr>
        <w:pStyle w:val="BodyText"/>
        <w:jc w:val="left"/>
      </w:pPr>
    </w:p>
    <w:p w14:paraId="1D6D2731" w14:textId="77777777" w:rsidR="00914A7F" w:rsidRDefault="00914A7F" w:rsidP="00914A7F">
      <w:pPr>
        <w:pStyle w:val="BodyText"/>
        <w:jc w:val="left"/>
      </w:pPr>
      <w:r>
        <w:t>Heather Smith ‘Speech to the Institute of Public Administration Australia’, Institute of Public Administration Australia, 2016.</w:t>
      </w:r>
    </w:p>
    <w:p w14:paraId="7F8549E7" w14:textId="77777777" w:rsidR="00914A7F" w:rsidRDefault="00914A7F" w:rsidP="00914A7F">
      <w:pPr>
        <w:pStyle w:val="BodyText"/>
        <w:jc w:val="left"/>
      </w:pPr>
    </w:p>
    <w:p w14:paraId="37713195" w14:textId="77777777" w:rsidR="00914A7F" w:rsidRDefault="00914A7F" w:rsidP="00914A7F">
      <w:pPr>
        <w:pStyle w:val="BodyText"/>
        <w:jc w:val="left"/>
      </w:pPr>
      <w:r>
        <w:t>Hélène Landemore ‘</w:t>
      </w:r>
      <w:r w:rsidRPr="00C9523E">
        <w:t>We, All</w:t>
      </w:r>
      <w:r>
        <w:t xml:space="preserve"> of</w:t>
      </w:r>
      <w:r w:rsidRPr="00C9523E">
        <w:t xml:space="preserve"> the People</w:t>
      </w:r>
      <w:r>
        <w:t xml:space="preserve"> – Five lessons from Iceland’s failed experiment in creating a crowdsourced constitution’, Slate, 2014.</w:t>
      </w:r>
    </w:p>
    <w:p w14:paraId="0C87F4FA" w14:textId="77777777" w:rsidR="00914A7F" w:rsidRDefault="00914A7F" w:rsidP="00914A7F">
      <w:pPr>
        <w:pStyle w:val="BodyText"/>
        <w:jc w:val="left"/>
      </w:pPr>
    </w:p>
    <w:p w14:paraId="56CDD81C" w14:textId="77777777" w:rsidR="00914A7F" w:rsidRDefault="00914A7F" w:rsidP="00914A7F">
      <w:pPr>
        <w:pStyle w:val="BodyText"/>
        <w:jc w:val="left"/>
      </w:pPr>
      <w:r>
        <w:t>Henry Farrell ‘</w:t>
      </w:r>
      <w:r w:rsidRPr="00C9523E">
        <w:t>The Obama administration wanted to open up government to citizen input. Why hasn’t it worked?</w:t>
      </w:r>
      <w:r>
        <w:t>’ Washington Post, 2016.</w:t>
      </w:r>
    </w:p>
    <w:p w14:paraId="31E89A57" w14:textId="77777777" w:rsidR="00914A7F" w:rsidRDefault="00914A7F" w:rsidP="00914A7F">
      <w:pPr>
        <w:pStyle w:val="BodyText"/>
        <w:jc w:val="left"/>
      </w:pPr>
    </w:p>
    <w:p w14:paraId="4375D239" w14:textId="77777777" w:rsidR="00914A7F" w:rsidRDefault="00914A7F" w:rsidP="00914A7F">
      <w:pPr>
        <w:pStyle w:val="BodyText"/>
        <w:jc w:val="left"/>
      </w:pPr>
      <w:r>
        <w:t>IAP2 Canada ‘</w:t>
      </w:r>
      <w:r w:rsidRPr="0040720F">
        <w:t>IAP2 Spectrum review - Summary of engagement process</w:t>
      </w:r>
      <w:r>
        <w:t>’, IAP2, 2017.</w:t>
      </w:r>
    </w:p>
    <w:p w14:paraId="1A0EADA6" w14:textId="77777777" w:rsidR="00914A7F" w:rsidRDefault="00914A7F" w:rsidP="00914A7F">
      <w:pPr>
        <w:pStyle w:val="BodyText"/>
        <w:jc w:val="left"/>
      </w:pPr>
    </w:p>
    <w:p w14:paraId="40288415" w14:textId="77777777" w:rsidR="00914A7F" w:rsidRDefault="00914A7F" w:rsidP="00914A7F">
      <w:pPr>
        <w:pStyle w:val="BodyText"/>
        <w:jc w:val="left"/>
      </w:pPr>
      <w:r>
        <w:t>Jacqueline Street, Katherine Duszynski, Stephanie Krawczyka, Annette Braunack-Mayer ‘</w:t>
      </w:r>
      <w:r w:rsidRPr="00F432E7">
        <w:t xml:space="preserve">The Use of </w:t>
      </w:r>
    </w:p>
    <w:p w14:paraId="6D5FFE1B" w14:textId="77777777" w:rsidR="00914A7F" w:rsidRDefault="00914A7F" w:rsidP="00914A7F">
      <w:pPr>
        <w:pStyle w:val="BodyText"/>
        <w:jc w:val="left"/>
      </w:pPr>
      <w:r w:rsidRPr="00F432E7">
        <w:t>Citizen’s Juries in Health Policy Dec</w:t>
      </w:r>
      <w:r>
        <w:t>ision making: A systemic review’, Social Science and Medicine, 2014.</w:t>
      </w:r>
    </w:p>
    <w:p w14:paraId="16A441E7" w14:textId="77777777" w:rsidR="00914A7F" w:rsidRDefault="00914A7F" w:rsidP="00914A7F">
      <w:pPr>
        <w:pStyle w:val="BodyText"/>
        <w:jc w:val="left"/>
      </w:pPr>
    </w:p>
    <w:p w14:paraId="36810A91" w14:textId="77777777" w:rsidR="00914A7F" w:rsidRDefault="00914A7F" w:rsidP="00914A7F">
      <w:pPr>
        <w:pStyle w:val="BodyText"/>
        <w:jc w:val="left"/>
      </w:pPr>
      <w:r>
        <w:t>Jakob Nielsen ‘</w:t>
      </w:r>
      <w:r w:rsidRPr="000D2695">
        <w:t>The 90-9-1 Rule for Participation Inequality in Social Media and Online Communities</w:t>
      </w:r>
      <w:r>
        <w:t>’, Nielsen Norman Group, 2006.</w:t>
      </w:r>
    </w:p>
    <w:p w14:paraId="0F7F39BD" w14:textId="77777777" w:rsidR="00914A7F" w:rsidRDefault="00914A7F" w:rsidP="00914A7F">
      <w:pPr>
        <w:pStyle w:val="BodyText"/>
        <w:jc w:val="left"/>
      </w:pPr>
    </w:p>
    <w:p w14:paraId="1ED6D211" w14:textId="77777777" w:rsidR="00914A7F" w:rsidRDefault="00914A7F" w:rsidP="00914A7F">
      <w:pPr>
        <w:pStyle w:val="BodyText"/>
        <w:jc w:val="left"/>
      </w:pPr>
      <w:r>
        <w:t>Jay Weatherill ‘</w:t>
      </w:r>
      <w:r w:rsidRPr="00353C1E">
        <w:t>Governments Have Lost the Art of Involving the People</w:t>
      </w:r>
      <w:r>
        <w:t xml:space="preserve">’, South Australian Government, 2015. Link: </w:t>
      </w:r>
      <w:r w:rsidRPr="001620A4">
        <w:t>https://pursuit.unimelb.edu.au/articles/governments-have-lost-the-art-of-involving-the-people</w:t>
      </w:r>
      <w:r>
        <w:t>.</w:t>
      </w:r>
    </w:p>
    <w:p w14:paraId="324597D0" w14:textId="77777777" w:rsidR="00914A7F" w:rsidRDefault="00914A7F" w:rsidP="00914A7F">
      <w:pPr>
        <w:pStyle w:val="BodyText"/>
        <w:jc w:val="left"/>
      </w:pPr>
    </w:p>
    <w:p w14:paraId="32DDE4E6" w14:textId="77777777" w:rsidR="00914A7F" w:rsidRDefault="00914A7F" w:rsidP="00914A7F">
      <w:pPr>
        <w:pStyle w:val="BodyText"/>
        <w:jc w:val="left"/>
      </w:pPr>
      <w:r>
        <w:t>Jenny Stewart ‘</w:t>
      </w:r>
      <w:r w:rsidRPr="00DA7EAA">
        <w:t>Dilemmas of engagement</w:t>
      </w:r>
      <w:r>
        <w:t>’, Australian National University, 2009.</w:t>
      </w:r>
    </w:p>
    <w:p w14:paraId="05A31956" w14:textId="77777777" w:rsidR="00914A7F" w:rsidRDefault="00914A7F" w:rsidP="00914A7F">
      <w:pPr>
        <w:pStyle w:val="BodyText"/>
        <w:jc w:val="left"/>
      </w:pPr>
    </w:p>
    <w:p w14:paraId="5D0F9A2F" w14:textId="77777777" w:rsidR="00914A7F" w:rsidRDefault="00914A7F" w:rsidP="00914A7F">
      <w:pPr>
        <w:pStyle w:val="BodyText"/>
        <w:jc w:val="left"/>
      </w:pPr>
      <w:r>
        <w:t>Jill Rutter ‘Opening up policymaking’, Institute for Government, UK, 2012.</w:t>
      </w:r>
    </w:p>
    <w:p w14:paraId="3A9AE1C7" w14:textId="77777777" w:rsidR="00914A7F" w:rsidRDefault="00914A7F" w:rsidP="00914A7F">
      <w:pPr>
        <w:pStyle w:val="BodyText"/>
        <w:jc w:val="left"/>
      </w:pPr>
    </w:p>
    <w:p w14:paraId="62D46DED" w14:textId="77777777" w:rsidR="00914A7F" w:rsidRDefault="00914A7F" w:rsidP="00914A7F">
      <w:pPr>
        <w:pStyle w:val="BodyText"/>
        <w:jc w:val="left"/>
      </w:pPr>
      <w:r>
        <w:t>John Daley ‘Presentation: Trends in Australian industry’, Grattan Institute, 2017.</w:t>
      </w:r>
    </w:p>
    <w:p w14:paraId="0A8A06C0" w14:textId="77777777" w:rsidR="00914A7F" w:rsidRDefault="00914A7F" w:rsidP="00914A7F">
      <w:pPr>
        <w:pStyle w:val="BodyText"/>
        <w:jc w:val="left"/>
      </w:pPr>
    </w:p>
    <w:p w14:paraId="6C31AB92" w14:textId="77777777" w:rsidR="00914A7F" w:rsidRDefault="00914A7F" w:rsidP="00914A7F">
      <w:pPr>
        <w:pStyle w:val="BodyText"/>
        <w:jc w:val="left"/>
      </w:pPr>
      <w:r>
        <w:t>John May ‘</w:t>
      </w:r>
      <w:r w:rsidRPr="000D2695">
        <w:t>Why the 90-9-1 rule works: inequality and community engagement</w:t>
      </w:r>
      <w:r>
        <w:t>’, Bang the Table, 2016.</w:t>
      </w:r>
    </w:p>
    <w:p w14:paraId="488FE63E" w14:textId="77777777" w:rsidR="00914A7F" w:rsidRDefault="00914A7F" w:rsidP="00914A7F">
      <w:pPr>
        <w:pStyle w:val="BodyText"/>
        <w:jc w:val="left"/>
      </w:pPr>
    </w:p>
    <w:p w14:paraId="5380A912" w14:textId="77777777" w:rsidR="00914A7F" w:rsidRDefault="00914A7F" w:rsidP="00914A7F">
      <w:pPr>
        <w:pStyle w:val="BodyText"/>
        <w:jc w:val="left"/>
      </w:pPr>
      <w:r>
        <w:t>Jonathan West, Tom Bentley ‘Time for a new consensus’, Griffith Review, 2016.</w:t>
      </w:r>
    </w:p>
    <w:p w14:paraId="09E2FB7F" w14:textId="77777777" w:rsidR="00914A7F" w:rsidRDefault="00914A7F" w:rsidP="00914A7F">
      <w:pPr>
        <w:pStyle w:val="BodyText"/>
        <w:jc w:val="left"/>
      </w:pPr>
      <w:r>
        <w:t>Julie Simon, Theo Bass, Victoria Boelman, Geoff Mulgan ‘Digital democracy: The tools transforming political engagement’, Nesta, 2017.</w:t>
      </w:r>
    </w:p>
    <w:p w14:paraId="63D6F673" w14:textId="77777777" w:rsidR="00914A7F" w:rsidRDefault="00914A7F" w:rsidP="00914A7F">
      <w:pPr>
        <w:pStyle w:val="BodyText"/>
        <w:jc w:val="left"/>
      </w:pPr>
    </w:p>
    <w:p w14:paraId="48B98646" w14:textId="77777777" w:rsidR="00914A7F" w:rsidRDefault="00914A7F" w:rsidP="00914A7F">
      <w:pPr>
        <w:pStyle w:val="BodyText"/>
        <w:jc w:val="left"/>
      </w:pPr>
      <w:r>
        <w:t>John Boswell, Simon Niemeyer, Carolyn Hendriks ‘</w:t>
      </w:r>
      <w:r w:rsidRPr="00A80E24">
        <w:t>Julia Gillard's Citizens' Assembly Proposal for Australia: A Deliberative Democratic Analysis</w:t>
      </w:r>
      <w:r>
        <w:t>’, Australian Journal of Political Science, Australian National University, 2013.</w:t>
      </w:r>
    </w:p>
    <w:p w14:paraId="106105DF" w14:textId="77777777" w:rsidR="00914A7F" w:rsidRDefault="00914A7F" w:rsidP="00914A7F">
      <w:pPr>
        <w:pStyle w:val="BodyText"/>
        <w:jc w:val="left"/>
      </w:pPr>
    </w:p>
    <w:p w14:paraId="752AF8B3" w14:textId="77777777" w:rsidR="00914A7F" w:rsidRDefault="00914A7F" w:rsidP="00914A7F">
      <w:pPr>
        <w:pStyle w:val="BodyText"/>
        <w:jc w:val="left"/>
      </w:pPr>
      <w:r>
        <w:t>John Menadue ‘</w:t>
      </w:r>
      <w:r w:rsidRPr="00FD682B">
        <w:t>How vested interests are subverting the public interest</w:t>
      </w:r>
      <w:r>
        <w:t>’, in ‘Who speaks for and protects the public interest in Australia? Essays by notable Australians,’ Australia21, 2015.</w:t>
      </w:r>
    </w:p>
    <w:p w14:paraId="0C93F02E" w14:textId="77777777" w:rsidR="00914A7F" w:rsidRDefault="00914A7F" w:rsidP="00914A7F">
      <w:pPr>
        <w:pStyle w:val="BodyText"/>
        <w:jc w:val="left"/>
      </w:pPr>
    </w:p>
    <w:p w14:paraId="2271BFA6" w14:textId="77777777" w:rsidR="00914A7F" w:rsidRDefault="00914A7F" w:rsidP="00914A7F">
      <w:pPr>
        <w:pStyle w:val="BodyText"/>
        <w:jc w:val="left"/>
      </w:pPr>
      <w:r>
        <w:t>Lucy Parry ‘</w:t>
      </w:r>
      <w:r w:rsidRPr="004B7237">
        <w:t>When is a democratic innovation not a democratic innovation? The populist challenge in Australia</w:t>
      </w:r>
      <w:r>
        <w:t xml:space="preserve">’ Participedia, 2016. Link: </w:t>
      </w:r>
      <w:r w:rsidRPr="001620A4">
        <w:t>http://participedia.net/en/news/2016/11/13/when-democratic-innovation-not-democratic-innovation-populist-challenge-australia</w:t>
      </w:r>
      <w:r>
        <w:t>.</w:t>
      </w:r>
    </w:p>
    <w:p w14:paraId="00D1F9DB" w14:textId="77777777" w:rsidR="00914A7F" w:rsidRDefault="00914A7F" w:rsidP="00914A7F">
      <w:pPr>
        <w:pStyle w:val="BodyText"/>
        <w:jc w:val="left"/>
      </w:pPr>
    </w:p>
    <w:p w14:paraId="126B0307" w14:textId="77777777" w:rsidR="00914A7F" w:rsidRDefault="00914A7F" w:rsidP="00914A7F">
      <w:pPr>
        <w:pStyle w:val="BodyText"/>
        <w:jc w:val="left"/>
      </w:pPr>
      <w:r>
        <w:t>Lyn Carson ‘</w:t>
      </w:r>
      <w:r w:rsidRPr="00F8568C">
        <w:t>An Inventory of Deliberative Democracy Processes in Australian – Early Findings</w:t>
      </w:r>
      <w:r>
        <w:t>’, Active Democracy, 2007.</w:t>
      </w:r>
    </w:p>
    <w:p w14:paraId="2E5FED6D" w14:textId="77777777" w:rsidR="00914A7F" w:rsidRDefault="00914A7F" w:rsidP="00914A7F">
      <w:pPr>
        <w:pStyle w:val="BodyText"/>
        <w:jc w:val="left"/>
      </w:pPr>
    </w:p>
    <w:p w14:paraId="31243153" w14:textId="77777777" w:rsidR="00914A7F" w:rsidRDefault="00914A7F" w:rsidP="00914A7F">
      <w:pPr>
        <w:pStyle w:val="BodyText"/>
        <w:jc w:val="left"/>
      </w:pPr>
      <w:r>
        <w:t>Lyn Carson, Janette Hartz-Karp ‘</w:t>
      </w:r>
      <w:r w:rsidRPr="001372C9">
        <w:t>Adapting and combining deliberative designs</w:t>
      </w:r>
      <w:r>
        <w:t xml:space="preserve">’, in chapter eight of ‘The Deliberative Democracy Handbook’ Wiley, 2005. </w:t>
      </w:r>
    </w:p>
    <w:p w14:paraId="5484FA41" w14:textId="77777777" w:rsidR="00914A7F" w:rsidRDefault="00914A7F" w:rsidP="00914A7F">
      <w:pPr>
        <w:pStyle w:val="BodyText"/>
        <w:jc w:val="left"/>
      </w:pPr>
    </w:p>
    <w:p w14:paraId="0C81818C" w14:textId="77777777" w:rsidR="00914A7F" w:rsidRDefault="00914A7F" w:rsidP="00914A7F">
      <w:pPr>
        <w:pStyle w:val="BodyText"/>
        <w:jc w:val="left"/>
      </w:pPr>
      <w:r>
        <w:t>Mark Evans, Gerry Stoker, Max Halupka ‘</w:t>
      </w:r>
      <w:r w:rsidRPr="00B41A1D">
        <w:t>Now for the big question: who do you trust to run the country?</w:t>
      </w:r>
      <w:r>
        <w:t xml:space="preserve">’, The Conversation, 2016. Link: </w:t>
      </w:r>
      <w:r w:rsidRPr="001620A4">
        <w:t>https://theconversation.com/now-for-the-big-question-who-do-you-trust-to-run-the-country-58723</w:t>
      </w:r>
      <w:r>
        <w:t>.</w:t>
      </w:r>
    </w:p>
    <w:p w14:paraId="5F537F45" w14:textId="77777777" w:rsidR="00914A7F" w:rsidRDefault="00914A7F" w:rsidP="00914A7F">
      <w:pPr>
        <w:pStyle w:val="BodyText"/>
        <w:jc w:val="left"/>
      </w:pPr>
    </w:p>
    <w:p w14:paraId="214668BD" w14:textId="77777777" w:rsidR="00914A7F" w:rsidRDefault="00914A7F" w:rsidP="00914A7F">
      <w:pPr>
        <w:pStyle w:val="BodyText"/>
        <w:jc w:val="left"/>
      </w:pPr>
      <w:r>
        <w:t>Martin Parkinson ‘</w:t>
      </w:r>
      <w:r w:rsidRPr="006E28F5">
        <w:t>Address to the Australasian Implementation Conference</w:t>
      </w:r>
      <w:r>
        <w:t>’, Australian Public Service, 2016.</w:t>
      </w:r>
    </w:p>
    <w:p w14:paraId="252CD901" w14:textId="77777777" w:rsidR="00914A7F" w:rsidRDefault="00914A7F" w:rsidP="00914A7F">
      <w:pPr>
        <w:pStyle w:val="BodyText"/>
        <w:jc w:val="left"/>
      </w:pPr>
    </w:p>
    <w:p w14:paraId="448DB3A2" w14:textId="77777777" w:rsidR="00914A7F" w:rsidRDefault="00914A7F" w:rsidP="00914A7F">
      <w:pPr>
        <w:pStyle w:val="BodyText"/>
        <w:jc w:val="left"/>
      </w:pPr>
      <w:r>
        <w:t>Martin Parkinson ‘</w:t>
      </w:r>
      <w:r w:rsidRPr="00747083">
        <w:t>Think again - the changing nature of policy implementation</w:t>
      </w:r>
      <w:r>
        <w:t>’, Australian Public Service, 2016.</w:t>
      </w:r>
    </w:p>
    <w:p w14:paraId="0B313781" w14:textId="77777777" w:rsidR="00914A7F" w:rsidRDefault="00914A7F" w:rsidP="00914A7F">
      <w:pPr>
        <w:pStyle w:val="BodyText"/>
        <w:jc w:val="left"/>
      </w:pPr>
    </w:p>
    <w:p w14:paraId="7A2B07AE" w14:textId="77777777" w:rsidR="00914A7F" w:rsidRDefault="00914A7F" w:rsidP="00914A7F">
      <w:pPr>
        <w:pStyle w:val="BodyText"/>
        <w:jc w:val="left"/>
      </w:pPr>
      <w:r>
        <w:t xml:space="preserve">Nicholas Gruen ‘Detox democracy through representation by random selection’, the Mandarin, 2017. </w:t>
      </w:r>
    </w:p>
    <w:p w14:paraId="5FD2AAC6" w14:textId="77777777" w:rsidR="00914A7F" w:rsidRDefault="00914A7F" w:rsidP="00914A7F">
      <w:pPr>
        <w:pStyle w:val="BodyText"/>
        <w:jc w:val="left"/>
      </w:pPr>
    </w:p>
    <w:p w14:paraId="2FEE64D8" w14:textId="77777777" w:rsidR="00914A7F" w:rsidRDefault="00914A7F" w:rsidP="00914A7F">
      <w:pPr>
        <w:pStyle w:val="BodyText"/>
        <w:jc w:val="left"/>
      </w:pPr>
      <w:r>
        <w:t xml:space="preserve">Open Government Partnership ‘Open Government Declaration’, Open Government Partnership, 2016. Link: </w:t>
      </w:r>
      <w:r w:rsidRPr="001620A4">
        <w:t>https://ogpau.pmc.gov.au/sites/default/files/files/2016/10/Engagement-report-OGPAU_FINAL.pdf</w:t>
      </w:r>
      <w:r>
        <w:t>.</w:t>
      </w:r>
    </w:p>
    <w:p w14:paraId="679F700F" w14:textId="77777777" w:rsidR="00914A7F" w:rsidRDefault="00914A7F" w:rsidP="00914A7F">
      <w:pPr>
        <w:pStyle w:val="BodyText"/>
        <w:jc w:val="left"/>
      </w:pPr>
    </w:p>
    <w:p w14:paraId="6A9AD520" w14:textId="77777777" w:rsidR="00914A7F" w:rsidRDefault="00914A7F" w:rsidP="00914A7F">
      <w:pPr>
        <w:pStyle w:val="BodyText"/>
        <w:jc w:val="left"/>
      </w:pPr>
      <w:r>
        <w:t>Peter Shergold ‘</w:t>
      </w:r>
      <w:r w:rsidRPr="00BF35FA">
        <w:t>Learning from failure, why large government policy initiatives have gone so badly wrong in the past and how the chances of success in the future can be improved</w:t>
      </w:r>
      <w:r>
        <w:t xml:space="preserve">’, Australian Public Service Comission, </w:t>
      </w:r>
      <w:r w:rsidRPr="00197B2E">
        <w:t>2015</w:t>
      </w:r>
      <w:r>
        <w:t>.</w:t>
      </w:r>
    </w:p>
    <w:p w14:paraId="50EF191F" w14:textId="77777777" w:rsidR="00914A7F" w:rsidRDefault="00914A7F" w:rsidP="00914A7F">
      <w:pPr>
        <w:pStyle w:val="BodyText"/>
        <w:jc w:val="left"/>
      </w:pPr>
    </w:p>
    <w:p w14:paraId="7FA394B2" w14:textId="77777777" w:rsidR="00914A7F" w:rsidRDefault="00914A7F" w:rsidP="00914A7F">
      <w:pPr>
        <w:pStyle w:val="BodyText"/>
        <w:jc w:val="left"/>
      </w:pPr>
      <w:r>
        <w:t>Peter Shergold ‘</w:t>
      </w:r>
      <w:r w:rsidRPr="00E96FEA">
        <w:t xml:space="preserve">Seen but </w:t>
      </w:r>
      <w:r>
        <w:t>n</w:t>
      </w:r>
      <w:r w:rsidRPr="00E96FEA">
        <w:t>ot heard</w:t>
      </w:r>
      <w:r>
        <w:t xml:space="preserve">’, appearing in The Australian, 2011. Link: </w:t>
      </w:r>
      <w:r w:rsidRPr="001620A4">
        <w:t>http://www.theaustralian.com.au/arts/books/seen-but-not-heard/news-story/3f394bdd091321b65b406f8b54656bd2</w:t>
      </w:r>
      <w:r>
        <w:t>.</w:t>
      </w:r>
    </w:p>
    <w:p w14:paraId="418C7A15" w14:textId="77777777" w:rsidR="00914A7F" w:rsidRDefault="00914A7F" w:rsidP="00914A7F">
      <w:pPr>
        <w:pStyle w:val="BodyText"/>
        <w:jc w:val="left"/>
      </w:pPr>
    </w:p>
    <w:p w14:paraId="45345690" w14:textId="77777777" w:rsidR="00914A7F" w:rsidRDefault="00914A7F" w:rsidP="00914A7F">
      <w:pPr>
        <w:pStyle w:val="BodyText"/>
        <w:jc w:val="left"/>
      </w:pPr>
      <w:r>
        <w:t>Pierre Calame, ‘</w:t>
      </w:r>
      <w:r w:rsidRPr="00B30F84">
        <w:t>A European Foundational Assembly</w:t>
      </w:r>
      <w:r>
        <w:t>’, Open Democracy, 2016.</w:t>
      </w:r>
    </w:p>
    <w:p w14:paraId="03E9B17A" w14:textId="77777777" w:rsidR="00914A7F" w:rsidRDefault="00914A7F" w:rsidP="00914A7F">
      <w:pPr>
        <w:pStyle w:val="BodyText"/>
        <w:jc w:val="left"/>
      </w:pPr>
      <w:r>
        <w:t>New Democracy Foundation ‘A case for change and support for Citizen juries – results from The Publise – March 2017’, New Democracy Foundation, 2017.</w:t>
      </w:r>
    </w:p>
    <w:p w14:paraId="374A3CA9" w14:textId="77777777" w:rsidR="00914A7F" w:rsidRDefault="00914A7F" w:rsidP="00914A7F">
      <w:pPr>
        <w:pStyle w:val="BodyText"/>
        <w:jc w:val="left"/>
      </w:pPr>
    </w:p>
    <w:p w14:paraId="3605E0BC" w14:textId="77777777" w:rsidR="00914A7F" w:rsidRDefault="00914A7F" w:rsidP="00914A7F">
      <w:pPr>
        <w:pStyle w:val="BodyText"/>
        <w:jc w:val="left"/>
      </w:pPr>
      <w:r>
        <w:t>New South Wales Privacy and Information Commissioner ‘Towards a NSW Charter for Public Participation’, New South Wales Government, 2016.</w:t>
      </w:r>
    </w:p>
    <w:p w14:paraId="1A8B4EC3" w14:textId="77777777" w:rsidR="00914A7F" w:rsidRDefault="00914A7F" w:rsidP="00914A7F">
      <w:pPr>
        <w:pStyle w:val="BodyText"/>
        <w:jc w:val="left"/>
      </w:pPr>
    </w:p>
    <w:p w14:paraId="6D5946BC" w14:textId="77777777" w:rsidR="00914A7F" w:rsidRDefault="00914A7F" w:rsidP="00914A7F">
      <w:pPr>
        <w:pStyle w:val="BodyText"/>
        <w:jc w:val="left"/>
      </w:pPr>
      <w:r>
        <w:t>Reeve T Bull ‘</w:t>
      </w:r>
      <w:r w:rsidRPr="00DA7EAA">
        <w:t>Making the Administrative state 'safe for democracy' : A theoretical and practical analysis of citizen participation in agency decisionmaking</w:t>
      </w:r>
      <w:r>
        <w:t>’, Duke University, 2013.</w:t>
      </w:r>
    </w:p>
    <w:p w14:paraId="14FB8778" w14:textId="77777777" w:rsidR="00914A7F" w:rsidRDefault="00914A7F" w:rsidP="00914A7F">
      <w:pPr>
        <w:pStyle w:val="BodyText"/>
        <w:jc w:val="left"/>
      </w:pPr>
    </w:p>
    <w:p w14:paraId="1088D319" w14:textId="77777777" w:rsidR="00914A7F" w:rsidRDefault="00914A7F" w:rsidP="00914A7F">
      <w:pPr>
        <w:pStyle w:val="BodyText"/>
        <w:jc w:val="left"/>
      </w:pPr>
      <w:r>
        <w:t>Simon Burrall ‘</w:t>
      </w:r>
      <w:r w:rsidRPr="00CA7058">
        <w:t>Room for a View</w:t>
      </w:r>
      <w:r>
        <w:t xml:space="preserve">: Democracy as a Deliberative system’, Involve, 2015. </w:t>
      </w:r>
    </w:p>
    <w:p w14:paraId="6C172B04" w14:textId="77777777" w:rsidR="00914A7F" w:rsidRDefault="00914A7F" w:rsidP="00914A7F">
      <w:pPr>
        <w:pStyle w:val="BodyText"/>
        <w:jc w:val="left"/>
      </w:pPr>
    </w:p>
    <w:p w14:paraId="4FDA167D" w14:textId="77777777" w:rsidR="00914A7F" w:rsidRDefault="00914A7F" w:rsidP="00914A7F">
      <w:pPr>
        <w:pStyle w:val="BodyText"/>
        <w:jc w:val="left"/>
      </w:pPr>
      <w:r>
        <w:t>South Australian Government ‘</w:t>
      </w:r>
      <w:r w:rsidRPr="00B64AEB">
        <w:t>Reforming democracy, deciding, designing and delivering together</w:t>
      </w:r>
      <w:r>
        <w:t xml:space="preserve">’, </w:t>
      </w:r>
    </w:p>
    <w:p w14:paraId="7C9D91BF" w14:textId="77777777" w:rsidR="00914A7F" w:rsidRDefault="00914A7F" w:rsidP="00914A7F">
      <w:pPr>
        <w:pStyle w:val="BodyText"/>
        <w:jc w:val="left"/>
      </w:pPr>
      <w:r>
        <w:t>South Australian Government, 2014.</w:t>
      </w:r>
    </w:p>
    <w:p w14:paraId="43ED5282" w14:textId="77777777" w:rsidR="00914A7F" w:rsidRDefault="00914A7F" w:rsidP="00914A7F">
      <w:pPr>
        <w:pStyle w:val="BodyText"/>
        <w:jc w:val="left"/>
      </w:pPr>
    </w:p>
    <w:p w14:paraId="02832477" w14:textId="77777777" w:rsidR="00914A7F" w:rsidRDefault="00914A7F" w:rsidP="00914A7F">
      <w:pPr>
        <w:pStyle w:val="BodyText"/>
        <w:jc w:val="left"/>
      </w:pPr>
      <w:r>
        <w:t>Sally Hussey ‘</w:t>
      </w:r>
      <w:r w:rsidRPr="00C9523E">
        <w:t>International public participation models 1969 – 2016</w:t>
      </w:r>
      <w:r>
        <w:t>’, Bang the Table, 2017.</w:t>
      </w:r>
    </w:p>
    <w:p w14:paraId="7C1A9788" w14:textId="77777777" w:rsidR="00914A7F" w:rsidRDefault="00914A7F" w:rsidP="00914A7F">
      <w:pPr>
        <w:pStyle w:val="BodyText"/>
        <w:jc w:val="left"/>
      </w:pPr>
      <w:r>
        <w:lastRenderedPageBreak/>
        <w:t>Small Enterprise Association ‘</w:t>
      </w:r>
      <w:r w:rsidRPr="00987B2F">
        <w:t>Small Enterprise Association of Australia and New Zealand Strategic Plan 2016 -2018</w:t>
      </w:r>
      <w:r>
        <w:t>’, Small Enterprise Association, 2015.</w:t>
      </w:r>
    </w:p>
    <w:p w14:paraId="2334465B" w14:textId="77777777" w:rsidR="00914A7F" w:rsidRDefault="00914A7F" w:rsidP="00914A7F">
      <w:pPr>
        <w:pStyle w:val="BodyText"/>
        <w:jc w:val="left"/>
      </w:pPr>
    </w:p>
    <w:p w14:paraId="277BC489" w14:textId="77777777" w:rsidR="00914A7F" w:rsidRDefault="00914A7F" w:rsidP="00914A7F">
      <w:pPr>
        <w:pStyle w:val="BodyText"/>
        <w:jc w:val="left"/>
      </w:pPr>
      <w:r>
        <w:t>Steven Spurr ‘</w:t>
      </w:r>
      <w:r w:rsidRPr="00BD087F">
        <w:t>Trust Free-Falls in the Land Down Under</w:t>
      </w:r>
      <w:r>
        <w:t>’, Edelman, 2017.</w:t>
      </w:r>
    </w:p>
    <w:p w14:paraId="522F8D71" w14:textId="77777777" w:rsidR="00914A7F" w:rsidRDefault="00914A7F" w:rsidP="00914A7F">
      <w:pPr>
        <w:pStyle w:val="BodyText"/>
        <w:jc w:val="left"/>
      </w:pPr>
    </w:p>
    <w:p w14:paraId="05520172" w14:textId="77777777" w:rsidR="00914A7F" w:rsidRDefault="00914A7F" w:rsidP="00914A7F">
      <w:pPr>
        <w:pStyle w:val="BodyText"/>
        <w:jc w:val="left"/>
      </w:pPr>
      <w:r>
        <w:t>Tim Hughes, Paul Maassen ‘</w:t>
      </w:r>
      <w:r w:rsidRPr="00642C59">
        <w:t>Introducing OGP's new participation and co-creation standards</w:t>
      </w:r>
      <w:r>
        <w:t xml:space="preserve">’, Open Government Partnership, 2017. Link: </w:t>
      </w:r>
      <w:r w:rsidRPr="004C5D41">
        <w:t>http://www.involve.org.uk/2017/02/10/introducing-open-government-partnerships-new-participation-co-creation-standards/</w:t>
      </w:r>
      <w:r>
        <w:t>.</w:t>
      </w:r>
    </w:p>
    <w:p w14:paraId="360E1A47" w14:textId="77777777" w:rsidR="00914A7F" w:rsidRDefault="00914A7F" w:rsidP="00914A7F">
      <w:pPr>
        <w:pStyle w:val="BodyText"/>
        <w:jc w:val="left"/>
      </w:pPr>
    </w:p>
    <w:p w14:paraId="5612E18B" w14:textId="77777777" w:rsidR="00914A7F" w:rsidRDefault="00914A7F" w:rsidP="00914A7F">
      <w:pPr>
        <w:pStyle w:val="BodyText"/>
        <w:jc w:val="left"/>
      </w:pPr>
      <w:r>
        <w:t>Tim Davies ‘</w:t>
      </w:r>
      <w:r w:rsidRPr="00ED13B5">
        <w:t>Brief notes on the OGP, open government and participation</w:t>
      </w:r>
      <w:r>
        <w:t xml:space="preserve">’, Tim Davies Blog, 2012. Link: </w:t>
      </w:r>
      <w:r w:rsidRPr="004C5D41">
        <w:t>http://www.timdavies.org.uk/page/7/</w:t>
      </w:r>
      <w:r>
        <w:t>.</w:t>
      </w:r>
    </w:p>
    <w:p w14:paraId="2D6383D7" w14:textId="77777777" w:rsidR="00914A7F" w:rsidRDefault="00914A7F" w:rsidP="00914A7F">
      <w:pPr>
        <w:pStyle w:val="BodyText"/>
        <w:jc w:val="left"/>
      </w:pPr>
    </w:p>
    <w:p w14:paraId="5DC5899F" w14:textId="77777777" w:rsidR="00914A7F" w:rsidRDefault="00914A7F" w:rsidP="00914A7F">
      <w:pPr>
        <w:pStyle w:val="BodyText"/>
        <w:jc w:val="left"/>
      </w:pPr>
      <w:r>
        <w:t>Tina Nabatchi and Matt Leighninger ‘</w:t>
      </w:r>
      <w:r w:rsidRPr="00C9523E">
        <w:t xml:space="preserve">Citizenship outside the public square: Public Participation for 21st century </w:t>
      </w:r>
      <w:r>
        <w:t>democracy’, Wiley, 2015.</w:t>
      </w:r>
    </w:p>
    <w:p w14:paraId="7E3D93A4" w14:textId="77777777" w:rsidR="00914A7F" w:rsidRDefault="00914A7F" w:rsidP="00914A7F">
      <w:pPr>
        <w:pStyle w:val="BodyText"/>
        <w:jc w:val="left"/>
      </w:pPr>
    </w:p>
    <w:p w14:paraId="1B55F696" w14:textId="77777777" w:rsidR="00914A7F" w:rsidRDefault="00914A7F" w:rsidP="00914A7F">
      <w:pPr>
        <w:pStyle w:val="BodyText"/>
        <w:jc w:val="left"/>
      </w:pPr>
      <w:r>
        <w:t>Wendy Russell and Lucy Parry ‘</w:t>
      </w:r>
      <w:r w:rsidRPr="00BF35FA">
        <w:t>Deliberative democracy theory and practice: crossing the divide</w:t>
      </w:r>
      <w:r>
        <w:t>’, University of Canberra, 2015.</w:t>
      </w:r>
    </w:p>
    <w:p w14:paraId="4BE1A3A5" w14:textId="77777777" w:rsidR="00914A7F" w:rsidRDefault="00914A7F" w:rsidP="00914A7F">
      <w:pPr>
        <w:pStyle w:val="BodyText"/>
        <w:jc w:val="left"/>
      </w:pPr>
    </w:p>
    <w:p w14:paraId="2A4FD1E6" w14:textId="77777777" w:rsidR="00914A7F" w:rsidRDefault="00914A7F" w:rsidP="00914A7F">
      <w:pPr>
        <w:pStyle w:val="BodyText"/>
        <w:jc w:val="left"/>
      </w:pPr>
      <w:r>
        <w:t>Wendy Russell ‘</w:t>
      </w:r>
      <w:r w:rsidRPr="00747083">
        <w:t>Impacts of engagement on political decision making</w:t>
      </w:r>
      <w:r>
        <w:t>’, IAP2 Conference, 2016.</w:t>
      </w:r>
    </w:p>
    <w:p w14:paraId="5334400B" w14:textId="77777777" w:rsidR="00914A7F" w:rsidRDefault="00914A7F" w:rsidP="00914A7F">
      <w:pPr>
        <w:pStyle w:val="BodyText"/>
        <w:jc w:val="left"/>
      </w:pPr>
    </w:p>
    <w:p w14:paraId="1689B785" w14:textId="77777777" w:rsidR="00914A7F" w:rsidRDefault="00914A7F" w:rsidP="00914A7F">
      <w:pPr>
        <w:pStyle w:val="BodyText"/>
        <w:jc w:val="left"/>
      </w:pPr>
      <w:r>
        <w:t>Wendy Russell ‘Research project: The macro-impacts of citizen deliberation processes’, NewDemocracy Foundation, 2017.</w:t>
      </w:r>
    </w:p>
    <w:p w14:paraId="3C5234C5" w14:textId="77777777" w:rsidR="00914A7F" w:rsidRDefault="00914A7F" w:rsidP="00914A7F">
      <w:pPr>
        <w:pStyle w:val="BodyText"/>
        <w:jc w:val="left"/>
      </w:pPr>
    </w:p>
    <w:p w14:paraId="38BF4009" w14:textId="77777777" w:rsidR="00914A7F" w:rsidRDefault="00914A7F" w:rsidP="00914A7F">
      <w:pPr>
        <w:pStyle w:val="BodyText"/>
        <w:jc w:val="left"/>
      </w:pPr>
      <w:r>
        <w:t>Victorian Auditor-General ‘</w:t>
      </w:r>
      <w:r w:rsidRPr="00AA1492">
        <w:t>Public Participation in Government Decisionmaking - Better Practice Guide</w:t>
      </w:r>
      <w:r>
        <w:t>’, Victorian Government, 2015.</w:t>
      </w:r>
    </w:p>
    <w:p w14:paraId="1C086446" w14:textId="77777777" w:rsidR="00914A7F" w:rsidRDefault="00914A7F" w:rsidP="00914A7F">
      <w:pPr>
        <w:pStyle w:val="BodyText"/>
        <w:jc w:val="left"/>
      </w:pPr>
    </w:p>
    <w:p w14:paraId="08FBA474" w14:textId="77777777" w:rsidR="00914A7F" w:rsidRDefault="00914A7F" w:rsidP="00914A7F">
      <w:pPr>
        <w:spacing w:before="0"/>
      </w:pPr>
    </w:p>
    <w:p w14:paraId="38E0B382" w14:textId="77777777" w:rsidR="00914A7F" w:rsidRPr="000F73B2" w:rsidRDefault="00914A7F" w:rsidP="00914A7F">
      <w:pPr>
        <w:spacing w:before="0"/>
        <w:rPr>
          <w:color w:val="323E4F" w:themeColor="text2" w:themeShade="BF"/>
          <w:sz w:val="18"/>
          <w:szCs w:val="18"/>
        </w:rPr>
      </w:pPr>
      <w:r>
        <w:tab/>
      </w:r>
    </w:p>
    <w:p w14:paraId="1F535300" w14:textId="77777777" w:rsidR="00914A7F" w:rsidRDefault="00914A7F" w:rsidP="00914A7F">
      <w:pPr>
        <w:spacing w:before="0"/>
        <w:rPr>
          <w:color w:val="2F2F2F"/>
          <w:sz w:val="20"/>
        </w:rPr>
      </w:pPr>
      <w:r>
        <w:br w:type="page"/>
      </w:r>
    </w:p>
    <w:p w14:paraId="5AA3F97F" w14:textId="77777777" w:rsidR="00914A7F" w:rsidRDefault="00914A7F" w:rsidP="00914A7F">
      <w:pPr>
        <w:pStyle w:val="BodyText"/>
        <w:jc w:val="left"/>
        <w:rPr>
          <w:rStyle w:val="PageNumber"/>
          <w:color w:val="276C6C"/>
          <w:sz w:val="40"/>
        </w:rPr>
      </w:pPr>
    </w:p>
    <w:p w14:paraId="5FA75673" w14:textId="77777777" w:rsidR="00914A7F" w:rsidRDefault="00914A7F" w:rsidP="00914A7F">
      <w:pPr>
        <w:pStyle w:val="BodyText"/>
        <w:jc w:val="left"/>
        <w:rPr>
          <w:rStyle w:val="PageNumber"/>
          <w:color w:val="276C6C"/>
          <w:sz w:val="40"/>
        </w:rPr>
      </w:pPr>
    </w:p>
    <w:p w14:paraId="31AC6766" w14:textId="77777777" w:rsidR="00914A7F" w:rsidRDefault="00914A7F" w:rsidP="00914A7F">
      <w:pPr>
        <w:pStyle w:val="BodyText"/>
        <w:jc w:val="left"/>
        <w:rPr>
          <w:rStyle w:val="PageNumber"/>
          <w:color w:val="276C6C"/>
          <w:sz w:val="40"/>
        </w:rPr>
      </w:pPr>
    </w:p>
    <w:p w14:paraId="3E0783EE" w14:textId="77777777" w:rsidR="00914A7F" w:rsidRDefault="00914A7F" w:rsidP="00914A7F">
      <w:pPr>
        <w:pStyle w:val="BodyText"/>
        <w:jc w:val="left"/>
        <w:rPr>
          <w:rStyle w:val="PageNumber"/>
          <w:color w:val="276C6C"/>
          <w:sz w:val="40"/>
        </w:rPr>
      </w:pPr>
    </w:p>
    <w:p w14:paraId="415D0D10" w14:textId="77777777" w:rsidR="00914A7F" w:rsidRDefault="00914A7F" w:rsidP="00914A7F">
      <w:pPr>
        <w:pStyle w:val="BodyText"/>
        <w:jc w:val="left"/>
        <w:rPr>
          <w:rStyle w:val="PageNumber"/>
          <w:color w:val="276C6C"/>
          <w:sz w:val="40"/>
        </w:rPr>
      </w:pPr>
    </w:p>
    <w:p w14:paraId="29CB0338" w14:textId="77777777" w:rsidR="00914A7F" w:rsidRPr="00912607" w:rsidRDefault="00914A7F" w:rsidP="00914A7F">
      <w:pPr>
        <w:pStyle w:val="H1"/>
        <w:spacing w:before="0" w:after="0"/>
        <w:rPr>
          <w:b/>
          <w:sz w:val="74"/>
        </w:rPr>
      </w:pPr>
      <w:bookmarkStart w:id="82" w:name="_Toc495915995"/>
      <w:r>
        <w:rPr>
          <w:b/>
          <w:sz w:val="74"/>
        </w:rPr>
        <w:t>Appendices</w:t>
      </w:r>
      <w:bookmarkEnd w:id="82"/>
    </w:p>
    <w:p w14:paraId="6C473E1A" w14:textId="77777777" w:rsidR="00914A7F" w:rsidRPr="00912607" w:rsidRDefault="00914A7F" w:rsidP="00914A7F">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914A7F" w14:paraId="2B830590" w14:textId="77777777" w:rsidTr="00E50587">
        <w:tc>
          <w:tcPr>
            <w:tcW w:w="4508" w:type="dxa"/>
            <w:shd w:val="clear" w:color="auto" w:fill="DEEAF6" w:themeFill="accent1" w:themeFillTint="33"/>
            <w:vAlign w:val="center"/>
          </w:tcPr>
          <w:p w14:paraId="04266595" w14:textId="77777777" w:rsidR="00914A7F" w:rsidRPr="00700BEB" w:rsidRDefault="00914A7F" w:rsidP="00E50587">
            <w:pPr>
              <w:spacing w:before="0"/>
              <w:rPr>
                <w:sz w:val="44"/>
              </w:rPr>
            </w:pPr>
            <w:r>
              <w:rPr>
                <w:sz w:val="44"/>
              </w:rPr>
              <w:t>Including</w:t>
            </w:r>
          </w:p>
        </w:tc>
        <w:tc>
          <w:tcPr>
            <w:tcW w:w="4508" w:type="dxa"/>
            <w:shd w:val="clear" w:color="auto" w:fill="DEEAF6" w:themeFill="accent1" w:themeFillTint="33"/>
          </w:tcPr>
          <w:p w14:paraId="5013BB9A" w14:textId="77777777" w:rsidR="00914A7F" w:rsidRPr="001C1449" w:rsidRDefault="00914A7F" w:rsidP="00E50587">
            <w:pPr>
              <w:pStyle w:val="BodyText"/>
              <w:jc w:val="left"/>
              <w:rPr>
                <w:sz w:val="32"/>
              </w:rPr>
            </w:pPr>
            <w:r w:rsidRPr="001C1449">
              <w:rPr>
                <w:sz w:val="32"/>
              </w:rPr>
              <w:t>Appendix A: Project context</w:t>
            </w:r>
          </w:p>
          <w:p w14:paraId="2010DECF" w14:textId="77777777" w:rsidR="00914A7F" w:rsidRPr="001C1449" w:rsidRDefault="00914A7F" w:rsidP="00E50587">
            <w:pPr>
              <w:pStyle w:val="BodyText"/>
              <w:jc w:val="left"/>
              <w:rPr>
                <w:sz w:val="32"/>
              </w:rPr>
            </w:pPr>
          </w:p>
          <w:p w14:paraId="42407933" w14:textId="77777777" w:rsidR="00914A7F" w:rsidRPr="001C1449" w:rsidRDefault="00914A7F" w:rsidP="00E50587">
            <w:pPr>
              <w:pStyle w:val="BodyText"/>
              <w:jc w:val="left"/>
              <w:rPr>
                <w:sz w:val="32"/>
              </w:rPr>
            </w:pPr>
            <w:r w:rsidRPr="001C1449">
              <w:rPr>
                <w:sz w:val="32"/>
              </w:rPr>
              <w:t>Appendix B: User interview guides</w:t>
            </w:r>
          </w:p>
          <w:p w14:paraId="3E7676BD" w14:textId="77777777" w:rsidR="00914A7F" w:rsidRPr="001C1449" w:rsidRDefault="00914A7F" w:rsidP="00E50587">
            <w:pPr>
              <w:pStyle w:val="BodyText"/>
              <w:jc w:val="left"/>
              <w:rPr>
                <w:sz w:val="32"/>
              </w:rPr>
            </w:pPr>
          </w:p>
          <w:p w14:paraId="61B60900" w14:textId="77777777" w:rsidR="00914A7F" w:rsidRPr="001C1449" w:rsidRDefault="00914A7F" w:rsidP="00E50587">
            <w:pPr>
              <w:pStyle w:val="BodyText"/>
              <w:jc w:val="left"/>
              <w:rPr>
                <w:sz w:val="32"/>
              </w:rPr>
            </w:pPr>
            <w:r w:rsidRPr="001C1449">
              <w:rPr>
                <w:sz w:val="32"/>
              </w:rPr>
              <w:t>Appendix C: Public participation survey questions</w:t>
            </w:r>
          </w:p>
          <w:p w14:paraId="1F8424C3" w14:textId="77777777" w:rsidR="00914A7F" w:rsidRDefault="00914A7F" w:rsidP="00E50587">
            <w:pPr>
              <w:spacing w:before="0"/>
            </w:pPr>
          </w:p>
        </w:tc>
      </w:tr>
    </w:tbl>
    <w:p w14:paraId="5C792C0B" w14:textId="77777777" w:rsidR="00914A7F" w:rsidRDefault="00914A7F" w:rsidP="00914A7F">
      <w:pPr>
        <w:pStyle w:val="BodyText"/>
        <w:rPr>
          <w:rStyle w:val="PageNumber"/>
          <w:rFonts w:ascii="Calibri Light" w:eastAsia="MS Gothic" w:hAnsi="Calibri Light"/>
          <w:bCs/>
          <w:color w:val="276C6C"/>
          <w:sz w:val="40"/>
          <w:szCs w:val="28"/>
        </w:rPr>
      </w:pPr>
      <w:r>
        <w:rPr>
          <w:rStyle w:val="PageNumber"/>
          <w:color w:val="276C6C"/>
          <w:sz w:val="40"/>
        </w:rPr>
        <w:br w:type="page"/>
      </w:r>
    </w:p>
    <w:p w14:paraId="2F9B8DD2" w14:textId="77777777" w:rsidR="00914A7F" w:rsidRPr="00B05EFB" w:rsidRDefault="00914A7F" w:rsidP="00914A7F">
      <w:pPr>
        <w:pStyle w:val="H1"/>
        <w:spacing w:before="0" w:after="0"/>
        <w:rPr>
          <w:rStyle w:val="PageNumber"/>
          <w:color w:val="276C6C"/>
          <w:sz w:val="40"/>
        </w:rPr>
      </w:pPr>
      <w:bookmarkStart w:id="83" w:name="_Toc495915996"/>
      <w:r>
        <w:rPr>
          <w:rStyle w:val="PageNumber"/>
          <w:color w:val="276C6C"/>
          <w:sz w:val="40"/>
        </w:rPr>
        <w:lastRenderedPageBreak/>
        <w:t xml:space="preserve">Appendix A </w:t>
      </w:r>
      <w:r w:rsidRPr="00B05EFB">
        <w:rPr>
          <w:rStyle w:val="PageNumber"/>
          <w:color w:val="276C6C"/>
          <w:sz w:val="40"/>
        </w:rPr>
        <w:t xml:space="preserve">– </w:t>
      </w:r>
      <w:r>
        <w:rPr>
          <w:rStyle w:val="PageNumber"/>
          <w:color w:val="276C6C"/>
          <w:sz w:val="40"/>
        </w:rPr>
        <w:t>Project context</w:t>
      </w:r>
      <w:bookmarkEnd w:id="83"/>
    </w:p>
    <w:p w14:paraId="7D9C735F" w14:textId="77777777" w:rsidR="00914A7F" w:rsidRPr="00CF7FA1" w:rsidRDefault="00914A7F" w:rsidP="00914A7F">
      <w:pPr>
        <w:pStyle w:val="H2"/>
        <w:spacing w:before="0" w:after="0"/>
      </w:pPr>
      <w:bookmarkStart w:id="84" w:name="_Toc495915997"/>
      <w:r>
        <w:t>Background: The Open Government Partnership and Australia’s Open Government National Action Plan</w:t>
      </w:r>
      <w:bookmarkEnd w:id="84"/>
    </w:p>
    <w:p w14:paraId="76030BA7" w14:textId="77777777" w:rsidR="00914A7F" w:rsidRDefault="00914A7F" w:rsidP="00914A7F">
      <w:pPr>
        <w:spacing w:before="0"/>
        <w:ind w:firstLine="720"/>
      </w:pPr>
    </w:p>
    <w:p w14:paraId="6DE30784" w14:textId="77777777" w:rsidR="00914A7F" w:rsidRDefault="00914A7F" w:rsidP="00914A7F">
      <w:pPr>
        <w:spacing w:before="0"/>
      </w:pPr>
      <w:r w:rsidRPr="002468BA">
        <w:t>The Open Government Partnership (OGP) is a multi-lateral initiative that aims to secure concrete commitments from governments to advance open government efforts.</w:t>
      </w:r>
      <w:r>
        <w:t xml:space="preserve"> </w:t>
      </w:r>
      <w:r w:rsidRPr="002468BA">
        <w:t>It has over 7</w:t>
      </w:r>
      <w:r>
        <w:t>5</w:t>
      </w:r>
      <w:r w:rsidRPr="002468BA">
        <w:t xml:space="preserve"> members including the United States, United Kingdom, Canada and New Zealand. </w:t>
      </w:r>
    </w:p>
    <w:p w14:paraId="39A44AEA" w14:textId="77777777" w:rsidR="00914A7F" w:rsidRDefault="00914A7F" w:rsidP="00914A7F">
      <w:pPr>
        <w:spacing w:before="0"/>
      </w:pPr>
    </w:p>
    <w:p w14:paraId="6EDAC580" w14:textId="77777777" w:rsidR="00914A7F" w:rsidRDefault="00914A7F" w:rsidP="00914A7F">
      <w:pPr>
        <w:spacing w:before="0"/>
      </w:pPr>
      <w:r w:rsidRPr="002468BA">
        <w:t>In November 2015</w:t>
      </w:r>
      <w:r>
        <w:t>,</w:t>
      </w:r>
      <w:r w:rsidRPr="002468BA">
        <w:t xml:space="preserve"> Australia reaffirmed its commitment to join the OGP.</w:t>
      </w:r>
      <w:r>
        <w:t xml:space="preserve"> </w:t>
      </w:r>
      <w:r w:rsidRPr="002468BA">
        <w:t>Every two years</w:t>
      </w:r>
      <w:r>
        <w:t>,</w:t>
      </w:r>
      <w:r w:rsidRPr="002468BA">
        <w:t xml:space="preserve"> OGP members must work with the public</w:t>
      </w:r>
      <w:r>
        <w:t xml:space="preserve"> to transparently and publicly co-create</w:t>
      </w:r>
      <w:r w:rsidRPr="002468BA">
        <w:t xml:space="preserve"> a National Action Plan.</w:t>
      </w:r>
      <w:r w:rsidRPr="00683DEC">
        <w:t xml:space="preserve"> </w:t>
      </w:r>
      <w:r>
        <w:t xml:space="preserve">Action plans are </w:t>
      </w:r>
      <w:r w:rsidRPr="00C82591">
        <w:t xml:space="preserve">the driving device for </w:t>
      </w:r>
      <w:r>
        <w:t>the OGP. They are</w:t>
      </w:r>
      <w:r w:rsidRPr="00C82591">
        <w:t xml:space="preserve"> the instrument through which government and </w:t>
      </w:r>
      <w:r>
        <w:t xml:space="preserve">the public </w:t>
      </w:r>
      <w:r w:rsidRPr="00C82591">
        <w:t xml:space="preserve">develop their </w:t>
      </w:r>
      <w:r>
        <w:t xml:space="preserve">‘commitments’, that is, their </w:t>
      </w:r>
      <w:r w:rsidRPr="00C82591">
        <w:t>agreed reforms</w:t>
      </w:r>
      <w:r>
        <w:t>.</w:t>
      </w:r>
    </w:p>
    <w:p w14:paraId="59D7BF2D" w14:textId="77777777" w:rsidR="00914A7F" w:rsidRDefault="00914A7F" w:rsidP="00914A7F">
      <w:pPr>
        <w:spacing w:before="0"/>
      </w:pPr>
    </w:p>
    <w:p w14:paraId="44CE0EF8" w14:textId="77777777" w:rsidR="00914A7F" w:rsidRDefault="00914A7F" w:rsidP="00914A7F">
      <w:pPr>
        <w:spacing w:before="0"/>
      </w:pPr>
      <w:r w:rsidRPr="0069795E">
        <w:rPr>
          <w:noProof/>
          <w:lang w:eastAsia="en-AU"/>
        </w:rPr>
        <mc:AlternateContent>
          <mc:Choice Requires="wps">
            <w:drawing>
              <wp:anchor distT="45720" distB="45720" distL="114300" distR="114300" simplePos="0" relativeHeight="251662372" behindDoc="0" locked="0" layoutInCell="1" allowOverlap="1" wp14:anchorId="537AC43F" wp14:editId="27C77968">
                <wp:simplePos x="0" y="0"/>
                <wp:positionH relativeFrom="margin">
                  <wp:posOffset>2113280</wp:posOffset>
                </wp:positionH>
                <wp:positionV relativeFrom="paragraph">
                  <wp:posOffset>19050</wp:posOffset>
                </wp:positionV>
                <wp:extent cx="3533775" cy="3985260"/>
                <wp:effectExtent l="0" t="0" r="9525"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3985260"/>
                        </a:xfrm>
                        <a:prstGeom prst="rect">
                          <a:avLst/>
                        </a:prstGeom>
                        <a:solidFill>
                          <a:schemeClr val="accent1">
                            <a:lumMod val="20000"/>
                            <a:lumOff val="80000"/>
                          </a:schemeClr>
                        </a:solidFill>
                        <a:ln w="9525">
                          <a:noFill/>
                          <a:miter lim="800000"/>
                          <a:headEnd/>
                          <a:tailEnd/>
                        </a:ln>
                      </wps:spPr>
                      <wps:txbx>
                        <w:txbxContent>
                          <w:p w14:paraId="2F9170BD" w14:textId="77777777" w:rsidR="00914A7F" w:rsidRPr="00521F51" w:rsidRDefault="00914A7F" w:rsidP="00914A7F">
                            <w:pPr>
                              <w:spacing w:before="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Snapshot</w:t>
                            </w:r>
                            <w:r w:rsidRPr="00521F51">
                              <w:rPr>
                                <w:rFonts w:asciiTheme="majorHAnsi" w:hAnsiTheme="majorHAnsi" w:cs="Arial"/>
                                <w:b/>
                                <w:noProof/>
                                <w:color w:val="44546A" w:themeColor="text2"/>
                                <w:sz w:val="20"/>
                                <w:lang w:eastAsia="en-AU"/>
                              </w:rPr>
                              <w:t>: The Open Government Partnership</w:t>
                            </w:r>
                          </w:p>
                          <w:p w14:paraId="799EDA19" w14:textId="77777777" w:rsidR="00914A7F" w:rsidRPr="00FC6DA9" w:rsidRDefault="00914A7F" w:rsidP="00914A7F">
                            <w:pPr>
                              <w:spacing w:before="0"/>
                              <w:rPr>
                                <w:rFonts w:ascii="Lucida Bright" w:hAnsi="Lucida Bright" w:cs="Arial"/>
                                <w:b/>
                                <w:noProof/>
                                <w:color w:val="44546A" w:themeColor="text2"/>
                                <w:sz w:val="8"/>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0"/>
                              <w:gridCol w:w="3009"/>
                            </w:tblGrid>
                            <w:tr w:rsidR="00914A7F" w:rsidRPr="00554281" w14:paraId="58A83A8A" w14:textId="77777777" w:rsidTr="00A221C6">
                              <w:tc>
                                <w:tcPr>
                                  <w:tcW w:w="2020" w:type="dxa"/>
                                </w:tcPr>
                                <w:p w14:paraId="5E21F04F" w14:textId="77777777" w:rsidR="00914A7F" w:rsidRPr="00554281" w:rsidRDefault="00914A7F" w:rsidP="00BA6C84">
                                  <w:pPr>
                                    <w:spacing w:before="0"/>
                                    <w:rPr>
                                      <w:rFonts w:ascii="Arial" w:hAnsi="Arial" w:cs="Arial"/>
                                      <w:b/>
                                      <w:sz w:val="18"/>
                                    </w:rPr>
                                  </w:pPr>
                                  <w:r w:rsidRPr="00554281">
                                    <w:rPr>
                                      <w:rFonts w:ascii="Arial" w:hAnsi="Arial" w:cs="Arial"/>
                                      <w:noProof/>
                                      <w:sz w:val="18"/>
                                      <w:lang w:eastAsia="en-AU"/>
                                    </w:rPr>
                                    <w:drawing>
                                      <wp:inline distT="0" distB="0" distL="0" distR="0" wp14:anchorId="42C62952" wp14:editId="472BFDEA">
                                        <wp:extent cx="1145540" cy="1145540"/>
                                        <wp:effectExtent l="0" t="0" r="0" b="0"/>
                                        <wp:docPr id="2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152340" cy="1152340"/>
                                                </a:xfrm>
                                                <a:prstGeom prst="rect">
                                                  <a:avLst/>
                                                </a:prstGeom>
                                              </pic:spPr>
                                            </pic:pic>
                                          </a:graphicData>
                                        </a:graphic>
                                      </wp:inline>
                                    </w:drawing>
                                  </w:r>
                                </w:p>
                              </w:tc>
                              <w:tc>
                                <w:tcPr>
                                  <w:tcW w:w="3009" w:type="dxa"/>
                                </w:tcPr>
                                <w:p w14:paraId="570CF105"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Launched in 2011</w:t>
                                  </w:r>
                                </w:p>
                                <w:p w14:paraId="2687435B"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Originally a UK/US Government initiative, with 8 countries participating</w:t>
                                  </w:r>
                                </w:p>
                                <w:p w14:paraId="2E2FBB2C"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Australia confirmed its membership in 2015</w:t>
                                  </w:r>
                                </w:p>
                                <w:p w14:paraId="782C5AE7" w14:textId="77777777" w:rsidR="00914A7F" w:rsidRPr="00554281" w:rsidRDefault="00914A7F" w:rsidP="007B3CA8">
                                  <w:pPr>
                                    <w:pStyle w:val="ListParagraph"/>
                                    <w:numPr>
                                      <w:ilvl w:val="0"/>
                                      <w:numId w:val="38"/>
                                    </w:numPr>
                                    <w:spacing w:before="0"/>
                                    <w:ind w:left="140" w:hanging="140"/>
                                    <w:rPr>
                                      <w:rFonts w:ascii="Arial" w:hAnsi="Arial" w:cs="Arial"/>
                                      <w:sz w:val="18"/>
                                      <w:szCs w:val="18"/>
                                    </w:rPr>
                                  </w:pPr>
                                  <w:r w:rsidRPr="00521F51">
                                    <w:rPr>
                                      <w:rFonts w:asciiTheme="majorHAnsi" w:hAnsiTheme="majorHAnsi" w:cs="Arial"/>
                                      <w:sz w:val="18"/>
                                      <w:szCs w:val="18"/>
                                    </w:rPr>
                                    <w:t xml:space="preserve">75 countries and 15 subnational governments </w:t>
                                  </w:r>
                                  <w:r>
                                    <w:rPr>
                                      <w:rFonts w:asciiTheme="majorHAnsi" w:hAnsiTheme="majorHAnsi" w:cs="Arial"/>
                                      <w:sz w:val="18"/>
                                      <w:szCs w:val="18"/>
                                    </w:rPr>
                                    <w:t xml:space="preserve">now members, who </w:t>
                                  </w:r>
                                  <w:r w:rsidRPr="00521F51">
                                    <w:rPr>
                                      <w:rFonts w:asciiTheme="majorHAnsi" w:hAnsiTheme="majorHAnsi" w:cs="Arial"/>
                                      <w:sz w:val="18"/>
                                      <w:szCs w:val="18"/>
                                    </w:rPr>
                                    <w:t>have made over 2,500 commitments</w:t>
                                  </w:r>
                                </w:p>
                              </w:tc>
                            </w:tr>
                          </w:tbl>
                          <w:p w14:paraId="48DAAC41" w14:textId="77777777" w:rsidR="00914A7F" w:rsidRPr="00554281" w:rsidRDefault="00914A7F" w:rsidP="00914A7F">
                            <w:pPr>
                              <w:spacing w:before="0"/>
                              <w:rPr>
                                <w:rFonts w:ascii="Arial" w:hAnsi="Arial" w:cs="Arial"/>
                                <w:b/>
                                <w:sz w:val="18"/>
                              </w:rPr>
                            </w:pPr>
                          </w:p>
                          <w:p w14:paraId="080F1794" w14:textId="77777777" w:rsidR="00914A7F" w:rsidRPr="00521F51" w:rsidRDefault="00914A7F" w:rsidP="00914A7F">
                            <w:pPr>
                              <w:spacing w:before="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Snapshot</w:t>
                            </w:r>
                            <w:r w:rsidRPr="00521F51">
                              <w:rPr>
                                <w:rFonts w:asciiTheme="majorHAnsi" w:hAnsiTheme="majorHAnsi" w:cs="Arial"/>
                                <w:b/>
                                <w:noProof/>
                                <w:color w:val="44546A" w:themeColor="text2"/>
                                <w:sz w:val="20"/>
                                <w:lang w:eastAsia="en-AU"/>
                              </w:rPr>
                              <w:t>: Australia’s first Open Government National Action Plan</w:t>
                            </w:r>
                          </w:p>
                          <w:p w14:paraId="460833B3" w14:textId="77777777" w:rsidR="00914A7F" w:rsidRPr="00FC6DA9" w:rsidRDefault="00914A7F" w:rsidP="00914A7F">
                            <w:pPr>
                              <w:spacing w:before="0"/>
                              <w:rPr>
                                <w:rFonts w:ascii="Lucida Bright" w:hAnsi="Lucida Bright" w:cs="Arial"/>
                                <w:b/>
                                <w:noProof/>
                                <w:color w:val="44546A" w:themeColor="text2"/>
                                <w:sz w:val="10"/>
                                <w:lang w:eastAsia="en-AU"/>
                              </w:rPr>
                            </w:pPr>
                          </w:p>
                          <w:tbl>
                            <w:tblPr>
                              <w:tblStyle w:val="TableGrid"/>
                              <w:tblW w:w="0" w:type="auto"/>
                              <w:tblInd w:w="-5" w:type="dxa"/>
                              <w:tblLook w:val="04A0" w:firstRow="1" w:lastRow="0" w:firstColumn="1" w:lastColumn="0" w:noHBand="0" w:noVBand="1"/>
                            </w:tblPr>
                            <w:tblGrid>
                              <w:gridCol w:w="2016"/>
                              <w:gridCol w:w="3010"/>
                            </w:tblGrid>
                            <w:tr w:rsidR="00914A7F" w:rsidRPr="00554281" w14:paraId="137E5134" w14:textId="77777777" w:rsidTr="00A221C6">
                              <w:tc>
                                <w:tcPr>
                                  <w:tcW w:w="2016" w:type="dxa"/>
                                  <w:tcBorders>
                                    <w:top w:val="nil"/>
                                    <w:left w:val="nil"/>
                                    <w:bottom w:val="nil"/>
                                    <w:right w:val="nil"/>
                                  </w:tcBorders>
                                </w:tcPr>
                                <w:p w14:paraId="43B436F0" w14:textId="77777777" w:rsidR="00914A7F" w:rsidRPr="00554281" w:rsidRDefault="00914A7F" w:rsidP="00A221C6">
                                  <w:pPr>
                                    <w:spacing w:before="0"/>
                                    <w:rPr>
                                      <w:rFonts w:ascii="Arial" w:hAnsi="Arial" w:cs="Arial"/>
                                      <w:noProof/>
                                      <w:sz w:val="18"/>
                                      <w:lang w:eastAsia="en-AU"/>
                                    </w:rPr>
                                  </w:pPr>
                                  <w:r w:rsidRPr="00554281">
                                    <w:rPr>
                                      <w:rFonts w:ascii="Arial" w:hAnsi="Arial" w:cs="Arial"/>
                                      <w:noProof/>
                                      <w:sz w:val="18"/>
                                      <w:lang w:eastAsia="en-AU"/>
                                    </w:rPr>
                                    <w:drawing>
                                      <wp:inline distT="0" distB="0" distL="0" distR="0" wp14:anchorId="7DB8CCA6" wp14:editId="359009EC">
                                        <wp:extent cx="1137480" cy="1104900"/>
                                        <wp:effectExtent l="0" t="0" r="5715" b="0"/>
                                        <wp:docPr id="2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2"/>
                                                <a:srcRect l="34879"/>
                                                <a:stretch/>
                                              </pic:blipFill>
                                              <pic:spPr>
                                                <a:xfrm>
                                                  <a:off x="0" y="0"/>
                                                  <a:ext cx="1142024" cy="1109314"/>
                                                </a:xfrm>
                                                <a:prstGeom prst="rect">
                                                  <a:avLst/>
                                                </a:prstGeom>
                                              </pic:spPr>
                                            </pic:pic>
                                          </a:graphicData>
                                        </a:graphic>
                                      </wp:inline>
                                    </w:drawing>
                                  </w:r>
                                </w:p>
                              </w:tc>
                              <w:tc>
                                <w:tcPr>
                                  <w:tcW w:w="3010" w:type="dxa"/>
                                  <w:tcBorders>
                                    <w:top w:val="nil"/>
                                    <w:left w:val="nil"/>
                                    <w:bottom w:val="nil"/>
                                    <w:right w:val="nil"/>
                                  </w:tcBorders>
                                </w:tcPr>
                                <w:p w14:paraId="73AC7804"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Drafting of Action Plan commenced in late 2015</w:t>
                                  </w:r>
                                </w:p>
                                <w:p w14:paraId="3A8521B2"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Supported by a consultation process to enable co-creation with the public</w:t>
                                  </w:r>
                                </w:p>
                                <w:p w14:paraId="206A8767"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Released in December 2016</w:t>
                                  </w:r>
                                </w:p>
                                <w:p w14:paraId="31D936D0"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Includes 15 commitments related to public participation, accountability, transparency and open data</w:t>
                                  </w:r>
                                </w:p>
                                <w:p w14:paraId="75188C78"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Departments of Finance and Prime Minister and Cabinet are coordinating implementation of commitments</w:t>
                                  </w:r>
                                </w:p>
                                <w:p w14:paraId="49D1DFAA" w14:textId="77777777" w:rsidR="00914A7F" w:rsidRPr="00554281" w:rsidRDefault="00914A7F" w:rsidP="00A221C6">
                                  <w:pPr>
                                    <w:spacing w:before="0"/>
                                    <w:rPr>
                                      <w:rFonts w:ascii="Arial" w:hAnsi="Arial" w:cs="Arial"/>
                                      <w:sz w:val="18"/>
                                    </w:rPr>
                                  </w:pPr>
                                </w:p>
                              </w:tc>
                            </w:tr>
                            <w:tr w:rsidR="00914A7F" w14:paraId="09F0E611" w14:textId="77777777" w:rsidTr="00A221C6">
                              <w:tc>
                                <w:tcPr>
                                  <w:tcW w:w="2016" w:type="dxa"/>
                                  <w:tcBorders>
                                    <w:top w:val="nil"/>
                                    <w:left w:val="nil"/>
                                    <w:bottom w:val="nil"/>
                                    <w:right w:val="nil"/>
                                  </w:tcBorders>
                                </w:tcPr>
                                <w:p w14:paraId="6FFE0690" w14:textId="77777777" w:rsidR="00914A7F" w:rsidRDefault="00914A7F" w:rsidP="00BA6C84">
                                  <w:pPr>
                                    <w:spacing w:before="0"/>
                                    <w:rPr>
                                      <w:b/>
                                    </w:rPr>
                                  </w:pPr>
                                </w:p>
                              </w:tc>
                              <w:tc>
                                <w:tcPr>
                                  <w:tcW w:w="3010" w:type="dxa"/>
                                  <w:tcBorders>
                                    <w:top w:val="nil"/>
                                    <w:left w:val="nil"/>
                                    <w:bottom w:val="nil"/>
                                    <w:right w:val="nil"/>
                                  </w:tcBorders>
                                </w:tcPr>
                                <w:p w14:paraId="7F4EB7DF" w14:textId="77777777" w:rsidR="00914A7F" w:rsidRDefault="00914A7F" w:rsidP="00BA6C84">
                                  <w:pPr>
                                    <w:spacing w:before="0"/>
                                    <w:rPr>
                                      <w:b/>
                                    </w:rPr>
                                  </w:pPr>
                                </w:p>
                              </w:tc>
                            </w:tr>
                            <w:tr w:rsidR="00914A7F" w14:paraId="76BF7C28" w14:textId="77777777" w:rsidTr="00A221C6">
                              <w:tc>
                                <w:tcPr>
                                  <w:tcW w:w="2016" w:type="dxa"/>
                                  <w:tcBorders>
                                    <w:top w:val="nil"/>
                                    <w:left w:val="nil"/>
                                    <w:bottom w:val="nil"/>
                                    <w:right w:val="nil"/>
                                  </w:tcBorders>
                                </w:tcPr>
                                <w:p w14:paraId="79B6DDFC" w14:textId="77777777" w:rsidR="00914A7F" w:rsidRPr="00C82591" w:rsidRDefault="00914A7F" w:rsidP="00BA6C84">
                                  <w:pPr>
                                    <w:spacing w:before="0"/>
                                    <w:rPr>
                                      <w:noProof/>
                                      <w:lang w:eastAsia="en-AU"/>
                                    </w:rPr>
                                  </w:pPr>
                                </w:p>
                              </w:tc>
                              <w:tc>
                                <w:tcPr>
                                  <w:tcW w:w="3010" w:type="dxa"/>
                                  <w:tcBorders>
                                    <w:top w:val="nil"/>
                                    <w:left w:val="nil"/>
                                    <w:bottom w:val="nil"/>
                                    <w:right w:val="nil"/>
                                  </w:tcBorders>
                                </w:tcPr>
                                <w:p w14:paraId="776EF525" w14:textId="77777777" w:rsidR="00914A7F" w:rsidRPr="00C82591" w:rsidRDefault="00914A7F" w:rsidP="00BA6C84">
                                  <w:pPr>
                                    <w:spacing w:before="0"/>
                                    <w:rPr>
                                      <w:noProof/>
                                      <w:lang w:eastAsia="en-AU"/>
                                    </w:rPr>
                                  </w:pPr>
                                </w:p>
                              </w:tc>
                            </w:tr>
                          </w:tbl>
                          <w:p w14:paraId="2B0B0424" w14:textId="77777777" w:rsidR="00914A7F" w:rsidRPr="00FE2922" w:rsidRDefault="00914A7F" w:rsidP="00914A7F">
                            <w:pPr>
                              <w:spacing w:before="0"/>
                              <w:rPr>
                                <w:b/>
                              </w:rPr>
                            </w:pPr>
                          </w:p>
                          <w:p w14:paraId="60AAAB6C" w14:textId="77777777" w:rsidR="00914A7F" w:rsidRDefault="00914A7F" w:rsidP="00914A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AC43F" id="_x0000_s1052" type="#_x0000_t202" style="position:absolute;margin-left:166.4pt;margin-top:1.5pt;width:278.25pt;height:313.8pt;z-index:2516623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" fillcolor="#deeaf6 [660]" stroked="f">
                <v:textbox>
                  <w:txbxContent>
                    <w:p w14:paraId="2F9170BD" w14:textId="77777777" w:rsidR="00914A7F" w:rsidRPr="00521F51" w:rsidRDefault="00914A7F" w:rsidP="00914A7F">
                      <w:pPr>
                        <w:spacing w:before="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Snapshot</w:t>
                      </w:r>
                      <w:r w:rsidRPr="00521F51">
                        <w:rPr>
                          <w:rFonts w:asciiTheme="majorHAnsi" w:hAnsiTheme="majorHAnsi" w:cs="Arial"/>
                          <w:b/>
                          <w:noProof/>
                          <w:color w:val="44546A" w:themeColor="text2"/>
                          <w:sz w:val="20"/>
                          <w:lang w:eastAsia="en-AU"/>
                        </w:rPr>
                        <w:t>: The Open Government Partnership</w:t>
                      </w:r>
                    </w:p>
                    <w:p w14:paraId="799EDA19" w14:textId="77777777" w:rsidR="00914A7F" w:rsidRPr="00FC6DA9" w:rsidRDefault="00914A7F" w:rsidP="00914A7F">
                      <w:pPr>
                        <w:spacing w:before="0"/>
                        <w:rPr>
                          <w:rFonts w:ascii="Lucida Bright" w:hAnsi="Lucida Bright" w:cs="Arial"/>
                          <w:b/>
                          <w:noProof/>
                          <w:color w:val="44546A" w:themeColor="text2"/>
                          <w:sz w:val="8"/>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0"/>
                        <w:gridCol w:w="3009"/>
                      </w:tblGrid>
                      <w:tr w:rsidR="00914A7F" w:rsidRPr="00554281" w14:paraId="58A83A8A" w14:textId="77777777" w:rsidTr="00A221C6">
                        <w:tc>
                          <w:tcPr>
                            <w:tcW w:w="2020" w:type="dxa"/>
                          </w:tcPr>
                          <w:p w14:paraId="5E21F04F" w14:textId="77777777" w:rsidR="00914A7F" w:rsidRPr="00554281" w:rsidRDefault="00914A7F" w:rsidP="00BA6C84">
                            <w:pPr>
                              <w:spacing w:before="0"/>
                              <w:rPr>
                                <w:rFonts w:ascii="Arial" w:hAnsi="Arial" w:cs="Arial"/>
                                <w:b/>
                                <w:sz w:val="18"/>
                              </w:rPr>
                            </w:pPr>
                            <w:r w:rsidRPr="00554281">
                              <w:rPr>
                                <w:rFonts w:ascii="Arial" w:hAnsi="Arial" w:cs="Arial"/>
                                <w:noProof/>
                                <w:sz w:val="18"/>
                                <w:lang w:eastAsia="en-AU"/>
                              </w:rPr>
                              <w:drawing>
                                <wp:inline distT="0" distB="0" distL="0" distR="0" wp14:anchorId="42C62952" wp14:editId="472BFDEA">
                                  <wp:extent cx="1145540" cy="1145540"/>
                                  <wp:effectExtent l="0" t="0" r="0" b="0"/>
                                  <wp:docPr id="2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152340" cy="1152340"/>
                                          </a:xfrm>
                                          <a:prstGeom prst="rect">
                                            <a:avLst/>
                                          </a:prstGeom>
                                        </pic:spPr>
                                      </pic:pic>
                                    </a:graphicData>
                                  </a:graphic>
                                </wp:inline>
                              </w:drawing>
                            </w:r>
                          </w:p>
                        </w:tc>
                        <w:tc>
                          <w:tcPr>
                            <w:tcW w:w="3009" w:type="dxa"/>
                          </w:tcPr>
                          <w:p w14:paraId="570CF105"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Launched in 2011</w:t>
                            </w:r>
                          </w:p>
                          <w:p w14:paraId="2687435B"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Originally a UK/US Government initiative, with 8 countries participating</w:t>
                            </w:r>
                          </w:p>
                          <w:p w14:paraId="2E2FBB2C"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Australia confirmed its membership in 2015</w:t>
                            </w:r>
                          </w:p>
                          <w:p w14:paraId="782C5AE7" w14:textId="77777777" w:rsidR="00914A7F" w:rsidRPr="00554281" w:rsidRDefault="00914A7F" w:rsidP="007B3CA8">
                            <w:pPr>
                              <w:pStyle w:val="ListParagraph"/>
                              <w:numPr>
                                <w:ilvl w:val="0"/>
                                <w:numId w:val="38"/>
                              </w:numPr>
                              <w:spacing w:before="0"/>
                              <w:ind w:left="140" w:hanging="140"/>
                              <w:rPr>
                                <w:rFonts w:ascii="Arial" w:hAnsi="Arial" w:cs="Arial"/>
                                <w:sz w:val="18"/>
                                <w:szCs w:val="18"/>
                              </w:rPr>
                            </w:pPr>
                            <w:r w:rsidRPr="00521F51">
                              <w:rPr>
                                <w:rFonts w:asciiTheme="majorHAnsi" w:hAnsiTheme="majorHAnsi" w:cs="Arial"/>
                                <w:sz w:val="18"/>
                                <w:szCs w:val="18"/>
                              </w:rPr>
                              <w:t xml:space="preserve">75 countries and 15 subnational governments </w:t>
                            </w:r>
                            <w:r>
                              <w:rPr>
                                <w:rFonts w:asciiTheme="majorHAnsi" w:hAnsiTheme="majorHAnsi" w:cs="Arial"/>
                                <w:sz w:val="18"/>
                                <w:szCs w:val="18"/>
                              </w:rPr>
                              <w:t xml:space="preserve">now members, who </w:t>
                            </w:r>
                            <w:r w:rsidRPr="00521F51">
                              <w:rPr>
                                <w:rFonts w:asciiTheme="majorHAnsi" w:hAnsiTheme="majorHAnsi" w:cs="Arial"/>
                                <w:sz w:val="18"/>
                                <w:szCs w:val="18"/>
                              </w:rPr>
                              <w:t>have made over 2,500 commitments</w:t>
                            </w:r>
                          </w:p>
                        </w:tc>
                      </w:tr>
                    </w:tbl>
                    <w:p w14:paraId="48DAAC41" w14:textId="77777777" w:rsidR="00914A7F" w:rsidRPr="00554281" w:rsidRDefault="00914A7F" w:rsidP="00914A7F">
                      <w:pPr>
                        <w:spacing w:before="0"/>
                        <w:rPr>
                          <w:rFonts w:ascii="Arial" w:hAnsi="Arial" w:cs="Arial"/>
                          <w:b/>
                          <w:sz w:val="18"/>
                        </w:rPr>
                      </w:pPr>
                    </w:p>
                    <w:p w14:paraId="080F1794" w14:textId="77777777" w:rsidR="00914A7F" w:rsidRPr="00521F51" w:rsidRDefault="00914A7F" w:rsidP="00914A7F">
                      <w:pPr>
                        <w:spacing w:before="0"/>
                        <w:rPr>
                          <w:rFonts w:asciiTheme="majorHAnsi" w:hAnsiTheme="majorHAnsi" w:cs="Arial"/>
                          <w:b/>
                          <w:noProof/>
                          <w:color w:val="44546A" w:themeColor="text2"/>
                          <w:sz w:val="20"/>
                          <w:lang w:eastAsia="en-AU"/>
                        </w:rPr>
                      </w:pPr>
                      <w:r>
                        <w:rPr>
                          <w:rFonts w:asciiTheme="majorHAnsi" w:hAnsiTheme="majorHAnsi" w:cs="Arial"/>
                          <w:b/>
                          <w:noProof/>
                          <w:color w:val="44546A" w:themeColor="text2"/>
                          <w:sz w:val="20"/>
                          <w:lang w:eastAsia="en-AU"/>
                        </w:rPr>
                        <w:t>Snapshot</w:t>
                      </w:r>
                      <w:r w:rsidRPr="00521F51">
                        <w:rPr>
                          <w:rFonts w:asciiTheme="majorHAnsi" w:hAnsiTheme="majorHAnsi" w:cs="Arial"/>
                          <w:b/>
                          <w:noProof/>
                          <w:color w:val="44546A" w:themeColor="text2"/>
                          <w:sz w:val="20"/>
                          <w:lang w:eastAsia="en-AU"/>
                        </w:rPr>
                        <w:t>: Australia’s first Open Government National Action Plan</w:t>
                      </w:r>
                    </w:p>
                    <w:p w14:paraId="460833B3" w14:textId="77777777" w:rsidR="00914A7F" w:rsidRPr="00FC6DA9" w:rsidRDefault="00914A7F" w:rsidP="00914A7F">
                      <w:pPr>
                        <w:spacing w:before="0"/>
                        <w:rPr>
                          <w:rFonts w:ascii="Lucida Bright" w:hAnsi="Lucida Bright" w:cs="Arial"/>
                          <w:b/>
                          <w:noProof/>
                          <w:color w:val="44546A" w:themeColor="text2"/>
                          <w:sz w:val="10"/>
                          <w:lang w:eastAsia="en-AU"/>
                        </w:rPr>
                      </w:pPr>
                    </w:p>
                    <w:tbl>
                      <w:tblPr>
                        <w:tblStyle w:val="TableGrid"/>
                        <w:tblW w:w="0" w:type="auto"/>
                        <w:tblInd w:w="-5" w:type="dxa"/>
                        <w:tblLook w:val="04A0" w:firstRow="1" w:lastRow="0" w:firstColumn="1" w:lastColumn="0" w:noHBand="0" w:noVBand="1"/>
                      </w:tblPr>
                      <w:tblGrid>
                        <w:gridCol w:w="2016"/>
                        <w:gridCol w:w="3010"/>
                      </w:tblGrid>
                      <w:tr w:rsidR="00914A7F" w:rsidRPr="00554281" w14:paraId="137E5134" w14:textId="77777777" w:rsidTr="00A221C6">
                        <w:tc>
                          <w:tcPr>
                            <w:tcW w:w="2016" w:type="dxa"/>
                            <w:tcBorders>
                              <w:top w:val="nil"/>
                              <w:left w:val="nil"/>
                              <w:bottom w:val="nil"/>
                              <w:right w:val="nil"/>
                            </w:tcBorders>
                          </w:tcPr>
                          <w:p w14:paraId="43B436F0" w14:textId="77777777" w:rsidR="00914A7F" w:rsidRPr="00554281" w:rsidRDefault="00914A7F" w:rsidP="00A221C6">
                            <w:pPr>
                              <w:spacing w:before="0"/>
                              <w:rPr>
                                <w:rFonts w:ascii="Arial" w:hAnsi="Arial" w:cs="Arial"/>
                                <w:noProof/>
                                <w:sz w:val="18"/>
                                <w:lang w:eastAsia="en-AU"/>
                              </w:rPr>
                            </w:pPr>
                            <w:r w:rsidRPr="00554281">
                              <w:rPr>
                                <w:rFonts w:ascii="Arial" w:hAnsi="Arial" w:cs="Arial"/>
                                <w:noProof/>
                                <w:sz w:val="18"/>
                                <w:lang w:eastAsia="en-AU"/>
                              </w:rPr>
                              <w:drawing>
                                <wp:inline distT="0" distB="0" distL="0" distR="0" wp14:anchorId="7DB8CCA6" wp14:editId="359009EC">
                                  <wp:extent cx="1137480" cy="1104900"/>
                                  <wp:effectExtent l="0" t="0" r="5715" b="0"/>
                                  <wp:docPr id="2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2"/>
                                          <a:srcRect l="34879"/>
                                          <a:stretch/>
                                        </pic:blipFill>
                                        <pic:spPr>
                                          <a:xfrm>
                                            <a:off x="0" y="0"/>
                                            <a:ext cx="1142024" cy="1109314"/>
                                          </a:xfrm>
                                          <a:prstGeom prst="rect">
                                            <a:avLst/>
                                          </a:prstGeom>
                                        </pic:spPr>
                                      </pic:pic>
                                    </a:graphicData>
                                  </a:graphic>
                                </wp:inline>
                              </w:drawing>
                            </w:r>
                          </w:p>
                        </w:tc>
                        <w:tc>
                          <w:tcPr>
                            <w:tcW w:w="3010" w:type="dxa"/>
                            <w:tcBorders>
                              <w:top w:val="nil"/>
                              <w:left w:val="nil"/>
                              <w:bottom w:val="nil"/>
                              <w:right w:val="nil"/>
                            </w:tcBorders>
                          </w:tcPr>
                          <w:p w14:paraId="73AC7804"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Drafting of Action Plan commenced in late 2015</w:t>
                            </w:r>
                          </w:p>
                          <w:p w14:paraId="3A8521B2"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Supported by a consultation process to enable co-creation with the public</w:t>
                            </w:r>
                          </w:p>
                          <w:p w14:paraId="206A8767"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Released in December 2016</w:t>
                            </w:r>
                          </w:p>
                          <w:p w14:paraId="31D936D0"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Includes 15 commitments related to public participation, accountability, transparency and open data</w:t>
                            </w:r>
                          </w:p>
                          <w:p w14:paraId="75188C78" w14:textId="77777777" w:rsidR="00914A7F" w:rsidRPr="00521F51" w:rsidRDefault="00914A7F" w:rsidP="007B3CA8">
                            <w:pPr>
                              <w:pStyle w:val="ListParagraph"/>
                              <w:numPr>
                                <w:ilvl w:val="0"/>
                                <w:numId w:val="38"/>
                              </w:numPr>
                              <w:spacing w:before="0"/>
                              <w:ind w:left="140" w:hanging="140"/>
                              <w:rPr>
                                <w:rFonts w:asciiTheme="majorHAnsi" w:hAnsiTheme="majorHAnsi" w:cs="Arial"/>
                                <w:sz w:val="18"/>
                                <w:szCs w:val="18"/>
                              </w:rPr>
                            </w:pPr>
                            <w:r w:rsidRPr="00521F51">
                              <w:rPr>
                                <w:rFonts w:asciiTheme="majorHAnsi" w:hAnsiTheme="majorHAnsi" w:cs="Arial"/>
                                <w:sz w:val="18"/>
                                <w:szCs w:val="18"/>
                              </w:rPr>
                              <w:t>Departments of Finance and Prime Minister and Cabinet are coordinating implementation of commitments</w:t>
                            </w:r>
                          </w:p>
                          <w:p w14:paraId="49D1DFAA" w14:textId="77777777" w:rsidR="00914A7F" w:rsidRPr="00554281" w:rsidRDefault="00914A7F" w:rsidP="00A221C6">
                            <w:pPr>
                              <w:spacing w:before="0"/>
                              <w:rPr>
                                <w:rFonts w:ascii="Arial" w:hAnsi="Arial" w:cs="Arial"/>
                                <w:sz w:val="18"/>
                              </w:rPr>
                            </w:pPr>
                          </w:p>
                        </w:tc>
                      </w:tr>
                      <w:tr w:rsidR="00914A7F" w14:paraId="09F0E611" w14:textId="77777777" w:rsidTr="00A221C6">
                        <w:tc>
                          <w:tcPr>
                            <w:tcW w:w="2016" w:type="dxa"/>
                            <w:tcBorders>
                              <w:top w:val="nil"/>
                              <w:left w:val="nil"/>
                              <w:bottom w:val="nil"/>
                              <w:right w:val="nil"/>
                            </w:tcBorders>
                          </w:tcPr>
                          <w:p w14:paraId="6FFE0690" w14:textId="77777777" w:rsidR="00914A7F" w:rsidRDefault="00914A7F" w:rsidP="00BA6C84">
                            <w:pPr>
                              <w:spacing w:before="0"/>
                              <w:rPr>
                                <w:b/>
                              </w:rPr>
                            </w:pPr>
                          </w:p>
                        </w:tc>
                        <w:tc>
                          <w:tcPr>
                            <w:tcW w:w="3010" w:type="dxa"/>
                            <w:tcBorders>
                              <w:top w:val="nil"/>
                              <w:left w:val="nil"/>
                              <w:bottom w:val="nil"/>
                              <w:right w:val="nil"/>
                            </w:tcBorders>
                          </w:tcPr>
                          <w:p w14:paraId="7F4EB7DF" w14:textId="77777777" w:rsidR="00914A7F" w:rsidRDefault="00914A7F" w:rsidP="00BA6C84">
                            <w:pPr>
                              <w:spacing w:before="0"/>
                              <w:rPr>
                                <w:b/>
                              </w:rPr>
                            </w:pPr>
                          </w:p>
                        </w:tc>
                      </w:tr>
                      <w:tr w:rsidR="00914A7F" w14:paraId="76BF7C28" w14:textId="77777777" w:rsidTr="00A221C6">
                        <w:tc>
                          <w:tcPr>
                            <w:tcW w:w="2016" w:type="dxa"/>
                            <w:tcBorders>
                              <w:top w:val="nil"/>
                              <w:left w:val="nil"/>
                              <w:bottom w:val="nil"/>
                              <w:right w:val="nil"/>
                            </w:tcBorders>
                          </w:tcPr>
                          <w:p w14:paraId="79B6DDFC" w14:textId="77777777" w:rsidR="00914A7F" w:rsidRPr="00C82591" w:rsidRDefault="00914A7F" w:rsidP="00BA6C84">
                            <w:pPr>
                              <w:spacing w:before="0"/>
                              <w:rPr>
                                <w:noProof/>
                                <w:lang w:eastAsia="en-AU"/>
                              </w:rPr>
                            </w:pPr>
                          </w:p>
                        </w:tc>
                        <w:tc>
                          <w:tcPr>
                            <w:tcW w:w="3010" w:type="dxa"/>
                            <w:tcBorders>
                              <w:top w:val="nil"/>
                              <w:left w:val="nil"/>
                              <w:bottom w:val="nil"/>
                              <w:right w:val="nil"/>
                            </w:tcBorders>
                          </w:tcPr>
                          <w:p w14:paraId="776EF525" w14:textId="77777777" w:rsidR="00914A7F" w:rsidRPr="00C82591" w:rsidRDefault="00914A7F" w:rsidP="00BA6C84">
                            <w:pPr>
                              <w:spacing w:before="0"/>
                              <w:rPr>
                                <w:noProof/>
                                <w:lang w:eastAsia="en-AU"/>
                              </w:rPr>
                            </w:pPr>
                          </w:p>
                        </w:tc>
                      </w:tr>
                    </w:tbl>
                    <w:p w14:paraId="2B0B0424" w14:textId="77777777" w:rsidR="00914A7F" w:rsidRPr="00FE2922" w:rsidRDefault="00914A7F" w:rsidP="00914A7F">
                      <w:pPr>
                        <w:spacing w:before="0"/>
                        <w:rPr>
                          <w:b/>
                        </w:rPr>
                      </w:pPr>
                    </w:p>
                    <w:p w14:paraId="60AAAB6C" w14:textId="77777777" w:rsidR="00914A7F" w:rsidRDefault="00914A7F" w:rsidP="00914A7F"/>
                  </w:txbxContent>
                </v:textbox>
                <w10:wrap type="square" anchorx="margin"/>
              </v:shape>
            </w:pict>
          </mc:Fallback>
        </mc:AlternateContent>
      </w:r>
      <w:r>
        <w:t xml:space="preserve">In December 2016, the Commonwealth Government released </w:t>
      </w:r>
      <w:r w:rsidRPr="002468BA">
        <w:t>Australia’s first Open Government National Action Plan (the Plan)</w:t>
      </w:r>
      <w:r>
        <w:t xml:space="preserve"> and its 15 commitments</w:t>
      </w:r>
      <w:r w:rsidRPr="002468BA">
        <w:t xml:space="preserve">. </w:t>
      </w:r>
      <w:r w:rsidRPr="00E51EE3">
        <w:t xml:space="preserve">The Plan </w:t>
      </w:r>
      <w:r>
        <w:t>drew on the</w:t>
      </w:r>
      <w:r w:rsidRPr="00E51EE3">
        <w:t xml:space="preserve"> joint efforts </w:t>
      </w:r>
      <w:r>
        <w:t>of the APS</w:t>
      </w:r>
      <w:r w:rsidRPr="00E51EE3">
        <w:t xml:space="preserve"> and </w:t>
      </w:r>
      <w:r>
        <w:t xml:space="preserve">the public </w:t>
      </w:r>
      <w:r w:rsidRPr="00E51EE3">
        <w:t xml:space="preserve">(including non-government organisations, business, </w:t>
      </w:r>
      <w:r>
        <w:t>academia and community groups). Its</w:t>
      </w:r>
      <w:r w:rsidRPr="00E51EE3">
        <w:t xml:space="preserve"> 15 ambitious commitments set out an agenda to promote transparency, empower citizens, fight corruption, and harness new technologies to strengthen governance.</w:t>
      </w:r>
      <w:r>
        <w:t xml:space="preserve"> </w:t>
      </w:r>
    </w:p>
    <w:p w14:paraId="30210FF8" w14:textId="77777777" w:rsidR="00914A7F" w:rsidRDefault="00914A7F" w:rsidP="00914A7F">
      <w:pPr>
        <w:spacing w:before="0"/>
      </w:pPr>
    </w:p>
    <w:p w14:paraId="7F6E68B1" w14:textId="77777777" w:rsidR="00914A7F" w:rsidRDefault="00914A7F" w:rsidP="00914A7F">
      <w:pPr>
        <w:spacing w:before="0"/>
      </w:pPr>
      <w:r>
        <w:t xml:space="preserve">Further information about the Open Government Partnership and Australia’s National Action Plan is available on its website: </w:t>
      </w:r>
      <w:r w:rsidRPr="00E51EE3">
        <w:t>https://ogpau.pmc.gov.au/</w:t>
      </w:r>
      <w:r>
        <w:t>.</w:t>
      </w:r>
    </w:p>
    <w:p w14:paraId="49B35911" w14:textId="77777777" w:rsidR="00914A7F" w:rsidRDefault="00914A7F" w:rsidP="00914A7F">
      <w:pPr>
        <w:spacing w:before="0"/>
        <w:rPr>
          <w:rFonts w:ascii="Calibri Light" w:eastAsia="MS Gothic" w:hAnsi="Calibri Light"/>
          <w:bCs/>
          <w:color w:val="3AA2A2"/>
          <w:sz w:val="32"/>
          <w:szCs w:val="26"/>
        </w:rPr>
      </w:pPr>
      <w:r>
        <w:br w:type="page"/>
      </w:r>
    </w:p>
    <w:p w14:paraId="006CCA4E" w14:textId="77777777" w:rsidR="00914A7F" w:rsidRPr="00CF7FA1" w:rsidRDefault="00914A7F" w:rsidP="00914A7F">
      <w:pPr>
        <w:pStyle w:val="H2"/>
        <w:spacing w:before="0" w:after="0"/>
      </w:pPr>
      <w:bookmarkStart w:id="85" w:name="_Toc495915998"/>
      <w:r>
        <w:lastRenderedPageBreak/>
        <w:t>Objective: Implement Commitment 5.2 of Australia’s Open Government National Action Plan</w:t>
      </w:r>
      <w:r w:rsidRPr="00CF7FA1">
        <w:t xml:space="preserve"> – Enhancing </w:t>
      </w:r>
      <w:r>
        <w:t>public</w:t>
      </w:r>
      <w:r w:rsidRPr="00CF7FA1">
        <w:t xml:space="preserve"> </w:t>
      </w:r>
      <w:r>
        <w:t>p</w:t>
      </w:r>
      <w:r w:rsidRPr="00CF7FA1">
        <w:t>articipation</w:t>
      </w:r>
      <w:bookmarkEnd w:id="85"/>
      <w:r w:rsidRPr="00CF7FA1">
        <w:t xml:space="preserve"> </w:t>
      </w:r>
    </w:p>
    <w:p w14:paraId="6899BFBE" w14:textId="77777777" w:rsidR="00914A7F" w:rsidRDefault="00914A7F" w:rsidP="00914A7F">
      <w:pPr>
        <w:spacing w:before="0"/>
      </w:pPr>
    </w:p>
    <w:p w14:paraId="6D5DB8B5" w14:textId="77777777" w:rsidR="00914A7F" w:rsidRPr="00677805" w:rsidRDefault="00914A7F" w:rsidP="00914A7F">
      <w:pPr>
        <w:spacing w:before="0"/>
      </w:pPr>
      <w:r>
        <w:t>This project is to implement Action Plan Commitment 5.2: Enhancing public participation. Commitment 5.2</w:t>
      </w:r>
      <w:r w:rsidRPr="00677805">
        <w:t xml:space="preserve"> focusses on improving participation and engagement to enhance policy and service delivery outcomes.</w:t>
      </w:r>
      <w:r>
        <w:t xml:space="preserve"> </w:t>
      </w:r>
      <w:r w:rsidRPr="00677805">
        <w:t>It has a broad range of impacts, and specifically advances OGP values of:</w:t>
      </w:r>
    </w:p>
    <w:p w14:paraId="3F83F782" w14:textId="77777777" w:rsidR="00914A7F" w:rsidRPr="00677805" w:rsidRDefault="00914A7F" w:rsidP="00914A7F">
      <w:pPr>
        <w:pStyle w:val="ListParagraph"/>
        <w:numPr>
          <w:ilvl w:val="0"/>
          <w:numId w:val="38"/>
        </w:numPr>
        <w:spacing w:before="0"/>
      </w:pPr>
      <w:r w:rsidRPr="00077DBC">
        <w:t>Technology and innovation for openness and accountability:</w:t>
      </w:r>
      <w:r w:rsidRPr="00677805">
        <w:t xml:space="preserve"> by promoting new technologies that offer opportunities for information sharing, public participation and collaboration; and making more information public in ways that enable people to both understand what their governments do and to influence decisions.</w:t>
      </w:r>
    </w:p>
    <w:p w14:paraId="44BB0487" w14:textId="77777777" w:rsidR="00914A7F" w:rsidRPr="00677805" w:rsidRDefault="00914A7F" w:rsidP="00914A7F">
      <w:pPr>
        <w:pStyle w:val="ListParagraph"/>
        <w:numPr>
          <w:ilvl w:val="0"/>
          <w:numId w:val="38"/>
        </w:numPr>
        <w:spacing w:before="0"/>
      </w:pPr>
      <w:r w:rsidRPr="00077DBC">
        <w:t>Civic participation</w:t>
      </w:r>
      <w:r w:rsidRPr="00677805">
        <w:t>: by allowing further access to information to ensure meaningful input from interested members of the public into decisions; citizens’ right to have their voices heard; and opening up decision making to more interested members of the public.</w:t>
      </w:r>
    </w:p>
    <w:p w14:paraId="55A981C3" w14:textId="77777777" w:rsidR="00914A7F" w:rsidRPr="00057C3A" w:rsidRDefault="00914A7F" w:rsidP="00914A7F">
      <w:pPr>
        <w:spacing w:before="0"/>
      </w:pPr>
    </w:p>
    <w:p w14:paraId="62E4040F" w14:textId="77777777" w:rsidR="00914A7F" w:rsidRDefault="00914A7F" w:rsidP="00914A7F">
      <w:pPr>
        <w:spacing w:before="0"/>
      </w:pPr>
      <w:r>
        <w:t>Detailed information about Commitment 5.2 and this project is available on:</w:t>
      </w:r>
    </w:p>
    <w:p w14:paraId="607C94B4" w14:textId="77777777" w:rsidR="00914A7F" w:rsidRDefault="00914A7F" w:rsidP="00914A7F">
      <w:pPr>
        <w:pStyle w:val="ListParagraph"/>
        <w:numPr>
          <w:ilvl w:val="0"/>
          <w:numId w:val="38"/>
        </w:numPr>
        <w:spacing w:before="0"/>
      </w:pPr>
      <w:r>
        <w:t xml:space="preserve">The Department of Industry, Innovation and Science’s dedicated website: </w:t>
      </w:r>
      <w:hyperlink r:id="rId110" w:history="1">
        <w:r w:rsidRPr="00AD3C1A">
          <w:rPr>
            <w:rStyle w:val="Hyperlink"/>
          </w:rPr>
          <w:t>https://www.industry.gov.au/innovation/Pages/Open-Government-Partnership-Framework-project.aspx</w:t>
        </w:r>
      </w:hyperlink>
      <w:r>
        <w:t>; and</w:t>
      </w:r>
    </w:p>
    <w:p w14:paraId="2661B4C1" w14:textId="77777777" w:rsidR="00914A7F" w:rsidRDefault="00914A7F" w:rsidP="00914A7F">
      <w:pPr>
        <w:pStyle w:val="ListParagraph"/>
        <w:numPr>
          <w:ilvl w:val="0"/>
          <w:numId w:val="38"/>
        </w:numPr>
        <w:spacing w:before="0"/>
      </w:pPr>
      <w:r>
        <w:t xml:space="preserve">Australia’s Open Government National Action Plan webpage: </w:t>
      </w:r>
      <w:hyperlink r:id="rId111" w:history="1">
        <w:r w:rsidRPr="00AD3C1A">
          <w:rPr>
            <w:rStyle w:val="Hyperlink"/>
          </w:rPr>
          <w:t>https://ogpau.pmc.gov.au/commitment/52-enhancing-public-participation</w:t>
        </w:r>
      </w:hyperlink>
      <w:r>
        <w:t>.</w:t>
      </w:r>
    </w:p>
    <w:p w14:paraId="0D601128" w14:textId="77777777" w:rsidR="00914A7F" w:rsidRDefault="00914A7F" w:rsidP="00914A7F">
      <w:pPr>
        <w:pStyle w:val="ListParagraph"/>
        <w:spacing w:before="0"/>
      </w:pPr>
    </w:p>
    <w:p w14:paraId="397ED21F" w14:textId="77777777" w:rsidR="00914A7F" w:rsidRDefault="00914A7F" w:rsidP="00914A7F">
      <w:pPr>
        <w:pStyle w:val="H2"/>
        <w:spacing w:before="0" w:after="0"/>
      </w:pPr>
      <w:bookmarkStart w:id="86" w:name="_Toc495915999"/>
      <w:r>
        <w:t>Commitment 5.2 - Milestones and outputs</w:t>
      </w:r>
      <w:bookmarkEnd w:id="86"/>
    </w:p>
    <w:p w14:paraId="514FB7A4" w14:textId="77777777" w:rsidR="00914A7F" w:rsidRDefault="00914A7F" w:rsidP="00914A7F">
      <w:pPr>
        <w:spacing w:before="0"/>
      </w:pPr>
      <w:r>
        <w:t xml:space="preserve">Commitment 5.2’s ambition is for the APS to </w:t>
      </w:r>
      <w:r w:rsidRPr="002468BA">
        <w:t>design and adopt a whole-of-government framework that embeds meaningful, open, public and multi-stakeholder participation into policy development and service delivery.</w:t>
      </w:r>
    </w:p>
    <w:p w14:paraId="7A44FA3F" w14:textId="77777777" w:rsidR="00914A7F" w:rsidRDefault="00914A7F" w:rsidP="00914A7F">
      <w:pPr>
        <w:spacing w:before="0"/>
      </w:pPr>
    </w:p>
    <w:p w14:paraId="434143C3" w14:textId="77777777" w:rsidR="00914A7F" w:rsidRDefault="00914A7F" w:rsidP="00914A7F">
      <w:pPr>
        <w:spacing w:before="0"/>
      </w:pPr>
      <w:r>
        <w:t>The Commitment has</w:t>
      </w:r>
      <w:r w:rsidRPr="003234A8">
        <w:t xml:space="preserve"> three key milestones, each with their own outputs. </w:t>
      </w:r>
      <w:r w:rsidRPr="002468BA">
        <w:t xml:space="preserve">This report </w:t>
      </w:r>
      <w:r>
        <w:t xml:space="preserve">is an output of the </w:t>
      </w:r>
      <w:r w:rsidRPr="002468BA">
        <w:t xml:space="preserve">first </w:t>
      </w:r>
      <w:r>
        <w:t xml:space="preserve">milestone. </w:t>
      </w:r>
    </w:p>
    <w:p w14:paraId="39D179DD" w14:textId="77777777" w:rsidR="00914A7F" w:rsidRDefault="00914A7F" w:rsidP="00914A7F">
      <w:pPr>
        <w:spacing w:before="0"/>
      </w:pPr>
    </w:p>
    <w:p w14:paraId="343CEDF3" w14:textId="77777777" w:rsidR="00914A7F" w:rsidRPr="002468BA" w:rsidRDefault="00914A7F" w:rsidP="00914A7F">
      <w:pPr>
        <w:spacing w:before="0"/>
      </w:pPr>
      <w:r>
        <w:rPr>
          <w:u w:val="single"/>
        </w:rPr>
        <w:t>Milestone 1 (Current milestone) – Scope and outputs</w:t>
      </w:r>
    </w:p>
    <w:p w14:paraId="208154E0" w14:textId="77777777" w:rsidR="00914A7F" w:rsidRDefault="00914A7F" w:rsidP="00914A7F">
      <w:pPr>
        <w:spacing w:before="0"/>
      </w:pPr>
      <w:r w:rsidRPr="002468BA">
        <w:t>Undertake and publicly release a stocktake of current approaches to public participation to determine best practice activities (including international and domestic examples, user experience research, methodologies to encourage adoption, and relevant standards, such as IAP2 values).</w:t>
      </w:r>
    </w:p>
    <w:p w14:paraId="1CA1E7CC" w14:textId="77777777" w:rsidR="00914A7F" w:rsidRPr="002468BA" w:rsidRDefault="00914A7F" w:rsidP="00914A7F">
      <w:pPr>
        <w:spacing w:before="0"/>
      </w:pPr>
    </w:p>
    <w:p w14:paraId="0A464F76" w14:textId="77777777" w:rsidR="00914A7F" w:rsidRPr="002468BA" w:rsidRDefault="00914A7F" w:rsidP="00914A7F">
      <w:pPr>
        <w:spacing w:before="0"/>
      </w:pPr>
      <w:r w:rsidRPr="002468BA">
        <w:rPr>
          <w:u w:val="single"/>
        </w:rPr>
        <w:t>Milestone 2</w:t>
      </w:r>
      <w:r>
        <w:rPr>
          <w:u w:val="single"/>
        </w:rPr>
        <w:t xml:space="preserve"> – Scope and outputs</w:t>
      </w:r>
    </w:p>
    <w:p w14:paraId="466306E2" w14:textId="77777777" w:rsidR="00914A7F" w:rsidRDefault="00914A7F" w:rsidP="00914A7F">
      <w:pPr>
        <w:spacing w:before="0"/>
      </w:pPr>
      <w:r w:rsidRPr="002468BA">
        <w:t>Work with government agencies, the public and organisations outside of government to develop and implement a whole-of-government framework (with guidance / principles and potential public participation initiatives) for improving public participation and engagement across the Commonwealth.</w:t>
      </w:r>
    </w:p>
    <w:p w14:paraId="600BDB99" w14:textId="77777777" w:rsidR="00914A7F" w:rsidRPr="002468BA" w:rsidRDefault="00914A7F" w:rsidP="00914A7F">
      <w:pPr>
        <w:spacing w:before="0"/>
      </w:pPr>
    </w:p>
    <w:p w14:paraId="41F47212" w14:textId="77777777" w:rsidR="00914A7F" w:rsidRDefault="00914A7F" w:rsidP="00914A7F">
      <w:pPr>
        <w:spacing w:before="0"/>
        <w:rPr>
          <w:u w:val="single"/>
        </w:rPr>
      </w:pPr>
      <w:r>
        <w:rPr>
          <w:u w:val="single"/>
        </w:rPr>
        <w:t>Milestone 3 – Scope and outputs</w:t>
      </w:r>
    </w:p>
    <w:p w14:paraId="59C8EF2F" w14:textId="77777777" w:rsidR="00914A7F" w:rsidRPr="00344154" w:rsidRDefault="00914A7F" w:rsidP="00914A7F">
      <w:pPr>
        <w:spacing w:before="0"/>
      </w:pPr>
      <w:r w:rsidRPr="00344154">
        <w:t xml:space="preserve">Undertake pilot public participation initiatives, including working with the </w:t>
      </w:r>
      <w:r w:rsidRPr="007404E4">
        <w:t>BRII challengers</w:t>
      </w:r>
      <w:r>
        <w:t xml:space="preserve"> </w:t>
      </w:r>
      <w:r w:rsidRPr="00344154">
        <w:t xml:space="preserve">to more effectively use </w:t>
      </w:r>
      <w:r>
        <w:t>digital channels for engagement.</w:t>
      </w:r>
    </w:p>
    <w:p w14:paraId="0C8CC554" w14:textId="77777777" w:rsidR="00914A7F" w:rsidRPr="002468BA" w:rsidRDefault="00914A7F" w:rsidP="00914A7F">
      <w:pPr>
        <w:spacing w:before="0"/>
      </w:pPr>
      <w:r w:rsidRPr="00344154">
        <w:t>Review processes and iterate as necessary</w:t>
      </w:r>
      <w:r>
        <w:t>.</w:t>
      </w:r>
    </w:p>
    <w:p w14:paraId="0F7AE689" w14:textId="77777777" w:rsidR="00914A7F" w:rsidRDefault="00914A7F" w:rsidP="00914A7F">
      <w:pPr>
        <w:spacing w:before="0"/>
        <w:rPr>
          <w:rFonts w:ascii="Calibri Light" w:eastAsia="MS Gothic" w:hAnsi="Calibri Light"/>
          <w:bCs/>
          <w:color w:val="3AA2A2"/>
          <w:sz w:val="32"/>
          <w:szCs w:val="26"/>
        </w:rPr>
      </w:pPr>
      <w:r>
        <w:br w:type="page"/>
      </w:r>
    </w:p>
    <w:p w14:paraId="78EAC007" w14:textId="77777777" w:rsidR="00914A7F" w:rsidRPr="000F19A0" w:rsidRDefault="00914A7F" w:rsidP="00914A7F">
      <w:pPr>
        <w:pStyle w:val="H2"/>
        <w:spacing w:before="0" w:after="0"/>
      </w:pPr>
      <w:bookmarkStart w:id="87" w:name="_Toc495916000"/>
      <w:r>
        <w:lastRenderedPageBreak/>
        <w:t>M</w:t>
      </w:r>
      <w:r w:rsidRPr="000F19A0">
        <w:t>ethodology</w:t>
      </w:r>
      <w:r>
        <w:t>: User centred design, with three phases – Discover; Create; and Deliver</w:t>
      </w:r>
      <w:bookmarkEnd w:id="87"/>
    </w:p>
    <w:p w14:paraId="60D5B777" w14:textId="77777777" w:rsidR="00914A7F" w:rsidRPr="003234A8" w:rsidRDefault="00914A7F" w:rsidP="00914A7F">
      <w:pPr>
        <w:spacing w:before="0"/>
      </w:pPr>
      <w:r w:rsidRPr="003234A8">
        <w:t xml:space="preserve">The Project team is implementing Commitment 5.2 using a User Centred Design (UCD) methodology. </w:t>
      </w:r>
      <w:r>
        <w:t xml:space="preserve">UCD is also </w:t>
      </w:r>
      <w:r w:rsidRPr="0078237B">
        <w:t>referred to as:</w:t>
      </w:r>
      <w:r>
        <w:t xml:space="preserve"> design thinking</w:t>
      </w:r>
      <w:r w:rsidRPr="0078237B">
        <w:t xml:space="preserve">; human </w:t>
      </w:r>
      <w:r>
        <w:t xml:space="preserve">centred design; and experience architecture. It is related to </w:t>
      </w:r>
      <w:r w:rsidRPr="0078237B">
        <w:t>systems thinking</w:t>
      </w:r>
      <w:r>
        <w:t xml:space="preserve"> and </w:t>
      </w:r>
      <w:r w:rsidRPr="0078237B">
        <w:t>service design.</w:t>
      </w:r>
    </w:p>
    <w:p w14:paraId="01EC31DE" w14:textId="77777777" w:rsidR="00914A7F" w:rsidRDefault="00914A7F" w:rsidP="00914A7F">
      <w:pPr>
        <w:spacing w:before="0"/>
      </w:pPr>
    </w:p>
    <w:p w14:paraId="5D41B8C2" w14:textId="77777777" w:rsidR="00914A7F" w:rsidRDefault="00914A7F" w:rsidP="00914A7F">
      <w:pPr>
        <w:spacing w:before="0"/>
      </w:pPr>
      <w:r>
        <w:t>UCD is</w:t>
      </w:r>
      <w:r w:rsidRPr="001F6598">
        <w:t xml:space="preserve"> a coherent step-by-step problem solving package</w:t>
      </w:r>
      <w:r>
        <w:t>, drawing on tools from fields like:</w:t>
      </w:r>
    </w:p>
    <w:p w14:paraId="3D59E3A3" w14:textId="77777777" w:rsidR="00914A7F" w:rsidRDefault="00914A7F" w:rsidP="00914A7F">
      <w:pPr>
        <w:pStyle w:val="ListParagraph"/>
        <w:numPr>
          <w:ilvl w:val="0"/>
          <w:numId w:val="38"/>
        </w:numPr>
        <w:spacing w:before="0"/>
      </w:pPr>
      <w:r>
        <w:t>public policy and economics (e.g. research paper and quantitative dataset analysis);</w:t>
      </w:r>
    </w:p>
    <w:p w14:paraId="3C7ECA0B" w14:textId="77777777" w:rsidR="00914A7F" w:rsidRDefault="00914A7F" w:rsidP="00914A7F">
      <w:pPr>
        <w:pStyle w:val="ListParagraph"/>
        <w:numPr>
          <w:ilvl w:val="0"/>
          <w:numId w:val="38"/>
        </w:numPr>
        <w:spacing w:before="0"/>
      </w:pPr>
      <w:r>
        <w:t>m</w:t>
      </w:r>
      <w:r w:rsidRPr="001F6598">
        <w:t xml:space="preserve">arketing </w:t>
      </w:r>
      <w:r>
        <w:t>(user research, ideation);</w:t>
      </w:r>
    </w:p>
    <w:p w14:paraId="6719DC10" w14:textId="77777777" w:rsidR="00914A7F" w:rsidRDefault="00914A7F" w:rsidP="00914A7F">
      <w:pPr>
        <w:pStyle w:val="ListParagraph"/>
        <w:numPr>
          <w:ilvl w:val="0"/>
          <w:numId w:val="38"/>
        </w:numPr>
        <w:spacing w:before="0"/>
      </w:pPr>
      <w:r>
        <w:t xml:space="preserve">engineering (prototyping); </w:t>
      </w:r>
      <w:r w:rsidRPr="001F6598">
        <w:t xml:space="preserve">and </w:t>
      </w:r>
    </w:p>
    <w:p w14:paraId="661C4A5F" w14:textId="77777777" w:rsidR="00914A7F" w:rsidRDefault="00914A7F" w:rsidP="00914A7F">
      <w:pPr>
        <w:pStyle w:val="ListParagraph"/>
        <w:numPr>
          <w:ilvl w:val="0"/>
          <w:numId w:val="38"/>
        </w:numPr>
        <w:spacing w:before="0"/>
      </w:pPr>
      <w:r w:rsidRPr="001F6598">
        <w:t>management c</w:t>
      </w:r>
      <w:r>
        <w:t>onsulting (collaboration and brainstorming tools).</w:t>
      </w:r>
    </w:p>
    <w:p w14:paraId="665E0250" w14:textId="77777777" w:rsidR="00914A7F" w:rsidRDefault="00914A7F" w:rsidP="00914A7F">
      <w:pPr>
        <w:spacing w:before="0"/>
      </w:pPr>
    </w:p>
    <w:p w14:paraId="3F8BB52B" w14:textId="77777777" w:rsidR="00914A7F" w:rsidRDefault="00914A7F" w:rsidP="00914A7F">
      <w:pPr>
        <w:spacing w:before="0"/>
      </w:pPr>
      <w:r>
        <w:t xml:space="preserve">This UCD methodology is </w:t>
      </w:r>
      <w:r w:rsidRPr="00C46130">
        <w:t xml:space="preserve">used by Bizlab, the Department of Industry, Innovation and Science’s Innovation Lab. </w:t>
      </w:r>
      <w:r>
        <w:t xml:space="preserve">It is adapted from resources used by Ideo, a design thinking consultancy, which are available on designkit.org. </w:t>
      </w:r>
    </w:p>
    <w:p w14:paraId="6DB200FE" w14:textId="77777777" w:rsidR="00914A7F" w:rsidRDefault="00914A7F" w:rsidP="00914A7F">
      <w:pPr>
        <w:spacing w:before="0"/>
      </w:pPr>
    </w:p>
    <w:p w14:paraId="60DD1053" w14:textId="77777777" w:rsidR="00914A7F" w:rsidRDefault="00914A7F" w:rsidP="00914A7F">
      <w:pPr>
        <w:spacing w:before="0"/>
      </w:pPr>
      <w:r w:rsidRPr="00C46130">
        <w:t xml:space="preserve">Besides including processes and tools that boost innovation, </w:t>
      </w:r>
      <w:r>
        <w:t>UCD</w:t>
      </w:r>
      <w:r w:rsidRPr="00C46130">
        <w:t xml:space="preserve"> ensures that users (i.e., the public) are at the centre of our work through</w:t>
      </w:r>
      <w:r>
        <w:t>out</w:t>
      </w:r>
      <w:r w:rsidRPr="00C46130">
        <w:t xml:space="preserve"> the Commitmen</w:t>
      </w:r>
      <w:r>
        <w:t>t’s implementation. This boosts b</w:t>
      </w:r>
      <w:r w:rsidRPr="00C46130">
        <w:t>oth the quality of our work and its legitimacy.</w:t>
      </w:r>
      <w:r>
        <w:t xml:space="preserve"> </w:t>
      </w:r>
    </w:p>
    <w:p w14:paraId="1BC82A54" w14:textId="77777777" w:rsidR="00914A7F" w:rsidRDefault="00914A7F" w:rsidP="00914A7F">
      <w:pPr>
        <w:spacing w:before="0"/>
      </w:pPr>
    </w:p>
    <w:p w14:paraId="690C9AC0" w14:textId="77777777" w:rsidR="00914A7F" w:rsidRPr="003234A8" w:rsidRDefault="00914A7F" w:rsidP="00914A7F">
      <w:pPr>
        <w:spacing w:before="0"/>
      </w:pPr>
      <w:r w:rsidRPr="003234A8">
        <w:t>The UCD methodology</w:t>
      </w:r>
      <w:r>
        <w:t xml:space="preserve"> </w:t>
      </w:r>
      <w:r w:rsidRPr="003234A8">
        <w:t xml:space="preserve">has three phases, which align with the three milestones of the Commitment 5.2 – Discover (Milestone 1); Create (Milestone 2); and Deliver (Milestone 3). </w:t>
      </w:r>
    </w:p>
    <w:p w14:paraId="2399A778" w14:textId="77777777" w:rsidR="00914A7F" w:rsidRDefault="00914A7F" w:rsidP="00914A7F">
      <w:pPr>
        <w:pStyle w:val="NormalWeb"/>
        <w:spacing w:before="0"/>
        <w:rPr>
          <w:rFonts w:ascii="Calibri" w:hAnsi="Calibri"/>
          <w:sz w:val="22"/>
          <w:szCs w:val="22"/>
          <w:lang w:val="en-US"/>
        </w:rPr>
      </w:pPr>
      <w:r>
        <w:rPr>
          <w:noProof/>
          <w:lang w:eastAsia="en-AU"/>
        </w:rPr>
        <mc:AlternateContent>
          <mc:Choice Requires="wps">
            <w:drawing>
              <wp:anchor distT="45720" distB="45720" distL="114300" distR="114300" simplePos="0" relativeHeight="251666468" behindDoc="0" locked="0" layoutInCell="1" allowOverlap="1" wp14:anchorId="2A89606D" wp14:editId="734500AC">
                <wp:simplePos x="0" y="0"/>
                <wp:positionH relativeFrom="margin">
                  <wp:posOffset>0</wp:posOffset>
                </wp:positionH>
                <wp:positionV relativeFrom="paragraph">
                  <wp:posOffset>211455</wp:posOffset>
                </wp:positionV>
                <wp:extent cx="5711825" cy="3752215"/>
                <wp:effectExtent l="0" t="0" r="3175" b="63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3752215"/>
                        </a:xfrm>
                        <a:prstGeom prst="rect">
                          <a:avLst/>
                        </a:prstGeom>
                        <a:solidFill>
                          <a:schemeClr val="accent1">
                            <a:lumMod val="20000"/>
                            <a:lumOff val="80000"/>
                          </a:schemeClr>
                        </a:solidFill>
                        <a:ln w="9525">
                          <a:noFill/>
                          <a:miter lim="800000"/>
                          <a:headEnd/>
                          <a:tailEnd/>
                        </a:ln>
                      </wps:spPr>
                      <wps:txbx>
                        <w:txbxContent>
                          <w:p w14:paraId="71D961E5" w14:textId="77777777" w:rsidR="00914A7F" w:rsidRPr="00521F51" w:rsidRDefault="00914A7F" w:rsidP="00914A7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Bizlab’s User Centred Design project methodology, with its three phases: Discover, Create and Deliver </w:t>
                            </w:r>
                          </w:p>
                          <w:p w14:paraId="3B8D931D" w14:textId="77777777" w:rsidR="00914A7F" w:rsidRDefault="00914A7F" w:rsidP="00914A7F">
                            <w:pPr>
                              <w:spacing w:before="0"/>
                              <w:jc w:val="center"/>
                            </w:pPr>
                          </w:p>
                          <w:p w14:paraId="4151A25E" w14:textId="77777777" w:rsidR="00914A7F" w:rsidRDefault="00914A7F" w:rsidP="00914A7F">
                            <w:pPr>
                              <w:spacing w:before="0"/>
                            </w:pPr>
                            <w:r w:rsidRPr="00286087">
                              <w:rPr>
                                <w:noProof/>
                                <w:lang w:eastAsia="en-AU"/>
                              </w:rPr>
                              <w:drawing>
                                <wp:inline distT="0" distB="0" distL="0" distR="0" wp14:anchorId="5CC37C21" wp14:editId="527DD2E2">
                                  <wp:extent cx="5520055" cy="2867688"/>
                                  <wp:effectExtent l="0" t="0" r="4445" b="8890"/>
                                  <wp:docPr id="286" name="Picture 286" descr="G:\BizLab\BizLab - Communication\Images\BizLab - UCD process diagrams\UCD DIAGRAM JPEG\BizLab UCD diagram_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zLab\BizLab - Communication\Images\BizLab - UCD process diagrams\UCD DIAGRAM JPEG\BizLab UCD diagram_FA.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b="26538"/>
                                          <a:stretch/>
                                        </pic:blipFill>
                                        <pic:spPr bwMode="auto">
                                          <a:xfrm>
                                            <a:off x="0" y="0"/>
                                            <a:ext cx="5520055" cy="28676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9606D" id="_x0000_s1053" type="#_x0000_t202" style="position:absolute;margin-left:0;margin-top:16.65pt;width:449.75pt;height:295.45pt;z-index:2516664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" fillcolor="#deeaf6 [660]" stroked="f">
                <v:textbox>
                  <w:txbxContent>
                    <w:p w14:paraId="71D961E5" w14:textId="77777777" w:rsidR="00914A7F" w:rsidRPr="00521F51" w:rsidRDefault="00914A7F" w:rsidP="00914A7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Bizlab’s User Centred Design project methodology, with its three phases: Discover, Create and Deliver </w:t>
                      </w:r>
                    </w:p>
                    <w:p w14:paraId="3B8D931D" w14:textId="77777777" w:rsidR="00914A7F" w:rsidRDefault="00914A7F" w:rsidP="00914A7F">
                      <w:pPr>
                        <w:spacing w:before="0"/>
                        <w:jc w:val="center"/>
                      </w:pPr>
                    </w:p>
                    <w:p w14:paraId="4151A25E" w14:textId="77777777" w:rsidR="00914A7F" w:rsidRDefault="00914A7F" w:rsidP="00914A7F">
                      <w:pPr>
                        <w:spacing w:before="0"/>
                      </w:pPr>
                      <w:r w:rsidRPr="00286087">
                        <w:rPr>
                          <w:noProof/>
                          <w:lang w:eastAsia="en-AU"/>
                        </w:rPr>
                        <w:drawing>
                          <wp:inline distT="0" distB="0" distL="0" distR="0" wp14:anchorId="5CC37C21" wp14:editId="527DD2E2">
                            <wp:extent cx="5520055" cy="2867688"/>
                            <wp:effectExtent l="0" t="0" r="4445" b="8890"/>
                            <wp:docPr id="286" name="Picture 286" descr="G:\BizLab\BizLab - Communication\Images\BizLab - UCD process diagrams\UCD DIAGRAM JPEG\BizLab UCD diagram_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zLab\BizLab - Communication\Images\BizLab - UCD process diagrams\UCD DIAGRAM JPEG\BizLab UCD diagram_FA.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b="26538"/>
                                    <a:stretch/>
                                  </pic:blipFill>
                                  <pic:spPr bwMode="auto">
                                    <a:xfrm>
                                      <a:off x="0" y="0"/>
                                      <a:ext cx="5520055" cy="28676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58BA79C3" w14:textId="77777777" w:rsidR="00914A7F" w:rsidRDefault="00914A7F" w:rsidP="00914A7F">
      <w:pPr>
        <w:pStyle w:val="H2"/>
        <w:spacing w:before="0" w:after="0"/>
        <w:rPr>
          <w:lang w:val="en-US"/>
        </w:rPr>
      </w:pPr>
      <w:bookmarkStart w:id="88" w:name="_Toc495916001"/>
      <w:r>
        <w:rPr>
          <w:lang w:val="en-US"/>
        </w:rPr>
        <w:lastRenderedPageBreak/>
        <w:t>Purpose of this report: Show the findings from the Discover phase, including its three stages: Problem identification; Empathise; and Define</w:t>
      </w:r>
      <w:bookmarkEnd w:id="88"/>
    </w:p>
    <w:p w14:paraId="04DE1F83" w14:textId="77777777" w:rsidR="00914A7F" w:rsidRDefault="00914A7F" w:rsidP="00914A7F">
      <w:pPr>
        <w:spacing w:before="0"/>
      </w:pPr>
    </w:p>
    <w:p w14:paraId="586B86C2" w14:textId="77777777" w:rsidR="00914A7F" w:rsidRPr="00F43275" w:rsidRDefault="00914A7F" w:rsidP="00914A7F">
      <w:pPr>
        <w:spacing w:before="0"/>
      </w:pPr>
      <w:r w:rsidRPr="00F43275">
        <w:t>This report reflects the Discover phase that has the following three steps:</w:t>
      </w:r>
    </w:p>
    <w:p w14:paraId="301D93B9" w14:textId="77777777" w:rsidR="00914A7F" w:rsidRDefault="00914A7F" w:rsidP="00914A7F">
      <w:pPr>
        <w:pStyle w:val="ListParagraph"/>
        <w:numPr>
          <w:ilvl w:val="0"/>
          <w:numId w:val="51"/>
        </w:numPr>
        <w:spacing w:before="0"/>
      </w:pPr>
      <w:r w:rsidRPr="00C46130">
        <w:rPr>
          <w:b/>
        </w:rPr>
        <w:t>Problem Identification</w:t>
      </w:r>
      <w:r w:rsidRPr="00C46130">
        <w:t xml:space="preserve"> </w:t>
      </w:r>
      <w:r w:rsidRPr="00C46130">
        <w:rPr>
          <w:b/>
        </w:rPr>
        <w:t>stage</w:t>
      </w:r>
      <w:r>
        <w:t xml:space="preserve"> </w:t>
      </w:r>
      <w:r w:rsidRPr="00C46130">
        <w:t xml:space="preserve">– where we </w:t>
      </w:r>
      <w:r>
        <w:t xml:space="preserve">identify </w:t>
      </w:r>
      <w:r w:rsidRPr="00C46130">
        <w:t xml:space="preserve">the real </w:t>
      </w:r>
      <w:r>
        <w:t xml:space="preserve">problem </w:t>
      </w:r>
      <w:r w:rsidRPr="00C46130">
        <w:t>we are trying to solve</w:t>
      </w:r>
      <w:r>
        <w:t>;</w:t>
      </w:r>
    </w:p>
    <w:p w14:paraId="79B8F27A" w14:textId="77777777" w:rsidR="00914A7F" w:rsidRPr="00C46130" w:rsidRDefault="00914A7F" w:rsidP="00914A7F">
      <w:pPr>
        <w:pStyle w:val="ListParagraph"/>
        <w:numPr>
          <w:ilvl w:val="0"/>
          <w:numId w:val="51"/>
        </w:numPr>
        <w:spacing w:before="0"/>
      </w:pPr>
      <w:r w:rsidRPr="00C46130">
        <w:rPr>
          <w:b/>
        </w:rPr>
        <w:t>Empathise</w:t>
      </w:r>
      <w:r>
        <w:rPr>
          <w:b/>
        </w:rPr>
        <w:t xml:space="preserve"> stage</w:t>
      </w:r>
      <w:r w:rsidRPr="00C46130">
        <w:t xml:space="preserve"> – </w:t>
      </w:r>
      <w:r>
        <w:t xml:space="preserve">where we explore </w:t>
      </w:r>
      <w:r w:rsidRPr="00C46130">
        <w:t>user needs and motivations</w:t>
      </w:r>
      <w:r>
        <w:t>, to understand why the problem occurs; and</w:t>
      </w:r>
    </w:p>
    <w:p w14:paraId="473B1D18" w14:textId="77777777" w:rsidR="00914A7F" w:rsidRDefault="00914A7F" w:rsidP="00914A7F">
      <w:pPr>
        <w:pStyle w:val="ListParagraph"/>
        <w:numPr>
          <w:ilvl w:val="0"/>
          <w:numId w:val="51"/>
        </w:numPr>
        <w:spacing w:before="0"/>
      </w:pPr>
      <w:r>
        <w:rPr>
          <w:noProof/>
          <w:lang w:eastAsia="en-AU"/>
        </w:rPr>
        <mc:AlternateContent>
          <mc:Choice Requires="wps">
            <w:drawing>
              <wp:anchor distT="45720" distB="45720" distL="114300" distR="114300" simplePos="0" relativeHeight="251663396" behindDoc="0" locked="0" layoutInCell="1" allowOverlap="1" wp14:anchorId="3937C6D6" wp14:editId="2BD3DF6D">
                <wp:simplePos x="0" y="0"/>
                <wp:positionH relativeFrom="margin">
                  <wp:posOffset>11430</wp:posOffset>
                </wp:positionH>
                <wp:positionV relativeFrom="paragraph">
                  <wp:posOffset>467360</wp:posOffset>
                </wp:positionV>
                <wp:extent cx="5711825" cy="3752215"/>
                <wp:effectExtent l="0" t="0" r="3175" b="635"/>
                <wp:wrapSquare wrapText="bothSides"/>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3752215"/>
                        </a:xfrm>
                        <a:prstGeom prst="rect">
                          <a:avLst/>
                        </a:prstGeom>
                        <a:solidFill>
                          <a:schemeClr val="accent1">
                            <a:lumMod val="20000"/>
                            <a:lumOff val="80000"/>
                          </a:schemeClr>
                        </a:solidFill>
                        <a:ln w="9525">
                          <a:noFill/>
                          <a:miter lim="800000"/>
                          <a:headEnd/>
                          <a:tailEnd/>
                        </a:ln>
                      </wps:spPr>
                      <wps:txbx>
                        <w:txbxContent>
                          <w:p w14:paraId="400FFA39" w14:textId="77777777" w:rsidR="00914A7F" w:rsidRPr="00521F51" w:rsidRDefault="00914A7F" w:rsidP="00914A7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Our report covers the Project’s Discover phase, including its Problem Identification; Empathise; and Define stages </w:t>
                            </w:r>
                          </w:p>
                          <w:p w14:paraId="3FFF398B" w14:textId="77777777" w:rsidR="00914A7F" w:rsidRDefault="00914A7F" w:rsidP="00914A7F">
                            <w:pPr>
                              <w:spacing w:before="0"/>
                              <w:jc w:val="center"/>
                            </w:pPr>
                          </w:p>
                          <w:p w14:paraId="3D4F655C" w14:textId="77777777" w:rsidR="00914A7F" w:rsidRDefault="00914A7F" w:rsidP="00914A7F">
                            <w:pPr>
                              <w:spacing w:before="0"/>
                            </w:pPr>
                            <w:r w:rsidRPr="00597A46">
                              <w:rPr>
                                <w:noProof/>
                                <w:lang w:eastAsia="en-AU"/>
                              </w:rPr>
                              <w:drawing>
                                <wp:inline distT="0" distB="0" distL="0" distR="0" wp14:anchorId="02173473" wp14:editId="4F43D1C1">
                                  <wp:extent cx="5520055" cy="2846890"/>
                                  <wp:effectExtent l="0" t="0" r="4445" b="0"/>
                                  <wp:docPr id="1659" name="Picture 1659" descr="G:\BizLab\BizLab - Communication\Images\BizLab - UCD process diagrams\UCD DIAGRAM JPEG\BizLab UCD diagram_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zLab\BizLab - Communication\Images\BizLab - UCD process diagrams\UCD DIAGRAM JPEG\BizLab UCD diagram_FA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27062"/>
                                          <a:stretch/>
                                        </pic:blipFill>
                                        <pic:spPr bwMode="auto">
                                          <a:xfrm>
                                            <a:off x="0" y="0"/>
                                            <a:ext cx="5520055" cy="28468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7C6D6" id="_x0000_s1054" type="#_x0000_t202" style="position:absolute;left:0;text-align:left;margin-left:.9pt;margin-top:36.8pt;width:449.75pt;height:295.45pt;z-index:2516633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" fillcolor="#deeaf6 [660]" stroked="f">
                <v:textbox>
                  <w:txbxContent>
                    <w:p w14:paraId="400FFA39" w14:textId="77777777" w:rsidR="00914A7F" w:rsidRPr="00521F51" w:rsidRDefault="00914A7F" w:rsidP="00914A7F">
                      <w:pPr>
                        <w:spacing w:before="0" w:after="80"/>
                        <w:rPr>
                          <w:rFonts w:asciiTheme="majorHAnsi" w:hAnsiTheme="majorHAnsi" w:cs="Arial"/>
                          <w:b/>
                          <w:noProof/>
                          <w:color w:val="44546A" w:themeColor="text2"/>
                          <w:sz w:val="20"/>
                          <w:lang w:eastAsia="en-AU"/>
                        </w:rPr>
                      </w:pPr>
                      <w:r w:rsidRPr="00521F51">
                        <w:rPr>
                          <w:rFonts w:asciiTheme="majorHAnsi" w:hAnsiTheme="majorHAnsi" w:cs="Arial"/>
                          <w:b/>
                          <w:noProof/>
                          <w:color w:val="44546A" w:themeColor="text2"/>
                          <w:sz w:val="20"/>
                          <w:lang w:eastAsia="en-AU"/>
                        </w:rPr>
                        <w:t xml:space="preserve">Exhibit: Our report covers the Project’s Discover phase, including its Problem Identification; Empathise; and Define stages </w:t>
                      </w:r>
                    </w:p>
                    <w:p w14:paraId="3FFF398B" w14:textId="77777777" w:rsidR="00914A7F" w:rsidRDefault="00914A7F" w:rsidP="00914A7F">
                      <w:pPr>
                        <w:spacing w:before="0"/>
                        <w:jc w:val="center"/>
                      </w:pPr>
                    </w:p>
                    <w:p w14:paraId="3D4F655C" w14:textId="77777777" w:rsidR="00914A7F" w:rsidRDefault="00914A7F" w:rsidP="00914A7F">
                      <w:pPr>
                        <w:spacing w:before="0"/>
                      </w:pPr>
                      <w:r w:rsidRPr="00597A46">
                        <w:rPr>
                          <w:noProof/>
                          <w:lang w:eastAsia="en-AU"/>
                        </w:rPr>
                        <w:drawing>
                          <wp:inline distT="0" distB="0" distL="0" distR="0" wp14:anchorId="02173473" wp14:editId="4F43D1C1">
                            <wp:extent cx="5520055" cy="2846890"/>
                            <wp:effectExtent l="0" t="0" r="4445" b="0"/>
                            <wp:docPr id="1659" name="Picture 1659" descr="G:\BizLab\BizLab - Communication\Images\BizLab - UCD process diagrams\UCD DIAGRAM JPEG\BizLab UCD diagram_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zLab\BizLab - Communication\Images\BizLab - UCD process diagrams\UCD DIAGRAM JPEG\BizLab UCD diagram_FA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7062"/>
                                    <a:stretch/>
                                  </pic:blipFill>
                                  <pic:spPr bwMode="auto">
                                    <a:xfrm>
                                      <a:off x="0" y="0"/>
                                      <a:ext cx="5520055" cy="28468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Pr="00C46130">
        <w:rPr>
          <w:b/>
        </w:rPr>
        <w:t>Define</w:t>
      </w:r>
      <w:r>
        <w:t xml:space="preserve"> </w:t>
      </w:r>
      <w:r w:rsidRPr="00CA624B">
        <w:rPr>
          <w:b/>
        </w:rPr>
        <w:t>stage</w:t>
      </w:r>
      <w:r>
        <w:t xml:space="preserve"> </w:t>
      </w:r>
      <w:r w:rsidRPr="00C46130">
        <w:t xml:space="preserve">– </w:t>
      </w:r>
      <w:r>
        <w:t xml:space="preserve">where we </w:t>
      </w:r>
      <w:r w:rsidRPr="00C46130">
        <w:t xml:space="preserve">identify opportunities for </w:t>
      </w:r>
      <w:r>
        <w:t>solutions.</w:t>
      </w:r>
    </w:p>
    <w:p w14:paraId="41D7F56A" w14:textId="77777777" w:rsidR="00914A7F" w:rsidRDefault="00914A7F" w:rsidP="00914A7F">
      <w:pPr>
        <w:spacing w:before="0"/>
      </w:pPr>
      <w:r w:rsidRPr="00597A46">
        <w:rPr>
          <w:noProof/>
          <w:lang w:eastAsia="en-AU"/>
        </w:rPr>
        <mc:AlternateContent>
          <mc:Choice Requires="wps">
            <w:drawing>
              <wp:anchor distT="0" distB="0" distL="114300" distR="114300" simplePos="0" relativeHeight="251664420" behindDoc="0" locked="0" layoutInCell="1" allowOverlap="1" wp14:anchorId="7A2F30B6" wp14:editId="7F6CA755">
                <wp:simplePos x="0" y="0"/>
                <wp:positionH relativeFrom="margin">
                  <wp:posOffset>472332</wp:posOffset>
                </wp:positionH>
                <wp:positionV relativeFrom="paragraph">
                  <wp:posOffset>2990647</wp:posOffset>
                </wp:positionV>
                <wp:extent cx="2000250" cy="695325"/>
                <wp:effectExtent l="0" t="0" r="19050" b="28575"/>
                <wp:wrapNone/>
                <wp:docPr id="225"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gray">
                        <a:xfrm>
                          <a:off x="0" y="0"/>
                          <a:ext cx="2000250" cy="695325"/>
                        </a:xfrm>
                        <a:custGeom>
                          <a:avLst/>
                          <a:gdLst>
                            <a:gd name="T0" fmla="*/ 2147483647 w 3884"/>
                            <a:gd name="T1" fmla="*/ 2147483647 h 1600"/>
                            <a:gd name="T2" fmla="*/ 2147483647 w 3884"/>
                            <a:gd name="T3" fmla="*/ 2147483647 h 1600"/>
                            <a:gd name="T4" fmla="*/ 2147483647 w 3884"/>
                            <a:gd name="T5" fmla="*/ 2147483647 h 1600"/>
                            <a:gd name="T6" fmla="*/ 2147483647 w 3884"/>
                            <a:gd name="T7" fmla="*/ 2147483647 h 1600"/>
                            <a:gd name="T8" fmla="*/ 2147483647 w 3884"/>
                            <a:gd name="T9" fmla="*/ 2147483647 h 1600"/>
                            <a:gd name="T10" fmla="*/ 2147483647 w 3884"/>
                            <a:gd name="T11" fmla="*/ 2147483647 h 1600"/>
                            <a:gd name="T12" fmla="*/ 0 w 3884"/>
                            <a:gd name="T13" fmla="*/ 2147483647 h 1600"/>
                            <a:gd name="T14" fmla="*/ 2147483647 w 3884"/>
                            <a:gd name="T15" fmla="*/ 2147483647 h 1600"/>
                            <a:gd name="T16" fmla="*/ 2147483647 w 3884"/>
                            <a:gd name="T17" fmla="*/ 2147483647 h 1600"/>
                            <a:gd name="T18" fmla="*/ 2147483647 w 3884"/>
                            <a:gd name="T19" fmla="*/ 2147483647 h 1600"/>
                            <a:gd name="T20" fmla="*/ 2147483647 w 3884"/>
                            <a:gd name="T21" fmla="*/ 2147483647 h 16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3884"/>
                            <a:gd name="T34" fmla="*/ 0 h 1600"/>
                            <a:gd name="T35" fmla="*/ 3884 w 3884"/>
                            <a:gd name="T36" fmla="*/ 1600 h 160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3884" h="1600">
                              <a:moveTo>
                                <a:pt x="297" y="1346"/>
                              </a:moveTo>
                              <a:cubicBezTo>
                                <a:pt x="918" y="1523"/>
                                <a:pt x="1726" y="1533"/>
                                <a:pt x="2310" y="1448"/>
                              </a:cubicBezTo>
                              <a:cubicBezTo>
                                <a:pt x="3125" y="1334"/>
                                <a:pt x="3798" y="1192"/>
                                <a:pt x="3810" y="884"/>
                              </a:cubicBezTo>
                              <a:cubicBezTo>
                                <a:pt x="3822" y="576"/>
                                <a:pt x="3114" y="204"/>
                                <a:pt x="1945" y="137"/>
                              </a:cubicBezTo>
                              <a:cubicBezTo>
                                <a:pt x="645" y="63"/>
                                <a:pt x="74" y="564"/>
                                <a:pt x="74" y="724"/>
                              </a:cubicBezTo>
                              <a:cubicBezTo>
                                <a:pt x="74" y="884"/>
                                <a:pt x="394" y="1032"/>
                                <a:pt x="781" y="1072"/>
                              </a:cubicBezTo>
                              <a:cubicBezTo>
                                <a:pt x="280" y="1135"/>
                                <a:pt x="0" y="912"/>
                                <a:pt x="0" y="724"/>
                              </a:cubicBezTo>
                              <a:cubicBezTo>
                                <a:pt x="0" y="536"/>
                                <a:pt x="473" y="0"/>
                                <a:pt x="1951" y="68"/>
                              </a:cubicBezTo>
                              <a:cubicBezTo>
                                <a:pt x="2863" y="110"/>
                                <a:pt x="3884" y="433"/>
                                <a:pt x="3878" y="884"/>
                              </a:cubicBezTo>
                              <a:cubicBezTo>
                                <a:pt x="3872" y="1335"/>
                                <a:pt x="2873" y="1446"/>
                                <a:pt x="2276" y="1523"/>
                              </a:cubicBezTo>
                              <a:cubicBezTo>
                                <a:pt x="1679" y="1600"/>
                                <a:pt x="553" y="1580"/>
                                <a:pt x="297" y="1346"/>
                              </a:cubicBezTo>
                              <a:close/>
                            </a:path>
                          </a:pathLst>
                        </a:custGeom>
                        <a:solidFill>
                          <a:srgbClr val="CC0000"/>
                        </a:solidFill>
                        <a:ln w="12700">
                          <a:solidFill>
                            <a:srgbClr val="CC0000"/>
                          </a:solidFill>
                          <a:round/>
                          <a:headEnd/>
                          <a:tailEnd/>
                        </a:ln>
                      </wps:spPr>
                      <wps:bodyPr tIns="91440" bIns="91440" anchor="ctr"/>
                    </wps:wsp>
                  </a:graphicData>
                </a:graphic>
                <wp14:sizeRelH relativeFrom="margin">
                  <wp14:pctWidth>0</wp14:pctWidth>
                </wp14:sizeRelH>
                <wp14:sizeRelV relativeFrom="margin">
                  <wp14:pctHeight>0</wp14:pctHeight>
                </wp14:sizeRelV>
              </wp:anchor>
            </w:drawing>
          </mc:Choice>
          <mc:Fallback>
            <w:pict>
              <v:shape w14:anchorId="60D32C54" id="Freeform 9" o:spid="_x0000_s1026" style="position:absolute;margin-left:37.2pt;margin-top:235.5pt;width:157.5pt;height:54.75pt;z-index:2516644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84,1600"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" path="m297,1346v621,177,1429,187,2013,102c3125,1334,3798,1192,3810,884,3822,576,3114,204,1945,137,645,63,74,564,74,724v,160,320,308,707,348c280,1135,,912,,724,,536,473,,1951,68v912,42,1933,365,1927,816c3872,1335,2873,1446,2276,1523,1679,1600,553,1580,297,1346xe" fillcolor="#c00" strokecolor="#c00" strokeweight="1pt">
                <v:path arrowok="t" o:connecttype="custom" o:connectlocs="2147483646,2147483646;2147483646,2147483646;2147483646,2147483646;2147483646,2147483646;2147483646,2147483646;2147483646,2147483646;0,2147483646;2147483646,2147483646;2147483646,2147483646;2147483646,2147483646;2147483646,2147483646" o:connectangles="0,0,0,0,0,0,0,0,0,0,0" textboxrect="0,0,3884,1600"/>
                <w10:wrap anchorx="margin"/>
              </v:shape>
            </w:pict>
          </mc:Fallback>
        </mc:AlternateContent>
      </w:r>
      <w:r w:rsidRPr="00597A46">
        <w:rPr>
          <w:noProof/>
          <w:lang w:eastAsia="en-AU"/>
        </w:rPr>
        <mc:AlternateContent>
          <mc:Choice Requires="wps">
            <w:drawing>
              <wp:anchor distT="0" distB="0" distL="114300" distR="114300" simplePos="0" relativeHeight="251665444" behindDoc="0" locked="0" layoutInCell="1" allowOverlap="1" wp14:anchorId="065C5368" wp14:editId="1EF86312">
                <wp:simplePos x="0" y="0"/>
                <wp:positionH relativeFrom="margin">
                  <wp:posOffset>1024066</wp:posOffset>
                </wp:positionH>
                <wp:positionV relativeFrom="paragraph">
                  <wp:posOffset>1090237</wp:posOffset>
                </wp:positionV>
                <wp:extent cx="925830" cy="379095"/>
                <wp:effectExtent l="0" t="0" r="26670" b="20955"/>
                <wp:wrapNone/>
                <wp:docPr id="205"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gray">
                        <a:xfrm>
                          <a:off x="0" y="0"/>
                          <a:ext cx="925830" cy="379095"/>
                        </a:xfrm>
                        <a:custGeom>
                          <a:avLst/>
                          <a:gdLst>
                            <a:gd name="T0" fmla="*/ 2147483647 w 3884"/>
                            <a:gd name="T1" fmla="*/ 2147483647 h 1600"/>
                            <a:gd name="T2" fmla="*/ 2147483647 w 3884"/>
                            <a:gd name="T3" fmla="*/ 2147483647 h 1600"/>
                            <a:gd name="T4" fmla="*/ 2147483647 w 3884"/>
                            <a:gd name="T5" fmla="*/ 2147483647 h 1600"/>
                            <a:gd name="T6" fmla="*/ 2147483647 w 3884"/>
                            <a:gd name="T7" fmla="*/ 2147483647 h 1600"/>
                            <a:gd name="T8" fmla="*/ 2147483647 w 3884"/>
                            <a:gd name="T9" fmla="*/ 2147483647 h 1600"/>
                            <a:gd name="T10" fmla="*/ 2147483647 w 3884"/>
                            <a:gd name="T11" fmla="*/ 2147483647 h 1600"/>
                            <a:gd name="T12" fmla="*/ 0 w 3884"/>
                            <a:gd name="T13" fmla="*/ 2147483647 h 1600"/>
                            <a:gd name="T14" fmla="*/ 2147483647 w 3884"/>
                            <a:gd name="T15" fmla="*/ 2147483647 h 1600"/>
                            <a:gd name="T16" fmla="*/ 2147483647 w 3884"/>
                            <a:gd name="T17" fmla="*/ 2147483647 h 1600"/>
                            <a:gd name="T18" fmla="*/ 2147483647 w 3884"/>
                            <a:gd name="T19" fmla="*/ 2147483647 h 1600"/>
                            <a:gd name="T20" fmla="*/ 2147483647 w 3884"/>
                            <a:gd name="T21" fmla="*/ 2147483647 h 16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3884"/>
                            <a:gd name="T34" fmla="*/ 0 h 1600"/>
                            <a:gd name="T35" fmla="*/ 3884 w 3884"/>
                            <a:gd name="T36" fmla="*/ 1600 h 160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3884" h="1600">
                              <a:moveTo>
                                <a:pt x="297" y="1346"/>
                              </a:moveTo>
                              <a:cubicBezTo>
                                <a:pt x="918" y="1523"/>
                                <a:pt x="1726" y="1533"/>
                                <a:pt x="2310" y="1448"/>
                              </a:cubicBezTo>
                              <a:cubicBezTo>
                                <a:pt x="3125" y="1334"/>
                                <a:pt x="3798" y="1192"/>
                                <a:pt x="3810" y="884"/>
                              </a:cubicBezTo>
                              <a:cubicBezTo>
                                <a:pt x="3822" y="576"/>
                                <a:pt x="3114" y="204"/>
                                <a:pt x="1945" y="137"/>
                              </a:cubicBezTo>
                              <a:cubicBezTo>
                                <a:pt x="645" y="63"/>
                                <a:pt x="74" y="564"/>
                                <a:pt x="74" y="724"/>
                              </a:cubicBezTo>
                              <a:cubicBezTo>
                                <a:pt x="74" y="884"/>
                                <a:pt x="394" y="1032"/>
                                <a:pt x="781" y="1072"/>
                              </a:cubicBezTo>
                              <a:cubicBezTo>
                                <a:pt x="280" y="1135"/>
                                <a:pt x="0" y="912"/>
                                <a:pt x="0" y="724"/>
                              </a:cubicBezTo>
                              <a:cubicBezTo>
                                <a:pt x="0" y="536"/>
                                <a:pt x="473" y="0"/>
                                <a:pt x="1951" y="68"/>
                              </a:cubicBezTo>
                              <a:cubicBezTo>
                                <a:pt x="2863" y="110"/>
                                <a:pt x="3884" y="433"/>
                                <a:pt x="3878" y="884"/>
                              </a:cubicBezTo>
                              <a:cubicBezTo>
                                <a:pt x="3872" y="1335"/>
                                <a:pt x="2873" y="1446"/>
                                <a:pt x="2276" y="1523"/>
                              </a:cubicBezTo>
                              <a:cubicBezTo>
                                <a:pt x="1679" y="1600"/>
                                <a:pt x="553" y="1580"/>
                                <a:pt x="297" y="1346"/>
                              </a:cubicBezTo>
                              <a:close/>
                            </a:path>
                          </a:pathLst>
                        </a:custGeom>
                        <a:solidFill>
                          <a:srgbClr val="CC0000"/>
                        </a:solidFill>
                        <a:ln w="12700">
                          <a:solidFill>
                            <a:srgbClr val="CC0000"/>
                          </a:solidFill>
                          <a:round/>
                          <a:headEnd/>
                          <a:tailEnd/>
                        </a:ln>
                      </wps:spPr>
                      <wps:bodyPr tIns="91440" bIns="91440" anchor="ctr"/>
                    </wps:wsp>
                  </a:graphicData>
                </a:graphic>
                <wp14:sizeRelH relativeFrom="margin">
                  <wp14:pctWidth>0</wp14:pctWidth>
                </wp14:sizeRelH>
                <wp14:sizeRelV relativeFrom="margin">
                  <wp14:pctHeight>0</wp14:pctHeight>
                </wp14:sizeRelV>
              </wp:anchor>
            </w:drawing>
          </mc:Choice>
          <mc:Fallback>
            <w:pict>
              <v:shape w14:anchorId="2E4DDE79" id="Freeform 9" o:spid="_x0000_s1026" style="position:absolute;margin-left:80.65pt;margin-top:85.85pt;width:72.9pt;height:29.85pt;z-index:251665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84,1600"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" path="m297,1346v621,177,1429,187,2013,102c3125,1334,3798,1192,3810,884,3822,576,3114,204,1945,137,645,63,74,564,74,724v,160,320,308,707,348c280,1135,,912,,724,,536,473,,1951,68v912,42,1933,365,1927,816c3872,1335,2873,1446,2276,1523,1679,1600,553,1580,297,1346xe" fillcolor="#c00" strokecolor="#c00" strokeweight="1pt">
                <v:path arrowok="t" o:connecttype="custom" o:connectlocs="2147483646,2147483646;2147483646,2147483646;2147483646,2147483646;2147483646,2147483646;2147483646,2147483646;2147483646,2147483646;0,2147483646;2147483646,2147483646;2147483646,2147483646;2147483646,2147483646;2147483646,2147483646" o:connectangles="0,0,0,0,0,0,0,0,0,0,0" textboxrect="0,0,3884,1600"/>
                <w10:wrap anchorx="margin"/>
              </v:shape>
            </w:pict>
          </mc:Fallback>
        </mc:AlternateContent>
      </w:r>
    </w:p>
    <w:p w14:paraId="14EEB93B" w14:textId="77777777" w:rsidR="00914A7F" w:rsidRDefault="00914A7F" w:rsidP="00914A7F">
      <w:pPr>
        <w:pStyle w:val="Bodytext-Indent"/>
        <w:jc w:val="left"/>
      </w:pPr>
    </w:p>
    <w:p w14:paraId="2544B81E" w14:textId="77777777" w:rsidR="00914A7F" w:rsidRDefault="00914A7F" w:rsidP="00914A7F">
      <w:pPr>
        <w:spacing w:before="0"/>
        <w:rPr>
          <w:rStyle w:val="PageNumber"/>
          <w:rFonts w:ascii="Calibri Light" w:eastAsia="MS Gothic" w:hAnsi="Calibri Light"/>
          <w:bCs/>
          <w:color w:val="276C6C"/>
          <w:sz w:val="40"/>
          <w:szCs w:val="28"/>
        </w:rPr>
      </w:pPr>
    </w:p>
    <w:p w14:paraId="58582CC4" w14:textId="77777777" w:rsidR="00914A7F" w:rsidRDefault="00914A7F" w:rsidP="00914A7F">
      <w:pPr>
        <w:spacing w:before="0"/>
        <w:rPr>
          <w:rStyle w:val="PageNumber"/>
          <w:rFonts w:ascii="Calibri Light" w:eastAsia="MS Gothic" w:hAnsi="Calibri Light"/>
          <w:bCs/>
          <w:color w:val="276C6C"/>
          <w:sz w:val="40"/>
          <w:szCs w:val="28"/>
        </w:rPr>
      </w:pPr>
      <w:r>
        <w:rPr>
          <w:rStyle w:val="PageNumber"/>
          <w:color w:val="276C6C"/>
          <w:sz w:val="40"/>
        </w:rPr>
        <w:br w:type="page"/>
      </w:r>
    </w:p>
    <w:p w14:paraId="49BA3B30" w14:textId="77777777" w:rsidR="00914A7F" w:rsidRPr="00B05EFB" w:rsidRDefault="00914A7F" w:rsidP="00914A7F">
      <w:pPr>
        <w:pStyle w:val="H1"/>
        <w:spacing w:before="0" w:after="0"/>
        <w:rPr>
          <w:rStyle w:val="PageNumber"/>
          <w:color w:val="276C6C"/>
          <w:sz w:val="40"/>
        </w:rPr>
      </w:pPr>
      <w:bookmarkStart w:id="89" w:name="_Toc495916002"/>
      <w:r>
        <w:rPr>
          <w:rStyle w:val="PageNumber"/>
          <w:color w:val="276C6C"/>
          <w:sz w:val="40"/>
        </w:rPr>
        <w:lastRenderedPageBreak/>
        <w:t>Appendix</w:t>
      </w:r>
      <w:r w:rsidRPr="00B05EFB">
        <w:rPr>
          <w:rStyle w:val="PageNumber"/>
          <w:color w:val="276C6C"/>
          <w:sz w:val="40"/>
        </w:rPr>
        <w:t xml:space="preserve"> </w:t>
      </w:r>
      <w:r>
        <w:rPr>
          <w:rStyle w:val="PageNumber"/>
          <w:color w:val="276C6C"/>
          <w:sz w:val="40"/>
        </w:rPr>
        <w:t xml:space="preserve">B </w:t>
      </w:r>
      <w:r w:rsidRPr="00B05EFB">
        <w:rPr>
          <w:rStyle w:val="PageNumber"/>
          <w:color w:val="276C6C"/>
          <w:sz w:val="40"/>
        </w:rPr>
        <w:t>– User Interview Guides</w:t>
      </w:r>
      <w:r>
        <w:rPr>
          <w:rStyle w:val="PageNumber"/>
          <w:color w:val="276C6C"/>
          <w:sz w:val="40"/>
        </w:rPr>
        <w:t xml:space="preserve"> for interviews with APS staff and the public</w:t>
      </w:r>
      <w:bookmarkEnd w:id="89"/>
    </w:p>
    <w:p w14:paraId="087D6E11" w14:textId="77777777" w:rsidR="00914A7F" w:rsidRDefault="00914A7F" w:rsidP="00914A7F">
      <w:pPr>
        <w:pStyle w:val="BodyText"/>
        <w:jc w:val="left"/>
      </w:pPr>
      <w:r w:rsidRPr="00FE2A41">
        <w:rPr>
          <w:noProof/>
          <w:lang w:eastAsia="en-AU"/>
        </w:rPr>
        <w:drawing>
          <wp:anchor distT="0" distB="0" distL="114300" distR="114300" simplePos="0" relativeHeight="251660324" behindDoc="0" locked="0" layoutInCell="1" allowOverlap="1" wp14:anchorId="39FD7C69" wp14:editId="4C9A9DF0">
            <wp:simplePos x="0" y="0"/>
            <wp:positionH relativeFrom="margin">
              <wp:align>right</wp:align>
            </wp:positionH>
            <wp:positionV relativeFrom="page">
              <wp:posOffset>2146614</wp:posOffset>
            </wp:positionV>
            <wp:extent cx="1638300" cy="1618615"/>
            <wp:effectExtent l="0" t="0" r="0" b="635"/>
            <wp:wrapSquare wrapText="bothSides"/>
            <wp:docPr id="19" name="Picture 19" descr="Bizlab brand 72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zlab brand 72 dpi"/>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38300" cy="1618615"/>
                    </a:xfrm>
                    <a:prstGeom prst="rect">
                      <a:avLst/>
                    </a:prstGeom>
                    <a:noFill/>
                  </pic:spPr>
                </pic:pic>
              </a:graphicData>
            </a:graphic>
            <wp14:sizeRelH relativeFrom="page">
              <wp14:pctWidth>0</wp14:pctWidth>
            </wp14:sizeRelH>
            <wp14:sizeRelV relativeFrom="page">
              <wp14:pctHeight>0</wp14:pctHeight>
            </wp14:sizeRelV>
          </wp:anchor>
        </w:drawing>
      </w:r>
    </w:p>
    <w:p w14:paraId="4EF43C8B" w14:textId="77777777" w:rsidR="00914A7F" w:rsidRDefault="00914A7F" w:rsidP="00914A7F">
      <w:pPr>
        <w:spacing w:before="0"/>
        <w:rPr>
          <w:color w:val="4472C4" w:themeColor="accent5"/>
          <w:sz w:val="28"/>
          <w:szCs w:val="32"/>
        </w:rPr>
      </w:pPr>
      <w:r w:rsidRPr="00FE2A41">
        <w:rPr>
          <w:b/>
          <w:color w:val="4472C4" w:themeColor="accent5"/>
          <w:sz w:val="32"/>
          <w:szCs w:val="32"/>
        </w:rPr>
        <w:t>INTERVIEW GUIDE</w:t>
      </w:r>
      <w:r>
        <w:rPr>
          <w:b/>
          <w:color w:val="4472C4" w:themeColor="accent5"/>
          <w:sz w:val="32"/>
          <w:szCs w:val="32"/>
        </w:rPr>
        <w:t xml:space="preserve"> – APS PARTICIPANTS</w:t>
      </w:r>
      <w:r w:rsidRPr="00FE2A41">
        <w:rPr>
          <w:b/>
          <w:color w:val="4472C4" w:themeColor="accent5"/>
          <w:sz w:val="32"/>
          <w:szCs w:val="32"/>
        </w:rPr>
        <w:br/>
      </w:r>
    </w:p>
    <w:p w14:paraId="0AC38D72" w14:textId="77777777" w:rsidR="00914A7F" w:rsidRPr="00FE2A41" w:rsidRDefault="00914A7F" w:rsidP="00914A7F">
      <w:pPr>
        <w:spacing w:before="0"/>
        <w:rPr>
          <w:sz w:val="28"/>
          <w:szCs w:val="32"/>
        </w:rPr>
      </w:pPr>
      <w:r w:rsidRPr="00FE2A41">
        <w:rPr>
          <w:color w:val="4472C4" w:themeColor="accent5"/>
          <w:sz w:val="28"/>
          <w:szCs w:val="32"/>
        </w:rPr>
        <w:t>Implementing Commitment 5.2 of Australia’s Open Government Action Plan</w:t>
      </w:r>
    </w:p>
    <w:p w14:paraId="0B1605F1" w14:textId="77777777" w:rsidR="00914A7F" w:rsidRDefault="00914A7F" w:rsidP="00914A7F">
      <w:pPr>
        <w:spacing w:before="0"/>
        <w:rPr>
          <w:b/>
          <w:color w:val="4472C4" w:themeColor="accent5"/>
        </w:rPr>
      </w:pPr>
    </w:p>
    <w:p w14:paraId="66EE9284" w14:textId="77777777" w:rsidR="00914A7F" w:rsidRDefault="00914A7F" w:rsidP="00914A7F">
      <w:pPr>
        <w:spacing w:before="0"/>
        <w:rPr>
          <w:b/>
          <w:color w:val="4472C4" w:themeColor="accent5"/>
        </w:rPr>
      </w:pPr>
      <w:r>
        <w:rPr>
          <w:b/>
          <w:color w:val="4472C4" w:themeColor="accent5"/>
        </w:rPr>
        <w:t>Setup: 10 minutes max</w:t>
      </w:r>
    </w:p>
    <w:p w14:paraId="6977B2FC" w14:textId="77777777" w:rsidR="00914A7F" w:rsidRPr="00D02725" w:rsidRDefault="00914A7F" w:rsidP="00914A7F">
      <w:pPr>
        <w:pStyle w:val="ListParagraph"/>
        <w:numPr>
          <w:ilvl w:val="0"/>
          <w:numId w:val="39"/>
        </w:numPr>
        <w:spacing w:before="0"/>
        <w:contextualSpacing w:val="0"/>
      </w:pPr>
      <w:r w:rsidRPr="00D02725">
        <w:t>Contact participant by phone.</w:t>
      </w:r>
    </w:p>
    <w:p w14:paraId="301A5001" w14:textId="77777777" w:rsidR="00914A7F" w:rsidRPr="00D02725" w:rsidRDefault="00914A7F" w:rsidP="00914A7F">
      <w:pPr>
        <w:pStyle w:val="ListParagraph"/>
        <w:numPr>
          <w:ilvl w:val="0"/>
          <w:numId w:val="39"/>
        </w:numPr>
        <w:spacing w:before="0"/>
        <w:contextualSpacing w:val="0"/>
      </w:pPr>
      <w:r w:rsidRPr="00D02725">
        <w:t>Introduce self and project aims</w:t>
      </w:r>
      <w:r>
        <w:t>.</w:t>
      </w:r>
    </w:p>
    <w:p w14:paraId="7C7C03C3" w14:textId="77777777" w:rsidR="00914A7F" w:rsidRDefault="00914A7F" w:rsidP="00914A7F">
      <w:pPr>
        <w:pStyle w:val="ListParagraph"/>
        <w:numPr>
          <w:ilvl w:val="0"/>
          <w:numId w:val="39"/>
        </w:numPr>
        <w:spacing w:before="0"/>
        <w:contextualSpacing w:val="0"/>
      </w:pPr>
      <w:r w:rsidRPr="00D02725">
        <w:t xml:space="preserve">Settle </w:t>
      </w:r>
      <w:r>
        <w:t>a time and place – where they work.</w:t>
      </w:r>
    </w:p>
    <w:p w14:paraId="3CA94208" w14:textId="77777777" w:rsidR="00914A7F" w:rsidRDefault="00914A7F" w:rsidP="00914A7F">
      <w:pPr>
        <w:pStyle w:val="ListParagraph"/>
        <w:numPr>
          <w:ilvl w:val="0"/>
          <w:numId w:val="39"/>
        </w:numPr>
        <w:spacing w:before="0"/>
        <w:contextualSpacing w:val="0"/>
      </w:pPr>
      <w:r>
        <w:t>Thank them.</w:t>
      </w:r>
    </w:p>
    <w:p w14:paraId="4456FFDA" w14:textId="77777777" w:rsidR="00914A7F" w:rsidRDefault="00914A7F" w:rsidP="00914A7F">
      <w:pPr>
        <w:spacing w:before="0"/>
        <w:rPr>
          <w:b/>
          <w:color w:val="4472C4" w:themeColor="accent5"/>
        </w:rPr>
      </w:pPr>
    </w:p>
    <w:p w14:paraId="58A22AF5" w14:textId="77777777" w:rsidR="00914A7F" w:rsidRDefault="00914A7F" w:rsidP="00914A7F">
      <w:pPr>
        <w:spacing w:before="0"/>
        <w:rPr>
          <w:b/>
          <w:color w:val="4472C4" w:themeColor="accent5"/>
        </w:rPr>
      </w:pPr>
      <w:r>
        <w:rPr>
          <w:b/>
          <w:color w:val="4472C4" w:themeColor="accent5"/>
        </w:rPr>
        <w:t>First contact: Build rapport</w:t>
      </w:r>
    </w:p>
    <w:p w14:paraId="6056CDE5" w14:textId="77777777" w:rsidR="00914A7F" w:rsidRDefault="00914A7F" w:rsidP="00914A7F">
      <w:pPr>
        <w:pStyle w:val="ListParagraph"/>
        <w:numPr>
          <w:ilvl w:val="0"/>
          <w:numId w:val="39"/>
        </w:numPr>
        <w:spacing w:before="0"/>
        <w:contextualSpacing w:val="0"/>
      </w:pPr>
      <w:r>
        <w:t>Ideally, meet them in their work space – the actual place where they do their engagement work. This will help participants recall memories and help contextualise their responses.</w:t>
      </w:r>
    </w:p>
    <w:p w14:paraId="7D25C2AC" w14:textId="77777777" w:rsidR="00914A7F" w:rsidRDefault="00914A7F" w:rsidP="00914A7F">
      <w:pPr>
        <w:pStyle w:val="ListParagraph"/>
        <w:numPr>
          <w:ilvl w:val="0"/>
          <w:numId w:val="39"/>
        </w:numPr>
        <w:spacing w:before="0"/>
        <w:contextualSpacing w:val="0"/>
      </w:pPr>
      <w:r>
        <w:t>Although some people will not want to have the conversation there – that’s OK too.</w:t>
      </w:r>
    </w:p>
    <w:p w14:paraId="2CAA43AF" w14:textId="77777777" w:rsidR="00914A7F" w:rsidRPr="00D02725" w:rsidRDefault="00914A7F" w:rsidP="00914A7F">
      <w:pPr>
        <w:pStyle w:val="ListParagraph"/>
        <w:numPr>
          <w:ilvl w:val="0"/>
          <w:numId w:val="39"/>
        </w:numPr>
        <w:spacing w:before="0"/>
        <w:contextualSpacing w:val="0"/>
      </w:pPr>
      <w:r>
        <w:t>Engage them on a subject matter that will feel comfortable talking about – sports, the weather, the work space, anything.</w:t>
      </w:r>
    </w:p>
    <w:p w14:paraId="1AF36C84" w14:textId="77777777" w:rsidR="00914A7F" w:rsidRDefault="00914A7F" w:rsidP="00914A7F">
      <w:pPr>
        <w:spacing w:before="0"/>
        <w:rPr>
          <w:b/>
          <w:color w:val="4472C4" w:themeColor="accent5"/>
        </w:rPr>
      </w:pPr>
    </w:p>
    <w:p w14:paraId="0796B290" w14:textId="77777777" w:rsidR="00914A7F" w:rsidRDefault="00914A7F" w:rsidP="00914A7F">
      <w:pPr>
        <w:spacing w:before="0"/>
        <w:rPr>
          <w:b/>
          <w:color w:val="4472C4" w:themeColor="accent5"/>
        </w:rPr>
      </w:pPr>
      <w:r>
        <w:rPr>
          <w:b/>
          <w:color w:val="4472C4" w:themeColor="accent5"/>
        </w:rPr>
        <w:t>Introduce self and project</w:t>
      </w:r>
      <w:r w:rsidRPr="009D0442">
        <w:rPr>
          <w:b/>
          <w:color w:val="4472C4" w:themeColor="accent5"/>
        </w:rPr>
        <w:t xml:space="preserve"> (5 Mins)</w:t>
      </w:r>
      <w:r>
        <w:rPr>
          <w:b/>
          <w:color w:val="4472C4" w:themeColor="accent5"/>
        </w:rPr>
        <w:t xml:space="preserve"> </w:t>
      </w:r>
    </w:p>
    <w:p w14:paraId="3B4CF10A" w14:textId="77777777" w:rsidR="00914A7F" w:rsidRDefault="00914A7F" w:rsidP="00914A7F">
      <w:pPr>
        <w:spacing w:before="0"/>
      </w:pPr>
      <w:r w:rsidRPr="00EF7F8D">
        <w:t>Potentially could be done at the end if rapport is being established and the conversation naturally leading towards the project – no need to interrupt.</w:t>
      </w:r>
    </w:p>
    <w:p w14:paraId="11C7E55A" w14:textId="77777777" w:rsidR="00914A7F" w:rsidRPr="00EF7F8D" w:rsidRDefault="00914A7F" w:rsidP="00914A7F">
      <w:pPr>
        <w:spacing w:before="0"/>
      </w:pPr>
    </w:p>
    <w:p w14:paraId="3CB66392" w14:textId="77777777" w:rsidR="00914A7F" w:rsidRDefault="00914A7F" w:rsidP="00914A7F">
      <w:pPr>
        <w:pStyle w:val="ListParagraph"/>
        <w:numPr>
          <w:ilvl w:val="0"/>
          <w:numId w:val="39"/>
        </w:numPr>
        <w:spacing w:before="0"/>
        <w:contextualSpacing w:val="0"/>
      </w:pPr>
      <w:r>
        <w:t>Introduce interviewers.</w:t>
      </w:r>
    </w:p>
    <w:p w14:paraId="3C16A285" w14:textId="77777777" w:rsidR="00914A7F" w:rsidRDefault="00914A7F" w:rsidP="00914A7F">
      <w:pPr>
        <w:pStyle w:val="ListParagraph"/>
        <w:spacing w:before="0"/>
      </w:pPr>
    </w:p>
    <w:p w14:paraId="4B6590EC" w14:textId="77777777" w:rsidR="00914A7F" w:rsidRDefault="00914A7F" w:rsidP="00914A7F">
      <w:pPr>
        <w:pStyle w:val="ListParagraph"/>
        <w:numPr>
          <w:ilvl w:val="0"/>
          <w:numId w:val="39"/>
        </w:numPr>
        <w:spacing w:before="0"/>
        <w:contextualSpacing w:val="0"/>
      </w:pPr>
      <w:r>
        <w:t>Our project is to implement Commitment 5.2 of Australia’s Open Government Action Plan. Commitment 5.2 aims to increase public participation in policy and programmes by developing a whole-of-government framework for public participation and engagement; and trialling some public participation initiatives.</w:t>
      </w:r>
    </w:p>
    <w:p w14:paraId="127587F3" w14:textId="77777777" w:rsidR="00914A7F" w:rsidRDefault="00914A7F" w:rsidP="00914A7F">
      <w:pPr>
        <w:pStyle w:val="ListParagraph"/>
        <w:spacing w:before="0"/>
      </w:pPr>
    </w:p>
    <w:p w14:paraId="41ED436E" w14:textId="77777777" w:rsidR="00914A7F" w:rsidRDefault="00914A7F" w:rsidP="00914A7F">
      <w:pPr>
        <w:pStyle w:val="ListParagraph"/>
        <w:numPr>
          <w:ilvl w:val="0"/>
          <w:numId w:val="39"/>
        </w:numPr>
        <w:spacing w:before="0"/>
        <w:contextualSpacing w:val="0"/>
      </w:pPr>
      <w:r>
        <w:t>When we talk about improving ‘engagement’ or ‘participation’ we mean it in the broadest sense. Not just conventional engagement like consultation on policies. The APS already undertakes a lot of this. But these conventional engagements could probably be improved. As well, there is a lot of other innovative engagement and participation going on in Australia – but mainly at the state and local levels. This includes participatory budgeting; citizen juries; hackathons; online petitioning; employing co-design methodologies to projects; and having policy challenges open to the public.</w:t>
      </w:r>
    </w:p>
    <w:p w14:paraId="464097BF" w14:textId="77777777" w:rsidR="00914A7F" w:rsidRDefault="00914A7F" w:rsidP="00914A7F">
      <w:pPr>
        <w:pStyle w:val="ListParagraph"/>
        <w:spacing w:before="0"/>
      </w:pPr>
    </w:p>
    <w:p w14:paraId="370A4A7C" w14:textId="77777777" w:rsidR="00914A7F" w:rsidRDefault="00914A7F" w:rsidP="00914A7F">
      <w:pPr>
        <w:pStyle w:val="ListParagraph"/>
        <w:numPr>
          <w:ilvl w:val="0"/>
          <w:numId w:val="39"/>
        </w:numPr>
        <w:spacing w:before="0"/>
        <w:contextualSpacing w:val="0"/>
      </w:pPr>
      <w:r>
        <w:t xml:space="preserve">Our research indicates that the right engagement can help public servants and government design better policies and programmes that are seen as legitimate in the community. In addition, there is declining trust in government. Engagement and participation has been shown to improve decision making and trust. </w:t>
      </w:r>
      <w:r>
        <w:br/>
        <w:t> </w:t>
      </w:r>
    </w:p>
    <w:p w14:paraId="20D8578F" w14:textId="77777777" w:rsidR="00914A7F" w:rsidRDefault="00914A7F" w:rsidP="00914A7F">
      <w:pPr>
        <w:pStyle w:val="ListParagraph"/>
        <w:numPr>
          <w:ilvl w:val="0"/>
          <w:numId w:val="39"/>
        </w:numPr>
        <w:spacing w:before="0"/>
        <w:contextualSpacing w:val="0"/>
      </w:pPr>
      <w:r>
        <w:lastRenderedPageBreak/>
        <w:t xml:space="preserve">In this stage of our project, we’re talking to users </w:t>
      </w:r>
      <w:r>
        <w:softHyphen/>
        <w:t xml:space="preserve">– public servants and civil society – to explore if this really is the case, and if so, why? </w:t>
      </w:r>
    </w:p>
    <w:p w14:paraId="26A3BAA1" w14:textId="77777777" w:rsidR="00914A7F" w:rsidRDefault="00914A7F" w:rsidP="00914A7F">
      <w:pPr>
        <w:pStyle w:val="ListParagraph"/>
        <w:spacing w:before="0"/>
      </w:pPr>
    </w:p>
    <w:p w14:paraId="723B765F" w14:textId="77777777" w:rsidR="00914A7F" w:rsidRDefault="00914A7F" w:rsidP="00914A7F">
      <w:pPr>
        <w:pStyle w:val="ListParagraph"/>
        <w:numPr>
          <w:ilvl w:val="0"/>
          <w:numId w:val="39"/>
        </w:numPr>
        <w:spacing w:before="0"/>
        <w:contextualSpacing w:val="0"/>
      </w:pPr>
      <w:r>
        <w:t>We also are seeking to understand the barriers to the APS using a broader range of engagement activities; how it can improve current engagement; and what would be the conditions in which the APS would use a fuller range of approaches. After all, the technologies and methods to engage have been around for a while – why aren’t they being adopted more widely?</w:t>
      </w:r>
    </w:p>
    <w:p w14:paraId="6E390A14" w14:textId="77777777" w:rsidR="00914A7F" w:rsidRDefault="00914A7F" w:rsidP="00914A7F">
      <w:pPr>
        <w:pStyle w:val="ListParagraph"/>
        <w:spacing w:before="0"/>
      </w:pPr>
    </w:p>
    <w:p w14:paraId="1D448CF1" w14:textId="77777777" w:rsidR="00914A7F" w:rsidRDefault="00914A7F" w:rsidP="00914A7F">
      <w:pPr>
        <w:pStyle w:val="ListParagraph"/>
        <w:numPr>
          <w:ilvl w:val="0"/>
          <w:numId w:val="39"/>
        </w:numPr>
        <w:spacing w:before="0"/>
        <w:contextualSpacing w:val="0"/>
      </w:pPr>
      <w:r>
        <w:t xml:space="preserve">To that end, we’d like to hear about your experience of engagement. [As a public servant/As an NGO/As a citizen etc], you are a user the APS’ engagement systems. We need to know what it is like for you so we can design a framework that works for you. We really want you to be forthright and have candour. </w:t>
      </w:r>
    </w:p>
    <w:p w14:paraId="69DFADC6" w14:textId="77777777" w:rsidR="00914A7F" w:rsidRDefault="00914A7F" w:rsidP="00914A7F">
      <w:pPr>
        <w:pStyle w:val="ListParagraph"/>
        <w:spacing w:before="0"/>
      </w:pPr>
    </w:p>
    <w:p w14:paraId="451A75EC" w14:textId="77777777" w:rsidR="00914A7F" w:rsidRDefault="00914A7F" w:rsidP="00914A7F">
      <w:pPr>
        <w:pStyle w:val="ListParagraph"/>
        <w:numPr>
          <w:ilvl w:val="0"/>
          <w:numId w:val="39"/>
        </w:numPr>
        <w:spacing w:before="0"/>
        <w:contextualSpacing w:val="0"/>
      </w:pPr>
      <w:r>
        <w:t>So thanks for volunteering!</w:t>
      </w:r>
    </w:p>
    <w:p w14:paraId="232AB547" w14:textId="77777777" w:rsidR="00914A7F" w:rsidRDefault="00914A7F" w:rsidP="00914A7F">
      <w:pPr>
        <w:pStyle w:val="ListParagraph"/>
        <w:spacing w:before="0"/>
      </w:pPr>
    </w:p>
    <w:p w14:paraId="387936C4" w14:textId="77777777" w:rsidR="00914A7F" w:rsidRDefault="00914A7F" w:rsidP="00914A7F">
      <w:pPr>
        <w:pStyle w:val="ListParagraph"/>
        <w:numPr>
          <w:ilvl w:val="0"/>
          <w:numId w:val="39"/>
        </w:numPr>
        <w:spacing w:before="0"/>
        <w:contextualSpacing w:val="0"/>
      </w:pPr>
      <w:r>
        <w:t xml:space="preserve">The process we’re using is interviewing for empathy – instead of asking you very direct questions about engagement, we’re instead going to be asking open ended questions to try to understand how consultation works on the ground. </w:t>
      </w:r>
    </w:p>
    <w:p w14:paraId="1D36CC1B" w14:textId="77777777" w:rsidR="00914A7F" w:rsidRDefault="00914A7F" w:rsidP="00914A7F">
      <w:pPr>
        <w:pStyle w:val="ListParagraph"/>
        <w:spacing w:before="0"/>
      </w:pPr>
    </w:p>
    <w:p w14:paraId="5A40E58C" w14:textId="77777777" w:rsidR="00914A7F" w:rsidRDefault="00914A7F" w:rsidP="00914A7F">
      <w:pPr>
        <w:pStyle w:val="ListParagraph"/>
        <w:numPr>
          <w:ilvl w:val="0"/>
          <w:numId w:val="39"/>
        </w:numPr>
        <w:spacing w:before="0"/>
        <w:contextualSpacing w:val="0"/>
      </w:pPr>
      <w:r>
        <w:t>We don’t want to lead you in any particular direction. We want raw, unadulterated feedback. We want to hear what your experience is like in your own words. We want to know what you think the issues really are, not to summarise some memories or give us a theoretical or textbook explanation.</w:t>
      </w:r>
    </w:p>
    <w:p w14:paraId="06B31F7A" w14:textId="77777777" w:rsidR="00914A7F" w:rsidRDefault="00914A7F" w:rsidP="00914A7F">
      <w:pPr>
        <w:pStyle w:val="ListParagraph"/>
        <w:spacing w:before="0"/>
      </w:pPr>
    </w:p>
    <w:p w14:paraId="20CB4937" w14:textId="77777777" w:rsidR="00914A7F" w:rsidRDefault="00914A7F" w:rsidP="00914A7F">
      <w:pPr>
        <w:pStyle w:val="ListParagraph"/>
        <w:numPr>
          <w:ilvl w:val="0"/>
          <w:numId w:val="39"/>
        </w:numPr>
        <w:spacing w:before="0"/>
        <w:contextualSpacing w:val="0"/>
      </w:pPr>
      <w:r>
        <w:t xml:space="preserve">Sometimes we might be furiously agreeing with you but still not say a great deal or validate with body language. That is only because we want your raw feedback, not because anything is going wrong. </w:t>
      </w:r>
    </w:p>
    <w:p w14:paraId="31C477CE" w14:textId="77777777" w:rsidR="00914A7F" w:rsidRDefault="00914A7F" w:rsidP="00914A7F">
      <w:pPr>
        <w:pStyle w:val="ListParagraph"/>
        <w:spacing w:before="0"/>
      </w:pPr>
    </w:p>
    <w:p w14:paraId="5934F5D9" w14:textId="77777777" w:rsidR="00914A7F" w:rsidRDefault="00914A7F" w:rsidP="00914A7F">
      <w:pPr>
        <w:pStyle w:val="ListParagraph"/>
        <w:numPr>
          <w:ilvl w:val="0"/>
          <w:numId w:val="39"/>
        </w:numPr>
        <w:spacing w:before="0"/>
        <w:contextualSpacing w:val="0"/>
      </w:pPr>
      <w:r>
        <w:t xml:space="preserve">Of course, what you say will be strictly confidential. </w:t>
      </w:r>
    </w:p>
    <w:p w14:paraId="5FC861C4" w14:textId="77777777" w:rsidR="00914A7F" w:rsidRDefault="00914A7F" w:rsidP="00914A7F">
      <w:pPr>
        <w:pStyle w:val="ListParagraph"/>
        <w:spacing w:before="0"/>
      </w:pPr>
    </w:p>
    <w:p w14:paraId="255B9789" w14:textId="77777777" w:rsidR="00914A7F" w:rsidRDefault="00914A7F" w:rsidP="00914A7F">
      <w:pPr>
        <w:pStyle w:val="ListParagraph"/>
        <w:numPr>
          <w:ilvl w:val="0"/>
          <w:numId w:val="39"/>
        </w:numPr>
        <w:spacing w:before="0"/>
        <w:contextualSpacing w:val="0"/>
      </w:pPr>
      <w:r>
        <w:t>Any questions? No? Ok, let’s get stuck in.</w:t>
      </w:r>
    </w:p>
    <w:p w14:paraId="45D13BDC" w14:textId="77777777" w:rsidR="00914A7F" w:rsidRDefault="00914A7F" w:rsidP="00914A7F">
      <w:pPr>
        <w:spacing w:before="0"/>
        <w:rPr>
          <w:b/>
        </w:rPr>
      </w:pPr>
    </w:p>
    <w:p w14:paraId="06F23FA4" w14:textId="77777777" w:rsidR="00914A7F" w:rsidRDefault="00914A7F" w:rsidP="00914A7F">
      <w:pPr>
        <w:spacing w:before="0"/>
        <w:rPr>
          <w:b/>
          <w:color w:val="0070C0"/>
        </w:rPr>
      </w:pPr>
      <w:r>
        <w:rPr>
          <w:b/>
          <w:color w:val="0070C0"/>
        </w:rPr>
        <w:t xml:space="preserve">Potential questions (Bulk of interview – 30-35 minutes) </w:t>
      </w:r>
    </w:p>
    <w:p w14:paraId="16802C74" w14:textId="77777777" w:rsidR="00914A7F" w:rsidRPr="00EF7F8D" w:rsidRDefault="00914A7F" w:rsidP="00914A7F">
      <w:pPr>
        <w:spacing w:before="0"/>
      </w:pPr>
      <w:r w:rsidRPr="00EF7F8D">
        <w:t>Adapt depending on interviewee e.g. public servant, non-government body, citizen</w:t>
      </w:r>
    </w:p>
    <w:p w14:paraId="4E36289E" w14:textId="77777777" w:rsidR="00914A7F" w:rsidRDefault="00914A7F" w:rsidP="00914A7F">
      <w:pPr>
        <w:pStyle w:val="ListBullet"/>
        <w:spacing w:before="0" w:line="259" w:lineRule="auto"/>
        <w:ind w:left="360" w:hanging="360"/>
      </w:pPr>
      <w:r>
        <w:t xml:space="preserve">Tell me about a typical engagement experience (follow up questions – so when do you engage? Why? Where do you engage? Why? Do you have routines?) </w:t>
      </w:r>
    </w:p>
    <w:p w14:paraId="0EC1245F" w14:textId="77777777" w:rsidR="00914A7F" w:rsidRDefault="00914A7F" w:rsidP="00914A7F">
      <w:pPr>
        <w:pStyle w:val="ListBullet"/>
        <w:spacing w:before="0" w:line="259" w:lineRule="auto"/>
        <w:ind w:left="360" w:hanging="360"/>
      </w:pPr>
      <w:r>
        <w:t>Tell me about your best engagement experience.</w:t>
      </w:r>
    </w:p>
    <w:p w14:paraId="229D045D" w14:textId="77777777" w:rsidR="00914A7F" w:rsidRDefault="00914A7F" w:rsidP="00914A7F">
      <w:pPr>
        <w:pStyle w:val="ListBullet"/>
        <w:spacing w:before="0" w:line="259" w:lineRule="auto"/>
        <w:ind w:left="360" w:hanging="360"/>
      </w:pPr>
      <w:r>
        <w:t>Tell me about your worst or most hilarious engagement experience.</w:t>
      </w:r>
    </w:p>
    <w:p w14:paraId="7CBD31EF" w14:textId="77777777" w:rsidR="00914A7F" w:rsidRDefault="00914A7F" w:rsidP="00914A7F">
      <w:pPr>
        <w:pStyle w:val="ListBullet"/>
        <w:spacing w:before="0" w:line="259" w:lineRule="auto"/>
        <w:ind w:left="360" w:hanging="360"/>
      </w:pPr>
      <w:r>
        <w:t>How does your department guide you on how to do engagement?</w:t>
      </w:r>
    </w:p>
    <w:p w14:paraId="013188FA" w14:textId="77777777" w:rsidR="00914A7F" w:rsidRDefault="00914A7F" w:rsidP="00914A7F">
      <w:pPr>
        <w:pStyle w:val="ListBullet"/>
        <w:spacing w:before="0" w:line="259" w:lineRule="auto"/>
        <w:ind w:left="360" w:hanging="360"/>
      </w:pPr>
      <w:r>
        <w:t>Tell me about how you workaround problem [x] in an engagement?</w:t>
      </w:r>
    </w:p>
    <w:p w14:paraId="646088B4" w14:textId="77777777" w:rsidR="00914A7F" w:rsidRDefault="00914A7F" w:rsidP="00914A7F">
      <w:pPr>
        <w:pStyle w:val="ListBullet"/>
        <w:spacing w:before="0" w:line="259" w:lineRule="auto"/>
        <w:ind w:left="360" w:hanging="360"/>
      </w:pPr>
      <w:r>
        <w:t xml:space="preserve">You said that [x] is an issue. Why do you say that? </w:t>
      </w:r>
    </w:p>
    <w:p w14:paraId="66694FD6" w14:textId="77777777" w:rsidR="00914A7F" w:rsidRDefault="00914A7F" w:rsidP="00914A7F">
      <w:pPr>
        <w:pStyle w:val="ListBullet"/>
        <w:spacing w:before="0" w:line="259" w:lineRule="auto"/>
        <w:ind w:left="360" w:hanging="360"/>
      </w:pPr>
      <w:r>
        <w:t>You said that [y] is important. Why do you say that?</w:t>
      </w:r>
    </w:p>
    <w:p w14:paraId="7128A001" w14:textId="77777777" w:rsidR="00914A7F" w:rsidRDefault="00914A7F" w:rsidP="00914A7F">
      <w:pPr>
        <w:pStyle w:val="ListBullet"/>
        <w:spacing w:before="0" w:line="259" w:lineRule="auto"/>
        <w:ind w:left="360" w:hanging="360"/>
      </w:pPr>
      <w:r>
        <w:t>Why do you think engagement is important? Or not important?</w:t>
      </w:r>
    </w:p>
    <w:p w14:paraId="3E8F2958" w14:textId="77777777" w:rsidR="00914A7F" w:rsidRDefault="00914A7F" w:rsidP="00914A7F">
      <w:pPr>
        <w:pStyle w:val="ListBullet"/>
        <w:spacing w:before="0" w:line="259" w:lineRule="auto"/>
        <w:ind w:left="360" w:hanging="360"/>
      </w:pPr>
      <w:r>
        <w:t>Does engagement assist in your work? Can you tell me about a time it did, or didn’t help?</w:t>
      </w:r>
    </w:p>
    <w:p w14:paraId="1531ECDD" w14:textId="77777777" w:rsidR="00914A7F" w:rsidRDefault="00914A7F" w:rsidP="00914A7F">
      <w:pPr>
        <w:pStyle w:val="ListBullet"/>
        <w:spacing w:before="0" w:line="259" w:lineRule="auto"/>
        <w:ind w:left="360" w:hanging="360"/>
      </w:pPr>
      <w:r>
        <w:t>What habits do you have in engagement? Why?</w:t>
      </w:r>
    </w:p>
    <w:p w14:paraId="3758903C" w14:textId="77777777" w:rsidR="00914A7F" w:rsidRDefault="00914A7F" w:rsidP="00914A7F">
      <w:pPr>
        <w:pStyle w:val="ListBullet"/>
        <w:spacing w:before="0" w:line="259" w:lineRule="auto"/>
        <w:ind w:left="360" w:hanging="360"/>
      </w:pPr>
      <w:r>
        <w:lastRenderedPageBreak/>
        <w:t>What would be the biggest bottleneck to engagement you face? Your department faces? Why is it an issue?</w:t>
      </w:r>
    </w:p>
    <w:p w14:paraId="5BA21F3E" w14:textId="77777777" w:rsidR="00914A7F" w:rsidRDefault="00914A7F" w:rsidP="00914A7F">
      <w:pPr>
        <w:pStyle w:val="ListBullet"/>
        <w:spacing w:before="0" w:line="259" w:lineRule="auto"/>
        <w:ind w:left="360" w:hanging="360"/>
      </w:pPr>
      <w:r>
        <w:t>What would you change about engagement?</w:t>
      </w:r>
    </w:p>
    <w:p w14:paraId="7595785E" w14:textId="77777777" w:rsidR="00914A7F" w:rsidRDefault="00914A7F" w:rsidP="00914A7F">
      <w:pPr>
        <w:pStyle w:val="ListBullet"/>
        <w:numPr>
          <w:ilvl w:val="0"/>
          <w:numId w:val="0"/>
        </w:numPr>
        <w:spacing w:before="0"/>
        <w:ind w:left="360" w:hanging="360"/>
      </w:pPr>
    </w:p>
    <w:p w14:paraId="0237AF1B" w14:textId="77777777" w:rsidR="00914A7F" w:rsidRDefault="00914A7F" w:rsidP="00914A7F">
      <w:pPr>
        <w:pStyle w:val="ListBullet"/>
        <w:numPr>
          <w:ilvl w:val="0"/>
          <w:numId w:val="0"/>
        </w:numPr>
        <w:spacing w:before="0"/>
        <w:ind w:left="360" w:hanging="360"/>
      </w:pPr>
      <w:r>
        <w:t>Potentially:</w:t>
      </w:r>
    </w:p>
    <w:p w14:paraId="2D454326" w14:textId="77777777" w:rsidR="00914A7F" w:rsidRDefault="00914A7F" w:rsidP="00914A7F">
      <w:pPr>
        <w:pStyle w:val="ListBullet"/>
        <w:numPr>
          <w:ilvl w:val="0"/>
          <w:numId w:val="0"/>
        </w:numPr>
        <w:spacing w:before="0"/>
      </w:pPr>
      <w:r>
        <w:t>Bring a copy of Commitment 5.2 and problem identification deck.</w:t>
      </w:r>
    </w:p>
    <w:p w14:paraId="552DE651" w14:textId="77777777" w:rsidR="00914A7F" w:rsidRPr="0077121A" w:rsidRDefault="00914A7F" w:rsidP="00914A7F">
      <w:pPr>
        <w:pStyle w:val="ListBullet"/>
        <w:numPr>
          <w:ilvl w:val="0"/>
          <w:numId w:val="0"/>
        </w:numPr>
        <w:spacing w:before="0"/>
        <w:rPr>
          <w:rFonts w:cs="Arial"/>
          <w:color w:val="232323"/>
        </w:rPr>
      </w:pPr>
    </w:p>
    <w:p w14:paraId="5CE99647" w14:textId="77777777" w:rsidR="00914A7F" w:rsidRPr="000F1287" w:rsidRDefault="00914A7F" w:rsidP="00914A7F">
      <w:pPr>
        <w:spacing w:before="0"/>
        <w:rPr>
          <w:b/>
          <w:color w:val="0070C0"/>
        </w:rPr>
      </w:pPr>
      <w:r>
        <w:rPr>
          <w:b/>
          <w:color w:val="0070C0"/>
        </w:rPr>
        <w:t>Closing and Thank You (5 Mins)</w:t>
      </w:r>
    </w:p>
    <w:p w14:paraId="08370E5E" w14:textId="77777777" w:rsidR="00914A7F" w:rsidRDefault="00914A7F" w:rsidP="00914A7F">
      <w:pPr>
        <w:pStyle w:val="ListParagraph"/>
        <w:numPr>
          <w:ilvl w:val="0"/>
          <w:numId w:val="40"/>
        </w:numPr>
        <w:spacing w:before="0"/>
        <w:contextualSpacing w:val="0"/>
        <w:rPr>
          <w:rFonts w:cs="Arial"/>
          <w:color w:val="232323"/>
        </w:rPr>
      </w:pPr>
      <w:r w:rsidRPr="00EC22CB">
        <w:rPr>
          <w:rFonts w:cs="Arial"/>
          <w:color w:val="232323"/>
        </w:rPr>
        <w:t>That’s the</w:t>
      </w:r>
      <w:r>
        <w:rPr>
          <w:rFonts w:cs="Arial"/>
          <w:color w:val="232323"/>
        </w:rPr>
        <w:t xml:space="preserve"> end of the session. Thank you</w:t>
      </w:r>
      <w:r w:rsidRPr="00EC22CB">
        <w:rPr>
          <w:rFonts w:cs="Arial"/>
          <w:color w:val="232323"/>
        </w:rPr>
        <w:t xml:space="preserve"> for your time</w:t>
      </w:r>
      <w:r>
        <w:rPr>
          <w:rFonts w:cs="Arial"/>
          <w:color w:val="232323"/>
        </w:rPr>
        <w:t xml:space="preserve"> and input</w:t>
      </w:r>
      <w:r w:rsidRPr="00EC22CB">
        <w:rPr>
          <w:rFonts w:cs="Arial"/>
          <w:color w:val="232323"/>
        </w:rPr>
        <w:t xml:space="preserve">, it has been greatly appreciated! </w:t>
      </w:r>
    </w:p>
    <w:p w14:paraId="432EE731" w14:textId="77777777" w:rsidR="00914A7F" w:rsidRDefault="00914A7F" w:rsidP="00914A7F">
      <w:pPr>
        <w:pStyle w:val="ListParagraph"/>
        <w:numPr>
          <w:ilvl w:val="0"/>
          <w:numId w:val="40"/>
        </w:numPr>
        <w:spacing w:before="0"/>
        <w:contextualSpacing w:val="0"/>
        <w:rPr>
          <w:rFonts w:cs="Arial"/>
          <w:color w:val="232323"/>
        </w:rPr>
      </w:pPr>
      <w:r>
        <w:rPr>
          <w:rFonts w:cs="Arial"/>
          <w:color w:val="232323"/>
        </w:rPr>
        <w:t xml:space="preserve">Optional: I thought it was really interesting that… </w:t>
      </w:r>
    </w:p>
    <w:p w14:paraId="796821BB" w14:textId="77777777" w:rsidR="00914A7F" w:rsidRDefault="00914A7F" w:rsidP="00914A7F">
      <w:pPr>
        <w:pStyle w:val="ListParagraph"/>
        <w:numPr>
          <w:ilvl w:val="0"/>
          <w:numId w:val="40"/>
        </w:numPr>
        <w:spacing w:before="0"/>
        <w:contextualSpacing w:val="0"/>
        <w:rPr>
          <w:rFonts w:cs="Arial"/>
          <w:color w:val="232323"/>
        </w:rPr>
      </w:pPr>
      <w:r>
        <w:rPr>
          <w:rFonts w:cs="Arial"/>
          <w:color w:val="232323"/>
        </w:rPr>
        <w:t>We’re happy to share the outcomes of our project.</w:t>
      </w:r>
    </w:p>
    <w:p w14:paraId="2AE30875" w14:textId="77777777" w:rsidR="00914A7F" w:rsidRPr="00EA1969" w:rsidRDefault="00914A7F" w:rsidP="00914A7F">
      <w:pPr>
        <w:pStyle w:val="ListParagraph"/>
        <w:numPr>
          <w:ilvl w:val="0"/>
          <w:numId w:val="40"/>
        </w:numPr>
        <w:spacing w:before="0"/>
        <w:contextualSpacing w:val="0"/>
        <w:rPr>
          <w:rFonts w:cs="Arial"/>
          <w:color w:val="232323"/>
        </w:rPr>
      </w:pPr>
      <w:r w:rsidRPr="00EA1969">
        <w:rPr>
          <w:rFonts w:cs="Arial"/>
          <w:color w:val="232323"/>
        </w:rPr>
        <w:t xml:space="preserve">[Anything that acknowledges some insight </w:t>
      </w:r>
      <w:r>
        <w:rPr>
          <w:rFonts w:cs="Arial"/>
          <w:color w:val="232323"/>
        </w:rPr>
        <w:t>the interviewee has</w:t>
      </w:r>
      <w:r w:rsidRPr="00EA1969">
        <w:rPr>
          <w:rFonts w:cs="Arial"/>
          <w:color w:val="232323"/>
        </w:rPr>
        <w:t xml:space="preserve"> provided and maybe talk a little more about the method we used in the interview.</w:t>
      </w:r>
      <w:r>
        <w:rPr>
          <w:rFonts w:cs="Arial"/>
          <w:color w:val="232323"/>
        </w:rPr>
        <w:t xml:space="preserve"> </w:t>
      </w:r>
      <w:r w:rsidRPr="00EA1969">
        <w:rPr>
          <w:rFonts w:cs="Arial"/>
          <w:color w:val="232323"/>
        </w:rPr>
        <w:t>This will help establish credibility in the process</w:t>
      </w:r>
      <w:r>
        <w:rPr>
          <w:rFonts w:cs="Arial"/>
          <w:color w:val="232323"/>
        </w:rPr>
        <w:t>].</w:t>
      </w:r>
    </w:p>
    <w:p w14:paraId="62C83E5A" w14:textId="77777777" w:rsidR="00914A7F" w:rsidRPr="00EC22CB" w:rsidRDefault="00914A7F" w:rsidP="00914A7F">
      <w:pPr>
        <w:pStyle w:val="ListParagraph"/>
        <w:spacing w:before="0"/>
        <w:rPr>
          <w:rFonts w:cs="Arial"/>
          <w:color w:val="232323"/>
        </w:rPr>
      </w:pPr>
    </w:p>
    <w:p w14:paraId="370CF855" w14:textId="77777777" w:rsidR="00914A7F" w:rsidRPr="0040281A" w:rsidRDefault="00914A7F" w:rsidP="00914A7F">
      <w:pPr>
        <w:spacing w:before="0"/>
        <w:rPr>
          <w:b/>
          <w:color w:val="0070C0"/>
        </w:rPr>
      </w:pPr>
      <w:r w:rsidRPr="0040281A">
        <w:rPr>
          <w:b/>
          <w:color w:val="0070C0"/>
        </w:rPr>
        <w:t>Principles</w:t>
      </w:r>
      <w:r>
        <w:rPr>
          <w:b/>
          <w:color w:val="0070C0"/>
        </w:rPr>
        <w:t xml:space="preserve"> – see Bizlab UCD research field guide for detail</w:t>
      </w:r>
    </w:p>
    <w:p w14:paraId="079FB577" w14:textId="77777777" w:rsidR="00914A7F" w:rsidRDefault="00914A7F" w:rsidP="00914A7F">
      <w:pPr>
        <w:spacing w:before="0"/>
      </w:pPr>
      <w:r>
        <w:t>Don’t forget:</w:t>
      </w:r>
    </w:p>
    <w:p w14:paraId="15014EE1" w14:textId="77777777" w:rsidR="00914A7F" w:rsidRDefault="00914A7F" w:rsidP="00914A7F">
      <w:pPr>
        <w:pStyle w:val="ListParagraph"/>
        <w:numPr>
          <w:ilvl w:val="0"/>
          <w:numId w:val="41"/>
        </w:numPr>
        <w:spacing w:before="0"/>
        <w:contextualSpacing w:val="0"/>
      </w:pPr>
      <w:r>
        <w:t>Ask why. Why. Why. Even if it seems obvious. This will help avoid false consensus and develop deeper understandings.</w:t>
      </w:r>
    </w:p>
    <w:p w14:paraId="6E3BCD80" w14:textId="77777777" w:rsidR="00914A7F" w:rsidRDefault="00914A7F" w:rsidP="00914A7F">
      <w:pPr>
        <w:pStyle w:val="ListParagraph"/>
        <w:numPr>
          <w:ilvl w:val="0"/>
          <w:numId w:val="41"/>
        </w:numPr>
        <w:spacing w:before="0"/>
        <w:contextualSpacing w:val="0"/>
      </w:pPr>
      <w:r>
        <w:t>Encourage stories. This is how people will be remembering experience and will provide the best insights.</w:t>
      </w:r>
    </w:p>
    <w:p w14:paraId="07479772" w14:textId="77777777" w:rsidR="00914A7F" w:rsidRDefault="00914A7F" w:rsidP="00914A7F">
      <w:pPr>
        <w:pStyle w:val="ListParagraph"/>
        <w:numPr>
          <w:ilvl w:val="0"/>
          <w:numId w:val="41"/>
        </w:numPr>
        <w:spacing w:before="0"/>
        <w:contextualSpacing w:val="0"/>
      </w:pPr>
      <w:r>
        <w:t>Listen more than you speak – at least 80/20 ratio.</w:t>
      </w:r>
    </w:p>
    <w:p w14:paraId="6089B246" w14:textId="77777777" w:rsidR="00914A7F" w:rsidRDefault="00914A7F" w:rsidP="00914A7F">
      <w:pPr>
        <w:pStyle w:val="ListParagraph"/>
        <w:numPr>
          <w:ilvl w:val="0"/>
          <w:numId w:val="41"/>
        </w:numPr>
        <w:spacing w:before="0"/>
        <w:contextualSpacing w:val="0"/>
      </w:pPr>
      <w:r>
        <w:t>Never say ‘usually’ – go for specific instances and occurrences. This will get stories and richer insights.</w:t>
      </w:r>
    </w:p>
    <w:p w14:paraId="1D891AAC" w14:textId="77777777" w:rsidR="00914A7F" w:rsidRDefault="00914A7F" w:rsidP="00914A7F">
      <w:pPr>
        <w:pStyle w:val="ListParagraph"/>
        <w:numPr>
          <w:ilvl w:val="0"/>
          <w:numId w:val="41"/>
        </w:numPr>
        <w:spacing w:before="0"/>
        <w:contextualSpacing w:val="0"/>
      </w:pPr>
      <w:r>
        <w:t>Note inconsistencies – ask them why there is an inconsistency (respectfully!)</w:t>
      </w:r>
    </w:p>
    <w:p w14:paraId="2FD0F9E6" w14:textId="77777777" w:rsidR="00914A7F" w:rsidRDefault="00914A7F" w:rsidP="00914A7F">
      <w:pPr>
        <w:pStyle w:val="ListParagraph"/>
        <w:numPr>
          <w:ilvl w:val="0"/>
          <w:numId w:val="41"/>
        </w:numPr>
        <w:spacing w:before="0"/>
        <w:contextualSpacing w:val="0"/>
      </w:pPr>
      <w:r>
        <w:t>Pay attention to nonverbal cues.</w:t>
      </w:r>
    </w:p>
    <w:p w14:paraId="7F0FB5FB" w14:textId="77777777" w:rsidR="00914A7F" w:rsidRDefault="00914A7F" w:rsidP="00914A7F">
      <w:pPr>
        <w:pStyle w:val="ListParagraph"/>
        <w:numPr>
          <w:ilvl w:val="0"/>
          <w:numId w:val="41"/>
        </w:numPr>
        <w:spacing w:before="0"/>
        <w:contextualSpacing w:val="0"/>
      </w:pPr>
      <w:r>
        <w:t>Don’t be afraid of silence – let people get to points at their own speed.</w:t>
      </w:r>
    </w:p>
    <w:p w14:paraId="18C55EB0" w14:textId="77777777" w:rsidR="00914A7F" w:rsidRDefault="00914A7F" w:rsidP="00914A7F">
      <w:pPr>
        <w:pStyle w:val="ListParagraph"/>
        <w:numPr>
          <w:ilvl w:val="0"/>
          <w:numId w:val="41"/>
        </w:numPr>
        <w:spacing w:before="0"/>
        <w:contextualSpacing w:val="0"/>
      </w:pPr>
      <w:r>
        <w:t>Don’t be afraid to diverge from the discussion guide if it makes sense to.</w:t>
      </w:r>
    </w:p>
    <w:p w14:paraId="66CE4D31" w14:textId="77777777" w:rsidR="00914A7F" w:rsidRDefault="00914A7F" w:rsidP="00914A7F">
      <w:pPr>
        <w:pStyle w:val="ListParagraph"/>
        <w:numPr>
          <w:ilvl w:val="0"/>
          <w:numId w:val="41"/>
        </w:numPr>
        <w:spacing w:before="0"/>
        <w:contextualSpacing w:val="0"/>
      </w:pPr>
      <w:r>
        <w:t xml:space="preserve">Don’t suggest answers or lead people, including through body language. </w:t>
      </w:r>
    </w:p>
    <w:p w14:paraId="1374470A" w14:textId="77777777" w:rsidR="00914A7F" w:rsidRDefault="00914A7F" w:rsidP="00914A7F">
      <w:pPr>
        <w:pStyle w:val="ListParagraph"/>
        <w:numPr>
          <w:ilvl w:val="0"/>
          <w:numId w:val="41"/>
        </w:numPr>
        <w:spacing w:before="0"/>
        <w:contextualSpacing w:val="0"/>
      </w:pPr>
      <w:r>
        <w:t>Don’t use binary yes/no questions – they are unlikely to yield stories.</w:t>
      </w:r>
    </w:p>
    <w:p w14:paraId="6ED6163C" w14:textId="77777777" w:rsidR="00914A7F" w:rsidRDefault="00914A7F" w:rsidP="00914A7F">
      <w:pPr>
        <w:pStyle w:val="ListParagraph"/>
        <w:numPr>
          <w:ilvl w:val="0"/>
          <w:numId w:val="41"/>
        </w:numPr>
        <w:spacing w:before="0"/>
        <w:contextualSpacing w:val="0"/>
      </w:pPr>
      <w:r>
        <w:t>Capture what they’ve said in their own language, exact words wherever possible. Don’t editorialise.</w:t>
      </w:r>
    </w:p>
    <w:p w14:paraId="261FE034" w14:textId="77777777" w:rsidR="00914A7F" w:rsidRDefault="00914A7F" w:rsidP="00914A7F">
      <w:pPr>
        <w:pStyle w:val="ListParagraph"/>
        <w:numPr>
          <w:ilvl w:val="0"/>
          <w:numId w:val="41"/>
        </w:numPr>
        <w:spacing w:before="0"/>
        <w:contextualSpacing w:val="0"/>
      </w:pPr>
      <w:r w:rsidRPr="0040281A">
        <w:t>What the person says is only one data point. Be sure to observe your interviewee’s body language and the context in which you’re talking.</w:t>
      </w:r>
    </w:p>
    <w:p w14:paraId="2FE8EDA7" w14:textId="77777777" w:rsidR="00914A7F" w:rsidRPr="0040281A" w:rsidRDefault="00914A7F" w:rsidP="00914A7F">
      <w:pPr>
        <w:pStyle w:val="ListParagraph"/>
        <w:numPr>
          <w:ilvl w:val="0"/>
          <w:numId w:val="41"/>
        </w:numPr>
        <w:spacing w:before="0"/>
        <w:contextualSpacing w:val="0"/>
      </w:pPr>
      <w:r>
        <w:t>Often you get good content after the interview is officially over – keep eyes and ears open.</w:t>
      </w:r>
    </w:p>
    <w:p w14:paraId="15F1F371" w14:textId="77777777" w:rsidR="00914A7F" w:rsidRDefault="00914A7F" w:rsidP="00914A7F">
      <w:pPr>
        <w:pStyle w:val="ListParagraph"/>
        <w:spacing w:before="0"/>
      </w:pPr>
    </w:p>
    <w:p w14:paraId="7E14EC5F" w14:textId="77777777" w:rsidR="00914A7F" w:rsidRPr="0061368F" w:rsidRDefault="00914A7F" w:rsidP="00914A7F">
      <w:pPr>
        <w:spacing w:before="0"/>
        <w:rPr>
          <w:b/>
          <w:color w:val="0070C0"/>
        </w:rPr>
      </w:pPr>
      <w:r>
        <w:rPr>
          <w:b/>
          <w:color w:val="0070C0"/>
        </w:rPr>
        <w:t>Immediate debrief – see the Bizlab UCD research field guide for further information</w:t>
      </w:r>
    </w:p>
    <w:p w14:paraId="03BCECCE" w14:textId="77777777" w:rsidR="00914A7F" w:rsidRDefault="00914A7F" w:rsidP="00914A7F">
      <w:pPr>
        <w:spacing w:before="0"/>
      </w:pPr>
      <w:r w:rsidRPr="0061368F">
        <w:t>Interviewers and observers should conduct a short debrief immediately after each session. It is important to do this while the interview is fresh in your mind. Your notes from this debrief session will be important for the synt</w:t>
      </w:r>
      <w:r>
        <w:t xml:space="preserve">hesis of all of the interviews. </w:t>
      </w:r>
      <w:r w:rsidRPr="0061368F">
        <w:t xml:space="preserve">This should be done first individually, and then discussed as a research team. </w:t>
      </w:r>
    </w:p>
    <w:p w14:paraId="01D54AB8" w14:textId="77777777" w:rsidR="00914A7F" w:rsidRPr="0061368F" w:rsidRDefault="00914A7F" w:rsidP="00914A7F">
      <w:pPr>
        <w:spacing w:before="0"/>
      </w:pPr>
    </w:p>
    <w:p w14:paraId="6EA02AF1" w14:textId="77777777" w:rsidR="00914A7F" w:rsidRPr="0061368F" w:rsidRDefault="00914A7F" w:rsidP="00914A7F">
      <w:pPr>
        <w:spacing w:before="0"/>
      </w:pPr>
      <w:r w:rsidRPr="0061368F">
        <w:t>Some questions to guide your immediate debrief are:</w:t>
      </w:r>
    </w:p>
    <w:p w14:paraId="119C3EF1" w14:textId="77777777" w:rsidR="00914A7F" w:rsidRPr="0061368F" w:rsidRDefault="00914A7F" w:rsidP="00914A7F">
      <w:pPr>
        <w:numPr>
          <w:ilvl w:val="0"/>
          <w:numId w:val="42"/>
        </w:numPr>
        <w:spacing w:before="0" w:line="259" w:lineRule="auto"/>
      </w:pPr>
      <w:r w:rsidRPr="0061368F">
        <w:t>How would you summarise what you learnt in this interview?</w:t>
      </w:r>
    </w:p>
    <w:p w14:paraId="3227506F" w14:textId="77777777" w:rsidR="00914A7F" w:rsidRPr="0061368F" w:rsidRDefault="00914A7F" w:rsidP="00914A7F">
      <w:pPr>
        <w:numPr>
          <w:ilvl w:val="0"/>
          <w:numId w:val="42"/>
        </w:numPr>
        <w:spacing w:before="0" w:line="259" w:lineRule="auto"/>
      </w:pPr>
      <w:r w:rsidRPr="0061368F">
        <w:t>What where the main pain points in this person’s experience?</w:t>
      </w:r>
    </w:p>
    <w:p w14:paraId="29458499" w14:textId="77777777" w:rsidR="00914A7F" w:rsidRPr="0061368F" w:rsidRDefault="00914A7F" w:rsidP="00914A7F">
      <w:pPr>
        <w:numPr>
          <w:ilvl w:val="0"/>
          <w:numId w:val="42"/>
        </w:numPr>
        <w:spacing w:before="0" w:line="259" w:lineRule="auto"/>
      </w:pPr>
      <w:r w:rsidRPr="0061368F">
        <w:t>What are the main drivers of behaviours?</w:t>
      </w:r>
    </w:p>
    <w:p w14:paraId="6AFCA5FD" w14:textId="77777777" w:rsidR="00914A7F" w:rsidRPr="00EF7F8D" w:rsidRDefault="00914A7F" w:rsidP="00914A7F">
      <w:pPr>
        <w:numPr>
          <w:ilvl w:val="0"/>
          <w:numId w:val="42"/>
        </w:numPr>
        <w:spacing w:before="0" w:line="259" w:lineRule="auto"/>
        <w:rPr>
          <w:color w:val="2F2F2F"/>
          <w:sz w:val="20"/>
        </w:rPr>
      </w:pPr>
      <w:r w:rsidRPr="0061368F">
        <w:t>What are the top 3 – 5 insigh</w:t>
      </w:r>
      <w:r>
        <w:t>ts you have from this interview?</w:t>
      </w:r>
      <w:r>
        <w:br w:type="page"/>
      </w:r>
    </w:p>
    <w:p w14:paraId="7978D4E4" w14:textId="77777777" w:rsidR="00914A7F" w:rsidRDefault="00914A7F" w:rsidP="00914A7F">
      <w:pPr>
        <w:spacing w:before="0"/>
        <w:rPr>
          <w:color w:val="4472C4" w:themeColor="accent5"/>
          <w:sz w:val="28"/>
          <w:szCs w:val="32"/>
        </w:rPr>
      </w:pPr>
      <w:r w:rsidRPr="00FE2A41">
        <w:rPr>
          <w:b/>
          <w:noProof/>
          <w:color w:val="4472C4" w:themeColor="accent5"/>
          <w:sz w:val="32"/>
          <w:szCs w:val="32"/>
          <w:lang w:eastAsia="en-AU"/>
        </w:rPr>
        <w:lastRenderedPageBreak/>
        <w:drawing>
          <wp:anchor distT="0" distB="0" distL="114300" distR="114300" simplePos="0" relativeHeight="251661348" behindDoc="0" locked="0" layoutInCell="1" allowOverlap="1" wp14:anchorId="62A9D933" wp14:editId="28FE71A4">
            <wp:simplePos x="0" y="0"/>
            <wp:positionH relativeFrom="margin">
              <wp:align>right</wp:align>
            </wp:positionH>
            <wp:positionV relativeFrom="margin">
              <wp:align>top</wp:align>
            </wp:positionV>
            <wp:extent cx="1638300" cy="1618615"/>
            <wp:effectExtent l="0" t="0" r="0" b="635"/>
            <wp:wrapSquare wrapText="bothSides"/>
            <wp:docPr id="20" name="Picture 20" descr="Bizlab brand 72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zlab brand 72 dpi"/>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38300" cy="1618615"/>
                    </a:xfrm>
                    <a:prstGeom prst="rect">
                      <a:avLst/>
                    </a:prstGeom>
                    <a:noFill/>
                  </pic:spPr>
                </pic:pic>
              </a:graphicData>
            </a:graphic>
            <wp14:sizeRelH relativeFrom="page">
              <wp14:pctWidth>0</wp14:pctWidth>
            </wp14:sizeRelH>
            <wp14:sizeRelV relativeFrom="page">
              <wp14:pctHeight>0</wp14:pctHeight>
            </wp14:sizeRelV>
          </wp:anchor>
        </w:drawing>
      </w:r>
      <w:r w:rsidRPr="00FE2A41">
        <w:rPr>
          <w:b/>
          <w:color w:val="4472C4" w:themeColor="accent5"/>
          <w:sz w:val="32"/>
          <w:szCs w:val="32"/>
        </w:rPr>
        <w:t>INTERVIEW GUIDE</w:t>
      </w:r>
      <w:r>
        <w:rPr>
          <w:b/>
          <w:color w:val="4472C4" w:themeColor="accent5"/>
          <w:sz w:val="32"/>
          <w:szCs w:val="32"/>
        </w:rPr>
        <w:t xml:space="preserve"> – NON APS PARTICIPANTS</w:t>
      </w:r>
      <w:r w:rsidRPr="00FE2A41">
        <w:rPr>
          <w:b/>
          <w:color w:val="4472C4" w:themeColor="accent5"/>
          <w:sz w:val="32"/>
          <w:szCs w:val="32"/>
        </w:rPr>
        <w:br/>
      </w:r>
    </w:p>
    <w:p w14:paraId="2B8C23F1" w14:textId="77777777" w:rsidR="00914A7F" w:rsidRPr="00FE2A41" w:rsidRDefault="00914A7F" w:rsidP="00914A7F">
      <w:pPr>
        <w:spacing w:before="0"/>
        <w:rPr>
          <w:sz w:val="28"/>
          <w:szCs w:val="32"/>
        </w:rPr>
      </w:pPr>
      <w:r w:rsidRPr="00FE2A41">
        <w:rPr>
          <w:color w:val="4472C4" w:themeColor="accent5"/>
          <w:sz w:val="28"/>
          <w:szCs w:val="32"/>
        </w:rPr>
        <w:t>Implementing Commitment 5.2 of Australia’s Open Government Action Plan</w:t>
      </w:r>
      <w:r>
        <w:rPr>
          <w:color w:val="4472C4" w:themeColor="accent5"/>
          <w:sz w:val="28"/>
          <w:szCs w:val="32"/>
        </w:rPr>
        <w:t xml:space="preserve"> – </w:t>
      </w:r>
      <w:r w:rsidRPr="00F05293">
        <w:rPr>
          <w:color w:val="4472C4" w:themeColor="accent5"/>
          <w:sz w:val="28"/>
          <w:szCs w:val="32"/>
        </w:rPr>
        <w:t>for persons outside of the APS</w:t>
      </w:r>
    </w:p>
    <w:p w14:paraId="3A4BAACB" w14:textId="77777777" w:rsidR="00914A7F" w:rsidRDefault="00914A7F" w:rsidP="00914A7F">
      <w:pPr>
        <w:spacing w:before="0"/>
        <w:rPr>
          <w:b/>
          <w:color w:val="4472C4" w:themeColor="accent5"/>
        </w:rPr>
      </w:pPr>
    </w:p>
    <w:p w14:paraId="03E40A36" w14:textId="77777777" w:rsidR="00914A7F" w:rsidRDefault="00914A7F" w:rsidP="00914A7F">
      <w:pPr>
        <w:spacing w:before="0"/>
        <w:rPr>
          <w:b/>
          <w:color w:val="4472C4" w:themeColor="accent5"/>
        </w:rPr>
      </w:pPr>
      <w:r>
        <w:rPr>
          <w:b/>
          <w:color w:val="4472C4" w:themeColor="accent5"/>
        </w:rPr>
        <w:t xml:space="preserve">Problem statement </w:t>
      </w:r>
    </w:p>
    <w:p w14:paraId="5E6872A3" w14:textId="77777777" w:rsidR="00914A7F" w:rsidRPr="00A23BEB" w:rsidRDefault="00914A7F" w:rsidP="00914A7F">
      <w:pPr>
        <w:spacing w:before="0"/>
      </w:pPr>
      <w:r w:rsidRPr="00A23BEB">
        <w:t xml:space="preserve">Greater engagement and participation with the community have been shown to improve both government decision making and the level of </w:t>
      </w:r>
      <w:r>
        <w:t>confidence in those decisions. </w:t>
      </w:r>
      <w:r w:rsidRPr="00A23BEB">
        <w:t>There is a broad spectrum of ways to engage with the community.</w:t>
      </w:r>
      <w:r>
        <w:t xml:space="preserve"> </w:t>
      </w:r>
      <w:r w:rsidRPr="00A23BEB">
        <w:t xml:space="preserve">A lot is happening in this space and </w:t>
      </w:r>
      <w:r>
        <w:t xml:space="preserve">there are </w:t>
      </w:r>
      <w:r w:rsidRPr="00A23BEB">
        <w:t>a lot of options.</w:t>
      </w:r>
      <w:r>
        <w:t xml:space="preserve"> </w:t>
      </w:r>
      <w:r w:rsidRPr="00A23BEB">
        <w:t>Indeed, Australia has a strong international reputation for engagement and participation based to an extent on activities undertaken at the state and local levels. Is this actually the case, and if it is, why? What are the barriers to the Commonwealth utilising a broader range of engagement activities and what would be the conditions that would see the Commonwealth better utilise the full range of approaches?</w:t>
      </w:r>
    </w:p>
    <w:p w14:paraId="6802B9D1" w14:textId="77777777" w:rsidR="00914A7F" w:rsidRDefault="00914A7F" w:rsidP="00914A7F">
      <w:pPr>
        <w:spacing w:before="0"/>
        <w:rPr>
          <w:b/>
          <w:color w:val="4472C4" w:themeColor="accent5"/>
        </w:rPr>
      </w:pPr>
    </w:p>
    <w:p w14:paraId="4B9F88A0" w14:textId="77777777" w:rsidR="00914A7F" w:rsidRDefault="00914A7F" w:rsidP="00914A7F">
      <w:pPr>
        <w:spacing w:before="0"/>
        <w:rPr>
          <w:b/>
          <w:color w:val="4472C4" w:themeColor="accent5"/>
        </w:rPr>
      </w:pPr>
      <w:r>
        <w:rPr>
          <w:b/>
          <w:color w:val="4472C4" w:themeColor="accent5"/>
        </w:rPr>
        <w:t>Hypothesis we are testing</w:t>
      </w:r>
    </w:p>
    <w:p w14:paraId="42494C13" w14:textId="77777777" w:rsidR="00914A7F" w:rsidRDefault="00914A7F" w:rsidP="00914A7F">
      <w:pPr>
        <w:spacing w:before="0"/>
      </w:pPr>
      <w:r>
        <w:t>Our hypothesis is that:</w:t>
      </w:r>
    </w:p>
    <w:p w14:paraId="10F8489A" w14:textId="77777777" w:rsidR="00914A7F" w:rsidRDefault="00914A7F" w:rsidP="00914A7F">
      <w:pPr>
        <w:spacing w:before="0"/>
      </w:pPr>
      <w:r>
        <w:t xml:space="preserve">The APS </w:t>
      </w:r>
      <w:r w:rsidRPr="00A23BEB">
        <w:t xml:space="preserve">is </w:t>
      </w:r>
      <w:r>
        <w:t>less active in respect of engagement and participation with the community due to a lack of:</w:t>
      </w:r>
    </w:p>
    <w:p w14:paraId="2005EB4D" w14:textId="77777777" w:rsidR="00914A7F" w:rsidRDefault="00914A7F" w:rsidP="00914A7F">
      <w:pPr>
        <w:pStyle w:val="ListParagraph"/>
        <w:numPr>
          <w:ilvl w:val="0"/>
          <w:numId w:val="29"/>
        </w:numPr>
        <w:spacing w:before="0"/>
        <w:contextualSpacing w:val="0"/>
      </w:pPr>
      <w:r>
        <w:t>confidence in the potential benefits to decision making from such activities relative to the time and cost involved;</w:t>
      </w:r>
    </w:p>
    <w:p w14:paraId="1E20BB06" w14:textId="77777777" w:rsidR="00914A7F" w:rsidRDefault="00914A7F" w:rsidP="00914A7F">
      <w:pPr>
        <w:pStyle w:val="ListParagraph"/>
        <w:numPr>
          <w:ilvl w:val="0"/>
          <w:numId w:val="29"/>
        </w:numPr>
        <w:spacing w:before="0"/>
        <w:contextualSpacing w:val="0"/>
      </w:pPr>
      <w:r>
        <w:t>a lack of awareness of the practices that are available; and</w:t>
      </w:r>
    </w:p>
    <w:p w14:paraId="68B384AF" w14:textId="77777777" w:rsidR="00914A7F" w:rsidRDefault="00914A7F" w:rsidP="00914A7F">
      <w:pPr>
        <w:pStyle w:val="ListParagraph"/>
        <w:numPr>
          <w:ilvl w:val="0"/>
          <w:numId w:val="29"/>
        </w:numPr>
        <w:spacing w:before="0"/>
        <w:contextualSpacing w:val="0"/>
      </w:pPr>
      <w:r>
        <w:t>capability to execute such activities in an effective way</w:t>
      </w:r>
      <w:r>
        <w:rPr>
          <w:color w:val="1F497D"/>
        </w:rPr>
        <w:t>.</w:t>
      </w:r>
    </w:p>
    <w:p w14:paraId="49F60D8F" w14:textId="77777777" w:rsidR="00914A7F" w:rsidRDefault="00914A7F" w:rsidP="00914A7F">
      <w:pPr>
        <w:spacing w:before="0"/>
        <w:rPr>
          <w:b/>
          <w:color w:val="4472C4" w:themeColor="accent5"/>
        </w:rPr>
      </w:pPr>
    </w:p>
    <w:p w14:paraId="7F72F492" w14:textId="77777777" w:rsidR="00914A7F" w:rsidRDefault="00914A7F" w:rsidP="00914A7F">
      <w:pPr>
        <w:spacing w:before="0"/>
        <w:rPr>
          <w:b/>
          <w:color w:val="4472C4" w:themeColor="accent5"/>
        </w:rPr>
      </w:pPr>
      <w:r>
        <w:rPr>
          <w:b/>
          <w:color w:val="4472C4" w:themeColor="accent5"/>
        </w:rPr>
        <w:t>Setup: 10 minutes max</w:t>
      </w:r>
    </w:p>
    <w:p w14:paraId="781D8C22" w14:textId="77777777" w:rsidR="00914A7F" w:rsidRPr="00D02725" w:rsidRDefault="00914A7F" w:rsidP="00914A7F">
      <w:pPr>
        <w:pStyle w:val="ListParagraph"/>
        <w:numPr>
          <w:ilvl w:val="0"/>
          <w:numId w:val="39"/>
        </w:numPr>
        <w:spacing w:before="0"/>
        <w:contextualSpacing w:val="0"/>
      </w:pPr>
      <w:r w:rsidRPr="00D02725">
        <w:t>Contact participant.</w:t>
      </w:r>
    </w:p>
    <w:p w14:paraId="2095E160" w14:textId="77777777" w:rsidR="00914A7F" w:rsidRPr="00D02725" w:rsidRDefault="00914A7F" w:rsidP="00914A7F">
      <w:pPr>
        <w:pStyle w:val="ListParagraph"/>
        <w:numPr>
          <w:ilvl w:val="0"/>
          <w:numId w:val="39"/>
        </w:numPr>
        <w:spacing w:before="0"/>
        <w:contextualSpacing w:val="0"/>
      </w:pPr>
      <w:r w:rsidRPr="00D02725">
        <w:t xml:space="preserve">Introduce self and project </w:t>
      </w:r>
      <w:r>
        <w:t>problem statement.</w:t>
      </w:r>
    </w:p>
    <w:p w14:paraId="30F3DE71" w14:textId="77777777" w:rsidR="00914A7F" w:rsidRDefault="00914A7F" w:rsidP="00914A7F">
      <w:pPr>
        <w:pStyle w:val="ListParagraph"/>
        <w:numPr>
          <w:ilvl w:val="0"/>
          <w:numId w:val="39"/>
        </w:numPr>
        <w:spacing w:before="0"/>
        <w:contextualSpacing w:val="0"/>
      </w:pPr>
      <w:r w:rsidRPr="00D02725">
        <w:t xml:space="preserve">Settle </w:t>
      </w:r>
      <w:r>
        <w:t>a time and place – where they work.</w:t>
      </w:r>
    </w:p>
    <w:p w14:paraId="16A9623B" w14:textId="77777777" w:rsidR="00914A7F" w:rsidRDefault="00914A7F" w:rsidP="00914A7F">
      <w:pPr>
        <w:pStyle w:val="ListParagraph"/>
        <w:numPr>
          <w:ilvl w:val="0"/>
          <w:numId w:val="39"/>
        </w:numPr>
        <w:spacing w:before="0"/>
        <w:contextualSpacing w:val="0"/>
      </w:pPr>
      <w:r>
        <w:t>Thank them.</w:t>
      </w:r>
    </w:p>
    <w:p w14:paraId="7B2A285A" w14:textId="77777777" w:rsidR="00914A7F" w:rsidRDefault="00914A7F" w:rsidP="00914A7F">
      <w:pPr>
        <w:spacing w:before="0"/>
        <w:rPr>
          <w:b/>
          <w:color w:val="4472C4" w:themeColor="accent5"/>
        </w:rPr>
      </w:pPr>
    </w:p>
    <w:p w14:paraId="1B5B0A5F" w14:textId="77777777" w:rsidR="00914A7F" w:rsidRDefault="00914A7F" w:rsidP="00914A7F">
      <w:pPr>
        <w:spacing w:before="0"/>
        <w:rPr>
          <w:b/>
          <w:color w:val="4472C4" w:themeColor="accent5"/>
        </w:rPr>
      </w:pPr>
      <w:r>
        <w:rPr>
          <w:b/>
          <w:color w:val="4472C4" w:themeColor="accent5"/>
        </w:rPr>
        <w:t>First contact: Build rapport (1-2 minutes)</w:t>
      </w:r>
    </w:p>
    <w:p w14:paraId="0EA993CA" w14:textId="77777777" w:rsidR="00914A7F" w:rsidRDefault="00914A7F" w:rsidP="00914A7F">
      <w:pPr>
        <w:pStyle w:val="ListParagraph"/>
        <w:numPr>
          <w:ilvl w:val="0"/>
          <w:numId w:val="39"/>
        </w:numPr>
        <w:spacing w:before="0"/>
        <w:contextualSpacing w:val="0"/>
      </w:pPr>
      <w:r>
        <w:t>Ideally, meet them in the space where they might interact or engage with government. This will help participants recall memories and help contextualise their responses. You could also ask for a quick tour (apply judgment!). Familiar surroundings will also build their confidence and help them to overcome inhibitions – interviewing for empathy can be a confronting process!</w:t>
      </w:r>
    </w:p>
    <w:p w14:paraId="1A97657B" w14:textId="77777777" w:rsidR="00914A7F" w:rsidRDefault="00914A7F" w:rsidP="00914A7F">
      <w:pPr>
        <w:pStyle w:val="ListParagraph"/>
        <w:numPr>
          <w:ilvl w:val="0"/>
          <w:numId w:val="39"/>
        </w:numPr>
        <w:spacing w:before="0"/>
        <w:contextualSpacing w:val="0"/>
      </w:pPr>
      <w:r>
        <w:t>Although some people will not want to have the conversation there – that’s OK too.</w:t>
      </w:r>
    </w:p>
    <w:p w14:paraId="3D1CE2E5" w14:textId="77777777" w:rsidR="00914A7F" w:rsidRDefault="00914A7F" w:rsidP="00914A7F">
      <w:pPr>
        <w:spacing w:before="0"/>
        <w:rPr>
          <w:b/>
          <w:color w:val="4472C4" w:themeColor="accent5"/>
        </w:rPr>
      </w:pPr>
    </w:p>
    <w:p w14:paraId="18394269" w14:textId="77777777" w:rsidR="00914A7F" w:rsidRDefault="00914A7F" w:rsidP="00914A7F">
      <w:pPr>
        <w:spacing w:before="0"/>
        <w:rPr>
          <w:b/>
          <w:color w:val="4472C4" w:themeColor="accent5"/>
        </w:rPr>
      </w:pPr>
      <w:r>
        <w:rPr>
          <w:b/>
          <w:color w:val="4472C4" w:themeColor="accent5"/>
        </w:rPr>
        <w:t>Introduce self and project</w:t>
      </w:r>
      <w:r w:rsidRPr="009D0442">
        <w:rPr>
          <w:b/>
          <w:color w:val="4472C4" w:themeColor="accent5"/>
        </w:rPr>
        <w:t xml:space="preserve"> (5 Mins)</w:t>
      </w:r>
      <w:r>
        <w:rPr>
          <w:b/>
          <w:color w:val="4472C4" w:themeColor="accent5"/>
        </w:rPr>
        <w:t xml:space="preserve"> </w:t>
      </w:r>
    </w:p>
    <w:p w14:paraId="67B57A1A" w14:textId="77777777" w:rsidR="00914A7F" w:rsidRPr="00DA6DAC" w:rsidRDefault="00914A7F" w:rsidP="00914A7F">
      <w:pPr>
        <w:spacing w:before="0"/>
        <w:rPr>
          <w:color w:val="4472C4" w:themeColor="accent5"/>
        </w:rPr>
      </w:pPr>
      <w:r w:rsidRPr="00DA6DAC">
        <w:rPr>
          <w:color w:val="4472C4" w:themeColor="accent5"/>
        </w:rPr>
        <w:t>Potentially could be done at the end if rapport is being established and the conversation naturally leading towards</w:t>
      </w:r>
      <w:r>
        <w:rPr>
          <w:color w:val="4472C4" w:themeColor="accent5"/>
        </w:rPr>
        <w:t xml:space="preserve"> the project</w:t>
      </w:r>
      <w:r w:rsidRPr="00DA6DAC">
        <w:rPr>
          <w:color w:val="4472C4" w:themeColor="accent5"/>
        </w:rPr>
        <w:t xml:space="preserve"> – no need to interrupt.</w:t>
      </w:r>
    </w:p>
    <w:p w14:paraId="381A2DFC" w14:textId="77777777" w:rsidR="00914A7F" w:rsidRDefault="00914A7F" w:rsidP="00914A7F">
      <w:pPr>
        <w:pStyle w:val="ListParagraph"/>
        <w:numPr>
          <w:ilvl w:val="0"/>
          <w:numId w:val="39"/>
        </w:numPr>
        <w:spacing w:before="0"/>
        <w:contextualSpacing w:val="0"/>
      </w:pPr>
      <w:r>
        <w:t>Introduce interviewers.</w:t>
      </w:r>
    </w:p>
    <w:p w14:paraId="5F62DDA8" w14:textId="77777777" w:rsidR="00914A7F" w:rsidRDefault="00914A7F" w:rsidP="00914A7F">
      <w:pPr>
        <w:pStyle w:val="ListParagraph"/>
        <w:spacing w:before="0"/>
      </w:pPr>
    </w:p>
    <w:p w14:paraId="6EDE7050" w14:textId="77777777" w:rsidR="00914A7F" w:rsidRDefault="00914A7F" w:rsidP="00914A7F">
      <w:pPr>
        <w:pStyle w:val="ListParagraph"/>
        <w:numPr>
          <w:ilvl w:val="0"/>
          <w:numId w:val="39"/>
        </w:numPr>
        <w:spacing w:before="0"/>
        <w:contextualSpacing w:val="0"/>
      </w:pPr>
      <w:r>
        <w:t xml:space="preserve">Our project is to implement Commitment 5.2 of Australia’s Open Government Action Plan. Commitment 5.2 aims to increase public participation in policy and programmes by </w:t>
      </w:r>
      <w:r>
        <w:lastRenderedPageBreak/>
        <w:t>developing a whole-of-government framework for public participation and engagement; and trialling some public participation initiatives.</w:t>
      </w:r>
    </w:p>
    <w:p w14:paraId="668797AF" w14:textId="77777777" w:rsidR="00914A7F" w:rsidRDefault="00914A7F" w:rsidP="00914A7F">
      <w:pPr>
        <w:pStyle w:val="ListParagraph"/>
        <w:spacing w:before="0"/>
      </w:pPr>
    </w:p>
    <w:p w14:paraId="7AD300B1" w14:textId="77777777" w:rsidR="00914A7F" w:rsidRDefault="00914A7F" w:rsidP="00914A7F">
      <w:pPr>
        <w:pStyle w:val="ListParagraph"/>
        <w:numPr>
          <w:ilvl w:val="0"/>
          <w:numId w:val="39"/>
        </w:numPr>
        <w:spacing w:before="0"/>
        <w:contextualSpacing w:val="0"/>
      </w:pPr>
      <w:r>
        <w:t>When we talk about improving ‘engagement’ or ‘participation’ or ‘initiatives’ we mean it in the broadest sense. So yes, we mean improving how the government makes information public like on business.gov.au or the Tax Office’s website, or when it writes to people. We mean improving conventional consultation like consultation on policies and legislation through a discussion paper process. We also mean exploring engagement that means ordinary people get involved far more than just being able to send a submission or write corro. For example:</w:t>
      </w:r>
    </w:p>
    <w:p w14:paraId="0BCE8AA1" w14:textId="77777777" w:rsidR="00914A7F" w:rsidRDefault="00914A7F" w:rsidP="00914A7F">
      <w:pPr>
        <w:pStyle w:val="ListParagraph"/>
        <w:spacing w:before="0"/>
      </w:pPr>
    </w:p>
    <w:p w14:paraId="0DA8ED93" w14:textId="77777777" w:rsidR="00914A7F" w:rsidRDefault="00914A7F" w:rsidP="00914A7F">
      <w:pPr>
        <w:pStyle w:val="ListParagraph"/>
        <w:numPr>
          <w:ilvl w:val="1"/>
          <w:numId w:val="39"/>
        </w:numPr>
        <w:spacing w:before="0"/>
        <w:contextualSpacing w:val="0"/>
      </w:pPr>
      <w:r>
        <w:t>Participatory budgeting and grantmaking – in South Australia the government has grants that the public can go online and vote on to decide what the money gets spent on, rather than always using panels of experts.</w:t>
      </w:r>
    </w:p>
    <w:p w14:paraId="24AEE4E4" w14:textId="77777777" w:rsidR="00914A7F" w:rsidRDefault="00914A7F" w:rsidP="00914A7F">
      <w:pPr>
        <w:pStyle w:val="ListParagraph"/>
        <w:numPr>
          <w:ilvl w:val="1"/>
          <w:numId w:val="39"/>
        </w:numPr>
        <w:spacing w:before="0"/>
        <w:contextualSpacing w:val="0"/>
      </w:pPr>
      <w:r>
        <w:t>DSS Engage – this is a website on which people can see what the Department of Social Services is talking to the public about (e.g. the National Disability Insurance Scheme and social security) and people can post their view or put in a longer and formal submission.</w:t>
      </w:r>
    </w:p>
    <w:p w14:paraId="648FB30D" w14:textId="77777777" w:rsidR="00914A7F" w:rsidRDefault="00914A7F" w:rsidP="00914A7F">
      <w:pPr>
        <w:pStyle w:val="ListParagraph"/>
        <w:numPr>
          <w:ilvl w:val="1"/>
          <w:numId w:val="39"/>
        </w:numPr>
        <w:spacing w:before="0"/>
        <w:contextualSpacing w:val="0"/>
      </w:pPr>
      <w:r>
        <w:t>On the extreme end of the scale - online petitioning and really direct democracy: Americans can go on websites like We the people and put up petitions to change laws.</w:t>
      </w:r>
    </w:p>
    <w:p w14:paraId="77D4EAB6" w14:textId="77777777" w:rsidR="00914A7F" w:rsidRDefault="00914A7F" w:rsidP="00914A7F">
      <w:pPr>
        <w:pStyle w:val="ListParagraph"/>
        <w:spacing w:before="0"/>
      </w:pPr>
    </w:p>
    <w:p w14:paraId="3E3D4506" w14:textId="77777777" w:rsidR="00914A7F" w:rsidRDefault="00914A7F" w:rsidP="00914A7F">
      <w:pPr>
        <w:pStyle w:val="ListParagraph"/>
        <w:numPr>
          <w:ilvl w:val="0"/>
          <w:numId w:val="39"/>
        </w:numPr>
        <w:spacing w:before="0"/>
        <w:contextualSpacing w:val="0"/>
      </w:pPr>
      <w:r>
        <w:t xml:space="preserve">We are seeking to understand why public servants don’t use more sophisticated ways to get views from experts and members of the public – and when and why they do. After all, the technologies and methods to talk to and work with people have been around for a while – why aren’t they being adopted more widely? Why do we usually still fall back on the bread-and-butter release a consultation paper and seek submissions kind of talking to (or at) the public? </w:t>
      </w:r>
    </w:p>
    <w:p w14:paraId="4F8DC93A" w14:textId="77777777" w:rsidR="00914A7F" w:rsidRDefault="00914A7F" w:rsidP="00914A7F">
      <w:pPr>
        <w:pStyle w:val="ListParagraph"/>
        <w:spacing w:before="0"/>
      </w:pPr>
    </w:p>
    <w:p w14:paraId="0D6D8BF1" w14:textId="77777777" w:rsidR="00914A7F" w:rsidRDefault="00914A7F" w:rsidP="00914A7F">
      <w:pPr>
        <w:pStyle w:val="ListParagraph"/>
        <w:numPr>
          <w:ilvl w:val="0"/>
          <w:numId w:val="39"/>
        </w:numPr>
        <w:spacing w:before="0"/>
        <w:contextualSpacing w:val="0"/>
      </w:pPr>
      <w:r>
        <w:t xml:space="preserve">To that end, we’d like to hear about your experience of engaging with the public service and the government. This can help us understand your point of view and design a framework that helps public servants be aware of how they can talk to people; what problems are amenable to being solved with assistance from the public; and how to get help from the public in a more sophisticated and meaningful way. </w:t>
      </w:r>
    </w:p>
    <w:p w14:paraId="3E9E562C" w14:textId="77777777" w:rsidR="00914A7F" w:rsidRDefault="00914A7F" w:rsidP="00914A7F">
      <w:pPr>
        <w:pStyle w:val="ListParagraph"/>
        <w:spacing w:before="0"/>
      </w:pPr>
    </w:p>
    <w:p w14:paraId="5B5CA39C" w14:textId="77777777" w:rsidR="00914A7F" w:rsidRDefault="00914A7F" w:rsidP="00914A7F">
      <w:pPr>
        <w:pStyle w:val="ListParagraph"/>
        <w:numPr>
          <w:ilvl w:val="0"/>
          <w:numId w:val="39"/>
        </w:numPr>
        <w:spacing w:before="0"/>
        <w:contextualSpacing w:val="0"/>
      </w:pPr>
      <w:r>
        <w:t>So thanks for volunteering!</w:t>
      </w:r>
    </w:p>
    <w:p w14:paraId="0BFD7868" w14:textId="77777777" w:rsidR="00914A7F" w:rsidRDefault="00914A7F" w:rsidP="00914A7F">
      <w:pPr>
        <w:pStyle w:val="ListParagraph"/>
        <w:spacing w:before="0"/>
      </w:pPr>
    </w:p>
    <w:p w14:paraId="1600F45E" w14:textId="77777777" w:rsidR="00914A7F" w:rsidRDefault="00914A7F" w:rsidP="00914A7F">
      <w:pPr>
        <w:pStyle w:val="ListParagraph"/>
        <w:numPr>
          <w:ilvl w:val="0"/>
          <w:numId w:val="39"/>
        </w:numPr>
        <w:spacing w:before="0"/>
        <w:contextualSpacing w:val="0"/>
      </w:pPr>
      <w:r>
        <w:t xml:space="preserve">The process we’re using is interviewing for empathy – instead of asking you very direct questions, we’re instead going to be asking open ended questions to try to understand how consultation works on the ground. Have you ever done something like this before? </w:t>
      </w:r>
    </w:p>
    <w:p w14:paraId="3DAB71AC" w14:textId="77777777" w:rsidR="00914A7F" w:rsidRDefault="00914A7F" w:rsidP="00914A7F">
      <w:pPr>
        <w:pStyle w:val="ListParagraph"/>
        <w:spacing w:before="0"/>
      </w:pPr>
    </w:p>
    <w:p w14:paraId="75349DCF" w14:textId="77777777" w:rsidR="00914A7F" w:rsidRDefault="00914A7F" w:rsidP="00914A7F">
      <w:pPr>
        <w:pStyle w:val="ListParagraph"/>
        <w:numPr>
          <w:ilvl w:val="0"/>
          <w:numId w:val="39"/>
        </w:numPr>
        <w:spacing w:before="0"/>
        <w:contextualSpacing w:val="0"/>
      </w:pPr>
      <w:r>
        <w:t>We don’t want to lead you in any particular direction. We want you to be open and honest. We want to hear what your experience is like in your own words. We want to know what you think the issues really are, not to summarise some memories or give us a theoretical or textbook explanation.</w:t>
      </w:r>
    </w:p>
    <w:p w14:paraId="7E971597" w14:textId="77777777" w:rsidR="00914A7F" w:rsidRDefault="00914A7F" w:rsidP="00914A7F">
      <w:pPr>
        <w:pStyle w:val="ListParagraph"/>
        <w:spacing w:before="0"/>
      </w:pPr>
    </w:p>
    <w:p w14:paraId="05244AC1" w14:textId="77777777" w:rsidR="00914A7F" w:rsidRDefault="00914A7F" w:rsidP="00914A7F">
      <w:pPr>
        <w:pStyle w:val="ListParagraph"/>
        <w:numPr>
          <w:ilvl w:val="0"/>
          <w:numId w:val="39"/>
        </w:numPr>
        <w:spacing w:before="0"/>
        <w:contextualSpacing w:val="0"/>
      </w:pPr>
      <w:r>
        <w:t xml:space="preserve">Sometimes we might be furiously agreeing with you but still not say a great deal or validate with body language. That is only because we want your raw feedback, not because anything is going wrong. </w:t>
      </w:r>
    </w:p>
    <w:p w14:paraId="5C547C31" w14:textId="77777777" w:rsidR="00914A7F" w:rsidRDefault="00914A7F" w:rsidP="00914A7F">
      <w:pPr>
        <w:pStyle w:val="ListParagraph"/>
        <w:spacing w:before="0"/>
      </w:pPr>
    </w:p>
    <w:p w14:paraId="302D58D7" w14:textId="77777777" w:rsidR="00914A7F" w:rsidRPr="00DA0767" w:rsidRDefault="00914A7F" w:rsidP="00914A7F">
      <w:pPr>
        <w:pStyle w:val="ListParagraph"/>
        <w:numPr>
          <w:ilvl w:val="0"/>
          <w:numId w:val="39"/>
        </w:numPr>
        <w:spacing w:before="0"/>
        <w:contextualSpacing w:val="0"/>
      </w:pPr>
      <w:r>
        <w:t xml:space="preserve">Of course, what you say will be strictly confidential. </w:t>
      </w:r>
      <w:r w:rsidRPr="00DA0767">
        <w:t>A written record will be made of the research session. The information collected will only be used for research purposes and you will not be identifiable. Your information will be held in confidence and your details will never be revealed without your permission.</w:t>
      </w:r>
    </w:p>
    <w:p w14:paraId="56B5FF4E" w14:textId="77777777" w:rsidR="00914A7F" w:rsidRDefault="00914A7F" w:rsidP="00914A7F">
      <w:pPr>
        <w:pStyle w:val="ListParagraph"/>
        <w:spacing w:before="0"/>
      </w:pPr>
    </w:p>
    <w:p w14:paraId="1F102CF4" w14:textId="77777777" w:rsidR="00914A7F" w:rsidRDefault="00914A7F" w:rsidP="00914A7F">
      <w:pPr>
        <w:pStyle w:val="ListParagraph"/>
        <w:numPr>
          <w:ilvl w:val="0"/>
          <w:numId w:val="39"/>
        </w:numPr>
        <w:spacing w:before="0"/>
        <w:contextualSpacing w:val="0"/>
      </w:pPr>
      <w:r>
        <w:t>Any questions? No? Ok, let’s get stuck in.</w:t>
      </w:r>
    </w:p>
    <w:p w14:paraId="4A994968" w14:textId="77777777" w:rsidR="00914A7F" w:rsidRDefault="00914A7F" w:rsidP="00914A7F">
      <w:pPr>
        <w:spacing w:before="0"/>
        <w:rPr>
          <w:b/>
        </w:rPr>
      </w:pPr>
    </w:p>
    <w:p w14:paraId="75A20088" w14:textId="77777777" w:rsidR="00914A7F" w:rsidRDefault="00914A7F" w:rsidP="00914A7F">
      <w:pPr>
        <w:spacing w:before="0"/>
        <w:rPr>
          <w:b/>
          <w:color w:val="0070C0"/>
        </w:rPr>
      </w:pPr>
      <w:r>
        <w:rPr>
          <w:b/>
          <w:color w:val="0070C0"/>
        </w:rPr>
        <w:t xml:space="preserve">Potential questions (Bulk of interview – 30-35 minutes) </w:t>
      </w:r>
    </w:p>
    <w:p w14:paraId="62FB54DE" w14:textId="77777777" w:rsidR="00914A7F" w:rsidRPr="00EA1969" w:rsidRDefault="00914A7F" w:rsidP="00914A7F">
      <w:pPr>
        <w:spacing w:before="0"/>
        <w:rPr>
          <w:color w:val="0070C0"/>
        </w:rPr>
      </w:pPr>
      <w:r>
        <w:rPr>
          <w:color w:val="0070C0"/>
        </w:rPr>
        <w:t>A</w:t>
      </w:r>
      <w:r w:rsidRPr="00EA1969">
        <w:rPr>
          <w:color w:val="0070C0"/>
        </w:rPr>
        <w:t>dapt depending on interviewee e.g. public servant, non-government body, citizen</w:t>
      </w:r>
    </w:p>
    <w:p w14:paraId="5EF3C567" w14:textId="77777777" w:rsidR="00914A7F" w:rsidRDefault="00914A7F" w:rsidP="00914A7F">
      <w:pPr>
        <w:pStyle w:val="ListBullet"/>
        <w:spacing w:before="0" w:line="259" w:lineRule="auto"/>
        <w:ind w:left="360" w:hanging="360"/>
      </w:pPr>
      <w:r>
        <w:t>How do you engage or talk to public servants and government, and when? Any kind of engagement - whether providing information, on the phone, surveys, emails, websites, letters, consulting in a formal process – or anything else you do.</w:t>
      </w:r>
    </w:p>
    <w:p w14:paraId="48E8EAD1" w14:textId="77777777" w:rsidR="00914A7F" w:rsidRDefault="00914A7F" w:rsidP="00914A7F">
      <w:pPr>
        <w:pStyle w:val="ListBullet"/>
        <w:spacing w:before="0" w:line="259" w:lineRule="auto"/>
        <w:ind w:left="360" w:hanging="360"/>
      </w:pPr>
      <w:r>
        <w:t>OR How do you normally talk to government or public servants – this might mean whether providing information, consulting or looking to get public servants involved in or to read your work.</w:t>
      </w:r>
    </w:p>
    <w:p w14:paraId="2A852B12" w14:textId="77777777" w:rsidR="00914A7F" w:rsidRDefault="00914A7F" w:rsidP="00914A7F">
      <w:pPr>
        <w:pStyle w:val="ListBullet"/>
        <w:tabs>
          <w:tab w:val="clear" w:pos="360"/>
          <w:tab w:val="num" w:pos="720"/>
        </w:tabs>
        <w:spacing w:before="0" w:line="259" w:lineRule="auto"/>
        <w:ind w:left="720" w:hanging="360"/>
      </w:pPr>
      <w:r>
        <w:t>Have you learned any good lessons the hard way? [Or: what do you know now you wish you knew then?]</w:t>
      </w:r>
    </w:p>
    <w:p w14:paraId="51D20E88" w14:textId="77777777" w:rsidR="00914A7F" w:rsidRDefault="00914A7F" w:rsidP="00914A7F">
      <w:pPr>
        <w:pStyle w:val="ListBullet"/>
        <w:tabs>
          <w:tab w:val="clear" w:pos="360"/>
          <w:tab w:val="num" w:pos="720"/>
        </w:tabs>
        <w:spacing w:before="0" w:line="259" w:lineRule="auto"/>
        <w:ind w:left="720" w:hanging="360"/>
      </w:pPr>
      <w:r>
        <w:t>What was [that experience] like? [And/or: how did that feel for you?]</w:t>
      </w:r>
    </w:p>
    <w:p w14:paraId="02844BB4" w14:textId="77777777" w:rsidR="00914A7F" w:rsidRDefault="00914A7F" w:rsidP="00914A7F">
      <w:pPr>
        <w:pStyle w:val="ListBullet"/>
        <w:tabs>
          <w:tab w:val="clear" w:pos="360"/>
          <w:tab w:val="num" w:pos="720"/>
        </w:tabs>
        <w:spacing w:before="0" w:line="259" w:lineRule="auto"/>
        <w:ind w:left="720" w:hanging="360"/>
      </w:pPr>
      <w:r>
        <w:t xml:space="preserve">What sensitivities do you encounter? </w:t>
      </w:r>
    </w:p>
    <w:p w14:paraId="2858F921" w14:textId="77777777" w:rsidR="00914A7F" w:rsidRDefault="00914A7F" w:rsidP="00914A7F">
      <w:pPr>
        <w:pStyle w:val="ListBullet"/>
        <w:tabs>
          <w:tab w:val="clear" w:pos="360"/>
          <w:tab w:val="num" w:pos="720"/>
        </w:tabs>
        <w:spacing w:before="0" w:line="259" w:lineRule="auto"/>
        <w:ind w:left="720" w:hanging="360"/>
      </w:pPr>
      <w:r>
        <w:t>Are there any parts of [the engagement process you just described] that are really hard or rewarding? Do you have a memorable experience? [For example initiating? Or wrapping up/closing the loop?]</w:t>
      </w:r>
    </w:p>
    <w:p w14:paraId="785A3E6E" w14:textId="77777777" w:rsidR="00914A7F" w:rsidRDefault="00914A7F" w:rsidP="00914A7F">
      <w:pPr>
        <w:pStyle w:val="ListBullet"/>
        <w:tabs>
          <w:tab w:val="clear" w:pos="360"/>
          <w:tab w:val="num" w:pos="720"/>
        </w:tabs>
        <w:spacing w:before="0" w:line="259" w:lineRule="auto"/>
        <w:ind w:left="720" w:hanging="360"/>
      </w:pPr>
      <w:r>
        <w:t>Are there any cohorts that are tricky to engage? Or easy to engage? What was that like? [For example, senior public servants? Younger ones? Service delivery? Policy officers? Ministers? Members of Parliament? Staff in Ministers’ offices?]</w:t>
      </w:r>
    </w:p>
    <w:p w14:paraId="3919F1D4" w14:textId="77777777" w:rsidR="00914A7F" w:rsidRDefault="00914A7F" w:rsidP="00914A7F">
      <w:pPr>
        <w:pStyle w:val="ListBullet"/>
        <w:tabs>
          <w:tab w:val="clear" w:pos="360"/>
          <w:tab w:val="num" w:pos="720"/>
        </w:tabs>
        <w:spacing w:before="0" w:line="259" w:lineRule="auto"/>
        <w:ind w:left="720" w:hanging="360"/>
      </w:pPr>
      <w:r>
        <w:t>What do you think could have been done differently?</w:t>
      </w:r>
    </w:p>
    <w:p w14:paraId="335F3333" w14:textId="77777777" w:rsidR="00914A7F" w:rsidRDefault="00914A7F" w:rsidP="00914A7F">
      <w:pPr>
        <w:pStyle w:val="ListBullet"/>
        <w:tabs>
          <w:tab w:val="clear" w:pos="360"/>
          <w:tab w:val="num" w:pos="720"/>
        </w:tabs>
        <w:spacing w:before="0" w:line="259" w:lineRule="auto"/>
        <w:ind w:left="720" w:hanging="360"/>
      </w:pPr>
      <w:r>
        <w:t>Is that a typical experience – or do you think it was a once-off? Any commonalities between that experience and what normally happens?</w:t>
      </w:r>
    </w:p>
    <w:p w14:paraId="663BF58E" w14:textId="77777777" w:rsidR="00914A7F" w:rsidRDefault="00914A7F" w:rsidP="00914A7F">
      <w:pPr>
        <w:pStyle w:val="ListBullet"/>
        <w:spacing w:before="0" w:line="259" w:lineRule="auto"/>
        <w:ind w:left="360" w:hanging="360"/>
      </w:pPr>
      <w:r>
        <w:t xml:space="preserve">[If they don’t do much engagement] Why do you think you don’t do much engagement? </w:t>
      </w:r>
    </w:p>
    <w:p w14:paraId="2548341C" w14:textId="77777777" w:rsidR="00914A7F" w:rsidRDefault="00914A7F" w:rsidP="00914A7F">
      <w:pPr>
        <w:pStyle w:val="ListBullet"/>
        <w:tabs>
          <w:tab w:val="clear" w:pos="360"/>
          <w:tab w:val="num" w:pos="720"/>
        </w:tabs>
        <w:spacing w:before="0" w:line="259" w:lineRule="auto"/>
        <w:ind w:left="720" w:hanging="360"/>
      </w:pPr>
      <w:r>
        <w:t>Can you think of a time in your work that you wanted to engage more? Why didn’t you?</w:t>
      </w:r>
    </w:p>
    <w:p w14:paraId="5E03E2BF" w14:textId="77777777" w:rsidR="00914A7F" w:rsidRDefault="00914A7F" w:rsidP="00914A7F">
      <w:pPr>
        <w:pStyle w:val="ListBullet"/>
        <w:spacing w:before="0" w:line="259" w:lineRule="auto"/>
        <w:ind w:left="360" w:hanging="360"/>
      </w:pPr>
      <w:r>
        <w:t>Tell me about your best (or worst or most hilarious) engagement experience – whether initiating contact, or during interaction with government or public servants – anything.</w:t>
      </w:r>
    </w:p>
    <w:p w14:paraId="561EABA7" w14:textId="77777777" w:rsidR="00914A7F" w:rsidRDefault="00914A7F" w:rsidP="00914A7F">
      <w:pPr>
        <w:pStyle w:val="ListBullet"/>
        <w:spacing w:before="0" w:line="259" w:lineRule="auto"/>
        <w:ind w:left="360" w:hanging="360"/>
      </w:pPr>
      <w:r>
        <w:t>Do you get any guidance on how to engage government?</w:t>
      </w:r>
    </w:p>
    <w:p w14:paraId="71ABFF94" w14:textId="77777777" w:rsidR="00914A7F" w:rsidRDefault="00914A7F" w:rsidP="00914A7F">
      <w:pPr>
        <w:pStyle w:val="ListBullet"/>
        <w:tabs>
          <w:tab w:val="clear" w:pos="360"/>
          <w:tab w:val="num" w:pos="720"/>
        </w:tabs>
        <w:spacing w:before="0" w:line="259" w:lineRule="auto"/>
        <w:ind w:left="720" w:hanging="360"/>
      </w:pPr>
      <w:r>
        <w:t>What’s your take on that? How does it work out in reality?</w:t>
      </w:r>
    </w:p>
    <w:p w14:paraId="6E78CFC4" w14:textId="77777777" w:rsidR="00914A7F" w:rsidRDefault="00914A7F" w:rsidP="00914A7F">
      <w:pPr>
        <w:pStyle w:val="ListBullet"/>
        <w:tabs>
          <w:tab w:val="clear" w:pos="360"/>
          <w:tab w:val="num" w:pos="720"/>
        </w:tabs>
        <w:spacing w:before="0" w:line="259" w:lineRule="auto"/>
        <w:ind w:left="720" w:hanging="360"/>
      </w:pPr>
      <w:r>
        <w:t>Why do you think they suggest that?</w:t>
      </w:r>
    </w:p>
    <w:p w14:paraId="2BC78DE9" w14:textId="77777777" w:rsidR="00914A7F" w:rsidRDefault="00914A7F" w:rsidP="00914A7F">
      <w:pPr>
        <w:pStyle w:val="ListBullet"/>
        <w:spacing w:before="0" w:line="259" w:lineRule="auto"/>
        <w:ind w:left="360" w:hanging="360"/>
      </w:pPr>
      <w:r>
        <w:t>Tell me about how you workaround problem [x] in an engagement?</w:t>
      </w:r>
    </w:p>
    <w:p w14:paraId="219BF94A" w14:textId="77777777" w:rsidR="00914A7F" w:rsidRDefault="00914A7F" w:rsidP="00914A7F">
      <w:pPr>
        <w:pStyle w:val="ListBullet"/>
        <w:spacing w:before="0" w:line="259" w:lineRule="auto"/>
        <w:ind w:left="360" w:hanging="360"/>
      </w:pPr>
      <w:r>
        <w:t xml:space="preserve">You said that [x] is an issue. Why do you say that? </w:t>
      </w:r>
    </w:p>
    <w:p w14:paraId="77B756F5" w14:textId="77777777" w:rsidR="00914A7F" w:rsidRDefault="00914A7F" w:rsidP="00914A7F">
      <w:pPr>
        <w:pStyle w:val="ListBullet"/>
        <w:spacing w:before="0" w:line="259" w:lineRule="auto"/>
        <w:ind w:left="360" w:hanging="360"/>
      </w:pPr>
      <w:r>
        <w:t>You said that [y] is important. Why do you say that?</w:t>
      </w:r>
    </w:p>
    <w:p w14:paraId="4F8FF55B" w14:textId="77777777" w:rsidR="00914A7F" w:rsidRDefault="00914A7F" w:rsidP="00914A7F">
      <w:pPr>
        <w:pStyle w:val="ListBullet"/>
        <w:spacing w:before="0" w:line="259" w:lineRule="auto"/>
        <w:ind w:left="360" w:hanging="360"/>
      </w:pPr>
      <w:r>
        <w:t>Why do you think engagement is important? Or not important?</w:t>
      </w:r>
    </w:p>
    <w:p w14:paraId="60C483BE" w14:textId="77777777" w:rsidR="00914A7F" w:rsidRDefault="00914A7F" w:rsidP="00914A7F">
      <w:pPr>
        <w:pStyle w:val="ListBullet"/>
        <w:spacing w:before="0" w:line="259" w:lineRule="auto"/>
        <w:ind w:left="360" w:hanging="360"/>
      </w:pPr>
      <w:r>
        <w:t>Does engagement with the government and public servants assist you in your work? Can you tell me about a time it did, or didn’t help?</w:t>
      </w:r>
    </w:p>
    <w:p w14:paraId="6DFEE823" w14:textId="77777777" w:rsidR="00914A7F" w:rsidRDefault="00914A7F" w:rsidP="00914A7F">
      <w:pPr>
        <w:pStyle w:val="ListBullet"/>
        <w:spacing w:before="0" w:line="259" w:lineRule="auto"/>
        <w:ind w:left="360" w:hanging="360"/>
      </w:pPr>
      <w:r>
        <w:t>What habits do you have in engagement? Why?</w:t>
      </w:r>
    </w:p>
    <w:p w14:paraId="671C77EE" w14:textId="77777777" w:rsidR="00914A7F" w:rsidRDefault="00914A7F" w:rsidP="00914A7F">
      <w:pPr>
        <w:pStyle w:val="ListBullet"/>
        <w:spacing w:before="0" w:line="259" w:lineRule="auto"/>
        <w:ind w:left="360" w:hanging="360"/>
      </w:pPr>
      <w:r>
        <w:t>What would be the biggest bottleneck to engagement you face? Your organisation faces? Why is it an issue?</w:t>
      </w:r>
    </w:p>
    <w:p w14:paraId="4A31D0FC" w14:textId="77777777" w:rsidR="00914A7F" w:rsidRDefault="00914A7F" w:rsidP="00914A7F">
      <w:pPr>
        <w:pStyle w:val="ListBullet"/>
        <w:spacing w:before="0" w:line="259" w:lineRule="auto"/>
        <w:ind w:left="360" w:hanging="360"/>
      </w:pPr>
      <w:r>
        <w:lastRenderedPageBreak/>
        <w:t>What would you change about engagement?</w:t>
      </w:r>
    </w:p>
    <w:p w14:paraId="742B201F" w14:textId="77777777" w:rsidR="00914A7F" w:rsidRDefault="00914A7F" w:rsidP="00914A7F">
      <w:pPr>
        <w:pStyle w:val="ListBullet"/>
        <w:numPr>
          <w:ilvl w:val="0"/>
          <w:numId w:val="0"/>
        </w:numPr>
        <w:spacing w:before="0"/>
        <w:ind w:left="360" w:hanging="360"/>
      </w:pPr>
    </w:p>
    <w:p w14:paraId="357C3787" w14:textId="77777777" w:rsidR="00914A7F" w:rsidRPr="0077121A" w:rsidRDefault="00914A7F" w:rsidP="00914A7F">
      <w:pPr>
        <w:pStyle w:val="ListBullet"/>
        <w:numPr>
          <w:ilvl w:val="0"/>
          <w:numId w:val="0"/>
        </w:numPr>
        <w:spacing w:before="0"/>
        <w:ind w:left="360" w:hanging="360"/>
        <w:rPr>
          <w:rFonts w:cs="Arial"/>
          <w:color w:val="232323"/>
        </w:rPr>
      </w:pPr>
      <w:r>
        <w:t>Potentially: Bring a copy of Commitment 5.2 and problem identification deck.</w:t>
      </w:r>
    </w:p>
    <w:p w14:paraId="796B1007" w14:textId="77777777" w:rsidR="00914A7F" w:rsidRDefault="00914A7F" w:rsidP="00914A7F">
      <w:pPr>
        <w:spacing w:before="0"/>
        <w:rPr>
          <w:b/>
          <w:color w:val="0070C0"/>
        </w:rPr>
      </w:pPr>
    </w:p>
    <w:p w14:paraId="1B52E284" w14:textId="77777777" w:rsidR="00914A7F" w:rsidRPr="000F1287" w:rsidRDefault="00914A7F" w:rsidP="00914A7F">
      <w:pPr>
        <w:spacing w:before="0"/>
        <w:rPr>
          <w:b/>
          <w:color w:val="0070C0"/>
        </w:rPr>
      </w:pPr>
      <w:r>
        <w:rPr>
          <w:b/>
          <w:color w:val="0070C0"/>
        </w:rPr>
        <w:t>Closing and Thank You (5 Mins)</w:t>
      </w:r>
    </w:p>
    <w:p w14:paraId="55C8B319" w14:textId="77777777" w:rsidR="00914A7F" w:rsidRDefault="00914A7F" w:rsidP="00914A7F">
      <w:pPr>
        <w:pStyle w:val="ListParagraph"/>
        <w:numPr>
          <w:ilvl w:val="0"/>
          <w:numId w:val="40"/>
        </w:numPr>
        <w:spacing w:before="0"/>
        <w:contextualSpacing w:val="0"/>
        <w:rPr>
          <w:rFonts w:cs="Arial"/>
          <w:color w:val="232323"/>
        </w:rPr>
      </w:pPr>
      <w:r w:rsidRPr="00EC22CB">
        <w:rPr>
          <w:rFonts w:cs="Arial"/>
          <w:color w:val="232323"/>
        </w:rPr>
        <w:t>That’s the</w:t>
      </w:r>
      <w:r>
        <w:rPr>
          <w:rFonts w:cs="Arial"/>
          <w:color w:val="232323"/>
        </w:rPr>
        <w:t xml:space="preserve"> end of the session. Thank you</w:t>
      </w:r>
      <w:r w:rsidRPr="00EC22CB">
        <w:rPr>
          <w:rFonts w:cs="Arial"/>
          <w:color w:val="232323"/>
        </w:rPr>
        <w:t xml:space="preserve"> for your time</w:t>
      </w:r>
      <w:r>
        <w:rPr>
          <w:rFonts w:cs="Arial"/>
          <w:color w:val="232323"/>
        </w:rPr>
        <w:t xml:space="preserve"> and input</w:t>
      </w:r>
      <w:r w:rsidRPr="00EC22CB">
        <w:rPr>
          <w:rFonts w:cs="Arial"/>
          <w:color w:val="232323"/>
        </w:rPr>
        <w:t xml:space="preserve">, it has been greatly appreciated! </w:t>
      </w:r>
    </w:p>
    <w:p w14:paraId="0F8BBB6C" w14:textId="77777777" w:rsidR="00914A7F" w:rsidRDefault="00914A7F" w:rsidP="00914A7F">
      <w:pPr>
        <w:pStyle w:val="ListParagraph"/>
        <w:numPr>
          <w:ilvl w:val="0"/>
          <w:numId w:val="40"/>
        </w:numPr>
        <w:spacing w:before="0"/>
        <w:contextualSpacing w:val="0"/>
        <w:rPr>
          <w:rFonts w:cs="Arial"/>
          <w:color w:val="232323"/>
        </w:rPr>
      </w:pPr>
      <w:r>
        <w:rPr>
          <w:rFonts w:cs="Arial"/>
          <w:color w:val="232323"/>
        </w:rPr>
        <w:t xml:space="preserve">Optional: I thought it was really interesting that… </w:t>
      </w:r>
    </w:p>
    <w:p w14:paraId="7EA1E2F1" w14:textId="77777777" w:rsidR="00914A7F" w:rsidRDefault="00914A7F" w:rsidP="00914A7F">
      <w:pPr>
        <w:pStyle w:val="ListParagraph"/>
        <w:numPr>
          <w:ilvl w:val="0"/>
          <w:numId w:val="40"/>
        </w:numPr>
        <w:spacing w:before="0"/>
        <w:contextualSpacing w:val="0"/>
        <w:rPr>
          <w:rFonts w:cs="Arial"/>
          <w:color w:val="232323"/>
        </w:rPr>
      </w:pPr>
      <w:r>
        <w:rPr>
          <w:rFonts w:cs="Arial"/>
          <w:color w:val="232323"/>
        </w:rPr>
        <w:t>We’re happy to share the outcomes of our project.</w:t>
      </w:r>
    </w:p>
    <w:p w14:paraId="238C270C" w14:textId="77777777" w:rsidR="00914A7F" w:rsidRPr="00EA1969" w:rsidRDefault="00914A7F" w:rsidP="00914A7F">
      <w:pPr>
        <w:pStyle w:val="ListParagraph"/>
        <w:numPr>
          <w:ilvl w:val="0"/>
          <w:numId w:val="40"/>
        </w:numPr>
        <w:spacing w:before="0"/>
        <w:contextualSpacing w:val="0"/>
        <w:rPr>
          <w:rFonts w:cs="Arial"/>
          <w:color w:val="232323"/>
        </w:rPr>
      </w:pPr>
      <w:r w:rsidRPr="00EA1969">
        <w:rPr>
          <w:rFonts w:cs="Arial"/>
          <w:color w:val="232323"/>
        </w:rPr>
        <w:t xml:space="preserve">[Anything that acknowledges some insight </w:t>
      </w:r>
      <w:r>
        <w:rPr>
          <w:rFonts w:cs="Arial"/>
          <w:color w:val="232323"/>
        </w:rPr>
        <w:t>the interviewee has</w:t>
      </w:r>
      <w:r w:rsidRPr="00EA1969">
        <w:rPr>
          <w:rFonts w:cs="Arial"/>
          <w:color w:val="232323"/>
        </w:rPr>
        <w:t xml:space="preserve"> provided and maybe talk a little more about the method we used in the interview.</w:t>
      </w:r>
      <w:r>
        <w:rPr>
          <w:rFonts w:cs="Arial"/>
          <w:color w:val="232323"/>
        </w:rPr>
        <w:t xml:space="preserve"> </w:t>
      </w:r>
      <w:r w:rsidRPr="00EA1969">
        <w:rPr>
          <w:rFonts w:cs="Arial"/>
          <w:color w:val="232323"/>
        </w:rPr>
        <w:t>This will help establish credibility in the process</w:t>
      </w:r>
      <w:r>
        <w:rPr>
          <w:rFonts w:cs="Arial"/>
          <w:color w:val="232323"/>
        </w:rPr>
        <w:t>].</w:t>
      </w:r>
    </w:p>
    <w:p w14:paraId="52C2B5A0" w14:textId="77777777" w:rsidR="00914A7F" w:rsidRPr="00EC22CB" w:rsidRDefault="00914A7F" w:rsidP="00914A7F">
      <w:pPr>
        <w:pStyle w:val="ListParagraph"/>
        <w:spacing w:before="0"/>
        <w:rPr>
          <w:rFonts w:cs="Arial"/>
          <w:color w:val="232323"/>
        </w:rPr>
      </w:pPr>
    </w:p>
    <w:p w14:paraId="12BE92CB" w14:textId="77777777" w:rsidR="00914A7F" w:rsidRPr="0040281A" w:rsidRDefault="00914A7F" w:rsidP="00914A7F">
      <w:pPr>
        <w:spacing w:before="0"/>
        <w:rPr>
          <w:b/>
          <w:color w:val="0070C0"/>
        </w:rPr>
      </w:pPr>
      <w:r w:rsidRPr="0040281A">
        <w:rPr>
          <w:b/>
          <w:color w:val="0070C0"/>
        </w:rPr>
        <w:t>Principles</w:t>
      </w:r>
      <w:r>
        <w:rPr>
          <w:b/>
          <w:color w:val="0070C0"/>
        </w:rPr>
        <w:t xml:space="preserve"> – see Bizlab UCD research field guide for detail</w:t>
      </w:r>
    </w:p>
    <w:p w14:paraId="34123D27" w14:textId="77777777" w:rsidR="00914A7F" w:rsidRDefault="00914A7F" w:rsidP="00914A7F">
      <w:pPr>
        <w:spacing w:before="0"/>
      </w:pPr>
      <w:r>
        <w:t>Don’t forget:</w:t>
      </w:r>
    </w:p>
    <w:p w14:paraId="3AC0DEFB" w14:textId="77777777" w:rsidR="00914A7F" w:rsidRDefault="00914A7F" w:rsidP="00914A7F">
      <w:pPr>
        <w:pStyle w:val="ListParagraph"/>
        <w:numPr>
          <w:ilvl w:val="0"/>
          <w:numId w:val="41"/>
        </w:numPr>
        <w:spacing w:before="0"/>
        <w:contextualSpacing w:val="0"/>
      </w:pPr>
      <w:r>
        <w:t>Ask why. Why. Why. Even if it seems obvious. This will help avoid false consensus and develop deeper understandings.</w:t>
      </w:r>
    </w:p>
    <w:p w14:paraId="1437068C" w14:textId="77777777" w:rsidR="00914A7F" w:rsidRDefault="00914A7F" w:rsidP="00914A7F">
      <w:pPr>
        <w:pStyle w:val="ListParagraph"/>
        <w:numPr>
          <w:ilvl w:val="0"/>
          <w:numId w:val="41"/>
        </w:numPr>
        <w:spacing w:before="0"/>
        <w:contextualSpacing w:val="0"/>
      </w:pPr>
      <w:r>
        <w:t>Encourage stories. This is how people will be remembering experience and will provide the best insights.</w:t>
      </w:r>
    </w:p>
    <w:p w14:paraId="1E02E7A7" w14:textId="77777777" w:rsidR="00914A7F" w:rsidRDefault="00914A7F" w:rsidP="00914A7F">
      <w:pPr>
        <w:pStyle w:val="ListParagraph"/>
        <w:numPr>
          <w:ilvl w:val="0"/>
          <w:numId w:val="41"/>
        </w:numPr>
        <w:spacing w:before="0"/>
        <w:contextualSpacing w:val="0"/>
      </w:pPr>
      <w:r>
        <w:t>Listen more than you speak – at least 80/20 ratio.</w:t>
      </w:r>
    </w:p>
    <w:p w14:paraId="707DAD62" w14:textId="77777777" w:rsidR="00914A7F" w:rsidRDefault="00914A7F" w:rsidP="00914A7F">
      <w:pPr>
        <w:pStyle w:val="ListParagraph"/>
        <w:numPr>
          <w:ilvl w:val="0"/>
          <w:numId w:val="41"/>
        </w:numPr>
        <w:spacing w:before="0"/>
        <w:contextualSpacing w:val="0"/>
      </w:pPr>
      <w:r>
        <w:t>Avoid saying ‘usually’ – go for specific instances and occurrences. This will get stories and richer insights.</w:t>
      </w:r>
    </w:p>
    <w:p w14:paraId="20717FE4" w14:textId="77777777" w:rsidR="00914A7F" w:rsidRDefault="00914A7F" w:rsidP="00914A7F">
      <w:pPr>
        <w:pStyle w:val="ListParagraph"/>
        <w:numPr>
          <w:ilvl w:val="0"/>
          <w:numId w:val="41"/>
        </w:numPr>
        <w:spacing w:before="0"/>
        <w:contextualSpacing w:val="0"/>
      </w:pPr>
      <w:r>
        <w:t>Note inconsistencies – ask them why there is an inconsistency (respectfully!)</w:t>
      </w:r>
    </w:p>
    <w:p w14:paraId="3D4407E6" w14:textId="77777777" w:rsidR="00914A7F" w:rsidRDefault="00914A7F" w:rsidP="00914A7F">
      <w:pPr>
        <w:pStyle w:val="ListParagraph"/>
        <w:numPr>
          <w:ilvl w:val="0"/>
          <w:numId w:val="41"/>
        </w:numPr>
        <w:spacing w:before="0"/>
        <w:contextualSpacing w:val="0"/>
      </w:pPr>
      <w:r>
        <w:t>Pay attention to nonverbal cues.</w:t>
      </w:r>
    </w:p>
    <w:p w14:paraId="75EFD3A0" w14:textId="77777777" w:rsidR="00914A7F" w:rsidRDefault="00914A7F" w:rsidP="00914A7F">
      <w:pPr>
        <w:pStyle w:val="ListParagraph"/>
        <w:numPr>
          <w:ilvl w:val="0"/>
          <w:numId w:val="41"/>
        </w:numPr>
        <w:spacing w:before="0"/>
        <w:contextualSpacing w:val="0"/>
      </w:pPr>
      <w:r>
        <w:t>Don’t be afraid of silence – let people get to points at their own speed.</w:t>
      </w:r>
    </w:p>
    <w:p w14:paraId="0C968F7F" w14:textId="77777777" w:rsidR="00914A7F" w:rsidRDefault="00914A7F" w:rsidP="00914A7F">
      <w:pPr>
        <w:pStyle w:val="ListParagraph"/>
        <w:numPr>
          <w:ilvl w:val="0"/>
          <w:numId w:val="41"/>
        </w:numPr>
        <w:spacing w:before="0"/>
        <w:contextualSpacing w:val="0"/>
      </w:pPr>
      <w:r>
        <w:t>Don’t be afraid to diverge from the discussion guide if it makes sense to.</w:t>
      </w:r>
    </w:p>
    <w:p w14:paraId="070BC40C" w14:textId="77777777" w:rsidR="00914A7F" w:rsidRDefault="00914A7F" w:rsidP="00914A7F">
      <w:pPr>
        <w:pStyle w:val="ListParagraph"/>
        <w:numPr>
          <w:ilvl w:val="0"/>
          <w:numId w:val="41"/>
        </w:numPr>
        <w:spacing w:before="0"/>
        <w:contextualSpacing w:val="0"/>
      </w:pPr>
      <w:r>
        <w:t xml:space="preserve">Don’t suggest answers or lead people, including through body language. </w:t>
      </w:r>
    </w:p>
    <w:p w14:paraId="696CA9B8" w14:textId="77777777" w:rsidR="00914A7F" w:rsidRDefault="00914A7F" w:rsidP="00914A7F">
      <w:pPr>
        <w:pStyle w:val="ListParagraph"/>
        <w:numPr>
          <w:ilvl w:val="0"/>
          <w:numId w:val="41"/>
        </w:numPr>
        <w:spacing w:before="0"/>
        <w:contextualSpacing w:val="0"/>
      </w:pPr>
      <w:r>
        <w:t>Don’t use binary yes/no questions – they are unlikely to yield stories.</w:t>
      </w:r>
    </w:p>
    <w:p w14:paraId="08B7DBE0" w14:textId="77777777" w:rsidR="00914A7F" w:rsidRDefault="00914A7F" w:rsidP="00914A7F">
      <w:pPr>
        <w:pStyle w:val="ListParagraph"/>
        <w:numPr>
          <w:ilvl w:val="0"/>
          <w:numId w:val="41"/>
        </w:numPr>
        <w:spacing w:before="0"/>
        <w:contextualSpacing w:val="0"/>
      </w:pPr>
      <w:r>
        <w:t>Capture what they’ve said in their own language, exact words wherever possible. Don’t editorialise.</w:t>
      </w:r>
    </w:p>
    <w:p w14:paraId="107AE6A9" w14:textId="77777777" w:rsidR="00914A7F" w:rsidRDefault="00914A7F" w:rsidP="00914A7F">
      <w:pPr>
        <w:pStyle w:val="ListParagraph"/>
        <w:numPr>
          <w:ilvl w:val="0"/>
          <w:numId w:val="41"/>
        </w:numPr>
        <w:spacing w:before="0"/>
        <w:contextualSpacing w:val="0"/>
      </w:pPr>
      <w:r w:rsidRPr="0040281A">
        <w:t>What the person says is only one data point. Be sure to observe your interviewee’s body language and the context in which you’re talking.</w:t>
      </w:r>
    </w:p>
    <w:p w14:paraId="55EFA368" w14:textId="77777777" w:rsidR="00914A7F" w:rsidRPr="0040281A" w:rsidRDefault="00914A7F" w:rsidP="00914A7F">
      <w:pPr>
        <w:pStyle w:val="ListParagraph"/>
        <w:numPr>
          <w:ilvl w:val="0"/>
          <w:numId w:val="41"/>
        </w:numPr>
        <w:spacing w:before="0"/>
        <w:contextualSpacing w:val="0"/>
      </w:pPr>
      <w:r>
        <w:t>Often you get good content after the interview is officially over – keep eyes and ears open.</w:t>
      </w:r>
    </w:p>
    <w:p w14:paraId="655CA798" w14:textId="77777777" w:rsidR="00914A7F" w:rsidRDefault="00914A7F" w:rsidP="00914A7F">
      <w:pPr>
        <w:pStyle w:val="ListParagraph"/>
        <w:spacing w:before="0"/>
      </w:pPr>
    </w:p>
    <w:p w14:paraId="2E9651C1" w14:textId="77777777" w:rsidR="00914A7F" w:rsidRPr="0061368F" w:rsidRDefault="00914A7F" w:rsidP="00914A7F">
      <w:pPr>
        <w:spacing w:before="0"/>
        <w:rPr>
          <w:b/>
          <w:color w:val="0070C0"/>
        </w:rPr>
      </w:pPr>
      <w:r>
        <w:rPr>
          <w:b/>
          <w:color w:val="0070C0"/>
        </w:rPr>
        <w:t>Immediate debrief – see the Bizlab User Centred Design research field guide for further information</w:t>
      </w:r>
    </w:p>
    <w:p w14:paraId="57CB234B" w14:textId="77777777" w:rsidR="00914A7F" w:rsidRPr="0061368F" w:rsidRDefault="00914A7F" w:rsidP="00914A7F">
      <w:pPr>
        <w:spacing w:before="0"/>
      </w:pPr>
      <w:r w:rsidRPr="0061368F">
        <w:t>Interviewers and observers should conduct a short debrief immediately after each session. It is important to do this while the interview is fresh in your mind. Your notes from this debrief session will be important for the synthesis of all of the interviews.</w:t>
      </w:r>
    </w:p>
    <w:p w14:paraId="2715C758" w14:textId="77777777" w:rsidR="00914A7F" w:rsidRPr="0061368F" w:rsidRDefault="00914A7F" w:rsidP="00914A7F">
      <w:pPr>
        <w:spacing w:before="0"/>
      </w:pPr>
      <w:r w:rsidRPr="0061368F">
        <w:t xml:space="preserve">This should be done first individually, and then discussed as a research team. </w:t>
      </w:r>
    </w:p>
    <w:p w14:paraId="098D3F4F" w14:textId="77777777" w:rsidR="00914A7F" w:rsidRPr="0061368F" w:rsidRDefault="00914A7F" w:rsidP="00914A7F">
      <w:pPr>
        <w:spacing w:before="0"/>
      </w:pPr>
      <w:r w:rsidRPr="0061368F">
        <w:t>Some questions to guide your immediate debrief are:</w:t>
      </w:r>
    </w:p>
    <w:p w14:paraId="0AC25FFE" w14:textId="77777777" w:rsidR="00914A7F" w:rsidRPr="0061368F" w:rsidRDefault="00914A7F" w:rsidP="00914A7F">
      <w:pPr>
        <w:numPr>
          <w:ilvl w:val="0"/>
          <w:numId w:val="42"/>
        </w:numPr>
        <w:spacing w:before="0" w:line="259" w:lineRule="auto"/>
      </w:pPr>
      <w:r w:rsidRPr="0061368F">
        <w:t>How would you summarise what you learnt in this interview?</w:t>
      </w:r>
    </w:p>
    <w:p w14:paraId="5DE93FC8" w14:textId="77777777" w:rsidR="00914A7F" w:rsidRPr="0061368F" w:rsidRDefault="00914A7F" w:rsidP="00914A7F">
      <w:pPr>
        <w:numPr>
          <w:ilvl w:val="0"/>
          <w:numId w:val="42"/>
        </w:numPr>
        <w:spacing w:before="0" w:line="259" w:lineRule="auto"/>
      </w:pPr>
      <w:r w:rsidRPr="0061368F">
        <w:t>What where the main pain points in this person’s experience?</w:t>
      </w:r>
    </w:p>
    <w:p w14:paraId="5840B173" w14:textId="77777777" w:rsidR="00914A7F" w:rsidRPr="0061368F" w:rsidRDefault="00914A7F" w:rsidP="00914A7F">
      <w:pPr>
        <w:numPr>
          <w:ilvl w:val="0"/>
          <w:numId w:val="42"/>
        </w:numPr>
        <w:spacing w:before="0" w:line="259" w:lineRule="auto"/>
      </w:pPr>
      <w:r w:rsidRPr="0061368F">
        <w:t>What are the main drivers of behaviours?</w:t>
      </w:r>
    </w:p>
    <w:p w14:paraId="44E461CB" w14:textId="77777777" w:rsidR="00914A7F" w:rsidRPr="00EF7F8D" w:rsidRDefault="00914A7F" w:rsidP="00914A7F">
      <w:pPr>
        <w:numPr>
          <w:ilvl w:val="0"/>
          <w:numId w:val="42"/>
        </w:numPr>
        <w:spacing w:before="0" w:line="259" w:lineRule="auto"/>
        <w:rPr>
          <w:color w:val="2F2F2F"/>
        </w:rPr>
      </w:pPr>
      <w:r w:rsidRPr="0061368F">
        <w:t>What are the top 3 – 5 insigh</w:t>
      </w:r>
      <w:r>
        <w:t>ts you have from this interview?</w:t>
      </w:r>
      <w:r>
        <w:br w:type="page"/>
      </w:r>
    </w:p>
    <w:p w14:paraId="08887A7F" w14:textId="77777777" w:rsidR="00914A7F" w:rsidRPr="009A7046" w:rsidRDefault="00914A7F" w:rsidP="00914A7F">
      <w:pPr>
        <w:pStyle w:val="H1"/>
        <w:spacing w:before="0" w:after="0"/>
      </w:pPr>
      <w:bookmarkStart w:id="90" w:name="_Toc495916003"/>
      <w:r>
        <w:rPr>
          <w:rStyle w:val="PageNumber"/>
          <w:color w:val="276C6C"/>
          <w:sz w:val="40"/>
        </w:rPr>
        <w:lastRenderedPageBreak/>
        <w:t>Appendix C</w:t>
      </w:r>
      <w:r w:rsidRPr="00B05EFB">
        <w:rPr>
          <w:rStyle w:val="PageNumber"/>
          <w:color w:val="276C6C"/>
          <w:sz w:val="40"/>
        </w:rPr>
        <w:t xml:space="preserve"> – </w:t>
      </w:r>
      <w:r>
        <w:rPr>
          <w:rStyle w:val="PageNumber"/>
          <w:color w:val="276C6C"/>
          <w:sz w:val="40"/>
        </w:rPr>
        <w:t>Public participation survey questions</w:t>
      </w:r>
      <w:bookmarkEnd w:id="90"/>
    </w:p>
    <w:p w14:paraId="76D01421" w14:textId="77777777" w:rsidR="00914A7F" w:rsidRDefault="00914A7F" w:rsidP="00914A7F">
      <w:pPr>
        <w:spacing w:before="0"/>
        <w:rPr>
          <w:sz w:val="30"/>
        </w:rPr>
      </w:pPr>
    </w:p>
    <w:p w14:paraId="27A12675" w14:textId="77777777" w:rsidR="00914A7F" w:rsidRDefault="00914A7F" w:rsidP="00914A7F">
      <w:pPr>
        <w:spacing w:before="0"/>
        <w:rPr>
          <w:sz w:val="30"/>
        </w:rPr>
      </w:pPr>
      <w:r w:rsidRPr="00BE1F41">
        <w:rPr>
          <w:sz w:val="30"/>
        </w:rPr>
        <w:t>Improving participation and engagement in policy development and service delivery</w:t>
      </w:r>
    </w:p>
    <w:p w14:paraId="6C4D22B4" w14:textId="77777777" w:rsidR="00914A7F" w:rsidRPr="00BE1F41" w:rsidRDefault="00914A7F" w:rsidP="00914A7F">
      <w:pPr>
        <w:spacing w:before="0"/>
        <w:rPr>
          <w:sz w:val="30"/>
        </w:rPr>
      </w:pPr>
    </w:p>
    <w:p w14:paraId="6639492D" w14:textId="77777777" w:rsidR="00914A7F" w:rsidRDefault="00914A7F" w:rsidP="00914A7F">
      <w:pPr>
        <w:spacing w:before="0"/>
        <w:rPr>
          <w:b/>
        </w:rPr>
      </w:pPr>
      <w:r w:rsidRPr="000D3B54">
        <w:rPr>
          <w:b/>
        </w:rPr>
        <w:t>Summary</w:t>
      </w:r>
    </w:p>
    <w:p w14:paraId="3EB931DE" w14:textId="77777777" w:rsidR="00914A7F" w:rsidRDefault="00914A7F" w:rsidP="00914A7F">
      <w:pPr>
        <w:spacing w:before="0"/>
      </w:pPr>
      <w:r>
        <w:t xml:space="preserve">We want your help to </w:t>
      </w:r>
      <w:r w:rsidRPr="000D3B54">
        <w:t xml:space="preserve">undertake a stocktake </w:t>
      </w:r>
      <w:r>
        <w:t xml:space="preserve">of current approaches to public participation and engagement </w:t>
      </w:r>
      <w:r w:rsidRPr="000D3B54">
        <w:t xml:space="preserve">across the Australian Public Service </w:t>
      </w:r>
      <w:r>
        <w:t xml:space="preserve">in order to determine best practice activities. This stocktake will inform the development of an </w:t>
      </w:r>
      <w:r w:rsidRPr="00BE3A1F">
        <w:t>Australian Government framework for public participation and engagement</w:t>
      </w:r>
      <w:r>
        <w:t>.</w:t>
      </w:r>
    </w:p>
    <w:p w14:paraId="61BAE86A" w14:textId="77777777" w:rsidR="00914A7F" w:rsidRPr="000D3B54" w:rsidRDefault="00914A7F" w:rsidP="00914A7F">
      <w:pPr>
        <w:spacing w:before="0"/>
      </w:pPr>
    </w:p>
    <w:p w14:paraId="5A731162" w14:textId="77777777" w:rsidR="00914A7F" w:rsidRDefault="00914A7F" w:rsidP="00914A7F">
      <w:pPr>
        <w:spacing w:before="0"/>
        <w:rPr>
          <w:b/>
        </w:rPr>
      </w:pPr>
      <w:r w:rsidRPr="00BF532E">
        <w:rPr>
          <w:b/>
        </w:rPr>
        <w:t>Background</w:t>
      </w:r>
    </w:p>
    <w:p w14:paraId="0B6EC581" w14:textId="77777777" w:rsidR="00914A7F" w:rsidRDefault="00914A7F" w:rsidP="00914A7F">
      <w:pPr>
        <w:spacing w:before="0"/>
      </w:pPr>
      <w:r w:rsidRPr="007509B9">
        <w:t xml:space="preserve">In November 2015, Australia reaffirmed its commitment to join the OGP. The Cabinet approved Australia’s first </w:t>
      </w:r>
      <w:hyperlink r:id="rId115" w:history="1">
        <w:r w:rsidRPr="007509B9">
          <w:rPr>
            <w:rStyle w:val="Hyperlink"/>
          </w:rPr>
          <w:t>Open Government National Action Plan</w:t>
        </w:r>
      </w:hyperlink>
      <w:r w:rsidRPr="007509B9">
        <w:t xml:space="preserve"> in December 2016. The Plan contains 15 commitments that aim to advance transparency, accou</w:t>
      </w:r>
      <w:r>
        <w:t xml:space="preserve">ntability, participation and </w:t>
      </w:r>
      <w:r w:rsidRPr="007509B9">
        <w:t xml:space="preserve">technological innovation. </w:t>
      </w:r>
    </w:p>
    <w:p w14:paraId="339BA4BB" w14:textId="77777777" w:rsidR="00914A7F" w:rsidRDefault="00914A7F" w:rsidP="00914A7F">
      <w:pPr>
        <w:spacing w:before="0"/>
      </w:pPr>
    </w:p>
    <w:p w14:paraId="750B5C9E" w14:textId="77777777" w:rsidR="00914A7F" w:rsidRDefault="00B2619D" w:rsidP="00914A7F">
      <w:pPr>
        <w:spacing w:before="0"/>
      </w:pPr>
      <w:hyperlink r:id="rId116" w:history="1">
        <w:r w:rsidR="00914A7F" w:rsidRPr="005A3DA7">
          <w:rPr>
            <w:rStyle w:val="Hyperlink"/>
          </w:rPr>
          <w:t xml:space="preserve">Commitment </w:t>
        </w:r>
        <w:r w:rsidR="00914A7F" w:rsidRPr="001B30B8">
          <w:rPr>
            <w:rStyle w:val="Hyperlink"/>
          </w:rPr>
          <w:t>5.2</w:t>
        </w:r>
      </w:hyperlink>
      <w:r w:rsidR="00914A7F">
        <w:rPr>
          <w:rStyle w:val="Hyperlink"/>
        </w:rPr>
        <w:t xml:space="preserve"> </w:t>
      </w:r>
      <w:r w:rsidR="00914A7F" w:rsidRPr="001B30B8">
        <w:t>of the Act</w:t>
      </w:r>
      <w:r w:rsidR="00914A7F">
        <w:t>i</w:t>
      </w:r>
      <w:r w:rsidR="00914A7F" w:rsidRPr="001B30B8">
        <w:t>on Plan works towards improving public participation and engagement to enhance policy and service delivery outcomes.</w:t>
      </w:r>
      <w:r w:rsidR="00914A7F">
        <w:t xml:space="preserve"> </w:t>
      </w:r>
      <w:r w:rsidR="00914A7F" w:rsidRPr="001B30B8">
        <w:t xml:space="preserve">Commitment 5.2’s key output is to establish a new Australian Government framework for public participation and engagement. </w:t>
      </w:r>
    </w:p>
    <w:p w14:paraId="4FED0C90" w14:textId="77777777" w:rsidR="00914A7F" w:rsidRPr="001B30B8" w:rsidRDefault="00914A7F" w:rsidP="00914A7F">
      <w:pPr>
        <w:spacing w:before="0"/>
      </w:pPr>
    </w:p>
    <w:p w14:paraId="5407D132" w14:textId="77777777" w:rsidR="00914A7F" w:rsidRDefault="00914A7F" w:rsidP="00914A7F">
      <w:pPr>
        <w:spacing w:before="0"/>
        <w:rPr>
          <w:b/>
        </w:rPr>
      </w:pPr>
      <w:r>
        <w:rPr>
          <w:b/>
        </w:rPr>
        <w:t>What we need from you</w:t>
      </w:r>
    </w:p>
    <w:p w14:paraId="4AF13FAF" w14:textId="77777777" w:rsidR="00914A7F" w:rsidRDefault="00914A7F" w:rsidP="00914A7F">
      <w:pPr>
        <w:spacing w:before="0"/>
      </w:pPr>
      <w:r w:rsidRPr="001B30B8">
        <w:t>Currently, we are undertaking a stocktake of existing approaches</w:t>
      </w:r>
      <w:r>
        <w:t xml:space="preserve"> to public participation and engagement in your organisation. We want to know about the kind of engagement techniques your organisation employs, how they could be improved, and what are the challenges to achieving best practice. You can help with this by answering the questions below. </w:t>
      </w:r>
    </w:p>
    <w:p w14:paraId="2424F238" w14:textId="77777777" w:rsidR="00914A7F" w:rsidRDefault="00914A7F" w:rsidP="00914A7F">
      <w:pPr>
        <w:spacing w:before="0"/>
      </w:pPr>
    </w:p>
    <w:p w14:paraId="386D196C" w14:textId="77777777" w:rsidR="00914A7F" w:rsidRDefault="00914A7F" w:rsidP="00914A7F">
      <w:pPr>
        <w:spacing w:before="0"/>
      </w:pPr>
      <w:r w:rsidRPr="00201158">
        <w:t xml:space="preserve">For more information on </w:t>
      </w:r>
      <w:r>
        <w:t xml:space="preserve">the project please visit our web page or </w:t>
      </w:r>
      <w:r w:rsidRPr="00201158">
        <w:t xml:space="preserve">contact </w:t>
      </w:r>
      <w:r>
        <w:t xml:space="preserve">us at </w:t>
      </w:r>
      <w:hyperlink r:id="rId117" w:history="1">
        <w:r w:rsidRPr="00742FB0">
          <w:rPr>
            <w:rStyle w:val="Hyperlink"/>
          </w:rPr>
          <w:t>ogp@industry.gov.au</w:t>
        </w:r>
      </w:hyperlink>
      <w:r>
        <w:t xml:space="preserve">. </w:t>
      </w:r>
    </w:p>
    <w:p w14:paraId="4C751E39" w14:textId="77777777" w:rsidR="00914A7F" w:rsidRDefault="00914A7F" w:rsidP="00914A7F">
      <w:pPr>
        <w:spacing w:before="0"/>
        <w:rPr>
          <w:b/>
        </w:rPr>
      </w:pPr>
    </w:p>
    <w:p w14:paraId="44155051" w14:textId="77777777" w:rsidR="00914A7F" w:rsidRDefault="00914A7F" w:rsidP="00914A7F">
      <w:pPr>
        <w:spacing w:before="0"/>
        <w:rPr>
          <w:b/>
        </w:rPr>
      </w:pPr>
    </w:p>
    <w:p w14:paraId="00B70494" w14:textId="77777777" w:rsidR="00914A7F" w:rsidRPr="00EE6A2C" w:rsidRDefault="00914A7F" w:rsidP="00914A7F">
      <w:pPr>
        <w:spacing w:before="0"/>
        <w:rPr>
          <w:sz w:val="30"/>
        </w:rPr>
      </w:pPr>
      <w:r w:rsidRPr="00EE6A2C">
        <w:rPr>
          <w:sz w:val="30"/>
        </w:rPr>
        <w:t>Questions</w:t>
      </w:r>
    </w:p>
    <w:p w14:paraId="08374A61" w14:textId="77777777" w:rsidR="00914A7F" w:rsidRDefault="00914A7F" w:rsidP="00914A7F">
      <w:pPr>
        <w:numPr>
          <w:ilvl w:val="0"/>
          <w:numId w:val="43"/>
        </w:numPr>
        <w:spacing w:before="0"/>
        <w:ind w:left="714" w:hanging="357"/>
      </w:pPr>
      <w:r>
        <w:t xml:space="preserve">What does your organisation do to </w:t>
      </w:r>
      <w:r w:rsidRPr="00E952DB">
        <w:t>engage with the p</w:t>
      </w:r>
      <w:r>
        <w:t>ublic</w:t>
      </w:r>
      <w:r w:rsidRPr="00E952DB">
        <w:t>?</w:t>
      </w:r>
      <w:r>
        <w:t xml:space="preserve"> For more information in answering the questions below see </w:t>
      </w:r>
      <w:r>
        <w:rPr>
          <w:b/>
        </w:rPr>
        <w:t>Appendix.</w:t>
      </w:r>
    </w:p>
    <w:p w14:paraId="4C2D2FF3" w14:textId="77777777" w:rsidR="00914A7F" w:rsidRDefault="00914A7F" w:rsidP="00914A7F">
      <w:pPr>
        <w:numPr>
          <w:ilvl w:val="1"/>
          <w:numId w:val="43"/>
        </w:numPr>
        <w:spacing w:before="0"/>
      </w:pPr>
      <w:r w:rsidRPr="0065099B">
        <w:rPr>
          <w:b/>
        </w:rPr>
        <w:t>Share:</w:t>
      </w:r>
      <w:r w:rsidRPr="0065099B">
        <w:t xml:space="preserve"> </w:t>
      </w:r>
      <w:r>
        <w:t xml:space="preserve">How does your organisation inform </w:t>
      </w:r>
      <w:r w:rsidRPr="0065099B">
        <w:t>the public about an initiative?</w:t>
      </w:r>
      <w:r>
        <w:t xml:space="preserve"> </w:t>
      </w:r>
    </w:p>
    <w:p w14:paraId="7C9551E8" w14:textId="77777777" w:rsidR="00914A7F" w:rsidRDefault="00914A7F" w:rsidP="00914A7F">
      <w:pPr>
        <w:spacing w:before="0"/>
      </w:pPr>
    </w:p>
    <w:p w14:paraId="07742486" w14:textId="77777777" w:rsidR="00914A7F" w:rsidRPr="009D49FD" w:rsidRDefault="00914A7F" w:rsidP="00914A7F">
      <w:pPr>
        <w:spacing w:before="0"/>
        <w:ind w:left="1440"/>
      </w:pPr>
    </w:p>
    <w:p w14:paraId="0DA9EA3F" w14:textId="77777777" w:rsidR="00914A7F" w:rsidRPr="009D49FD" w:rsidRDefault="00914A7F" w:rsidP="00914A7F">
      <w:pPr>
        <w:spacing w:before="0"/>
      </w:pPr>
    </w:p>
    <w:p w14:paraId="4A8C23E4" w14:textId="77777777" w:rsidR="00914A7F" w:rsidRDefault="00914A7F" w:rsidP="00914A7F">
      <w:pPr>
        <w:numPr>
          <w:ilvl w:val="1"/>
          <w:numId w:val="43"/>
        </w:numPr>
        <w:spacing w:before="0"/>
      </w:pPr>
      <w:r w:rsidRPr="0065099B">
        <w:rPr>
          <w:b/>
        </w:rPr>
        <w:t>Consult:</w:t>
      </w:r>
      <w:r w:rsidRPr="0065099B">
        <w:t xml:space="preserve"> </w:t>
      </w:r>
      <w:r>
        <w:t xml:space="preserve">How does your organisation gather </w:t>
      </w:r>
      <w:r w:rsidRPr="0065099B">
        <w:t>feedback from the public about a problem?</w:t>
      </w:r>
    </w:p>
    <w:p w14:paraId="7D49B3B9" w14:textId="77777777" w:rsidR="00914A7F" w:rsidRDefault="00914A7F" w:rsidP="00914A7F">
      <w:pPr>
        <w:spacing w:before="0"/>
      </w:pPr>
    </w:p>
    <w:p w14:paraId="0F80AE81" w14:textId="77777777" w:rsidR="00914A7F" w:rsidRDefault="00914A7F" w:rsidP="00914A7F">
      <w:pPr>
        <w:spacing w:before="0"/>
      </w:pPr>
    </w:p>
    <w:p w14:paraId="56B34CB9" w14:textId="77777777" w:rsidR="00914A7F" w:rsidRDefault="00914A7F" w:rsidP="00914A7F">
      <w:pPr>
        <w:spacing w:before="0"/>
      </w:pPr>
    </w:p>
    <w:p w14:paraId="37934873" w14:textId="77777777" w:rsidR="00914A7F" w:rsidRDefault="00914A7F" w:rsidP="00914A7F">
      <w:pPr>
        <w:numPr>
          <w:ilvl w:val="1"/>
          <w:numId w:val="43"/>
        </w:numPr>
        <w:spacing w:before="0"/>
      </w:pPr>
      <w:r w:rsidRPr="0065099B">
        <w:rPr>
          <w:b/>
        </w:rPr>
        <w:t>Deliberate:</w:t>
      </w:r>
      <w:r w:rsidRPr="0065099B">
        <w:t xml:space="preserve"> </w:t>
      </w:r>
      <w:r>
        <w:t xml:space="preserve">How does your organisation gather help‎ from the public to </w:t>
      </w:r>
      <w:r w:rsidRPr="00575737">
        <w:rPr>
          <w:i/>
        </w:rPr>
        <w:t>identify or solve a problem</w:t>
      </w:r>
      <w:r w:rsidRPr="0065099B">
        <w:t>?</w:t>
      </w:r>
    </w:p>
    <w:p w14:paraId="284F2531" w14:textId="77777777" w:rsidR="00914A7F" w:rsidRDefault="00914A7F" w:rsidP="00914A7F">
      <w:pPr>
        <w:spacing w:before="0"/>
      </w:pPr>
    </w:p>
    <w:p w14:paraId="7F52923A" w14:textId="77777777" w:rsidR="00914A7F" w:rsidRDefault="00914A7F" w:rsidP="00914A7F">
      <w:pPr>
        <w:tabs>
          <w:tab w:val="left" w:pos="1870"/>
        </w:tabs>
        <w:spacing w:before="0"/>
      </w:pPr>
      <w:r>
        <w:tab/>
      </w:r>
    </w:p>
    <w:p w14:paraId="1DC0BB93" w14:textId="77777777" w:rsidR="00914A7F" w:rsidRPr="009D49FD" w:rsidRDefault="00914A7F" w:rsidP="00914A7F">
      <w:pPr>
        <w:spacing w:before="0"/>
        <w:ind w:left="1440"/>
      </w:pPr>
    </w:p>
    <w:p w14:paraId="05E8BDAA" w14:textId="77777777" w:rsidR="00914A7F" w:rsidRDefault="00914A7F" w:rsidP="00914A7F">
      <w:pPr>
        <w:pStyle w:val="ListParagraph"/>
        <w:spacing w:before="0"/>
        <w:rPr>
          <w:b/>
        </w:rPr>
      </w:pPr>
    </w:p>
    <w:p w14:paraId="4CC0CC45" w14:textId="77777777" w:rsidR="00914A7F" w:rsidRPr="009D49FD" w:rsidRDefault="00914A7F" w:rsidP="00914A7F">
      <w:pPr>
        <w:spacing w:before="0"/>
      </w:pPr>
    </w:p>
    <w:p w14:paraId="1B693EAC" w14:textId="77777777" w:rsidR="00914A7F" w:rsidRDefault="00914A7F" w:rsidP="00914A7F">
      <w:pPr>
        <w:numPr>
          <w:ilvl w:val="1"/>
          <w:numId w:val="43"/>
        </w:numPr>
        <w:spacing w:before="0"/>
      </w:pPr>
      <w:r w:rsidRPr="0065099B">
        <w:rPr>
          <w:b/>
        </w:rPr>
        <w:t>Collaborate:</w:t>
      </w:r>
      <w:r w:rsidRPr="0065099B">
        <w:t xml:space="preserve"> </w:t>
      </w:r>
      <w:r>
        <w:t xml:space="preserve">How does your organisation gather </w:t>
      </w:r>
      <w:r w:rsidRPr="0065099B">
        <w:t xml:space="preserve">help from the public to </w:t>
      </w:r>
      <w:r w:rsidRPr="00575737">
        <w:rPr>
          <w:i/>
        </w:rPr>
        <w:t>find and implement a solution</w:t>
      </w:r>
      <w:r w:rsidRPr="0065099B">
        <w:t>?</w:t>
      </w:r>
    </w:p>
    <w:p w14:paraId="2F960A87" w14:textId="77777777" w:rsidR="00914A7F" w:rsidRDefault="00914A7F" w:rsidP="00914A7F">
      <w:pPr>
        <w:spacing w:before="0"/>
        <w:ind w:left="714"/>
      </w:pPr>
    </w:p>
    <w:p w14:paraId="2A1E9FCE" w14:textId="77777777" w:rsidR="00914A7F" w:rsidRDefault="00914A7F" w:rsidP="00914A7F">
      <w:pPr>
        <w:spacing w:before="0" w:after="160"/>
        <w:ind w:left="714"/>
      </w:pPr>
    </w:p>
    <w:p w14:paraId="73E5759A" w14:textId="77777777" w:rsidR="00914A7F" w:rsidRDefault="00914A7F" w:rsidP="00914A7F">
      <w:pPr>
        <w:spacing w:before="0" w:after="160"/>
        <w:ind w:left="714"/>
      </w:pPr>
    </w:p>
    <w:p w14:paraId="44DD97FF" w14:textId="77777777" w:rsidR="00914A7F" w:rsidRDefault="00914A7F" w:rsidP="00914A7F">
      <w:pPr>
        <w:spacing w:before="0" w:after="160"/>
        <w:ind w:left="714"/>
      </w:pPr>
    </w:p>
    <w:p w14:paraId="041CDFA4" w14:textId="77777777" w:rsidR="00914A7F" w:rsidRDefault="00914A7F" w:rsidP="00914A7F">
      <w:pPr>
        <w:numPr>
          <w:ilvl w:val="0"/>
          <w:numId w:val="43"/>
        </w:numPr>
        <w:spacing w:before="0" w:after="160"/>
        <w:ind w:left="714" w:hanging="357"/>
      </w:pPr>
      <w:r>
        <w:t>How could you improve on your current engagement approach?</w:t>
      </w:r>
    </w:p>
    <w:p w14:paraId="62BC4D6D" w14:textId="77777777" w:rsidR="00914A7F" w:rsidRDefault="00914A7F" w:rsidP="00914A7F">
      <w:pPr>
        <w:spacing w:before="0"/>
        <w:ind w:left="714"/>
      </w:pPr>
    </w:p>
    <w:p w14:paraId="6CF326F0" w14:textId="77777777" w:rsidR="00914A7F" w:rsidRDefault="00914A7F" w:rsidP="00914A7F">
      <w:pPr>
        <w:spacing w:before="0"/>
        <w:ind w:left="714"/>
      </w:pPr>
    </w:p>
    <w:p w14:paraId="4729A4F2" w14:textId="77777777" w:rsidR="00914A7F" w:rsidRDefault="00914A7F" w:rsidP="00914A7F">
      <w:pPr>
        <w:spacing w:before="0"/>
        <w:ind w:left="714"/>
      </w:pPr>
    </w:p>
    <w:p w14:paraId="23A9B726" w14:textId="77777777" w:rsidR="00914A7F" w:rsidRDefault="00914A7F" w:rsidP="00914A7F">
      <w:pPr>
        <w:spacing w:before="0"/>
        <w:ind w:left="714"/>
      </w:pPr>
    </w:p>
    <w:p w14:paraId="40E40179" w14:textId="77777777" w:rsidR="00914A7F" w:rsidRDefault="00914A7F" w:rsidP="00914A7F">
      <w:pPr>
        <w:spacing w:before="0"/>
        <w:ind w:left="714"/>
      </w:pPr>
    </w:p>
    <w:p w14:paraId="0619628A" w14:textId="77777777" w:rsidR="00914A7F" w:rsidRDefault="00914A7F" w:rsidP="00914A7F">
      <w:pPr>
        <w:numPr>
          <w:ilvl w:val="0"/>
          <w:numId w:val="43"/>
        </w:numPr>
        <w:spacing w:before="0"/>
        <w:ind w:left="714" w:hanging="357"/>
      </w:pPr>
      <w:r>
        <w:t>Do you perceive any barriers to your organisation co-designing with the public? If so,</w:t>
      </w:r>
      <w:r w:rsidRPr="00E952DB">
        <w:t xml:space="preserve"> </w:t>
      </w:r>
      <w:r>
        <w:t xml:space="preserve">what are they, and how can your organisation </w:t>
      </w:r>
      <w:r w:rsidRPr="00E952DB">
        <w:t>overcome them?</w:t>
      </w:r>
    </w:p>
    <w:p w14:paraId="16E60AF9" w14:textId="77777777" w:rsidR="00914A7F" w:rsidRDefault="00914A7F" w:rsidP="00914A7F">
      <w:pPr>
        <w:spacing w:before="0"/>
      </w:pPr>
    </w:p>
    <w:p w14:paraId="123FA6D6" w14:textId="77777777" w:rsidR="00914A7F" w:rsidRDefault="00914A7F" w:rsidP="00914A7F">
      <w:pPr>
        <w:spacing w:before="0"/>
        <w:rPr>
          <w:rFonts w:ascii="Arial" w:hAnsi="Arial" w:cs="Arial"/>
          <w:b/>
          <w:sz w:val="20"/>
          <w:szCs w:val="20"/>
        </w:rPr>
      </w:pPr>
    </w:p>
    <w:p w14:paraId="2EF011F2" w14:textId="77777777" w:rsidR="00914A7F" w:rsidRDefault="00914A7F" w:rsidP="00914A7F">
      <w:pPr>
        <w:spacing w:before="0"/>
        <w:rPr>
          <w:rFonts w:ascii="Arial" w:hAnsi="Arial" w:cs="Arial"/>
          <w:b/>
          <w:sz w:val="20"/>
          <w:szCs w:val="20"/>
        </w:rPr>
      </w:pPr>
    </w:p>
    <w:p w14:paraId="4AED3F37" w14:textId="77777777" w:rsidR="00914A7F" w:rsidRDefault="00914A7F" w:rsidP="00914A7F">
      <w:pPr>
        <w:spacing w:before="0"/>
        <w:rPr>
          <w:rFonts w:ascii="Arial" w:hAnsi="Arial" w:cs="Arial"/>
          <w:b/>
          <w:sz w:val="20"/>
          <w:szCs w:val="20"/>
        </w:rPr>
      </w:pPr>
    </w:p>
    <w:p w14:paraId="0A9EF3B4" w14:textId="77777777" w:rsidR="00914A7F" w:rsidRDefault="00914A7F" w:rsidP="00914A7F">
      <w:pPr>
        <w:spacing w:before="0"/>
        <w:rPr>
          <w:rFonts w:ascii="Arial" w:hAnsi="Arial" w:cs="Arial"/>
          <w:b/>
          <w:sz w:val="20"/>
          <w:szCs w:val="20"/>
        </w:rPr>
      </w:pPr>
    </w:p>
    <w:p w14:paraId="0EF80840" w14:textId="77777777" w:rsidR="00914A7F" w:rsidRDefault="00914A7F" w:rsidP="00914A7F">
      <w:pPr>
        <w:spacing w:before="0"/>
        <w:rPr>
          <w:rFonts w:ascii="Arial" w:hAnsi="Arial" w:cs="Arial"/>
          <w:b/>
          <w:sz w:val="20"/>
          <w:szCs w:val="20"/>
        </w:rPr>
      </w:pPr>
    </w:p>
    <w:p w14:paraId="5C613A24" w14:textId="77777777" w:rsidR="00914A7F" w:rsidRDefault="00914A7F" w:rsidP="00914A7F">
      <w:pPr>
        <w:spacing w:before="0"/>
        <w:rPr>
          <w:rFonts w:ascii="Arial" w:hAnsi="Arial" w:cs="Arial"/>
          <w:b/>
          <w:sz w:val="20"/>
          <w:szCs w:val="20"/>
        </w:rPr>
      </w:pPr>
    </w:p>
    <w:p w14:paraId="19006E71" w14:textId="77777777" w:rsidR="00914A7F" w:rsidRDefault="00914A7F" w:rsidP="00914A7F">
      <w:pPr>
        <w:spacing w:before="0"/>
        <w:rPr>
          <w:rFonts w:ascii="Arial" w:hAnsi="Arial" w:cs="Arial"/>
          <w:b/>
          <w:sz w:val="20"/>
          <w:szCs w:val="20"/>
        </w:rPr>
      </w:pPr>
    </w:p>
    <w:p w14:paraId="4099A617" w14:textId="77777777" w:rsidR="00914A7F" w:rsidRDefault="00914A7F" w:rsidP="00914A7F">
      <w:pPr>
        <w:spacing w:before="0"/>
        <w:rPr>
          <w:rFonts w:ascii="Arial" w:hAnsi="Arial" w:cs="Arial"/>
          <w:b/>
          <w:sz w:val="20"/>
          <w:szCs w:val="20"/>
        </w:rPr>
      </w:pPr>
    </w:p>
    <w:p w14:paraId="61858D4E" w14:textId="77777777" w:rsidR="00914A7F" w:rsidRDefault="00914A7F" w:rsidP="00914A7F">
      <w:pPr>
        <w:spacing w:before="0"/>
        <w:rPr>
          <w:rFonts w:ascii="Arial" w:hAnsi="Arial" w:cs="Arial"/>
          <w:b/>
          <w:sz w:val="20"/>
          <w:szCs w:val="20"/>
        </w:rPr>
      </w:pPr>
    </w:p>
    <w:p w14:paraId="5B8AD814" w14:textId="77777777" w:rsidR="00914A7F" w:rsidRDefault="00914A7F" w:rsidP="00914A7F">
      <w:pPr>
        <w:spacing w:before="0"/>
        <w:jc w:val="right"/>
        <w:rPr>
          <w:rFonts w:ascii="Arial" w:hAnsi="Arial" w:cs="Arial"/>
          <w:b/>
          <w:sz w:val="20"/>
          <w:szCs w:val="20"/>
        </w:rPr>
      </w:pPr>
      <w:r>
        <w:rPr>
          <w:rFonts w:ascii="Arial" w:hAnsi="Arial" w:cs="Arial"/>
          <w:b/>
          <w:sz w:val="20"/>
          <w:szCs w:val="20"/>
        </w:rPr>
        <w:t>Survey Appendix</w:t>
      </w:r>
    </w:p>
    <w:p w14:paraId="789062EF" w14:textId="77777777" w:rsidR="00914A7F" w:rsidRDefault="00914A7F" w:rsidP="00914A7F">
      <w:pPr>
        <w:spacing w:before="0"/>
        <w:rPr>
          <w:rFonts w:ascii="Arial" w:hAnsi="Arial" w:cs="Arial"/>
          <w:b/>
          <w:sz w:val="20"/>
          <w:szCs w:val="20"/>
        </w:rPr>
      </w:pPr>
    </w:p>
    <w:p w14:paraId="56306BB3" w14:textId="77777777" w:rsidR="00914A7F" w:rsidRPr="00C91146" w:rsidRDefault="00914A7F" w:rsidP="00914A7F">
      <w:pPr>
        <w:spacing w:before="0"/>
        <w:rPr>
          <w:rFonts w:ascii="Arial" w:hAnsi="Arial" w:cs="Arial"/>
          <w:b/>
          <w:sz w:val="20"/>
          <w:szCs w:val="20"/>
        </w:rPr>
      </w:pPr>
    </w:p>
    <w:tbl>
      <w:tblPr>
        <w:tblW w:w="5000" w:type="pct"/>
        <w:shd w:val="clear" w:color="auto" w:fill="DBE5F1"/>
        <w:tblCellMar>
          <w:left w:w="0" w:type="dxa"/>
          <w:right w:w="0" w:type="dxa"/>
        </w:tblCellMar>
        <w:tblLook w:val="04A0" w:firstRow="1" w:lastRow="0" w:firstColumn="1" w:lastColumn="0" w:noHBand="0" w:noVBand="1"/>
      </w:tblPr>
      <w:tblGrid>
        <w:gridCol w:w="9006"/>
      </w:tblGrid>
      <w:tr w:rsidR="00914A7F" w:rsidRPr="00D836F2" w14:paraId="1E8F7963" w14:textId="77777777" w:rsidTr="00E50587">
        <w:trPr>
          <w:trHeight w:val="300"/>
        </w:trPr>
        <w:tc>
          <w:tcPr>
            <w:tcW w:w="5000" w:type="pct"/>
            <w:tcBorders>
              <w:top w:val="single" w:sz="8" w:space="0" w:color="auto"/>
              <w:left w:val="single" w:sz="8" w:space="0" w:color="auto"/>
              <w:bottom w:val="single" w:sz="8" w:space="0" w:color="auto"/>
              <w:right w:val="single" w:sz="8" w:space="0" w:color="auto"/>
            </w:tcBorders>
            <w:shd w:val="clear" w:color="auto" w:fill="ACB9CA" w:themeFill="text2" w:themeFillTint="66"/>
            <w:noWrap/>
            <w:tcMar>
              <w:top w:w="0" w:type="dxa"/>
              <w:left w:w="108" w:type="dxa"/>
              <w:bottom w:w="0" w:type="dxa"/>
              <w:right w:w="108" w:type="dxa"/>
            </w:tcMar>
            <w:vAlign w:val="bottom"/>
            <w:hideMark/>
          </w:tcPr>
          <w:p w14:paraId="1AA09C0E" w14:textId="77777777" w:rsidR="00914A7F" w:rsidRPr="00D836F2" w:rsidRDefault="00914A7F" w:rsidP="00E50587">
            <w:pPr>
              <w:spacing w:before="0"/>
              <w:rPr>
                <w:rFonts w:ascii="Arial" w:hAnsi="Arial" w:cs="Arial"/>
                <w:b/>
                <w:bCs/>
                <w:sz w:val="20"/>
                <w:szCs w:val="20"/>
              </w:rPr>
            </w:pPr>
            <w:r w:rsidRPr="00BE579D">
              <w:rPr>
                <w:b/>
                <w:lang w:val="en-US"/>
              </w:rPr>
              <w:t>Share:</w:t>
            </w:r>
            <w:r>
              <w:rPr>
                <w:rFonts w:ascii="Arial" w:hAnsi="Arial" w:cs="Arial"/>
                <w:b/>
                <w:bCs/>
                <w:sz w:val="20"/>
                <w:szCs w:val="20"/>
              </w:rPr>
              <w:t xml:space="preserve"> </w:t>
            </w:r>
            <w:r w:rsidRPr="00651D56">
              <w:rPr>
                <w:rFonts w:cs="Arial"/>
                <w:sz w:val="20"/>
                <w:szCs w:val="20"/>
                <w:lang w:val="en-US"/>
              </w:rPr>
              <w:t>The public receives information about a government program or decision in an accessible way. Communication is one-way to the public.</w:t>
            </w:r>
          </w:p>
        </w:tc>
      </w:tr>
      <w:tr w:rsidR="00914A7F" w:rsidRPr="00D836F2" w14:paraId="24B4FE81" w14:textId="77777777" w:rsidTr="00E50587">
        <w:trPr>
          <w:trHeight w:val="300"/>
        </w:trPr>
        <w:tc>
          <w:tcPr>
            <w:tcW w:w="500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bottom"/>
          </w:tcPr>
          <w:p w14:paraId="01309C91" w14:textId="77777777" w:rsidR="00914A7F" w:rsidRPr="000B6742" w:rsidRDefault="00914A7F" w:rsidP="00E50587">
            <w:pPr>
              <w:spacing w:before="0"/>
              <w:rPr>
                <w:rFonts w:cs="Arial"/>
                <w:sz w:val="20"/>
                <w:szCs w:val="20"/>
                <w:u w:val="single"/>
              </w:rPr>
            </w:pPr>
            <w:r w:rsidRPr="000B6742">
              <w:rPr>
                <w:rFonts w:cs="Arial"/>
                <w:sz w:val="20"/>
                <w:szCs w:val="20"/>
                <w:u w:val="single"/>
              </w:rPr>
              <w:t xml:space="preserve">Examples: </w:t>
            </w:r>
          </w:p>
          <w:p w14:paraId="40F312BC" w14:textId="77777777" w:rsidR="00914A7F" w:rsidRDefault="00B2619D" w:rsidP="00E50587">
            <w:pPr>
              <w:pStyle w:val="ListParagraph"/>
              <w:numPr>
                <w:ilvl w:val="0"/>
                <w:numId w:val="44"/>
              </w:numPr>
              <w:spacing w:before="0"/>
              <w:rPr>
                <w:rFonts w:cs="Arial"/>
                <w:sz w:val="20"/>
                <w:szCs w:val="20"/>
              </w:rPr>
            </w:pPr>
            <w:hyperlink r:id="rId118" w:history="1">
              <w:r w:rsidR="00914A7F" w:rsidRPr="000B6742">
                <w:rPr>
                  <w:rStyle w:val="Hyperlink"/>
                  <w:rFonts w:cs="Arial"/>
                  <w:sz w:val="20"/>
                  <w:szCs w:val="20"/>
                </w:rPr>
                <w:t>Business.gov.au</w:t>
              </w:r>
            </w:hyperlink>
            <w:r w:rsidR="00914A7F" w:rsidRPr="000B6742">
              <w:rPr>
                <w:rFonts w:cs="Arial"/>
                <w:sz w:val="20"/>
                <w:szCs w:val="20"/>
              </w:rPr>
              <w:t xml:space="preserve"> provides information to businesses on grants and funding that is available and the process for applying.</w:t>
            </w:r>
          </w:p>
          <w:p w14:paraId="482288A5" w14:textId="77777777" w:rsidR="00914A7F" w:rsidRDefault="00B2619D" w:rsidP="00E50587">
            <w:pPr>
              <w:pStyle w:val="ListParagraph"/>
              <w:numPr>
                <w:ilvl w:val="0"/>
                <w:numId w:val="44"/>
              </w:numPr>
              <w:spacing w:before="0"/>
              <w:rPr>
                <w:rFonts w:cs="Arial"/>
                <w:sz w:val="20"/>
                <w:szCs w:val="20"/>
              </w:rPr>
            </w:pPr>
            <w:hyperlink r:id="rId119" w:history="1">
              <w:r w:rsidR="00914A7F" w:rsidRPr="000B6742">
                <w:rPr>
                  <w:rStyle w:val="Hyperlink"/>
                  <w:rFonts w:cs="Arial"/>
                  <w:sz w:val="20"/>
                  <w:szCs w:val="20"/>
                </w:rPr>
                <w:t>myVote</w:t>
              </w:r>
            </w:hyperlink>
            <w:r w:rsidR="00914A7F" w:rsidRPr="000B6742">
              <w:rPr>
                <w:rFonts w:cs="Arial"/>
                <w:sz w:val="20"/>
                <w:szCs w:val="20"/>
              </w:rPr>
              <w:t>: Provides you with interactive information cards to make Australian politics easy to read. It is fitted with geolocation and tailors information direct from your local candidates.</w:t>
            </w:r>
          </w:p>
          <w:p w14:paraId="6FE0F8C8" w14:textId="77777777" w:rsidR="00914A7F" w:rsidRPr="000B6742" w:rsidRDefault="00914A7F" w:rsidP="00E50587">
            <w:pPr>
              <w:pStyle w:val="ListParagraph"/>
              <w:spacing w:before="0"/>
              <w:rPr>
                <w:rFonts w:cs="Arial"/>
                <w:sz w:val="20"/>
                <w:szCs w:val="20"/>
              </w:rPr>
            </w:pPr>
          </w:p>
        </w:tc>
      </w:tr>
      <w:tr w:rsidR="00914A7F" w:rsidRPr="00D836F2" w14:paraId="2C379E23" w14:textId="77777777" w:rsidTr="00E50587">
        <w:trPr>
          <w:trHeight w:val="300"/>
        </w:trPr>
        <w:tc>
          <w:tcPr>
            <w:tcW w:w="5000" w:type="pct"/>
            <w:tcBorders>
              <w:top w:val="single" w:sz="8" w:space="0" w:color="auto"/>
              <w:left w:val="single" w:sz="8" w:space="0" w:color="auto"/>
              <w:bottom w:val="single" w:sz="8" w:space="0" w:color="auto"/>
              <w:right w:val="single" w:sz="8" w:space="0" w:color="auto"/>
            </w:tcBorders>
            <w:shd w:val="clear" w:color="auto" w:fill="ACB9CA" w:themeFill="text2" w:themeFillTint="66"/>
            <w:noWrap/>
            <w:tcMar>
              <w:top w:w="0" w:type="dxa"/>
              <w:left w:w="108" w:type="dxa"/>
              <w:bottom w:w="0" w:type="dxa"/>
              <w:right w:w="108" w:type="dxa"/>
            </w:tcMar>
            <w:vAlign w:val="bottom"/>
          </w:tcPr>
          <w:p w14:paraId="4E94596E" w14:textId="77777777" w:rsidR="00914A7F" w:rsidRPr="00D836F2" w:rsidRDefault="00914A7F" w:rsidP="00E50587">
            <w:pPr>
              <w:spacing w:before="0"/>
              <w:rPr>
                <w:rFonts w:ascii="Arial" w:hAnsi="Arial" w:cs="Arial"/>
                <w:b/>
                <w:bCs/>
                <w:sz w:val="20"/>
                <w:szCs w:val="20"/>
              </w:rPr>
            </w:pPr>
            <w:r w:rsidRPr="00BE579D">
              <w:rPr>
                <w:b/>
                <w:lang w:val="en-US"/>
              </w:rPr>
              <w:t>Consult:</w:t>
            </w:r>
            <w:r>
              <w:rPr>
                <w:rFonts w:ascii="Arial" w:hAnsi="Arial" w:cs="Arial"/>
                <w:b/>
                <w:bCs/>
                <w:sz w:val="20"/>
                <w:szCs w:val="20"/>
              </w:rPr>
              <w:t xml:space="preserve"> </w:t>
            </w:r>
            <w:r w:rsidRPr="00651D56">
              <w:rPr>
                <w:rFonts w:cs="Arial"/>
                <w:sz w:val="20"/>
                <w:szCs w:val="20"/>
                <w:lang w:val="en-US"/>
              </w:rPr>
              <w:t>The public have an opportunity to weigh-in and provide their input. Participants advocate for their views on a subject.</w:t>
            </w:r>
          </w:p>
        </w:tc>
      </w:tr>
      <w:tr w:rsidR="00914A7F" w:rsidRPr="00D836F2" w14:paraId="0727759B" w14:textId="77777777" w:rsidTr="00E50587">
        <w:trPr>
          <w:trHeight w:val="300"/>
        </w:trPr>
        <w:tc>
          <w:tcPr>
            <w:tcW w:w="500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bottom"/>
          </w:tcPr>
          <w:p w14:paraId="6CBA8200" w14:textId="77777777" w:rsidR="00914A7F" w:rsidRPr="000B6742" w:rsidRDefault="00914A7F" w:rsidP="00E50587">
            <w:pPr>
              <w:spacing w:before="0"/>
              <w:rPr>
                <w:rFonts w:cs="Arial"/>
                <w:sz w:val="20"/>
                <w:szCs w:val="20"/>
                <w:u w:val="single"/>
                <w:lang w:val="en-US"/>
              </w:rPr>
            </w:pPr>
            <w:r w:rsidRPr="000B6742">
              <w:rPr>
                <w:rFonts w:cs="Arial"/>
                <w:sz w:val="20"/>
                <w:szCs w:val="20"/>
                <w:u w:val="single"/>
                <w:lang w:val="en-US"/>
              </w:rPr>
              <w:t>Examples:</w:t>
            </w:r>
          </w:p>
          <w:p w14:paraId="4A1A194F" w14:textId="77777777" w:rsidR="00914A7F" w:rsidRDefault="00914A7F" w:rsidP="00E50587">
            <w:pPr>
              <w:pStyle w:val="ListParagraph"/>
              <w:numPr>
                <w:ilvl w:val="0"/>
                <w:numId w:val="45"/>
              </w:numPr>
              <w:spacing w:before="0"/>
              <w:rPr>
                <w:rFonts w:cs="Arial"/>
                <w:sz w:val="20"/>
                <w:szCs w:val="20"/>
                <w:lang w:val="en-US"/>
              </w:rPr>
            </w:pPr>
            <w:r w:rsidRPr="000B6742">
              <w:rPr>
                <w:rFonts w:cs="Arial"/>
                <w:sz w:val="20"/>
                <w:szCs w:val="20"/>
                <w:lang w:val="en-US"/>
              </w:rPr>
              <w:t xml:space="preserve">When the government has formulated a policy position or </w:t>
            </w:r>
            <w:hyperlink r:id="rId120" w:history="1">
              <w:r w:rsidRPr="000B6742">
                <w:rPr>
                  <w:rStyle w:val="Hyperlink"/>
                  <w:rFonts w:cs="Arial"/>
                  <w:sz w:val="20"/>
                  <w:szCs w:val="20"/>
                  <w:lang w:val="en-US"/>
                </w:rPr>
                <w:t>draft legislation</w:t>
              </w:r>
            </w:hyperlink>
            <w:r w:rsidRPr="000B6742">
              <w:rPr>
                <w:rFonts w:cs="Arial"/>
                <w:sz w:val="20"/>
                <w:szCs w:val="20"/>
                <w:lang w:val="en-US"/>
              </w:rPr>
              <w:t xml:space="preserve"> and is seeking comments on the proposed policy. </w:t>
            </w:r>
          </w:p>
          <w:p w14:paraId="6649C756" w14:textId="77777777" w:rsidR="00914A7F" w:rsidRDefault="00914A7F" w:rsidP="00E50587">
            <w:pPr>
              <w:pStyle w:val="ListParagraph"/>
              <w:numPr>
                <w:ilvl w:val="0"/>
                <w:numId w:val="45"/>
              </w:numPr>
              <w:spacing w:before="0"/>
              <w:rPr>
                <w:rFonts w:cs="Arial"/>
                <w:sz w:val="20"/>
                <w:szCs w:val="20"/>
                <w:lang w:val="en-US"/>
              </w:rPr>
            </w:pPr>
            <w:r w:rsidRPr="000B6742">
              <w:rPr>
                <w:rFonts w:cs="Arial"/>
                <w:sz w:val="20"/>
                <w:szCs w:val="20"/>
                <w:lang w:val="en-US"/>
              </w:rPr>
              <w:t xml:space="preserve">Digital platforms, like </w:t>
            </w:r>
            <w:hyperlink r:id="rId121" w:history="1">
              <w:r w:rsidRPr="000B6742">
                <w:rPr>
                  <w:rStyle w:val="Hyperlink"/>
                  <w:rFonts w:cs="Arial"/>
                  <w:sz w:val="20"/>
                  <w:szCs w:val="20"/>
                  <w:lang w:val="en-US"/>
                </w:rPr>
                <w:t>challenge.gov</w:t>
              </w:r>
            </w:hyperlink>
            <w:r w:rsidRPr="000B6742">
              <w:rPr>
                <w:rFonts w:cs="Arial"/>
                <w:sz w:val="20"/>
                <w:szCs w:val="20"/>
                <w:lang w:val="en-US"/>
              </w:rPr>
              <w:t xml:space="preserve">, are online marketplaces where a government agency (the seeker) can post a challenge, and citizens (solvers) can suggest solutions. The agency pays for solutions that meet its criteria and are chosen as winners. The website can also match interested citizens to form problem solving teams. </w:t>
            </w:r>
          </w:p>
          <w:p w14:paraId="37710DB4" w14:textId="77777777" w:rsidR="00914A7F" w:rsidRPr="000B6742" w:rsidRDefault="00914A7F" w:rsidP="00E50587">
            <w:pPr>
              <w:pStyle w:val="ListParagraph"/>
              <w:spacing w:before="0"/>
              <w:rPr>
                <w:rFonts w:cs="Arial"/>
                <w:sz w:val="20"/>
                <w:szCs w:val="20"/>
                <w:lang w:val="en-US"/>
              </w:rPr>
            </w:pPr>
          </w:p>
        </w:tc>
      </w:tr>
      <w:tr w:rsidR="00914A7F" w:rsidRPr="00D836F2" w14:paraId="565D4B37" w14:textId="77777777" w:rsidTr="00E50587">
        <w:trPr>
          <w:trHeight w:val="300"/>
        </w:trPr>
        <w:tc>
          <w:tcPr>
            <w:tcW w:w="5000" w:type="pct"/>
            <w:tcBorders>
              <w:top w:val="single" w:sz="8" w:space="0" w:color="auto"/>
              <w:left w:val="single" w:sz="8" w:space="0" w:color="auto"/>
              <w:bottom w:val="single" w:sz="8" w:space="0" w:color="auto"/>
              <w:right w:val="single" w:sz="8" w:space="0" w:color="auto"/>
            </w:tcBorders>
            <w:shd w:val="clear" w:color="auto" w:fill="ACB9CA" w:themeFill="text2" w:themeFillTint="66"/>
            <w:noWrap/>
            <w:tcMar>
              <w:top w:w="0" w:type="dxa"/>
              <w:left w:w="108" w:type="dxa"/>
              <w:bottom w:w="0" w:type="dxa"/>
              <w:right w:w="108" w:type="dxa"/>
            </w:tcMar>
            <w:vAlign w:val="bottom"/>
          </w:tcPr>
          <w:p w14:paraId="0FD76C2A" w14:textId="77777777" w:rsidR="00914A7F" w:rsidRPr="00D836F2" w:rsidRDefault="00914A7F" w:rsidP="00E50587">
            <w:pPr>
              <w:spacing w:before="0"/>
              <w:rPr>
                <w:rFonts w:ascii="Arial" w:hAnsi="Arial" w:cs="Arial"/>
                <w:b/>
                <w:bCs/>
                <w:sz w:val="20"/>
                <w:szCs w:val="20"/>
              </w:rPr>
            </w:pPr>
            <w:r w:rsidRPr="00BE579D">
              <w:rPr>
                <w:b/>
                <w:lang w:val="en-US"/>
              </w:rPr>
              <w:lastRenderedPageBreak/>
              <w:t>Deliberate:</w:t>
            </w:r>
            <w:r>
              <w:rPr>
                <w:rFonts w:ascii="Arial" w:hAnsi="Arial" w:cs="Arial"/>
                <w:b/>
                <w:bCs/>
                <w:sz w:val="20"/>
                <w:szCs w:val="20"/>
              </w:rPr>
              <w:t xml:space="preserve"> </w:t>
            </w:r>
            <w:r w:rsidRPr="00651D56">
              <w:rPr>
                <w:rFonts w:cs="Arial"/>
                <w:sz w:val="20"/>
                <w:szCs w:val="20"/>
                <w:lang w:val="en-US"/>
              </w:rPr>
              <w:t>The public help identify the issue and/or develop a strategy that the government commits to deliver. Participants take part in varying degrees to find common ground and collectively arrive at an agreement.</w:t>
            </w:r>
          </w:p>
        </w:tc>
      </w:tr>
      <w:tr w:rsidR="00914A7F" w:rsidRPr="00D836F2" w14:paraId="2876E478" w14:textId="77777777" w:rsidTr="00E50587">
        <w:trPr>
          <w:trHeight w:val="300"/>
        </w:trPr>
        <w:tc>
          <w:tcPr>
            <w:tcW w:w="500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bottom"/>
          </w:tcPr>
          <w:p w14:paraId="541B7384" w14:textId="77777777" w:rsidR="00914A7F" w:rsidRPr="00651D56" w:rsidRDefault="00914A7F" w:rsidP="00E50587">
            <w:pPr>
              <w:spacing w:before="0"/>
              <w:rPr>
                <w:rFonts w:cs="Arial"/>
                <w:sz w:val="20"/>
                <w:szCs w:val="20"/>
                <w:u w:val="single"/>
              </w:rPr>
            </w:pPr>
            <w:r w:rsidRPr="00651D56">
              <w:rPr>
                <w:rFonts w:cs="Arial"/>
                <w:sz w:val="20"/>
                <w:szCs w:val="20"/>
                <w:u w:val="single"/>
              </w:rPr>
              <w:t xml:space="preserve">Examples: </w:t>
            </w:r>
          </w:p>
          <w:p w14:paraId="3C2B766E" w14:textId="77777777" w:rsidR="00914A7F" w:rsidRDefault="00B2619D" w:rsidP="00E50587">
            <w:pPr>
              <w:pStyle w:val="ListParagraph"/>
              <w:numPr>
                <w:ilvl w:val="0"/>
                <w:numId w:val="46"/>
              </w:numPr>
              <w:spacing w:before="0"/>
              <w:rPr>
                <w:rFonts w:cs="Arial"/>
                <w:sz w:val="20"/>
                <w:szCs w:val="20"/>
                <w:lang w:val="en-US"/>
              </w:rPr>
            </w:pPr>
            <w:hyperlink r:id="rId122" w:history="1">
              <w:r w:rsidR="00914A7F" w:rsidRPr="000B6742">
                <w:rPr>
                  <w:rStyle w:val="Hyperlink"/>
                  <w:rFonts w:cs="Arial"/>
                  <w:sz w:val="20"/>
                  <w:szCs w:val="20"/>
                  <w:lang w:val="en-US"/>
                </w:rPr>
                <w:t>Citizens’ jury</w:t>
              </w:r>
            </w:hyperlink>
            <w:r w:rsidR="00914A7F">
              <w:rPr>
                <w:rFonts w:cs="Arial"/>
                <w:sz w:val="20"/>
                <w:szCs w:val="20"/>
                <w:lang w:val="en-US"/>
              </w:rPr>
              <w:t xml:space="preserve"> are</w:t>
            </w:r>
            <w:r w:rsidR="00914A7F" w:rsidRPr="000B6742">
              <w:rPr>
                <w:rFonts w:cs="Arial"/>
                <w:sz w:val="20"/>
                <w:szCs w:val="20"/>
                <w:lang w:val="en-US"/>
              </w:rPr>
              <w:t xml:space="preserve"> group</w:t>
            </w:r>
            <w:r w:rsidR="00914A7F">
              <w:rPr>
                <w:rFonts w:cs="Arial"/>
                <w:sz w:val="20"/>
                <w:szCs w:val="20"/>
                <w:lang w:val="en-US"/>
              </w:rPr>
              <w:t>s</w:t>
            </w:r>
            <w:r w:rsidR="00914A7F" w:rsidRPr="000B6742">
              <w:rPr>
                <w:rFonts w:cs="Arial"/>
                <w:sz w:val="20"/>
                <w:szCs w:val="20"/>
                <w:lang w:val="en-US"/>
              </w:rPr>
              <w:t xml:space="preserve"> of randomly selected people that are representative of the broader community, who are </w:t>
            </w:r>
            <w:r w:rsidR="00914A7F">
              <w:rPr>
                <w:rFonts w:cs="Arial"/>
                <w:sz w:val="20"/>
                <w:szCs w:val="20"/>
                <w:lang w:val="en-US"/>
              </w:rPr>
              <w:t xml:space="preserve">briefed by experts regarding </w:t>
            </w:r>
            <w:r w:rsidR="00914A7F" w:rsidRPr="000B6742">
              <w:rPr>
                <w:rFonts w:cs="Arial"/>
                <w:sz w:val="20"/>
                <w:szCs w:val="20"/>
                <w:lang w:val="en-US"/>
              </w:rPr>
              <w:t>an issue. The South Australian government has used these to consider road safety; cat and dog management; and potential for a nuclear industry.</w:t>
            </w:r>
          </w:p>
          <w:p w14:paraId="6A6B2DE1" w14:textId="77777777" w:rsidR="00914A7F" w:rsidRDefault="00914A7F" w:rsidP="00E50587">
            <w:pPr>
              <w:pStyle w:val="ListParagraph"/>
              <w:numPr>
                <w:ilvl w:val="0"/>
                <w:numId w:val="46"/>
              </w:numPr>
              <w:spacing w:before="0"/>
              <w:rPr>
                <w:rFonts w:cs="Arial"/>
                <w:sz w:val="20"/>
                <w:szCs w:val="20"/>
                <w:lang w:val="en-US"/>
              </w:rPr>
            </w:pPr>
            <w:r w:rsidRPr="000B6742">
              <w:rPr>
                <w:rFonts w:cs="Arial"/>
                <w:sz w:val="20"/>
                <w:szCs w:val="20"/>
                <w:lang w:val="en-US"/>
              </w:rPr>
              <w:t xml:space="preserve">The City of Gold Coast introduced the </w:t>
            </w:r>
            <w:hyperlink r:id="rId123" w:history="1">
              <w:r w:rsidRPr="000B6742">
                <w:rPr>
                  <w:rStyle w:val="Hyperlink"/>
                  <w:rFonts w:cs="Arial"/>
                  <w:sz w:val="20"/>
                  <w:szCs w:val="20"/>
                  <w:lang w:val="en-US"/>
                </w:rPr>
                <w:t>City Panel</w:t>
              </w:r>
            </w:hyperlink>
            <w:r w:rsidRPr="000B6742">
              <w:rPr>
                <w:rFonts w:cs="Arial"/>
                <w:sz w:val="20"/>
                <w:szCs w:val="20"/>
                <w:lang w:val="en-US"/>
              </w:rPr>
              <w:t xml:space="preserve"> which is an on-line portal where residents can individually help shape many of the projects delivered. Mayor Tom Tate presents the draft annual $1.4 billion city budget to the residents, through the City Panel. This gives them the chance to shape where the money is spent.</w:t>
            </w:r>
          </w:p>
          <w:p w14:paraId="2CCBFB5D" w14:textId="77777777" w:rsidR="00914A7F" w:rsidRPr="00EF7F8D" w:rsidRDefault="00914A7F" w:rsidP="00E50587">
            <w:pPr>
              <w:spacing w:before="0"/>
              <w:ind w:left="360"/>
              <w:rPr>
                <w:rFonts w:cs="Arial"/>
                <w:sz w:val="20"/>
                <w:szCs w:val="20"/>
                <w:lang w:val="en-US"/>
              </w:rPr>
            </w:pPr>
          </w:p>
        </w:tc>
      </w:tr>
      <w:tr w:rsidR="00914A7F" w:rsidRPr="00D836F2" w14:paraId="302E9DE9" w14:textId="77777777" w:rsidTr="00E50587">
        <w:trPr>
          <w:trHeight w:val="300"/>
        </w:trPr>
        <w:tc>
          <w:tcPr>
            <w:tcW w:w="5000" w:type="pct"/>
            <w:tcBorders>
              <w:top w:val="single" w:sz="8" w:space="0" w:color="auto"/>
              <w:left w:val="single" w:sz="8" w:space="0" w:color="auto"/>
              <w:bottom w:val="single" w:sz="8" w:space="0" w:color="auto"/>
              <w:right w:val="single" w:sz="8" w:space="0" w:color="auto"/>
            </w:tcBorders>
            <w:shd w:val="clear" w:color="auto" w:fill="ACB9CA" w:themeFill="text2" w:themeFillTint="66"/>
            <w:noWrap/>
            <w:tcMar>
              <w:top w:w="0" w:type="dxa"/>
              <w:left w:w="108" w:type="dxa"/>
              <w:bottom w:w="0" w:type="dxa"/>
              <w:right w:w="108" w:type="dxa"/>
            </w:tcMar>
            <w:vAlign w:val="bottom"/>
          </w:tcPr>
          <w:p w14:paraId="7427A695" w14:textId="77777777" w:rsidR="00914A7F" w:rsidRPr="00D836F2" w:rsidRDefault="00914A7F" w:rsidP="00E50587">
            <w:pPr>
              <w:spacing w:before="0"/>
              <w:rPr>
                <w:rFonts w:ascii="Arial" w:hAnsi="Arial" w:cs="Arial"/>
                <w:b/>
                <w:bCs/>
                <w:sz w:val="20"/>
                <w:szCs w:val="20"/>
              </w:rPr>
            </w:pPr>
            <w:r w:rsidRPr="00253902">
              <w:rPr>
                <w:b/>
                <w:lang w:val="en-US"/>
              </w:rPr>
              <w:t>Collaborate:</w:t>
            </w:r>
            <w:r>
              <w:rPr>
                <w:b/>
                <w:lang w:val="en-US"/>
              </w:rPr>
              <w:t xml:space="preserve"> </w:t>
            </w:r>
            <w:r w:rsidRPr="00651D56">
              <w:rPr>
                <w:rFonts w:cs="Arial"/>
                <w:sz w:val="20"/>
                <w:szCs w:val="20"/>
                <w:lang w:val="en-US"/>
              </w:rPr>
              <w:t>Participants work with government to define an issue, develop and deliver solutions. Participants share decision-making and implementation of solutions.</w:t>
            </w:r>
          </w:p>
        </w:tc>
      </w:tr>
      <w:tr w:rsidR="00914A7F" w:rsidRPr="00D836F2" w14:paraId="72F61E15" w14:textId="77777777" w:rsidTr="00E50587">
        <w:trPr>
          <w:trHeight w:val="300"/>
        </w:trPr>
        <w:tc>
          <w:tcPr>
            <w:tcW w:w="500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bottom"/>
          </w:tcPr>
          <w:p w14:paraId="076CD02F" w14:textId="77777777" w:rsidR="00914A7F" w:rsidRPr="00651D56" w:rsidRDefault="00914A7F" w:rsidP="00E50587">
            <w:pPr>
              <w:spacing w:before="0"/>
              <w:rPr>
                <w:rFonts w:cs="Arial"/>
                <w:sz w:val="20"/>
                <w:szCs w:val="20"/>
                <w:u w:val="single"/>
                <w:lang w:val="en-US"/>
              </w:rPr>
            </w:pPr>
            <w:r w:rsidRPr="00651D56">
              <w:rPr>
                <w:rFonts w:cs="Arial"/>
                <w:sz w:val="20"/>
                <w:szCs w:val="20"/>
                <w:u w:val="single"/>
                <w:lang w:val="en-US"/>
              </w:rPr>
              <w:t>Examples:</w:t>
            </w:r>
          </w:p>
          <w:p w14:paraId="747B5B0F" w14:textId="77777777" w:rsidR="00914A7F" w:rsidRPr="00082F7A" w:rsidRDefault="00914A7F" w:rsidP="00E50587">
            <w:pPr>
              <w:pStyle w:val="ListParagraph"/>
              <w:numPr>
                <w:ilvl w:val="0"/>
                <w:numId w:val="47"/>
              </w:numPr>
              <w:spacing w:before="0"/>
              <w:rPr>
                <w:rFonts w:cs="Arial"/>
                <w:sz w:val="20"/>
                <w:szCs w:val="20"/>
                <w:lang w:val="en-US"/>
              </w:rPr>
            </w:pPr>
            <w:r w:rsidRPr="00082F7A">
              <w:rPr>
                <w:rFonts w:cs="Arial"/>
                <w:sz w:val="20"/>
                <w:szCs w:val="20"/>
                <w:lang w:val="en-US"/>
              </w:rPr>
              <w:t>The</w:t>
            </w:r>
            <w:r>
              <w:rPr>
                <w:rFonts w:cs="Arial"/>
                <w:sz w:val="20"/>
                <w:szCs w:val="20"/>
                <w:lang w:val="en-US"/>
              </w:rPr>
              <w:t xml:space="preserve"> Canadian</w:t>
            </w:r>
            <w:r w:rsidRPr="00082F7A">
              <w:rPr>
                <w:rFonts w:cs="Arial"/>
                <w:sz w:val="20"/>
                <w:szCs w:val="20"/>
                <w:lang w:val="en-US"/>
              </w:rPr>
              <w:t xml:space="preserve"> government recently </w:t>
            </w:r>
            <w:hyperlink r:id="rId124" w:history="1">
              <w:r w:rsidRPr="00082F7A">
                <w:rPr>
                  <w:rStyle w:val="Hyperlink"/>
                  <w:rFonts w:cs="Arial"/>
                  <w:sz w:val="20"/>
                  <w:szCs w:val="20"/>
                  <w:lang w:val="en-US"/>
                </w:rPr>
                <w:t>worked with the public</w:t>
              </w:r>
            </w:hyperlink>
            <w:r w:rsidRPr="00082F7A">
              <w:rPr>
                <w:rFonts w:cs="Arial"/>
                <w:sz w:val="20"/>
                <w:szCs w:val="20"/>
                <w:lang w:val="en-US"/>
              </w:rPr>
              <w:t xml:space="preserve"> to review the Condominium Act, identify issues and develop long-term solutions. The solutions developed were used in a new law – the Protecting Condominium Owners Act. The law provides condo owners, condo tenants, condo boards, and others with the tools needed to govern their own condo.</w:t>
            </w:r>
          </w:p>
          <w:p w14:paraId="3B61534C" w14:textId="77777777" w:rsidR="00914A7F" w:rsidRDefault="00914A7F" w:rsidP="00E50587">
            <w:pPr>
              <w:pStyle w:val="ListParagraph"/>
              <w:numPr>
                <w:ilvl w:val="0"/>
                <w:numId w:val="47"/>
              </w:numPr>
              <w:spacing w:before="0"/>
              <w:rPr>
                <w:rFonts w:cs="Arial"/>
                <w:sz w:val="20"/>
                <w:szCs w:val="20"/>
                <w:lang w:val="en-US"/>
              </w:rPr>
            </w:pPr>
            <w:r w:rsidRPr="000B6742">
              <w:rPr>
                <w:rFonts w:cs="Arial"/>
                <w:sz w:val="20"/>
                <w:szCs w:val="20"/>
                <w:lang w:val="en-US"/>
              </w:rPr>
              <w:t>California and Switzerland have systems where citizens can propose new laws as petitions. If the petition receives enough votes, it goes to a referendum where it can be approved as a law by popular vote and the Parliament is bound by the outcome.</w:t>
            </w:r>
          </w:p>
          <w:p w14:paraId="1FC56666" w14:textId="77777777" w:rsidR="00914A7F" w:rsidRPr="00EF7F8D" w:rsidRDefault="00914A7F" w:rsidP="00E50587">
            <w:pPr>
              <w:spacing w:before="0"/>
              <w:ind w:left="360"/>
              <w:rPr>
                <w:rFonts w:cs="Arial"/>
                <w:sz w:val="20"/>
                <w:szCs w:val="20"/>
                <w:lang w:val="en-US"/>
              </w:rPr>
            </w:pPr>
          </w:p>
        </w:tc>
      </w:tr>
    </w:tbl>
    <w:p w14:paraId="66ED1352" w14:textId="77777777" w:rsidR="00914A7F" w:rsidRPr="00E952DB" w:rsidRDefault="00914A7F" w:rsidP="00914A7F">
      <w:pPr>
        <w:spacing w:before="0"/>
      </w:pPr>
    </w:p>
    <w:p w14:paraId="300B2F32" w14:textId="77777777" w:rsidR="00914A7F" w:rsidRDefault="00914A7F" w:rsidP="00914A7F">
      <w:pPr>
        <w:spacing w:before="0"/>
      </w:pPr>
    </w:p>
    <w:p w14:paraId="381E550D" w14:textId="77777777" w:rsidR="00914A7F" w:rsidRPr="007A5869" w:rsidRDefault="00914A7F" w:rsidP="00914A7F">
      <w:pPr>
        <w:pStyle w:val="BodyText"/>
        <w:jc w:val="left"/>
      </w:pPr>
    </w:p>
    <w:p w14:paraId="7EB19CED" w14:textId="77777777" w:rsidR="00914A7F" w:rsidRDefault="00914A7F" w:rsidP="00914A7F">
      <w:pPr>
        <w:spacing w:before="0"/>
        <w:rPr>
          <w:color w:val="2F2F2F"/>
        </w:rPr>
      </w:pPr>
      <w:r>
        <w:br w:type="page"/>
      </w:r>
    </w:p>
    <w:p w14:paraId="7EDE1BB1" w14:textId="77777777" w:rsidR="00914A7F" w:rsidRDefault="00914A7F" w:rsidP="00914A7F">
      <w:pPr>
        <w:pStyle w:val="H1"/>
        <w:spacing w:before="0" w:after="0"/>
        <w:rPr>
          <w:rStyle w:val="PageNumber"/>
          <w:color w:val="276C6C"/>
          <w:sz w:val="40"/>
        </w:rPr>
      </w:pPr>
      <w:bookmarkStart w:id="91" w:name="_Toc495916004"/>
      <w:r>
        <w:rPr>
          <w:rStyle w:val="PageNumber"/>
          <w:color w:val="276C6C"/>
          <w:sz w:val="40"/>
        </w:rPr>
        <w:lastRenderedPageBreak/>
        <w:t>Appendix D</w:t>
      </w:r>
      <w:r w:rsidRPr="00B05EFB">
        <w:rPr>
          <w:rStyle w:val="PageNumber"/>
          <w:color w:val="276C6C"/>
          <w:sz w:val="40"/>
        </w:rPr>
        <w:t xml:space="preserve"> –</w:t>
      </w:r>
      <w:r>
        <w:rPr>
          <w:rStyle w:val="PageNumber"/>
          <w:color w:val="276C6C"/>
          <w:sz w:val="40"/>
        </w:rPr>
        <w:t xml:space="preserve"> Design questions mapped against the user research themes systems map</w:t>
      </w:r>
      <w:bookmarkEnd w:id="91"/>
    </w:p>
    <w:p w14:paraId="29D94F36" w14:textId="77777777" w:rsidR="00914A7F" w:rsidRPr="00A15B10" w:rsidRDefault="00914A7F" w:rsidP="00914A7F">
      <w:pPr>
        <w:spacing w:before="0"/>
      </w:pPr>
      <w:r>
        <w:t xml:space="preserve">There are synergies and similarities between our themes. We have developed a systems map below that demonstrates these. </w:t>
      </w:r>
      <w:r w:rsidRPr="00A15B10">
        <w:t>We have also mapped our design questions against our themes, to show the basis on which they were developed</w:t>
      </w:r>
      <w:r>
        <w:t>.</w:t>
      </w:r>
    </w:p>
    <w:p w14:paraId="10C0927A" w14:textId="77777777" w:rsidR="00914A7F" w:rsidRDefault="00914A7F" w:rsidP="00914A7F">
      <w:pPr>
        <w:spacing w:before="0"/>
      </w:pPr>
    </w:p>
    <w:p w14:paraId="46C00D37" w14:textId="77777777" w:rsidR="00914A7F" w:rsidRPr="00A15B10" w:rsidRDefault="00914A7F" w:rsidP="00914A7F">
      <w:pPr>
        <w:pStyle w:val="BodyText"/>
      </w:pPr>
    </w:p>
    <w:p w14:paraId="50C7C7FA" w14:textId="77777777" w:rsidR="00914A7F" w:rsidRDefault="00914A7F" w:rsidP="00914A7F">
      <w:pPr>
        <w:pStyle w:val="BodyText"/>
        <w:jc w:val="left"/>
      </w:pPr>
      <w:r>
        <w:t>Systems map:</w:t>
      </w:r>
    </w:p>
    <w:p w14:paraId="1B4FA939" w14:textId="77777777" w:rsidR="00914A7F" w:rsidRDefault="00914A7F" w:rsidP="00914A7F">
      <w:pPr>
        <w:pStyle w:val="BodyText"/>
      </w:pPr>
      <w:r>
        <w:rPr>
          <w:noProof/>
          <w:lang w:eastAsia="en-AU"/>
        </w:rPr>
        <w:drawing>
          <wp:inline distT="0" distB="0" distL="0" distR="0" wp14:anchorId="445A5A93" wp14:editId="59518381">
            <wp:extent cx="5144106" cy="3589362"/>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148706" cy="3592571"/>
                    </a:xfrm>
                    <a:prstGeom prst="rect">
                      <a:avLst/>
                    </a:prstGeom>
                  </pic:spPr>
                </pic:pic>
              </a:graphicData>
            </a:graphic>
          </wp:inline>
        </w:drawing>
      </w:r>
    </w:p>
    <w:p w14:paraId="5A1BBCA8" w14:textId="77777777" w:rsidR="00914A7F" w:rsidRDefault="00914A7F" w:rsidP="00914A7F">
      <w:pPr>
        <w:pStyle w:val="BodyText"/>
        <w:jc w:val="left"/>
      </w:pPr>
    </w:p>
    <w:p w14:paraId="752167C6" w14:textId="77777777" w:rsidR="00914A7F" w:rsidRDefault="00914A7F" w:rsidP="00914A7F">
      <w:pPr>
        <w:pStyle w:val="BodyText"/>
      </w:pPr>
      <w:r>
        <w:rPr>
          <w:noProof/>
          <w:lang w:eastAsia="en-AU"/>
        </w:rPr>
        <w:lastRenderedPageBreak/>
        <w:drawing>
          <wp:inline distT="0" distB="0" distL="0" distR="0" wp14:anchorId="272EDE5B" wp14:editId="4C151184">
            <wp:extent cx="5431326" cy="3959464"/>
            <wp:effectExtent l="0" t="0" r="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43107" cy="3968053"/>
                    </a:xfrm>
                    <a:prstGeom prst="rect">
                      <a:avLst/>
                    </a:prstGeom>
                  </pic:spPr>
                </pic:pic>
              </a:graphicData>
            </a:graphic>
          </wp:inline>
        </w:drawing>
      </w:r>
    </w:p>
    <w:p w14:paraId="1D97029B" w14:textId="77777777" w:rsidR="00914A7F" w:rsidRDefault="00914A7F" w:rsidP="00914A7F">
      <w:pPr>
        <w:pStyle w:val="BodyText"/>
      </w:pPr>
    </w:p>
    <w:p w14:paraId="454BA889" w14:textId="77777777" w:rsidR="00914A7F" w:rsidRDefault="00914A7F" w:rsidP="00914A7F">
      <w:pPr>
        <w:pStyle w:val="BodyText"/>
      </w:pPr>
      <w:r>
        <w:rPr>
          <w:noProof/>
          <w:lang w:eastAsia="en-AU"/>
        </w:rPr>
        <w:drawing>
          <wp:inline distT="0" distB="0" distL="0" distR="0" wp14:anchorId="5F4DC13B" wp14:editId="44FACAD3">
            <wp:extent cx="5486400" cy="4090790"/>
            <wp:effectExtent l="0" t="0" r="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88608" cy="4092436"/>
                    </a:xfrm>
                    <a:prstGeom prst="rect">
                      <a:avLst/>
                    </a:prstGeom>
                  </pic:spPr>
                </pic:pic>
              </a:graphicData>
            </a:graphic>
          </wp:inline>
        </w:drawing>
      </w:r>
    </w:p>
    <w:p w14:paraId="028D5A67" w14:textId="77777777" w:rsidR="00914A7F" w:rsidRDefault="00914A7F" w:rsidP="00914A7F">
      <w:pPr>
        <w:spacing w:before="0"/>
        <w:jc w:val="center"/>
      </w:pPr>
    </w:p>
    <w:p w14:paraId="03D1D19A" w14:textId="77777777" w:rsidR="00914A7F" w:rsidRDefault="00914A7F" w:rsidP="00914A7F">
      <w:pPr>
        <w:spacing w:before="0"/>
        <w:jc w:val="center"/>
      </w:pPr>
      <w:r>
        <w:rPr>
          <w:noProof/>
          <w:lang w:eastAsia="en-AU"/>
        </w:rPr>
        <w:lastRenderedPageBreak/>
        <w:drawing>
          <wp:inline distT="0" distB="0" distL="0" distR="0" wp14:anchorId="6443EB0C" wp14:editId="1C9D28DE">
            <wp:extent cx="5565685" cy="4107976"/>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66710" cy="4108733"/>
                    </a:xfrm>
                    <a:prstGeom prst="rect">
                      <a:avLst/>
                    </a:prstGeom>
                  </pic:spPr>
                </pic:pic>
              </a:graphicData>
            </a:graphic>
          </wp:inline>
        </w:drawing>
      </w:r>
    </w:p>
    <w:p w14:paraId="2362AC8F" w14:textId="77777777" w:rsidR="00914A7F" w:rsidRDefault="00914A7F" w:rsidP="00914A7F">
      <w:pPr>
        <w:spacing w:before="0"/>
        <w:jc w:val="center"/>
      </w:pPr>
    </w:p>
    <w:p w14:paraId="1B82A97B" w14:textId="77777777" w:rsidR="00914A7F" w:rsidRDefault="00914A7F" w:rsidP="00914A7F">
      <w:pPr>
        <w:spacing w:before="0"/>
        <w:jc w:val="center"/>
      </w:pPr>
      <w:r>
        <w:rPr>
          <w:noProof/>
          <w:lang w:eastAsia="en-AU"/>
        </w:rPr>
        <w:drawing>
          <wp:inline distT="0" distB="0" distL="0" distR="0" wp14:anchorId="543589A4" wp14:editId="24EE2CE0">
            <wp:extent cx="5494513" cy="4044488"/>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16760" cy="4060864"/>
                    </a:xfrm>
                    <a:prstGeom prst="rect">
                      <a:avLst/>
                    </a:prstGeom>
                  </pic:spPr>
                </pic:pic>
              </a:graphicData>
            </a:graphic>
          </wp:inline>
        </w:drawing>
      </w:r>
    </w:p>
    <w:p w14:paraId="7EAC9F78" w14:textId="77777777" w:rsidR="00914A7F" w:rsidRDefault="00914A7F" w:rsidP="00914A7F">
      <w:pPr>
        <w:spacing w:before="0"/>
      </w:pPr>
    </w:p>
    <w:p w14:paraId="3F6EC79A" w14:textId="77777777" w:rsidR="00914A7F" w:rsidRDefault="00914A7F" w:rsidP="00914A7F">
      <w:pPr>
        <w:spacing w:before="0"/>
        <w:jc w:val="center"/>
      </w:pPr>
      <w:r>
        <w:rPr>
          <w:noProof/>
          <w:lang w:eastAsia="en-AU"/>
        </w:rPr>
        <w:drawing>
          <wp:inline distT="0" distB="0" distL="0" distR="0" wp14:anchorId="603C4E1D" wp14:editId="048D85FB">
            <wp:extent cx="5131558" cy="3842699"/>
            <wp:effectExtent l="0" t="0" r="0" b="571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136783" cy="3846611"/>
                    </a:xfrm>
                    <a:prstGeom prst="rect">
                      <a:avLst/>
                    </a:prstGeom>
                  </pic:spPr>
                </pic:pic>
              </a:graphicData>
            </a:graphic>
          </wp:inline>
        </w:drawing>
      </w:r>
    </w:p>
    <w:p w14:paraId="17EC2AB3" w14:textId="77777777" w:rsidR="00914A7F" w:rsidRDefault="00914A7F" w:rsidP="00914A7F">
      <w:pPr>
        <w:spacing w:before="0"/>
        <w:jc w:val="center"/>
      </w:pPr>
    </w:p>
    <w:p w14:paraId="5A2EE101" w14:textId="77777777" w:rsidR="00914A7F" w:rsidRPr="00F36D7A" w:rsidRDefault="00914A7F" w:rsidP="00914A7F">
      <w:pPr>
        <w:spacing w:before="0"/>
        <w:jc w:val="center"/>
        <w:rPr>
          <w:color w:val="2F2F2F"/>
        </w:rPr>
      </w:pPr>
      <w:r>
        <w:rPr>
          <w:noProof/>
          <w:lang w:eastAsia="en-AU"/>
        </w:rPr>
        <w:drawing>
          <wp:inline distT="0" distB="0" distL="0" distR="0" wp14:anchorId="4459A0AF" wp14:editId="3D7643C0">
            <wp:extent cx="5172501" cy="3778229"/>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72937" cy="3778548"/>
                    </a:xfrm>
                    <a:prstGeom prst="rect">
                      <a:avLst/>
                    </a:prstGeom>
                  </pic:spPr>
                </pic:pic>
              </a:graphicData>
            </a:graphic>
          </wp:inline>
        </w:drawing>
      </w:r>
    </w:p>
    <w:p w14:paraId="6AC1034D" w14:textId="77777777" w:rsidR="00FD6CC1" w:rsidRDefault="00FD6CC1" w:rsidP="0052682D">
      <w:pPr>
        <w:spacing w:before="0"/>
      </w:pPr>
    </w:p>
    <w:p w14:paraId="09A88F6C" w14:textId="77777777" w:rsidR="00390A0E" w:rsidRPr="000F73B2" w:rsidRDefault="00777E66" w:rsidP="0052682D">
      <w:pPr>
        <w:spacing w:before="0"/>
        <w:rPr>
          <w:color w:val="323E4F" w:themeColor="text2" w:themeShade="BF"/>
          <w:sz w:val="18"/>
          <w:szCs w:val="18"/>
        </w:rPr>
      </w:pPr>
      <w:r>
        <w:tab/>
      </w:r>
    </w:p>
    <w:p w14:paraId="2292CBAC" w14:textId="31A45944" w:rsidR="00B05EFB" w:rsidRDefault="00B05EFB" w:rsidP="0052682D">
      <w:pPr>
        <w:spacing w:before="0"/>
        <w:rPr>
          <w:color w:val="2F2F2F"/>
          <w:sz w:val="20"/>
        </w:rPr>
      </w:pPr>
    </w:p>
    <w:sectPr w:rsidR="00B05EFB" w:rsidSect="00724658">
      <w:headerReference w:type="first" r:id="rId132"/>
      <w:footerReference w:type="first" r:id="rId133"/>
      <w:endnotePr>
        <w:numFmt w:val="decimal"/>
      </w:endnotePr>
      <w:type w:val="continuous"/>
      <w:pgSz w:w="11906" w:h="16838" w:code="9"/>
      <w:pgMar w:top="2268" w:right="1440" w:bottom="1276" w:left="1440" w:header="510" w:footer="481"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10FAE4" w14:textId="77777777" w:rsidR="001143F2" w:rsidRDefault="001143F2" w:rsidP="000720AB">
      <w:r>
        <w:separator/>
      </w:r>
    </w:p>
    <w:p w14:paraId="1875B87A" w14:textId="77777777" w:rsidR="001143F2" w:rsidRDefault="001143F2"/>
    <w:p w14:paraId="7732CF69" w14:textId="77777777" w:rsidR="001143F2" w:rsidRDefault="001143F2"/>
  </w:endnote>
  <w:endnote w:type="continuationSeparator" w:id="0">
    <w:p w14:paraId="4137417B" w14:textId="77777777" w:rsidR="001143F2" w:rsidRDefault="001143F2" w:rsidP="000720AB">
      <w:r>
        <w:continuationSeparator/>
      </w:r>
    </w:p>
    <w:p w14:paraId="7FD7DABB" w14:textId="77777777" w:rsidR="001143F2" w:rsidRDefault="001143F2"/>
    <w:p w14:paraId="16EF29FA" w14:textId="77777777" w:rsidR="001143F2" w:rsidRDefault="001143F2"/>
  </w:endnote>
  <w:endnote w:type="continuationNotice" w:id="1">
    <w:p w14:paraId="1B4009C3" w14:textId="77777777" w:rsidR="001143F2" w:rsidRDefault="001143F2">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New Tai Lue">
    <w:panose1 w:val="020B0502040204020203"/>
    <w:charset w:val="00"/>
    <w:family w:val="swiss"/>
    <w:pitch w:val="variable"/>
    <w:sig w:usb0="00000003" w:usb1="00000000" w:usb2="8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TradeGothicLTStd-Light">
    <w:altName w:val="Trade Gothic LT Std Light"/>
    <w:panose1 w:val="00000000000000000000"/>
    <w:charset w:val="4D"/>
    <w:family w:val="auto"/>
    <w:notTrueType/>
    <w:pitch w:val="default"/>
    <w:sig w:usb0="00000003" w:usb1="00000000" w:usb2="00000000" w:usb3="00000000" w:csb0="00000001" w:csb1="00000000"/>
  </w:font>
  <w:font w:name="Geogrotesque-Light">
    <w:altName w:val="Geogrotesque Light"/>
    <w:panose1 w:val="00000000000000000000"/>
    <w:charset w:val="4D"/>
    <w:family w:val="auto"/>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Dax">
    <w:altName w:val="Dax"/>
    <w:panose1 w:val="00000000000000000000"/>
    <w:charset w:val="00"/>
    <w:family w:val="swiss"/>
    <w:notTrueType/>
    <w:pitch w:val="default"/>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Gotham B">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HelveticaNeue-Roman">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erriweathe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40A11" w14:textId="77777777" w:rsidR="001143F2" w:rsidRDefault="001143F2" w:rsidP="00F602ED">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10A30D1D" w14:textId="77777777" w:rsidR="001143F2" w:rsidRDefault="001143F2" w:rsidP="00FC3687">
    <w:pPr>
      <w:pStyle w:val="Footer"/>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0EC95" w14:textId="77777777" w:rsidR="001143F2" w:rsidRPr="00D33388" w:rsidRDefault="001143F2" w:rsidP="00F97A55">
    <w:pPr>
      <w:pStyle w:val="Preliminaries-Heading1"/>
      <w:tabs>
        <w:tab w:val="left" w:pos="2772"/>
        <w:tab w:val="right" w:pos="9498"/>
      </w:tabs>
      <w:ind w:right="-472"/>
      <w:rPr>
        <w:rStyle w:val="FooterChar"/>
      </w:rPr>
    </w:pPr>
    <w:r>
      <w:rPr>
        <w:sz w:val="48"/>
        <w:szCs w:val="48"/>
      </w:rPr>
      <w:tab/>
    </w:r>
    <w:r>
      <w:rPr>
        <w:sz w:val="48"/>
        <w:szCs w:val="48"/>
      </w:rPr>
      <w:tab/>
    </w:r>
    <w:r w:rsidRPr="00D33388">
      <w:rPr>
        <w:rStyle w:val="FooterChar"/>
      </w:rPr>
      <w:fldChar w:fldCharType="begin"/>
    </w:r>
    <w:r w:rsidRPr="00D33388">
      <w:rPr>
        <w:rStyle w:val="FooterChar"/>
      </w:rPr>
      <w:instrText xml:space="preserve"> PAGE   \* MERGEFORMAT </w:instrText>
    </w:r>
    <w:r w:rsidRPr="00D33388">
      <w:rPr>
        <w:rStyle w:val="FooterChar"/>
      </w:rPr>
      <w:fldChar w:fldCharType="separate"/>
    </w:r>
    <w:r w:rsidR="00C6174E">
      <w:rPr>
        <w:rStyle w:val="FooterChar"/>
        <w:noProof/>
      </w:rPr>
      <w:t>18</w:t>
    </w:r>
    <w:r w:rsidRPr="00D33388">
      <w:rPr>
        <w:rStyle w:val="FooterCha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91B4A" w14:textId="77777777" w:rsidR="001143F2" w:rsidRPr="002E2136" w:rsidRDefault="001143F2" w:rsidP="00230F08">
    <w:pPr>
      <w:pStyle w:val="Footer"/>
      <w:tabs>
        <w:tab w:val="clear" w:pos="9026"/>
        <w:tab w:val="left" w:pos="6416"/>
      </w:tabs>
      <w:ind w:right="-618"/>
      <w:rPr>
        <w:rFonts w:ascii="Arial" w:hAnsi="Arial"/>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62B3A3" w14:textId="77777777" w:rsidR="001143F2" w:rsidRPr="002E2136" w:rsidRDefault="001143F2" w:rsidP="00D33388">
    <w:pPr>
      <w:pStyle w:val="Footer"/>
      <w:tabs>
        <w:tab w:val="clear" w:pos="9026"/>
        <w:tab w:val="left" w:pos="6416"/>
      </w:tabs>
      <w:ind w:right="-46"/>
      <w:jc w:val="right"/>
      <w:rPr>
        <w:rFonts w:ascii="Arial" w:hAnsi="Arial"/>
        <w:sz w:val="18"/>
      </w:rPr>
    </w:pPr>
    <w:r w:rsidRPr="00054D3B">
      <w:rPr>
        <w:noProof/>
        <w:lang w:val="en-US"/>
      </w:rPr>
      <w:fldChar w:fldCharType="begin"/>
    </w:r>
    <w:r w:rsidRPr="00054D3B">
      <w:rPr>
        <w:noProof/>
        <w:lang w:val="en-US"/>
      </w:rPr>
      <w:instrText xml:space="preserve"> PAGE   \* MERGEFORMAT </w:instrText>
    </w:r>
    <w:r w:rsidRPr="00054D3B">
      <w:rPr>
        <w:noProof/>
        <w:lang w:val="en-US"/>
      </w:rPr>
      <w:fldChar w:fldCharType="separate"/>
    </w:r>
    <w:r w:rsidR="00C6174E">
      <w:rPr>
        <w:noProof/>
        <w:lang w:val="en-US"/>
      </w:rPr>
      <w:t>1</w:t>
    </w:r>
    <w:r w:rsidRPr="00054D3B">
      <w:rPr>
        <w:noProof/>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C6C385" w14:textId="77777777" w:rsidR="001143F2" w:rsidRDefault="001143F2" w:rsidP="000720AB">
      <w:r>
        <w:separator/>
      </w:r>
    </w:p>
    <w:p w14:paraId="5447903E" w14:textId="77777777" w:rsidR="001143F2" w:rsidRDefault="001143F2"/>
  </w:footnote>
  <w:footnote w:type="continuationSeparator" w:id="0">
    <w:p w14:paraId="30ACBB0A" w14:textId="77777777" w:rsidR="001143F2" w:rsidRDefault="001143F2" w:rsidP="000720AB">
      <w:r>
        <w:continuationSeparator/>
      </w:r>
    </w:p>
    <w:p w14:paraId="6D903F07" w14:textId="77777777" w:rsidR="001143F2" w:rsidRDefault="001143F2"/>
    <w:p w14:paraId="51CEEBEC" w14:textId="77777777" w:rsidR="001143F2" w:rsidRDefault="001143F2"/>
  </w:footnote>
  <w:footnote w:type="continuationNotice" w:id="1">
    <w:p w14:paraId="7AC8B469" w14:textId="77777777" w:rsidR="001143F2" w:rsidRDefault="001143F2">
      <w:pPr>
        <w:spacing w:before="0"/>
      </w:pPr>
    </w:p>
  </w:footnote>
  <w:footnote w:id="2">
    <w:p w14:paraId="47989B76" w14:textId="77777777" w:rsidR="001143F2" w:rsidRDefault="001143F2">
      <w:pPr>
        <w:pStyle w:val="FootnoteText"/>
      </w:pPr>
      <w:r>
        <w:rPr>
          <w:rStyle w:val="FootnoteReference"/>
        </w:rPr>
        <w:footnoteRef/>
      </w:r>
      <w:r>
        <w:t xml:space="preserve"> The description of wicked problems were adapted from Don Lenihan ‘A case study of Ontario’s Condominium Act Review’, Canada’s Public Policy Forum, 2014.</w:t>
      </w:r>
    </w:p>
  </w:footnote>
  <w:footnote w:id="3">
    <w:p w14:paraId="4490E1D2" w14:textId="77777777" w:rsidR="001143F2" w:rsidRDefault="001143F2">
      <w:pPr>
        <w:pStyle w:val="FootnoteText"/>
      </w:pPr>
      <w:r>
        <w:rPr>
          <w:rStyle w:val="FootnoteReference"/>
        </w:rPr>
        <w:footnoteRef/>
      </w:r>
      <w:r>
        <w:t xml:space="preserve"> Ronald Heifetz ‘Leadership without easy answers’, Harvard University Press, 1998.</w:t>
      </w:r>
    </w:p>
  </w:footnote>
  <w:footnote w:id="4">
    <w:p w14:paraId="05341AF8" w14:textId="77777777" w:rsidR="001143F2" w:rsidRDefault="001143F2" w:rsidP="00267967">
      <w:pPr>
        <w:pStyle w:val="FootnoteText"/>
      </w:pPr>
      <w:r>
        <w:rPr>
          <w:rStyle w:val="FootnoteReference"/>
        </w:rPr>
        <w:footnoteRef/>
      </w:r>
      <w:r>
        <w:t xml:space="preserve"> Surveys and studies include: </w:t>
      </w:r>
    </w:p>
    <w:p w14:paraId="3AFB623A" w14:textId="77777777" w:rsidR="001143F2" w:rsidRDefault="001143F2" w:rsidP="007B3CA8">
      <w:pPr>
        <w:pStyle w:val="FootnoteText"/>
        <w:numPr>
          <w:ilvl w:val="0"/>
          <w:numId w:val="35"/>
        </w:numPr>
      </w:pPr>
      <w:r>
        <w:t xml:space="preserve">New Democracy ‘A case for change and support for citizen juries – Results from The Pulse, March 2017’ which found that the ‘current system of government is broken...[in part due to] complexity of issues’; </w:t>
      </w:r>
    </w:p>
    <w:p w14:paraId="58F42582" w14:textId="77777777" w:rsidR="001143F2" w:rsidRDefault="001143F2" w:rsidP="007B3CA8">
      <w:pPr>
        <w:pStyle w:val="FootnoteText"/>
        <w:numPr>
          <w:ilvl w:val="0"/>
          <w:numId w:val="35"/>
        </w:numPr>
      </w:pPr>
      <w:r>
        <w:t xml:space="preserve">Grattan Institute’s ‘Trends in Australian industry’ presentation to the Department of Industry, Innovation and Science, which found that ‘Minor party vote jumped in Australia in 2013 and continues to increase’ and that ‘Distrust of government is increasing’. </w:t>
      </w:r>
    </w:p>
    <w:p w14:paraId="294FCF49" w14:textId="77777777" w:rsidR="001143F2" w:rsidRDefault="001143F2" w:rsidP="007B3CA8">
      <w:pPr>
        <w:pStyle w:val="FootnoteText"/>
        <w:numPr>
          <w:ilvl w:val="0"/>
          <w:numId w:val="35"/>
        </w:numPr>
      </w:pPr>
      <w:r>
        <w:t>That presentation drew on the Scanlon Foundation’s 2016 survey ‘Mapping social cohesion’ which had findings suggesting a growing lack of trust in the political system and that more Australians want our system of government to change.</w:t>
      </w:r>
    </w:p>
  </w:footnote>
  <w:footnote w:id="5">
    <w:p w14:paraId="75CFDBF0" w14:textId="77777777" w:rsidR="001143F2" w:rsidRDefault="001143F2" w:rsidP="007C2F0A">
      <w:pPr>
        <w:pStyle w:val="FootnoteText"/>
      </w:pPr>
      <w:r>
        <w:rPr>
          <w:rStyle w:val="FootnoteReference"/>
        </w:rPr>
        <w:footnoteRef/>
      </w:r>
      <w:r>
        <w:t xml:space="preserve"> </w:t>
      </w:r>
      <w:r w:rsidRPr="00A55A79">
        <w:t xml:space="preserve">Mark Evans, Gerry Stoker, Max Halupka </w:t>
      </w:r>
      <w:r>
        <w:t>‘</w:t>
      </w:r>
      <w:r w:rsidRPr="00A55A79">
        <w:t>Now for the big question: who do you trust to run the country?</w:t>
      </w:r>
      <w:r>
        <w:t>’</w:t>
      </w:r>
      <w:r w:rsidRPr="00A55A79">
        <w:t xml:space="preserve"> The Conversation, May 2016</w:t>
      </w:r>
      <w:r>
        <w:t xml:space="preserve">. </w:t>
      </w:r>
    </w:p>
  </w:footnote>
  <w:footnote w:id="6">
    <w:p w14:paraId="42357DC6" w14:textId="77777777" w:rsidR="001143F2" w:rsidRDefault="001143F2" w:rsidP="00991A25">
      <w:pPr>
        <w:pStyle w:val="FootnoteText"/>
      </w:pPr>
      <w:r>
        <w:rPr>
          <w:rStyle w:val="FootnoteReference"/>
        </w:rPr>
        <w:footnoteRef/>
      </w:r>
      <w:r>
        <w:t xml:space="preserve"> </w:t>
      </w:r>
      <w:r w:rsidRPr="00A55A79">
        <w:t xml:space="preserve">Steven Spurr </w:t>
      </w:r>
      <w:r>
        <w:t>‘</w:t>
      </w:r>
      <w:r w:rsidRPr="00A55A79">
        <w:t>Trust free-falls in the land down under</w:t>
      </w:r>
      <w:r>
        <w:t>’</w:t>
      </w:r>
      <w:r w:rsidRPr="00A55A79">
        <w:t xml:space="preserve"> Edelman Barometer Research Insight</w:t>
      </w:r>
      <w:r>
        <w:t xml:space="preserve"> </w:t>
      </w:r>
      <w:r w:rsidRPr="00A55A79">
        <w:t>http://www.edelman.com/post/trust-fre</w:t>
      </w:r>
      <w:r>
        <w:t>e-falls-in-the-land-down-under/.</w:t>
      </w:r>
    </w:p>
  </w:footnote>
  <w:footnote w:id="7">
    <w:p w14:paraId="1926EAE0" w14:textId="77777777" w:rsidR="001143F2" w:rsidRDefault="001143F2">
      <w:pPr>
        <w:pStyle w:val="FootnoteText"/>
      </w:pPr>
      <w:r>
        <w:rPr>
          <w:rStyle w:val="FootnoteReference"/>
        </w:rPr>
        <w:footnoteRef/>
      </w:r>
      <w:r>
        <w:t xml:space="preserve"> Gabrielle Chan ‘Trump-style political disaffection taking hold in Australia, review says’, The Guardian, 2017. Original survey data the article draws on is here: </w:t>
      </w:r>
      <w:r w:rsidRPr="00267967">
        <w:t>http://australianelectionstudy.org/</w:t>
      </w:r>
      <w:r>
        <w:t>.</w:t>
      </w:r>
    </w:p>
  </w:footnote>
  <w:footnote w:id="8">
    <w:p w14:paraId="050D53F8" w14:textId="77777777" w:rsidR="001143F2" w:rsidRDefault="001143F2">
      <w:pPr>
        <w:pStyle w:val="FootnoteText"/>
      </w:pPr>
      <w:r>
        <w:rPr>
          <w:rStyle w:val="FootnoteReference"/>
        </w:rPr>
        <w:footnoteRef/>
      </w:r>
      <w:r>
        <w:t xml:space="preserve"> E. Allan Lind and Christiane Arndt ‘Perceived fairness and regulatory policy: A behavioural science perspective on government-citizen interactions, OECD, 2016.</w:t>
      </w:r>
    </w:p>
  </w:footnote>
  <w:footnote w:id="9">
    <w:p w14:paraId="6B5AF43C" w14:textId="77777777" w:rsidR="001143F2" w:rsidRDefault="001143F2">
      <w:pPr>
        <w:pStyle w:val="FootnoteText"/>
      </w:pPr>
      <w:r>
        <w:rPr>
          <w:rStyle w:val="FootnoteReference"/>
        </w:rPr>
        <w:footnoteRef/>
      </w:r>
      <w:r>
        <w:t xml:space="preserve"> See for example, John Seely Brown, Lang Davison ‘The power of pull: How small moves, smartly made, can set big things in motion’ Basic Books, 2012.</w:t>
      </w:r>
    </w:p>
  </w:footnote>
  <w:footnote w:id="10">
    <w:p w14:paraId="1B5882E8" w14:textId="77777777" w:rsidR="001143F2" w:rsidRDefault="001143F2" w:rsidP="00C0597F">
      <w:pPr>
        <w:pStyle w:val="FootnoteText"/>
      </w:pPr>
      <w:r>
        <w:rPr>
          <w:rStyle w:val="FootnoteReference"/>
        </w:rPr>
        <w:footnoteRef/>
      </w:r>
      <w:r>
        <w:t xml:space="preserve"> Martin Parkinson ‘Address to the Australasian Implementation Conference’, 2016. </w:t>
      </w:r>
      <w:r w:rsidRPr="00420E34">
        <w:t>https://www.dpmc.gov.au/news-centre/pmc/address-australasian-implementation-conference</w:t>
      </w:r>
      <w:r>
        <w:t>.</w:t>
      </w:r>
    </w:p>
  </w:footnote>
  <w:footnote w:id="11">
    <w:p w14:paraId="2DA2C158" w14:textId="77777777" w:rsidR="001143F2" w:rsidRDefault="001143F2" w:rsidP="00C0597F">
      <w:pPr>
        <w:pStyle w:val="FootnoteText"/>
      </w:pPr>
      <w:r>
        <w:rPr>
          <w:rStyle w:val="FootnoteReference"/>
        </w:rPr>
        <w:footnoteRef/>
      </w:r>
      <w:r>
        <w:t xml:space="preserve"> </w:t>
      </w:r>
      <w:r w:rsidRPr="00C969D1">
        <w:t xml:space="preserve">Peter Shergold </w:t>
      </w:r>
      <w:r>
        <w:t>‘</w:t>
      </w:r>
      <w:r w:rsidRPr="00C969D1">
        <w:t>Learning from failure: Why large government policy initiative have gone so badly wrong in the past and how the chances of success can be improved</w:t>
      </w:r>
      <w:r>
        <w:t xml:space="preserve">’ </w:t>
      </w:r>
      <w:r w:rsidRPr="00C969D1">
        <w:t>http://www.apsc.gov.au/publications-and-media/current-publications/learning-from-failure</w:t>
      </w:r>
      <w:r>
        <w:t>.</w:t>
      </w:r>
    </w:p>
  </w:footnote>
  <w:footnote w:id="12">
    <w:p w14:paraId="57E0163F" w14:textId="77777777" w:rsidR="001143F2" w:rsidRDefault="001143F2" w:rsidP="001B244E">
      <w:pPr>
        <w:pStyle w:val="FootnoteText"/>
      </w:pPr>
      <w:r>
        <w:rPr>
          <w:rStyle w:val="FootnoteReference"/>
        </w:rPr>
        <w:footnoteRef/>
      </w:r>
      <w:r>
        <w:t xml:space="preserve"> Gordon de Brouwer ‘</w:t>
      </w:r>
      <w:r w:rsidRPr="00926119">
        <w:t>Secretary Valedictory</w:t>
      </w:r>
      <w:r>
        <w:t xml:space="preserve">’, </w:t>
      </w:r>
      <w:r w:rsidRPr="00926119">
        <w:t>Institute of Public Administration Australia, ACT Divisio</w:t>
      </w:r>
      <w:r>
        <w:t>n, 2017.</w:t>
      </w:r>
    </w:p>
  </w:footnote>
  <w:footnote w:id="13">
    <w:p w14:paraId="4AC26174" w14:textId="77777777" w:rsidR="001143F2" w:rsidRDefault="001143F2">
      <w:pPr>
        <w:pStyle w:val="FootnoteText"/>
      </w:pPr>
      <w:r>
        <w:rPr>
          <w:rStyle w:val="FootnoteReference"/>
        </w:rPr>
        <w:footnoteRef/>
      </w:r>
      <w:r>
        <w:t xml:space="preserve"> Beth Noveck ‘Smart citizens, smarter state’ Harvard University Press, 2015. A similar publication is John Seely Brown, Lang Davison ‘The power of pull: How small moves, smartly made, can set big things in motion’ Basic Books, 2012.</w:t>
      </w:r>
    </w:p>
  </w:footnote>
  <w:footnote w:id="14">
    <w:p w14:paraId="1E216E91" w14:textId="77777777" w:rsidR="001143F2" w:rsidRDefault="001143F2" w:rsidP="007A70BC">
      <w:pPr>
        <w:pStyle w:val="FootnoteText"/>
      </w:pPr>
      <w:r>
        <w:rPr>
          <w:rStyle w:val="FootnoteReference"/>
        </w:rPr>
        <w:footnoteRef/>
      </w:r>
      <w:r>
        <w:t xml:space="preserve"> Tina Nabatchi and Matt Leighninger ‘Citizenship outside the public square: Public participation for 21</w:t>
      </w:r>
      <w:r w:rsidRPr="00B300F5">
        <w:rPr>
          <w:vertAlign w:val="superscript"/>
        </w:rPr>
        <w:t>st</w:t>
      </w:r>
      <w:r>
        <w:t xml:space="preserve"> century democracy’ John Wiley &amp; Sons, USA, 2016.</w:t>
      </w:r>
    </w:p>
  </w:footnote>
  <w:footnote w:id="15">
    <w:p w14:paraId="039B78D6" w14:textId="77777777" w:rsidR="001143F2" w:rsidRDefault="001143F2" w:rsidP="00327440">
      <w:pPr>
        <w:pStyle w:val="FootnoteText"/>
      </w:pPr>
      <w:r>
        <w:rPr>
          <w:rStyle w:val="FootnoteReference"/>
        </w:rPr>
        <w:footnoteRef/>
      </w:r>
      <w:r>
        <w:t xml:space="preserve"> Reeve T Bull ‘Making the administrative state safe for democracy: A theoretical and practical analysis of citizen participation in agency decisionmaking’, Duke University, 2013.</w:t>
      </w:r>
    </w:p>
  </w:footnote>
  <w:footnote w:id="16">
    <w:p w14:paraId="7E775A24" w14:textId="77777777" w:rsidR="001143F2" w:rsidRDefault="001143F2" w:rsidP="00D2594C">
      <w:pPr>
        <w:pStyle w:val="FootnoteText"/>
      </w:pPr>
      <w:r>
        <w:rPr>
          <w:rStyle w:val="FootnoteReference"/>
        </w:rPr>
        <w:footnoteRef/>
      </w:r>
      <w:r>
        <w:t xml:space="preserve"> </w:t>
      </w:r>
      <w:r w:rsidRPr="00A55A79">
        <w:t xml:space="preserve">Wendy Russell and Lucy Parry </w:t>
      </w:r>
      <w:r>
        <w:t>‘</w:t>
      </w:r>
      <w:r w:rsidRPr="00A55A79">
        <w:t>Deliberative democracy theory and practice: Crossing the divide</w:t>
      </w:r>
      <w:r>
        <w:t>’</w:t>
      </w:r>
      <w:r w:rsidRPr="00A55A79">
        <w:t>, Workshop Report, University of Canberra, 2015</w:t>
      </w:r>
      <w:r>
        <w:t xml:space="preserve"> </w:t>
      </w:r>
      <w:r w:rsidRPr="00A55A79">
        <w:t>http://www.governanceinstitute.edu.au/magma/media/upload/ckeditor/files/DD%20Workshop%20report%20(final).pdf</w:t>
      </w:r>
    </w:p>
  </w:footnote>
  <w:footnote w:id="17">
    <w:p w14:paraId="43CA2451" w14:textId="77777777" w:rsidR="001143F2" w:rsidRDefault="001143F2">
      <w:pPr>
        <w:pStyle w:val="FootnoteText"/>
      </w:pPr>
      <w:r>
        <w:rPr>
          <w:rStyle w:val="FootnoteReference"/>
        </w:rPr>
        <w:footnoteRef/>
      </w:r>
      <w:r>
        <w:t xml:space="preserve"> E. Allan Lind and Christine Arndt ‘Perceived fairness and regulatory policy: A behavioural science perspective on government-citizen interactions’, OECD, 2016. </w:t>
      </w:r>
      <w:r w:rsidRPr="0044566A">
        <w:t>https://www.researchgate.net/publication/272415285_Perceived_Fairness_and_Regulatory_Policy_A_behavioral_science_perspective_on_government_-_citizen_interactions</w:t>
      </w:r>
    </w:p>
  </w:footnote>
  <w:footnote w:id="18">
    <w:p w14:paraId="3CE02067" w14:textId="77777777" w:rsidR="001143F2" w:rsidRDefault="001143F2">
      <w:pPr>
        <w:pStyle w:val="FootnoteText"/>
      </w:pPr>
      <w:r>
        <w:rPr>
          <w:rStyle w:val="FootnoteReference"/>
        </w:rPr>
        <w:footnoteRef/>
      </w:r>
      <w:r>
        <w:t xml:space="preserve"> Julie Simon, Theo Bass, Victoria Boelman and Geoff Mulgan ‘Digital democracy’ Nesta, 2017. </w:t>
      </w:r>
    </w:p>
    <w:p w14:paraId="7D47D53F" w14:textId="77777777" w:rsidR="001143F2" w:rsidRDefault="001143F2">
      <w:pPr>
        <w:pStyle w:val="FootnoteText"/>
      </w:pPr>
      <w:r>
        <w:t>Similarly, Beth Noveck’s ‘Smart Citizens, Smarter State’ argues that public servants could better leverage technology to access citizen expertise. Reeve Bull makes a similar case in ‘Making the administrative state safe for democracy: A theoretical and practical analysis of citizen participation in agency decisionmaking’, Duke University, 2013.</w:t>
      </w:r>
    </w:p>
  </w:footnote>
  <w:footnote w:id="19">
    <w:p w14:paraId="47CCDD2E" w14:textId="77777777" w:rsidR="001143F2" w:rsidRDefault="001143F2">
      <w:pPr>
        <w:pStyle w:val="FootnoteText"/>
      </w:pPr>
      <w:r>
        <w:rPr>
          <w:rStyle w:val="FootnoteReference"/>
        </w:rPr>
        <w:footnoteRef/>
      </w:r>
      <w:r>
        <w:t xml:space="preserve"> We the People. Link: </w:t>
      </w:r>
      <w:r w:rsidRPr="00667C54">
        <w:t>https://petitions.whitehouse.gov/</w:t>
      </w:r>
      <w:r>
        <w:t>.</w:t>
      </w:r>
    </w:p>
  </w:footnote>
  <w:footnote w:id="20">
    <w:p w14:paraId="194DFAF7" w14:textId="77777777" w:rsidR="001143F2" w:rsidRDefault="001143F2">
      <w:pPr>
        <w:pStyle w:val="FootnoteText"/>
      </w:pPr>
      <w:r>
        <w:rPr>
          <w:rStyle w:val="FootnoteReference"/>
        </w:rPr>
        <w:footnoteRef/>
      </w:r>
      <w:r>
        <w:t xml:space="preserve"> UK Government and Parliament petitions. Link: </w:t>
      </w:r>
      <w:r w:rsidRPr="00814BE4">
        <w:t>https://petition.parliament.uk/</w:t>
      </w:r>
      <w:r>
        <w:t>.</w:t>
      </w:r>
    </w:p>
  </w:footnote>
  <w:footnote w:id="21">
    <w:p w14:paraId="5FA1939F" w14:textId="77777777" w:rsidR="001143F2" w:rsidRDefault="001143F2" w:rsidP="00567367">
      <w:pPr>
        <w:pStyle w:val="FootnoteText"/>
      </w:pPr>
      <w:r>
        <w:rPr>
          <w:rStyle w:val="FootnoteReference"/>
        </w:rPr>
        <w:footnoteRef/>
      </w:r>
      <w:r>
        <w:t xml:space="preserve"> DSS Engage. See: </w:t>
      </w:r>
      <w:r w:rsidRPr="00144B49">
        <w:t>https://engage.dss.gov.au/</w:t>
      </w:r>
      <w:r>
        <w:t>.</w:t>
      </w:r>
    </w:p>
  </w:footnote>
  <w:footnote w:id="22">
    <w:p w14:paraId="54A915F3" w14:textId="77777777" w:rsidR="001143F2" w:rsidRDefault="001143F2">
      <w:pPr>
        <w:pStyle w:val="FootnoteText"/>
      </w:pPr>
      <w:r>
        <w:rPr>
          <w:rStyle w:val="FootnoteReference"/>
        </w:rPr>
        <w:footnoteRef/>
      </w:r>
      <w:r>
        <w:t xml:space="preserve"> DTA’s Digital Marketplace. See: </w:t>
      </w:r>
      <w:r w:rsidRPr="00567367">
        <w:t>https://marketplace.service.gov.au/</w:t>
      </w:r>
      <w:r>
        <w:t>.</w:t>
      </w:r>
    </w:p>
  </w:footnote>
  <w:footnote w:id="23">
    <w:p w14:paraId="75BBE749" w14:textId="77777777" w:rsidR="001143F2" w:rsidRDefault="001143F2" w:rsidP="00B910DE">
      <w:pPr>
        <w:pStyle w:val="FootnoteText"/>
      </w:pPr>
      <w:r>
        <w:rPr>
          <w:rStyle w:val="FootnoteReference"/>
        </w:rPr>
        <w:footnoteRef/>
      </w:r>
      <w:r>
        <w:t xml:space="preserve"> Australian Government ‘Digital enabled community engagement in policy and programme design - Overview’, </w:t>
      </w:r>
      <w:hyperlink r:id="rId1" w:history="1">
        <w:r w:rsidRPr="00FD3039">
          <w:rPr>
            <w:rStyle w:val="Hyperlink"/>
          </w:rPr>
          <w:t>https://www.business.gov.au/Assistance/Business-Research-and-Innovation-Initiative/Digitally-enabled-community-engagement-in-policy-and-programme-design</w:t>
        </w:r>
      </w:hyperlink>
      <w:r>
        <w:t>. Last updated 06/06/2017.</w:t>
      </w:r>
    </w:p>
  </w:footnote>
  <w:footnote w:id="24">
    <w:p w14:paraId="44A4DDD2" w14:textId="77777777" w:rsidR="001143F2" w:rsidRDefault="001143F2" w:rsidP="00137C47">
      <w:pPr>
        <w:pStyle w:val="FootnoteText"/>
      </w:pPr>
      <w:r>
        <w:rPr>
          <w:rStyle w:val="FootnoteReference"/>
        </w:rPr>
        <w:footnoteRef/>
      </w:r>
      <w:r>
        <w:t xml:space="preserve"> Ideo ‘Design Kit’, last accessed 5 July 2017. </w:t>
      </w:r>
      <w:r w:rsidRPr="00022B5B">
        <w:t>http://www.designkit.org/human-centered-design</w:t>
      </w:r>
    </w:p>
  </w:footnote>
  <w:footnote w:id="25">
    <w:p w14:paraId="03DE9656" w14:textId="77777777" w:rsidR="001143F2" w:rsidRDefault="001143F2">
      <w:pPr>
        <w:pStyle w:val="FootnoteText"/>
      </w:pPr>
      <w:r>
        <w:rPr>
          <w:rStyle w:val="FootnoteReference"/>
        </w:rPr>
        <w:footnoteRef/>
      </w:r>
      <w:r>
        <w:t xml:space="preserve"> Beth Noveck ‘Smart citizens, smarter state’ Harvard University Press, 2015.</w:t>
      </w:r>
    </w:p>
  </w:footnote>
  <w:footnote w:id="26">
    <w:p w14:paraId="0D3A1AF1" w14:textId="77777777" w:rsidR="001143F2" w:rsidRPr="00C4463B" w:rsidRDefault="001143F2" w:rsidP="0095616F">
      <w:pPr>
        <w:spacing w:before="0"/>
        <w:rPr>
          <w:rFonts w:asciiTheme="majorHAnsi" w:hAnsiTheme="majorHAnsi" w:cs="Arial"/>
          <w:noProof/>
          <w:sz w:val="16"/>
          <w:lang w:eastAsia="en-AU"/>
        </w:rPr>
      </w:pPr>
      <w:r>
        <w:rPr>
          <w:rStyle w:val="FootnoteReference"/>
        </w:rPr>
        <w:footnoteRef/>
      </w:r>
      <w:r>
        <w:t xml:space="preserve"> </w:t>
      </w:r>
      <w:r w:rsidRPr="00C4463B">
        <w:rPr>
          <w:rFonts w:asciiTheme="majorHAnsi" w:hAnsiTheme="majorHAnsi" w:cs="Arial"/>
          <w:noProof/>
          <w:sz w:val="16"/>
          <w:lang w:eastAsia="en-AU"/>
        </w:rPr>
        <w:t>Sources: DIIS analysis, and Bang the Table, ‘Community Engagement versus Civic Engagement versus Public Involvement’, Bang the Table, 2014.</w:t>
      </w:r>
    </w:p>
    <w:p w14:paraId="09283DC9" w14:textId="77777777" w:rsidR="001143F2" w:rsidRDefault="001143F2">
      <w:pPr>
        <w:pStyle w:val="FootnoteText"/>
      </w:pPr>
    </w:p>
  </w:footnote>
  <w:footnote w:id="27">
    <w:p w14:paraId="67D6FE44" w14:textId="77777777" w:rsidR="001143F2" w:rsidRPr="00FC321B" w:rsidRDefault="001143F2" w:rsidP="003A5E06">
      <w:pPr>
        <w:spacing w:before="0"/>
        <w:rPr>
          <w:rFonts w:ascii="Microsoft New Tai Lue" w:hAnsi="Microsoft New Tai Lue"/>
          <w:sz w:val="16"/>
          <w:szCs w:val="20"/>
        </w:rPr>
      </w:pPr>
      <w:r>
        <w:rPr>
          <w:rStyle w:val="FootnoteReference"/>
        </w:rPr>
        <w:footnoteRef/>
      </w:r>
      <w:r w:rsidRPr="00010FAC">
        <w:rPr>
          <w:rFonts w:ascii="Microsoft New Tai Lue" w:hAnsi="Microsoft New Tai Lue"/>
          <w:sz w:val="16"/>
          <w:szCs w:val="20"/>
        </w:rPr>
        <w:t xml:space="preserve"> Open Innovation Community </w:t>
      </w:r>
      <w:r>
        <w:rPr>
          <w:rFonts w:ascii="Microsoft New Tai Lue" w:hAnsi="Microsoft New Tai Lue"/>
          <w:sz w:val="16"/>
          <w:szCs w:val="20"/>
        </w:rPr>
        <w:t>‘</w:t>
      </w:r>
      <w:r w:rsidRPr="00010FAC">
        <w:rPr>
          <w:rFonts w:ascii="Microsoft New Tai Lue" w:hAnsi="Microsoft New Tai Lue"/>
          <w:sz w:val="16"/>
          <w:szCs w:val="20"/>
        </w:rPr>
        <w:t>Open innovation</w:t>
      </w:r>
      <w:r>
        <w:rPr>
          <w:rFonts w:ascii="Microsoft New Tai Lue" w:hAnsi="Microsoft New Tai Lue"/>
          <w:sz w:val="16"/>
          <w:szCs w:val="20"/>
        </w:rPr>
        <w:t>’</w:t>
      </w:r>
      <w:r w:rsidRPr="00010FAC">
        <w:rPr>
          <w:rFonts w:ascii="Microsoft New Tai Lue" w:hAnsi="Microsoft New Tai Lue"/>
          <w:sz w:val="16"/>
          <w:szCs w:val="20"/>
        </w:rPr>
        <w:t xml:space="preserve">, last accessed 5 July 2017. </w:t>
      </w:r>
      <w:r w:rsidRPr="00FC321B">
        <w:rPr>
          <w:rFonts w:ascii="Microsoft New Tai Lue" w:hAnsi="Microsoft New Tai Lue"/>
          <w:sz w:val="16"/>
          <w:szCs w:val="20"/>
        </w:rPr>
        <w:t>http://openinnovation.net/about-2/open-innovation-definition/</w:t>
      </w:r>
      <w:r>
        <w:rPr>
          <w:rFonts w:ascii="Microsoft New Tai Lue" w:hAnsi="Microsoft New Tai Lue"/>
          <w:sz w:val="16"/>
          <w:szCs w:val="20"/>
        </w:rPr>
        <w:t>.</w:t>
      </w:r>
    </w:p>
    <w:p w14:paraId="3DE56406" w14:textId="77777777" w:rsidR="001143F2" w:rsidRDefault="001143F2" w:rsidP="003A5E06">
      <w:pPr>
        <w:pStyle w:val="FootnoteText"/>
      </w:pPr>
    </w:p>
  </w:footnote>
  <w:footnote w:id="28">
    <w:p w14:paraId="243B148C" w14:textId="77777777" w:rsidR="001143F2" w:rsidRDefault="001143F2" w:rsidP="00425E81">
      <w:pPr>
        <w:pStyle w:val="FootnoteText"/>
      </w:pPr>
      <w:r>
        <w:rPr>
          <w:rStyle w:val="FootnoteReference"/>
        </w:rPr>
        <w:footnoteRef/>
      </w:r>
      <w:r>
        <w:t xml:space="preserve"> IAP2 ‘IAP2’s Code of Ethics for Public Participation practitioners’, IAP2. Last accessed August 2017: </w:t>
      </w:r>
      <w:r w:rsidRPr="00B40416">
        <w:t>http://www.iap2.org/?page=8</w:t>
      </w:r>
    </w:p>
  </w:footnote>
  <w:footnote w:id="29">
    <w:p w14:paraId="098FF496" w14:textId="77777777" w:rsidR="001143F2" w:rsidRDefault="001143F2" w:rsidP="00425E81">
      <w:pPr>
        <w:pStyle w:val="FootnoteText"/>
      </w:pPr>
      <w:r>
        <w:rPr>
          <w:rStyle w:val="FootnoteReference"/>
        </w:rPr>
        <w:footnoteRef/>
      </w:r>
      <w:r>
        <w:t xml:space="preserve"> IAP2 Canada ‘IAP2 Spectrum review – Summary of engagement processes’, IAP2, 2017.</w:t>
      </w:r>
    </w:p>
  </w:footnote>
  <w:footnote w:id="30">
    <w:p w14:paraId="72A6DB08" w14:textId="77777777" w:rsidR="001143F2" w:rsidRDefault="001143F2" w:rsidP="00425E81">
      <w:pPr>
        <w:pStyle w:val="FootnoteText"/>
      </w:pPr>
      <w:r>
        <w:rPr>
          <w:rStyle w:val="FootnoteReference"/>
        </w:rPr>
        <w:footnoteRef/>
      </w:r>
      <w:r>
        <w:t xml:space="preserve"> IAP2 Australia ‘Spectrum’, IAP2. Last accessed August 2017: </w:t>
      </w:r>
      <w:r w:rsidRPr="00EB4FD4">
        <w:t>https://www.iap2.org.au/About-Us/About-IAP2-Australasia-/Spectrum</w:t>
      </w:r>
      <w:r>
        <w:t>.</w:t>
      </w:r>
    </w:p>
  </w:footnote>
  <w:footnote w:id="31">
    <w:p w14:paraId="062DB91F" w14:textId="77777777" w:rsidR="001143F2" w:rsidRDefault="001143F2" w:rsidP="00425E81">
      <w:pPr>
        <w:pStyle w:val="FootnoteText"/>
      </w:pPr>
      <w:r>
        <w:rPr>
          <w:rStyle w:val="FootnoteReference"/>
        </w:rPr>
        <w:footnoteRef/>
      </w:r>
      <w:r>
        <w:t xml:space="preserve"> Crispin Butteriss ‘What is community engagement, exactly?’ Bang the Table, 2016. </w:t>
      </w:r>
      <w:r w:rsidRPr="002E7053">
        <w:t>http://www.bangthetable.com/what-is-community-engagement/</w:t>
      </w:r>
      <w:r>
        <w:t>.</w:t>
      </w:r>
    </w:p>
  </w:footnote>
  <w:footnote w:id="32">
    <w:p w14:paraId="23238D71" w14:textId="77777777" w:rsidR="001143F2" w:rsidRDefault="001143F2" w:rsidP="00425E81">
      <w:pPr>
        <w:pStyle w:val="FootnoteText"/>
      </w:pPr>
      <w:r>
        <w:rPr>
          <w:rStyle w:val="FootnoteReference"/>
        </w:rPr>
        <w:footnoteRef/>
      </w:r>
      <w:r>
        <w:t xml:space="preserve"> IAP2 Canada ‘IAP2 Spectrum review – Summary of engagement processes’, IAP2, 2017.</w:t>
      </w:r>
    </w:p>
  </w:footnote>
  <w:footnote w:id="33">
    <w:p w14:paraId="25F5DDDA" w14:textId="77777777" w:rsidR="001143F2" w:rsidRDefault="001143F2" w:rsidP="00425E81">
      <w:pPr>
        <w:pStyle w:val="FootnoteText"/>
      </w:pPr>
      <w:r>
        <w:rPr>
          <w:rStyle w:val="FootnoteReference"/>
        </w:rPr>
        <w:footnoteRef/>
      </w:r>
      <w:r>
        <w:t xml:space="preserve"> Compiled by Lyn Carson ‘The IAPS2 Spectrum: Larry Susskind, in conversation with IAP2 members’ Active Democracy, 2008, last accessed 5 July 2017. </w:t>
      </w:r>
      <w:r w:rsidRPr="00C1413B">
        <w:t>http://www.activedemocracy.net/articles/Journal_08December_Carson.pdf</w:t>
      </w:r>
    </w:p>
  </w:footnote>
  <w:footnote w:id="34">
    <w:p w14:paraId="644CB7B4" w14:textId="77777777" w:rsidR="001143F2" w:rsidRDefault="001143F2" w:rsidP="00425E81">
      <w:pPr>
        <w:pStyle w:val="FootnoteText"/>
      </w:pPr>
      <w:r>
        <w:rPr>
          <w:rStyle w:val="FootnoteReference"/>
        </w:rPr>
        <w:footnoteRef/>
      </w:r>
      <w:r>
        <w:t xml:space="preserve"> Crispin Butteriss ‘What is community engagement, exactly?’ Bang the Table, 2016. </w:t>
      </w:r>
      <w:r w:rsidRPr="002E7053">
        <w:t>http://www.bangthetable.com/what-is-community-engagement/</w:t>
      </w:r>
    </w:p>
  </w:footnote>
  <w:footnote w:id="35">
    <w:p w14:paraId="6E30677A" w14:textId="77777777" w:rsidR="001143F2" w:rsidRDefault="001143F2" w:rsidP="00425E81">
      <w:pPr>
        <w:pStyle w:val="FootnoteText"/>
      </w:pPr>
      <w:r>
        <w:rPr>
          <w:rStyle w:val="FootnoteReference"/>
        </w:rPr>
        <w:footnoteRef/>
      </w:r>
      <w:r>
        <w:t xml:space="preserve"> Crispin Butteriss ‘What is community engagement, exactly?’ Bang the Table, 2016. </w:t>
      </w:r>
      <w:r w:rsidRPr="002E7053">
        <w:t>http://www.bangthetable.com/what-is-community-engagement/</w:t>
      </w:r>
    </w:p>
  </w:footnote>
  <w:footnote w:id="36">
    <w:p w14:paraId="51FEB386" w14:textId="77777777" w:rsidR="001143F2" w:rsidRDefault="001143F2" w:rsidP="00425E81">
      <w:pPr>
        <w:pStyle w:val="FootnoteText"/>
      </w:pPr>
      <w:r>
        <w:rPr>
          <w:rStyle w:val="FootnoteReference"/>
        </w:rPr>
        <w:footnoteRef/>
      </w:r>
      <w:r>
        <w:t xml:space="preserve"> Jenny Stewart ‘Dilemmas of Engagement’ Australian National University, 2009.</w:t>
      </w:r>
    </w:p>
  </w:footnote>
  <w:footnote w:id="37">
    <w:p w14:paraId="3339ED6D" w14:textId="77777777" w:rsidR="001143F2" w:rsidRDefault="001143F2" w:rsidP="00425E81">
      <w:pPr>
        <w:pStyle w:val="FootnoteText"/>
      </w:pPr>
      <w:r>
        <w:rPr>
          <w:rStyle w:val="FootnoteReference"/>
        </w:rPr>
        <w:footnoteRef/>
      </w:r>
      <w:r>
        <w:t xml:space="preserve"> Government of Ontario ‘Public Engagement’, last accessed August 2017. Link: </w:t>
      </w:r>
      <w:r w:rsidRPr="00AB064B">
        <w:t>https://www.ontario.ca/page/public-</w:t>
      </w:r>
      <w:r>
        <w:t>f</w:t>
      </w:r>
      <w:r w:rsidRPr="00AB064B">
        <w:t>engagement</w:t>
      </w:r>
      <w:r>
        <w:t>.</w:t>
      </w:r>
    </w:p>
  </w:footnote>
  <w:footnote w:id="38">
    <w:p w14:paraId="50564EF4" w14:textId="77777777" w:rsidR="001143F2" w:rsidRDefault="001143F2" w:rsidP="00425E81">
      <w:pPr>
        <w:pStyle w:val="FootnoteText"/>
      </w:pPr>
      <w:r>
        <w:rPr>
          <w:rStyle w:val="FootnoteReference"/>
        </w:rPr>
        <w:footnoteRef/>
      </w:r>
      <w:r>
        <w:t xml:space="preserve"> This has been identified as an issue in IAP2 Canada’s review of the IAP2 Spectrum, which notes that ‘</w:t>
      </w:r>
      <w:r w:rsidRPr="00CA26DB">
        <w:t>Some participants have noted how the Spectrum confuses new users who erroneously believe the continuum-points on the left are less v</w:t>
      </w:r>
      <w:r>
        <w:t>aluable than those on the right’. See: IAP2 Canada ‘IAP2 Spectrum review – Summary of engagement processes’, IAP2, 2017.</w:t>
      </w:r>
    </w:p>
  </w:footnote>
  <w:footnote w:id="39">
    <w:p w14:paraId="1A1FD71C" w14:textId="77777777" w:rsidR="001143F2" w:rsidRDefault="001143F2" w:rsidP="000C3784">
      <w:pPr>
        <w:pStyle w:val="FootnoteText"/>
      </w:pPr>
      <w:r>
        <w:rPr>
          <w:rStyle w:val="FootnoteReference"/>
        </w:rPr>
        <w:footnoteRef/>
      </w:r>
      <w:r>
        <w:t xml:space="preserve"> </w:t>
      </w:r>
      <w:r w:rsidRPr="007C782B">
        <w:t>Don Lenihan ‘An Ontario Public Engagement Framework: Report of the Open Dialogue Initiative’, 2016.</w:t>
      </w:r>
    </w:p>
  </w:footnote>
  <w:footnote w:id="40">
    <w:p w14:paraId="528C194C" w14:textId="77777777" w:rsidR="001143F2" w:rsidRDefault="001143F2" w:rsidP="000C3784">
      <w:pPr>
        <w:pStyle w:val="FootnoteText"/>
      </w:pPr>
      <w:r>
        <w:rPr>
          <w:rStyle w:val="FootnoteReference"/>
        </w:rPr>
        <w:footnoteRef/>
      </w:r>
      <w:r>
        <w:t xml:space="preserve"> Don Lenihan ‘What is open dialogue and is it the answer to post-fact populism?’, Canada 2020, 2017. The quote in the call out box above is from the same publication.</w:t>
      </w:r>
    </w:p>
  </w:footnote>
  <w:footnote w:id="41">
    <w:p w14:paraId="63B3676D" w14:textId="77777777" w:rsidR="001143F2" w:rsidRDefault="001143F2">
      <w:pPr>
        <w:pStyle w:val="FootnoteText"/>
      </w:pPr>
      <w:r>
        <w:rPr>
          <w:rStyle w:val="FootnoteReference"/>
        </w:rPr>
        <w:footnoteRef/>
      </w:r>
      <w:r>
        <w:t xml:space="preserve"> Participedia. See: </w:t>
      </w:r>
      <w:r w:rsidRPr="00AD2005">
        <w:t>http://participedia.net/en/about</w:t>
      </w:r>
    </w:p>
  </w:footnote>
  <w:footnote w:id="42">
    <w:p w14:paraId="7493B33C" w14:textId="77777777" w:rsidR="001143F2" w:rsidRDefault="001143F2" w:rsidP="0030107E">
      <w:pPr>
        <w:pStyle w:val="FootnoteText"/>
      </w:pPr>
      <w:r>
        <w:rPr>
          <w:rStyle w:val="FootnoteReference"/>
        </w:rPr>
        <w:footnoteRef/>
      </w:r>
      <w:r>
        <w:t xml:space="preserve"> Lucy Parry ‘</w:t>
      </w:r>
      <w:r w:rsidRPr="00E94517">
        <w:t>When is a democratic innovation not a democratic innovation? The populist challenge in Australia</w:t>
      </w:r>
      <w:r>
        <w:t>’, Participedia, 2016.</w:t>
      </w:r>
    </w:p>
  </w:footnote>
  <w:footnote w:id="43">
    <w:p w14:paraId="6150018D" w14:textId="77777777" w:rsidR="001143F2" w:rsidRDefault="001143F2">
      <w:pPr>
        <w:pStyle w:val="FootnoteText"/>
      </w:pPr>
      <w:r>
        <w:rPr>
          <w:rStyle w:val="FootnoteReference"/>
        </w:rPr>
        <w:footnoteRef/>
      </w:r>
      <w:r>
        <w:t xml:space="preserve"> Victorian Auditor-General ‘Public participation in government decisionmaking’ Victorian Government Printer, 2017. </w:t>
      </w:r>
      <w:r w:rsidRPr="00FA7CFD">
        <w:t>http://www.audit.vic.gov.au/publications/20170510-PP-Decision-Making/20170510-PP-Decision-Making.html</w:t>
      </w:r>
    </w:p>
  </w:footnote>
  <w:footnote w:id="44">
    <w:p w14:paraId="555868B2" w14:textId="77777777" w:rsidR="001143F2" w:rsidRPr="005D78E5" w:rsidRDefault="001143F2" w:rsidP="001812A3">
      <w:pPr>
        <w:spacing w:before="0" w:after="160" w:line="259" w:lineRule="auto"/>
        <w:rPr>
          <w:rFonts w:ascii="Microsoft New Tai Lue" w:hAnsi="Microsoft New Tai Lue"/>
          <w:sz w:val="16"/>
          <w:szCs w:val="20"/>
        </w:rPr>
      </w:pPr>
      <w:r>
        <w:rPr>
          <w:rStyle w:val="FootnoteReference"/>
        </w:rPr>
        <w:footnoteRef/>
      </w:r>
      <w:r>
        <w:t xml:space="preserve"> </w:t>
      </w:r>
      <w:r w:rsidRPr="005C03B5">
        <w:rPr>
          <w:rFonts w:ascii="Microsoft New Tai Lue" w:hAnsi="Microsoft New Tai Lue"/>
          <w:sz w:val="16"/>
          <w:szCs w:val="20"/>
        </w:rPr>
        <w:t xml:space="preserve">NCOSS Research Report “Have your say… but how? Improving public participation in NSW”, NCOSS, University of Sydney, 2014. Link: </w:t>
      </w:r>
      <w:r w:rsidRPr="005D78E5">
        <w:rPr>
          <w:rFonts w:ascii="Microsoft New Tai Lue" w:hAnsi="Microsoft New Tai Lue"/>
          <w:sz w:val="16"/>
          <w:szCs w:val="20"/>
        </w:rPr>
        <w:t>https://www.ncoss.org.au/sites/default/files/141128-participation.pdf</w:t>
      </w:r>
    </w:p>
    <w:p w14:paraId="3BB552C6" w14:textId="77777777" w:rsidR="001143F2" w:rsidRDefault="001143F2">
      <w:pPr>
        <w:pStyle w:val="FootnoteText"/>
      </w:pPr>
    </w:p>
  </w:footnote>
  <w:footnote w:id="45">
    <w:p w14:paraId="3635552A" w14:textId="77777777" w:rsidR="001143F2" w:rsidRDefault="001143F2" w:rsidP="00B05EFB">
      <w:pPr>
        <w:pStyle w:val="FootnoteText"/>
      </w:pPr>
      <w:r>
        <w:rPr>
          <w:rStyle w:val="FootnoteReference"/>
        </w:rPr>
        <w:footnoteRef/>
      </w:r>
      <w:r>
        <w:t xml:space="preserve"> Sally Hussey ‘International public participation models 1969-2016’, Bang the table, 2017. </w:t>
      </w:r>
      <w:r w:rsidRPr="001A4181">
        <w:t>http://www.bangthetable.com/international-public-participation-models-1969-2016</w:t>
      </w:r>
    </w:p>
  </w:footnote>
  <w:footnote w:id="46">
    <w:p w14:paraId="371100ED" w14:textId="77777777" w:rsidR="001143F2" w:rsidRDefault="001143F2" w:rsidP="00B05EFB">
      <w:pPr>
        <w:pStyle w:val="FootnoteText"/>
      </w:pPr>
      <w:r>
        <w:rPr>
          <w:rStyle w:val="FootnoteReference"/>
        </w:rPr>
        <w:footnoteRef/>
      </w:r>
      <w:r>
        <w:t xml:space="preserve"> Wendy Russell, Lucy Parry ‘Deliberative democracy theory and practice: Crossing the divide’, University of Canberra, [insert year].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lang w:eastAsia="en-AU"/>
      </w:rPr>
      <w:id w:val="-560244938"/>
      <w:docPartObj>
        <w:docPartGallery w:val="Watermarks"/>
        <w:docPartUnique/>
      </w:docPartObj>
    </w:sdtPr>
    <w:sdtEndPr/>
    <w:sdtContent>
      <w:p w14:paraId="18F697AE" w14:textId="77777777" w:rsidR="001143F2" w:rsidRDefault="001143F2" w:rsidP="0052682D">
        <w:pPr>
          <w:pStyle w:val="HeaderTitle"/>
          <w:rPr>
            <w:noProof/>
            <w:lang w:eastAsia="en-AU"/>
          </w:rPr>
        </w:pPr>
        <w:r>
          <w:rPr>
            <w:noProof/>
            <w:lang w:eastAsia="en-AU"/>
          </w:rPr>
          <w:tab/>
        </w:r>
        <w:r>
          <w:rPr>
            <w:noProof/>
            <w:lang w:eastAsia="en-AU"/>
          </w:rPr>
          <w:tab/>
        </w:r>
        <w:r w:rsidR="00B2619D">
          <w:rPr>
            <w:noProof/>
            <w:lang w:val="en-US" w:eastAsia="en-AU"/>
          </w:rPr>
          <w:pict w14:anchorId="009252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4725BE9C" w14:textId="77777777" w:rsidR="001143F2" w:rsidRDefault="001143F2" w:rsidP="00BA0C9D">
    <w:pPr>
      <w:pStyle w:val="Header"/>
      <w:tabs>
        <w:tab w:val="left" w:pos="524"/>
      </w:tabs>
      <w:rPr>
        <w:rStyle w:val="Strong"/>
        <w:b w:val="0"/>
        <w:bCs w:val="0"/>
        <w:sz w:val="16"/>
      </w:rPr>
    </w:pPr>
    <w:r>
      <w:rPr>
        <w:noProof/>
        <w:lang w:eastAsia="en-AU"/>
      </w:rPr>
      <mc:AlternateContent>
        <mc:Choice Requires="wps">
          <w:drawing>
            <wp:anchor distT="4294967295" distB="4294967295" distL="114300" distR="114300" simplePos="0" relativeHeight="251656704" behindDoc="0" locked="0" layoutInCell="1" allowOverlap="1" wp14:anchorId="086FB90C" wp14:editId="411AB85C">
              <wp:simplePos x="0" y="0"/>
              <wp:positionH relativeFrom="margin">
                <wp:align>right</wp:align>
              </wp:positionH>
              <wp:positionV relativeFrom="paragraph">
                <wp:posOffset>203725</wp:posOffset>
              </wp:positionV>
              <wp:extent cx="5740455" cy="7951"/>
              <wp:effectExtent l="0" t="0" r="12700" b="30480"/>
              <wp:wrapNone/>
              <wp:docPr id="7" name="Straight Connector 7" title="Header divider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740455" cy="7951"/>
                      </a:xfrm>
                      <a:prstGeom prst="line">
                        <a:avLst/>
                      </a:prstGeom>
                      <a:noFill/>
                      <a:ln w="9525" cap="flat" cmpd="sng" algn="ctr">
                        <a:solidFill>
                          <a:srgbClr val="3F3F3F">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22022B" id="Straight Connector 7" o:spid="_x0000_s1026" alt="Title: Header divider line" style="position:absolute;flip:x;z-index:25165670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00.8pt,16.05pt" to="852.8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" strokecolor="#3d3d3d">
              <o:lock v:ext="edit" shapetype="f"/>
              <w10:wrap anchorx="margin"/>
            </v:line>
          </w:pict>
        </mc:Fallback>
      </mc:AlternateContent>
    </w:r>
    <w:r>
      <w:rPr>
        <w:rStyle w:val="Strong"/>
        <w:b w:val="0"/>
        <w:bCs w:val="0"/>
      </w:rPr>
      <w:tab/>
    </w:r>
    <w:r>
      <w:rPr>
        <w:rStyle w:val="Strong"/>
        <w:b w:val="0"/>
        <w:bCs w:val="0"/>
      </w:rPr>
      <w:tab/>
    </w:r>
    <w:r w:rsidRPr="00D72F1F">
      <w:rPr>
        <w:rStyle w:val="Strong"/>
        <w:b w:val="0"/>
        <w:bCs w:val="0"/>
        <w:sz w:val="16"/>
      </w:rPr>
      <w:t>HIDDEN IN PLAIN SIGHT | ENHANCING public participation</w:t>
    </w:r>
    <w:r>
      <w:rPr>
        <w:rStyle w:val="Strong"/>
        <w:b w:val="0"/>
        <w:bCs w:val="0"/>
        <w:sz w:val="16"/>
      </w:rPr>
      <w:t xml:space="preserve"> IN THE AUSTRALIAN PUBLIC SERVICE</w:t>
    </w:r>
  </w:p>
  <w:p w14:paraId="0E0E53B2" w14:textId="77777777" w:rsidR="001143F2" w:rsidRDefault="001143F2" w:rsidP="00BA0C9D">
    <w:pPr>
      <w:pStyle w:val="Header"/>
      <w:tabs>
        <w:tab w:val="left" w:pos="524"/>
      </w:tabs>
      <w:rPr>
        <w:rStyle w:val="Strong"/>
        <w:b w:val="0"/>
        <w:bCs w:val="0"/>
        <w:sz w:val="16"/>
      </w:rPr>
    </w:pPr>
  </w:p>
  <w:p w14:paraId="56AD9227" w14:textId="77777777" w:rsidR="001143F2" w:rsidRPr="00D72F1F" w:rsidRDefault="001143F2" w:rsidP="00BA0C9D">
    <w:pPr>
      <w:pStyle w:val="Header"/>
      <w:tabs>
        <w:tab w:val="left" w:pos="524"/>
      </w:tabs>
      <w:rPr>
        <w:rStyle w:val="Strong"/>
        <w:b w:val="0"/>
        <w:bCs w:val="0"/>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E0AB0D" w14:textId="77777777" w:rsidR="001143F2" w:rsidRPr="00583203" w:rsidRDefault="001143F2" w:rsidP="00583203">
    <w:pPr>
      <w:pStyle w:val="Header"/>
    </w:pPr>
    <w:r>
      <w:rPr>
        <w:noProof/>
        <w:lang w:eastAsia="en-AU"/>
      </w:rPr>
      <w:drawing>
        <wp:anchor distT="0" distB="0" distL="114300" distR="114300" simplePos="0" relativeHeight="251657728" behindDoc="1" locked="0" layoutInCell="1" allowOverlap="1" wp14:anchorId="391F6CD7" wp14:editId="059F33F3">
          <wp:simplePos x="0" y="0"/>
          <wp:positionH relativeFrom="column">
            <wp:posOffset>4123426</wp:posOffset>
          </wp:positionH>
          <wp:positionV relativeFrom="paragraph">
            <wp:posOffset>-134069</wp:posOffset>
          </wp:positionV>
          <wp:extent cx="2085975" cy="1388853"/>
          <wp:effectExtent l="0" t="0" r="0" b="0"/>
          <wp:wrapNone/>
          <wp:docPr id="1660" name="Picture 4" descr="The Department of Industry, Innovation and Science logo with the Commonweath Crest with the BizLab logo stacked underneath it." title="BizLa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Department of Industry, Innovation and Science logo with the Commonweath Crest with the BizLab logo stacked underneath it." title="BizLab logo"/>
                  <pic:cNvPicPr/>
                </pic:nvPicPr>
                <pic:blipFill rotWithShape="1">
                  <a:blip r:embed="rId1">
                    <a:extLst>
                      <a:ext uri="{28A0092B-C50C-407E-A947-70E740481C1C}">
                        <a14:useLocalDpi xmlns:a14="http://schemas.microsoft.com/office/drawing/2010/main" val="0"/>
                      </a:ext>
                    </a:extLst>
                  </a:blip>
                  <a:srcRect b="57842"/>
                  <a:stretch/>
                </pic:blipFill>
                <pic:spPr bwMode="auto">
                  <a:xfrm>
                    <a:off x="0" y="0"/>
                    <a:ext cx="2085975" cy="13888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F40CFA" w14:textId="77777777" w:rsidR="001143F2" w:rsidRPr="00583203" w:rsidRDefault="001143F2" w:rsidP="005832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BD603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D1CD29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D8ABB4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C8FF7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8C04A3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07ED70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DFAF3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0F87C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C4B8A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37A17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8A6A45"/>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7270479"/>
    <w:multiLevelType w:val="hybridMultilevel"/>
    <w:tmpl w:val="DB6A23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770E35"/>
    <w:multiLevelType w:val="hybridMultilevel"/>
    <w:tmpl w:val="2F308A22"/>
    <w:lvl w:ilvl="0" w:tplc="BE788608">
      <w:start w:val="1"/>
      <w:numFmt w:val="decimal"/>
      <w:lvlText w:val="%1."/>
      <w:lvlJc w:val="left"/>
      <w:pPr>
        <w:ind w:left="720" w:hanging="360"/>
      </w:pPr>
      <w:rPr>
        <w:rFonts w:hint="default"/>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B850330"/>
    <w:multiLevelType w:val="multilevel"/>
    <w:tmpl w:val="AED6BE6E"/>
    <w:lvl w:ilvl="0">
      <w:start w:val="1"/>
      <w:numFmt w:val="decimal"/>
      <w:pStyle w:val="Instructionaltext-Numberedlist"/>
      <w:lvlText w:val="%1."/>
      <w:lvlJc w:val="left"/>
      <w:pPr>
        <w:tabs>
          <w:tab w:val="num" w:pos="340"/>
        </w:tabs>
        <w:ind w:left="340" w:hanging="340"/>
      </w:pPr>
      <w:rPr>
        <w:rFonts w:hint="default"/>
        <w:b w:val="0"/>
        <w:i/>
        <w:sz w:val="22"/>
      </w:rPr>
    </w:lvl>
    <w:lvl w:ilvl="1">
      <w:start w:val="1"/>
      <w:numFmt w:val="lowerLetter"/>
      <w:lvlText w:val="%2."/>
      <w:lvlJc w:val="left"/>
      <w:pPr>
        <w:ind w:left="680"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0701725"/>
    <w:multiLevelType w:val="hybridMultilevel"/>
    <w:tmpl w:val="21366C54"/>
    <w:lvl w:ilvl="0" w:tplc="573C30B0">
      <w:start w:val="1"/>
      <w:numFmt w:val="lowerLetter"/>
      <w:pStyle w:val="Bodynumbered-Level2"/>
      <w:lvlText w:val="%1."/>
      <w:lvlJc w:val="left"/>
      <w:pPr>
        <w:ind w:left="1400" w:hanging="360"/>
      </w:pPr>
      <w:rPr>
        <w:rFonts w:hint="default"/>
        <w:b/>
        <w:i w:val="0"/>
        <w:color w:val="122748"/>
        <w:sz w:val="20"/>
      </w:rPr>
    </w:lvl>
    <w:lvl w:ilvl="1" w:tplc="0C090019" w:tentative="1">
      <w:start w:val="1"/>
      <w:numFmt w:val="lowerLetter"/>
      <w:lvlText w:val="%2."/>
      <w:lvlJc w:val="left"/>
      <w:pPr>
        <w:ind w:left="2120" w:hanging="360"/>
      </w:pPr>
    </w:lvl>
    <w:lvl w:ilvl="2" w:tplc="0C09001B" w:tentative="1">
      <w:start w:val="1"/>
      <w:numFmt w:val="lowerRoman"/>
      <w:lvlText w:val="%3."/>
      <w:lvlJc w:val="right"/>
      <w:pPr>
        <w:ind w:left="2840" w:hanging="180"/>
      </w:pPr>
    </w:lvl>
    <w:lvl w:ilvl="3" w:tplc="0C09000F" w:tentative="1">
      <w:start w:val="1"/>
      <w:numFmt w:val="decimal"/>
      <w:lvlText w:val="%4."/>
      <w:lvlJc w:val="left"/>
      <w:pPr>
        <w:ind w:left="3560" w:hanging="360"/>
      </w:pPr>
    </w:lvl>
    <w:lvl w:ilvl="4" w:tplc="0C090019" w:tentative="1">
      <w:start w:val="1"/>
      <w:numFmt w:val="lowerLetter"/>
      <w:lvlText w:val="%5."/>
      <w:lvlJc w:val="left"/>
      <w:pPr>
        <w:ind w:left="4280" w:hanging="360"/>
      </w:pPr>
    </w:lvl>
    <w:lvl w:ilvl="5" w:tplc="0C09001B" w:tentative="1">
      <w:start w:val="1"/>
      <w:numFmt w:val="lowerRoman"/>
      <w:lvlText w:val="%6."/>
      <w:lvlJc w:val="right"/>
      <w:pPr>
        <w:ind w:left="5000" w:hanging="180"/>
      </w:pPr>
    </w:lvl>
    <w:lvl w:ilvl="6" w:tplc="0C09000F" w:tentative="1">
      <w:start w:val="1"/>
      <w:numFmt w:val="decimal"/>
      <w:lvlText w:val="%7."/>
      <w:lvlJc w:val="left"/>
      <w:pPr>
        <w:ind w:left="5720" w:hanging="360"/>
      </w:pPr>
    </w:lvl>
    <w:lvl w:ilvl="7" w:tplc="0C090019" w:tentative="1">
      <w:start w:val="1"/>
      <w:numFmt w:val="lowerLetter"/>
      <w:lvlText w:val="%8."/>
      <w:lvlJc w:val="left"/>
      <w:pPr>
        <w:ind w:left="6440" w:hanging="360"/>
      </w:pPr>
    </w:lvl>
    <w:lvl w:ilvl="8" w:tplc="0C09001B" w:tentative="1">
      <w:start w:val="1"/>
      <w:numFmt w:val="lowerRoman"/>
      <w:lvlText w:val="%9."/>
      <w:lvlJc w:val="right"/>
      <w:pPr>
        <w:ind w:left="7160" w:hanging="180"/>
      </w:pPr>
    </w:lvl>
  </w:abstractNum>
  <w:abstractNum w:abstractNumId="15" w15:restartNumberingAfterBreak="0">
    <w:nsid w:val="20A477FC"/>
    <w:multiLevelType w:val="hybridMultilevel"/>
    <w:tmpl w:val="88908EDA"/>
    <w:lvl w:ilvl="0" w:tplc="7332BB4E">
      <w:start w:val="1"/>
      <w:numFmt w:val="lowerRoman"/>
      <w:pStyle w:val="Bodynumbered-Level3"/>
      <w:lvlText w:val="%1."/>
      <w:lvlJc w:val="left"/>
      <w:pPr>
        <w:ind w:left="1740" w:hanging="360"/>
      </w:pPr>
      <w:rPr>
        <w:rFonts w:hint="default"/>
        <w:color w:val="3F3F3F"/>
      </w:rPr>
    </w:lvl>
    <w:lvl w:ilvl="1" w:tplc="0C090019" w:tentative="1">
      <w:start w:val="1"/>
      <w:numFmt w:val="lowerLetter"/>
      <w:lvlText w:val="%2."/>
      <w:lvlJc w:val="left"/>
      <w:pPr>
        <w:ind w:left="2460" w:hanging="360"/>
      </w:pPr>
    </w:lvl>
    <w:lvl w:ilvl="2" w:tplc="0C09001B" w:tentative="1">
      <w:start w:val="1"/>
      <w:numFmt w:val="lowerRoman"/>
      <w:lvlText w:val="%3."/>
      <w:lvlJc w:val="right"/>
      <w:pPr>
        <w:ind w:left="3180" w:hanging="180"/>
      </w:pPr>
    </w:lvl>
    <w:lvl w:ilvl="3" w:tplc="0C09000F" w:tentative="1">
      <w:start w:val="1"/>
      <w:numFmt w:val="decimal"/>
      <w:lvlText w:val="%4."/>
      <w:lvlJc w:val="left"/>
      <w:pPr>
        <w:ind w:left="3900" w:hanging="360"/>
      </w:pPr>
    </w:lvl>
    <w:lvl w:ilvl="4" w:tplc="0C090019" w:tentative="1">
      <w:start w:val="1"/>
      <w:numFmt w:val="lowerLetter"/>
      <w:lvlText w:val="%5."/>
      <w:lvlJc w:val="left"/>
      <w:pPr>
        <w:ind w:left="4620" w:hanging="360"/>
      </w:pPr>
    </w:lvl>
    <w:lvl w:ilvl="5" w:tplc="0C09001B" w:tentative="1">
      <w:start w:val="1"/>
      <w:numFmt w:val="lowerRoman"/>
      <w:lvlText w:val="%6."/>
      <w:lvlJc w:val="right"/>
      <w:pPr>
        <w:ind w:left="5340" w:hanging="180"/>
      </w:pPr>
    </w:lvl>
    <w:lvl w:ilvl="6" w:tplc="0C09000F" w:tentative="1">
      <w:start w:val="1"/>
      <w:numFmt w:val="decimal"/>
      <w:lvlText w:val="%7."/>
      <w:lvlJc w:val="left"/>
      <w:pPr>
        <w:ind w:left="6060" w:hanging="360"/>
      </w:pPr>
    </w:lvl>
    <w:lvl w:ilvl="7" w:tplc="0C090019" w:tentative="1">
      <w:start w:val="1"/>
      <w:numFmt w:val="lowerLetter"/>
      <w:lvlText w:val="%8."/>
      <w:lvlJc w:val="left"/>
      <w:pPr>
        <w:ind w:left="6780" w:hanging="360"/>
      </w:pPr>
    </w:lvl>
    <w:lvl w:ilvl="8" w:tplc="0C09001B" w:tentative="1">
      <w:start w:val="1"/>
      <w:numFmt w:val="lowerRoman"/>
      <w:lvlText w:val="%9."/>
      <w:lvlJc w:val="right"/>
      <w:pPr>
        <w:ind w:left="7500" w:hanging="180"/>
      </w:pPr>
    </w:lvl>
  </w:abstractNum>
  <w:abstractNum w:abstractNumId="16" w15:restartNumberingAfterBreak="0">
    <w:nsid w:val="25E738EA"/>
    <w:multiLevelType w:val="hybridMultilevel"/>
    <w:tmpl w:val="C418672E"/>
    <w:lvl w:ilvl="0" w:tplc="672C997C">
      <w:numFmt w:val="bullet"/>
      <w:lvlText w:val="-"/>
      <w:lvlJc w:val="left"/>
      <w:pPr>
        <w:ind w:left="720" w:hanging="360"/>
      </w:pPr>
      <w:rPr>
        <w:rFonts w:ascii="Calibri" w:eastAsia="Calibri" w:hAnsi="Calibri"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26764520"/>
    <w:multiLevelType w:val="hybridMultilevel"/>
    <w:tmpl w:val="483CA03E"/>
    <w:lvl w:ilvl="0" w:tplc="8572FE1E">
      <w:start w:val="1"/>
      <w:numFmt w:val="lowerLetter"/>
      <w:pStyle w:val="Boxlist-Alpha"/>
      <w:lvlText w:val="%1."/>
      <w:lvlJc w:val="left"/>
      <w:pPr>
        <w:ind w:left="720" w:hanging="360"/>
      </w:pPr>
      <w:rPr>
        <w:rFonts w:hint="default"/>
        <w:b/>
        <w:i w:val="0"/>
        <w:color w:val="122748"/>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75A6BF4"/>
    <w:multiLevelType w:val="multilevel"/>
    <w:tmpl w:val="9C72651C"/>
    <w:lvl w:ilvl="0">
      <w:start w:val="1"/>
      <w:numFmt w:val="decimal"/>
      <w:lvlText w:val="%1."/>
      <w:lvlJc w:val="left"/>
      <w:pPr>
        <w:ind w:left="907" w:hanging="907"/>
      </w:pPr>
      <w:rPr>
        <w:rFonts w:hint="default"/>
      </w:rPr>
    </w:lvl>
    <w:lvl w:ilvl="1">
      <w:start w:val="1"/>
      <w:numFmt w:val="decimal"/>
      <w:pStyle w:val="Heading2"/>
      <w:lvlText w:val="%1.%2."/>
      <w:lvlJc w:val="left"/>
      <w:pPr>
        <w:ind w:left="907" w:hanging="907"/>
      </w:pPr>
      <w:rPr>
        <w:rFonts w:hint="default"/>
      </w:rPr>
    </w:lvl>
    <w:lvl w:ilvl="2">
      <w:start w:val="1"/>
      <w:numFmt w:val="decimal"/>
      <w:pStyle w:val="Heading3"/>
      <w:lvlText w:val="%1.%2.%3."/>
      <w:lvlJc w:val="left"/>
      <w:pPr>
        <w:ind w:left="907" w:hanging="907"/>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 w15:restartNumberingAfterBreak="0">
    <w:nsid w:val="28FB6BBC"/>
    <w:multiLevelType w:val="hybridMultilevel"/>
    <w:tmpl w:val="C5B669CA"/>
    <w:lvl w:ilvl="0" w:tplc="C5F6ED70">
      <w:start w:val="1"/>
      <w:numFmt w:val="bullet"/>
      <w:lvlText w:val="-"/>
      <w:lvlJc w:val="left"/>
      <w:pPr>
        <w:tabs>
          <w:tab w:val="num" w:pos="720"/>
        </w:tabs>
        <w:ind w:left="720" w:hanging="360"/>
      </w:pPr>
      <w:rPr>
        <w:rFonts w:ascii="Times New Roman" w:hAnsi="Times New Roman" w:hint="default"/>
      </w:rPr>
    </w:lvl>
    <w:lvl w:ilvl="1" w:tplc="8A9C2A96" w:tentative="1">
      <w:start w:val="1"/>
      <w:numFmt w:val="bullet"/>
      <w:lvlText w:val="-"/>
      <w:lvlJc w:val="left"/>
      <w:pPr>
        <w:tabs>
          <w:tab w:val="num" w:pos="1440"/>
        </w:tabs>
        <w:ind w:left="1440" w:hanging="360"/>
      </w:pPr>
      <w:rPr>
        <w:rFonts w:ascii="Times New Roman" w:hAnsi="Times New Roman" w:hint="default"/>
      </w:rPr>
    </w:lvl>
    <w:lvl w:ilvl="2" w:tplc="3D58BF84" w:tentative="1">
      <w:start w:val="1"/>
      <w:numFmt w:val="bullet"/>
      <w:lvlText w:val="-"/>
      <w:lvlJc w:val="left"/>
      <w:pPr>
        <w:tabs>
          <w:tab w:val="num" w:pos="2160"/>
        </w:tabs>
        <w:ind w:left="2160" w:hanging="360"/>
      </w:pPr>
      <w:rPr>
        <w:rFonts w:ascii="Times New Roman" w:hAnsi="Times New Roman" w:hint="default"/>
      </w:rPr>
    </w:lvl>
    <w:lvl w:ilvl="3" w:tplc="A0543C98" w:tentative="1">
      <w:start w:val="1"/>
      <w:numFmt w:val="bullet"/>
      <w:lvlText w:val="-"/>
      <w:lvlJc w:val="left"/>
      <w:pPr>
        <w:tabs>
          <w:tab w:val="num" w:pos="2880"/>
        </w:tabs>
        <w:ind w:left="2880" w:hanging="360"/>
      </w:pPr>
      <w:rPr>
        <w:rFonts w:ascii="Times New Roman" w:hAnsi="Times New Roman" w:hint="default"/>
      </w:rPr>
    </w:lvl>
    <w:lvl w:ilvl="4" w:tplc="E45E9294" w:tentative="1">
      <w:start w:val="1"/>
      <w:numFmt w:val="bullet"/>
      <w:lvlText w:val="-"/>
      <w:lvlJc w:val="left"/>
      <w:pPr>
        <w:tabs>
          <w:tab w:val="num" w:pos="3600"/>
        </w:tabs>
        <w:ind w:left="3600" w:hanging="360"/>
      </w:pPr>
      <w:rPr>
        <w:rFonts w:ascii="Times New Roman" w:hAnsi="Times New Roman" w:hint="default"/>
      </w:rPr>
    </w:lvl>
    <w:lvl w:ilvl="5" w:tplc="A8F2E72C" w:tentative="1">
      <w:start w:val="1"/>
      <w:numFmt w:val="bullet"/>
      <w:lvlText w:val="-"/>
      <w:lvlJc w:val="left"/>
      <w:pPr>
        <w:tabs>
          <w:tab w:val="num" w:pos="4320"/>
        </w:tabs>
        <w:ind w:left="4320" w:hanging="360"/>
      </w:pPr>
      <w:rPr>
        <w:rFonts w:ascii="Times New Roman" w:hAnsi="Times New Roman" w:hint="default"/>
      </w:rPr>
    </w:lvl>
    <w:lvl w:ilvl="6" w:tplc="0E4AA6C8" w:tentative="1">
      <w:start w:val="1"/>
      <w:numFmt w:val="bullet"/>
      <w:lvlText w:val="-"/>
      <w:lvlJc w:val="left"/>
      <w:pPr>
        <w:tabs>
          <w:tab w:val="num" w:pos="5040"/>
        </w:tabs>
        <w:ind w:left="5040" w:hanging="360"/>
      </w:pPr>
      <w:rPr>
        <w:rFonts w:ascii="Times New Roman" w:hAnsi="Times New Roman" w:hint="default"/>
      </w:rPr>
    </w:lvl>
    <w:lvl w:ilvl="7" w:tplc="C08069C4" w:tentative="1">
      <w:start w:val="1"/>
      <w:numFmt w:val="bullet"/>
      <w:lvlText w:val="-"/>
      <w:lvlJc w:val="left"/>
      <w:pPr>
        <w:tabs>
          <w:tab w:val="num" w:pos="5760"/>
        </w:tabs>
        <w:ind w:left="5760" w:hanging="360"/>
      </w:pPr>
      <w:rPr>
        <w:rFonts w:ascii="Times New Roman" w:hAnsi="Times New Roman" w:hint="default"/>
      </w:rPr>
    </w:lvl>
    <w:lvl w:ilvl="8" w:tplc="E6887C4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290304BD"/>
    <w:multiLevelType w:val="hybridMultilevel"/>
    <w:tmpl w:val="EF8A3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9DF058F"/>
    <w:multiLevelType w:val="hybridMultilevel"/>
    <w:tmpl w:val="CF78AD16"/>
    <w:lvl w:ilvl="0" w:tplc="9EF81D86">
      <w:start w:val="1"/>
      <w:numFmt w:val="bullet"/>
      <w:lvlText w:val="-"/>
      <w:lvlJc w:val="left"/>
      <w:pPr>
        <w:tabs>
          <w:tab w:val="num" w:pos="720"/>
        </w:tabs>
        <w:ind w:left="720" w:hanging="360"/>
      </w:pPr>
      <w:rPr>
        <w:rFonts w:ascii="Times New Roman" w:hAnsi="Times New Roman" w:hint="default"/>
      </w:rPr>
    </w:lvl>
    <w:lvl w:ilvl="1" w:tplc="F6606CA6" w:tentative="1">
      <w:start w:val="1"/>
      <w:numFmt w:val="bullet"/>
      <w:lvlText w:val="-"/>
      <w:lvlJc w:val="left"/>
      <w:pPr>
        <w:tabs>
          <w:tab w:val="num" w:pos="1440"/>
        </w:tabs>
        <w:ind w:left="1440" w:hanging="360"/>
      </w:pPr>
      <w:rPr>
        <w:rFonts w:ascii="Times New Roman" w:hAnsi="Times New Roman" w:hint="default"/>
      </w:rPr>
    </w:lvl>
    <w:lvl w:ilvl="2" w:tplc="B2F27A56" w:tentative="1">
      <w:start w:val="1"/>
      <w:numFmt w:val="bullet"/>
      <w:lvlText w:val="-"/>
      <w:lvlJc w:val="left"/>
      <w:pPr>
        <w:tabs>
          <w:tab w:val="num" w:pos="2160"/>
        </w:tabs>
        <w:ind w:left="2160" w:hanging="360"/>
      </w:pPr>
      <w:rPr>
        <w:rFonts w:ascii="Times New Roman" w:hAnsi="Times New Roman" w:hint="default"/>
      </w:rPr>
    </w:lvl>
    <w:lvl w:ilvl="3" w:tplc="BBA67180" w:tentative="1">
      <w:start w:val="1"/>
      <w:numFmt w:val="bullet"/>
      <w:lvlText w:val="-"/>
      <w:lvlJc w:val="left"/>
      <w:pPr>
        <w:tabs>
          <w:tab w:val="num" w:pos="2880"/>
        </w:tabs>
        <w:ind w:left="2880" w:hanging="360"/>
      </w:pPr>
      <w:rPr>
        <w:rFonts w:ascii="Times New Roman" w:hAnsi="Times New Roman" w:hint="default"/>
      </w:rPr>
    </w:lvl>
    <w:lvl w:ilvl="4" w:tplc="B896D6D2" w:tentative="1">
      <w:start w:val="1"/>
      <w:numFmt w:val="bullet"/>
      <w:lvlText w:val="-"/>
      <w:lvlJc w:val="left"/>
      <w:pPr>
        <w:tabs>
          <w:tab w:val="num" w:pos="3600"/>
        </w:tabs>
        <w:ind w:left="3600" w:hanging="360"/>
      </w:pPr>
      <w:rPr>
        <w:rFonts w:ascii="Times New Roman" w:hAnsi="Times New Roman" w:hint="default"/>
      </w:rPr>
    </w:lvl>
    <w:lvl w:ilvl="5" w:tplc="DC5C5164" w:tentative="1">
      <w:start w:val="1"/>
      <w:numFmt w:val="bullet"/>
      <w:lvlText w:val="-"/>
      <w:lvlJc w:val="left"/>
      <w:pPr>
        <w:tabs>
          <w:tab w:val="num" w:pos="4320"/>
        </w:tabs>
        <w:ind w:left="4320" w:hanging="360"/>
      </w:pPr>
      <w:rPr>
        <w:rFonts w:ascii="Times New Roman" w:hAnsi="Times New Roman" w:hint="default"/>
      </w:rPr>
    </w:lvl>
    <w:lvl w:ilvl="6" w:tplc="F452A658" w:tentative="1">
      <w:start w:val="1"/>
      <w:numFmt w:val="bullet"/>
      <w:lvlText w:val="-"/>
      <w:lvlJc w:val="left"/>
      <w:pPr>
        <w:tabs>
          <w:tab w:val="num" w:pos="5040"/>
        </w:tabs>
        <w:ind w:left="5040" w:hanging="360"/>
      </w:pPr>
      <w:rPr>
        <w:rFonts w:ascii="Times New Roman" w:hAnsi="Times New Roman" w:hint="default"/>
      </w:rPr>
    </w:lvl>
    <w:lvl w:ilvl="7" w:tplc="EE9C5994" w:tentative="1">
      <w:start w:val="1"/>
      <w:numFmt w:val="bullet"/>
      <w:lvlText w:val="-"/>
      <w:lvlJc w:val="left"/>
      <w:pPr>
        <w:tabs>
          <w:tab w:val="num" w:pos="5760"/>
        </w:tabs>
        <w:ind w:left="5760" w:hanging="360"/>
      </w:pPr>
      <w:rPr>
        <w:rFonts w:ascii="Times New Roman" w:hAnsi="Times New Roman" w:hint="default"/>
      </w:rPr>
    </w:lvl>
    <w:lvl w:ilvl="8" w:tplc="DF62645E"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29FA1B61"/>
    <w:multiLevelType w:val="hybridMultilevel"/>
    <w:tmpl w:val="3F2E3D52"/>
    <w:lvl w:ilvl="0" w:tplc="2CE2452C">
      <w:start w:val="1"/>
      <w:numFmt w:val="bullet"/>
      <w:pStyle w:val="Bodybullet-Level2"/>
      <w:lvlText w:val=""/>
      <w:lvlJc w:val="left"/>
      <w:pPr>
        <w:ind w:left="1060" w:hanging="360"/>
      </w:pPr>
      <w:rPr>
        <w:rFonts w:ascii="Symbol" w:hAnsi="Symbol" w:hint="default"/>
        <w:color w:val="3F3F3F"/>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23" w15:restartNumberingAfterBreak="0">
    <w:nsid w:val="2BD67DAE"/>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4" w15:restartNumberingAfterBreak="0">
    <w:nsid w:val="321A587B"/>
    <w:multiLevelType w:val="hybridMultilevel"/>
    <w:tmpl w:val="679C2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8997B4B"/>
    <w:multiLevelType w:val="hybridMultilevel"/>
    <w:tmpl w:val="B14AD03C"/>
    <w:lvl w:ilvl="0" w:tplc="4C0CCD88">
      <w:start w:val="1"/>
      <w:numFmt w:val="decimal"/>
      <w:lvlText w:val="%1."/>
      <w:lvlJc w:val="left"/>
      <w:pPr>
        <w:ind w:left="720" w:hanging="360"/>
      </w:pPr>
      <w:rPr>
        <w:rFonts w:ascii="Calibri" w:eastAsia="Microsoft New Tai Lue" w:hAnsi="Calibri" w:cs="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AF054BA"/>
    <w:multiLevelType w:val="hybridMultilevel"/>
    <w:tmpl w:val="B14AD03C"/>
    <w:lvl w:ilvl="0" w:tplc="4C0CCD88">
      <w:start w:val="1"/>
      <w:numFmt w:val="decimal"/>
      <w:lvlText w:val="%1."/>
      <w:lvlJc w:val="left"/>
      <w:pPr>
        <w:ind w:left="720" w:hanging="360"/>
      </w:pPr>
      <w:rPr>
        <w:rFonts w:ascii="Calibri" w:eastAsia="Microsoft New Tai Lue" w:hAnsi="Calibri" w:cs="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C8F0AC3"/>
    <w:multiLevelType w:val="hybridMultilevel"/>
    <w:tmpl w:val="21006FDE"/>
    <w:lvl w:ilvl="0" w:tplc="7B5CFF08">
      <w:start w:val="1"/>
      <w:numFmt w:val="bullet"/>
      <w:pStyle w:val="Bodybullet-Level3"/>
      <w:lvlText w:val=""/>
      <w:lvlJc w:val="left"/>
      <w:pPr>
        <w:ind w:left="1400" w:hanging="360"/>
      </w:pPr>
      <w:rPr>
        <w:rFonts w:ascii="Symbol" w:hAnsi="Symbol" w:hint="default"/>
        <w:color w:val="3F3F3F"/>
      </w:rPr>
    </w:lvl>
    <w:lvl w:ilvl="1" w:tplc="0C090003" w:tentative="1">
      <w:start w:val="1"/>
      <w:numFmt w:val="bullet"/>
      <w:lvlText w:val="o"/>
      <w:lvlJc w:val="left"/>
      <w:pPr>
        <w:ind w:left="2120" w:hanging="360"/>
      </w:pPr>
      <w:rPr>
        <w:rFonts w:ascii="Courier New" w:hAnsi="Courier New" w:cs="Courier New" w:hint="default"/>
      </w:rPr>
    </w:lvl>
    <w:lvl w:ilvl="2" w:tplc="0C090005" w:tentative="1">
      <w:start w:val="1"/>
      <w:numFmt w:val="bullet"/>
      <w:lvlText w:val=""/>
      <w:lvlJc w:val="left"/>
      <w:pPr>
        <w:ind w:left="2840" w:hanging="360"/>
      </w:pPr>
      <w:rPr>
        <w:rFonts w:ascii="Wingdings" w:hAnsi="Wingdings" w:hint="default"/>
      </w:rPr>
    </w:lvl>
    <w:lvl w:ilvl="3" w:tplc="0C090001" w:tentative="1">
      <w:start w:val="1"/>
      <w:numFmt w:val="bullet"/>
      <w:lvlText w:val=""/>
      <w:lvlJc w:val="left"/>
      <w:pPr>
        <w:ind w:left="3560" w:hanging="360"/>
      </w:pPr>
      <w:rPr>
        <w:rFonts w:ascii="Symbol" w:hAnsi="Symbol" w:hint="default"/>
      </w:rPr>
    </w:lvl>
    <w:lvl w:ilvl="4" w:tplc="0C090003" w:tentative="1">
      <w:start w:val="1"/>
      <w:numFmt w:val="bullet"/>
      <w:lvlText w:val="o"/>
      <w:lvlJc w:val="left"/>
      <w:pPr>
        <w:ind w:left="4280" w:hanging="360"/>
      </w:pPr>
      <w:rPr>
        <w:rFonts w:ascii="Courier New" w:hAnsi="Courier New" w:cs="Courier New" w:hint="default"/>
      </w:rPr>
    </w:lvl>
    <w:lvl w:ilvl="5" w:tplc="0C090005" w:tentative="1">
      <w:start w:val="1"/>
      <w:numFmt w:val="bullet"/>
      <w:lvlText w:val=""/>
      <w:lvlJc w:val="left"/>
      <w:pPr>
        <w:ind w:left="5000" w:hanging="360"/>
      </w:pPr>
      <w:rPr>
        <w:rFonts w:ascii="Wingdings" w:hAnsi="Wingdings" w:hint="default"/>
      </w:rPr>
    </w:lvl>
    <w:lvl w:ilvl="6" w:tplc="0C090001" w:tentative="1">
      <w:start w:val="1"/>
      <w:numFmt w:val="bullet"/>
      <w:lvlText w:val=""/>
      <w:lvlJc w:val="left"/>
      <w:pPr>
        <w:ind w:left="5720" w:hanging="360"/>
      </w:pPr>
      <w:rPr>
        <w:rFonts w:ascii="Symbol" w:hAnsi="Symbol" w:hint="default"/>
      </w:rPr>
    </w:lvl>
    <w:lvl w:ilvl="7" w:tplc="0C090003" w:tentative="1">
      <w:start w:val="1"/>
      <w:numFmt w:val="bullet"/>
      <w:lvlText w:val="o"/>
      <w:lvlJc w:val="left"/>
      <w:pPr>
        <w:ind w:left="6440" w:hanging="360"/>
      </w:pPr>
      <w:rPr>
        <w:rFonts w:ascii="Courier New" w:hAnsi="Courier New" w:cs="Courier New" w:hint="default"/>
      </w:rPr>
    </w:lvl>
    <w:lvl w:ilvl="8" w:tplc="0C090005" w:tentative="1">
      <w:start w:val="1"/>
      <w:numFmt w:val="bullet"/>
      <w:lvlText w:val=""/>
      <w:lvlJc w:val="left"/>
      <w:pPr>
        <w:ind w:left="7160" w:hanging="360"/>
      </w:pPr>
      <w:rPr>
        <w:rFonts w:ascii="Wingdings" w:hAnsi="Wingdings" w:hint="default"/>
      </w:rPr>
    </w:lvl>
  </w:abstractNum>
  <w:abstractNum w:abstractNumId="28" w15:restartNumberingAfterBreak="0">
    <w:nsid w:val="3E6606BB"/>
    <w:multiLevelType w:val="multilevel"/>
    <w:tmpl w:val="F5927E24"/>
    <w:lvl w:ilvl="0">
      <w:start w:val="1"/>
      <w:numFmt w:val="decimal"/>
      <w:pStyle w:val="Bodynumbered-Level1"/>
      <w:lvlText w:val="%1."/>
      <w:lvlJc w:val="left"/>
      <w:pPr>
        <w:ind w:left="700" w:hanging="360"/>
      </w:pPr>
      <w:rPr>
        <w:rFonts w:hint="default"/>
        <w:b/>
        <w:bCs/>
        <w:i w:val="0"/>
        <w:iCs w:val="0"/>
        <w:color w:val="122748"/>
        <w:sz w:val="20"/>
        <w:szCs w:val="22"/>
      </w:rPr>
    </w:lvl>
    <w:lvl w:ilvl="1">
      <w:start w:val="1"/>
      <w:numFmt w:val="lowerLetter"/>
      <w:lvlText w:val="%2."/>
      <w:lvlJc w:val="left"/>
      <w:pPr>
        <w:ind w:left="1020" w:hanging="340"/>
      </w:pPr>
      <w:rPr>
        <w:rFonts w:hint="default"/>
        <w:b/>
        <w:bCs/>
        <w:i w:val="0"/>
        <w:iCs w:val="0"/>
        <w:color w:val="0072B9"/>
        <w:sz w:val="22"/>
        <w:szCs w:val="22"/>
      </w:rPr>
    </w:lvl>
    <w:lvl w:ilvl="2">
      <w:start w:val="1"/>
      <w:numFmt w:val="lowerRoman"/>
      <w:lvlText w:val="%3"/>
      <w:lvlJc w:val="left"/>
      <w:pPr>
        <w:ind w:left="1361" w:hanging="341"/>
      </w:pPr>
      <w:rPr>
        <w:rFonts w:hint="default"/>
        <w:b/>
        <w:bCs/>
        <w:i w:val="0"/>
        <w:iCs w:val="0"/>
        <w:color w:val="0072B9"/>
        <w:sz w:val="22"/>
        <w:szCs w:val="22"/>
      </w:rPr>
    </w:lvl>
    <w:lvl w:ilvl="3">
      <w:start w:val="1"/>
      <w:numFmt w:val="none"/>
      <w:lvlText w:val=""/>
      <w:lvlJc w:val="left"/>
      <w:pPr>
        <w:ind w:left="1361" w:firstLine="0"/>
      </w:pPr>
      <w:rPr>
        <w:rFonts w:hint="default"/>
      </w:rPr>
    </w:lvl>
    <w:lvl w:ilvl="4">
      <w:start w:val="1"/>
      <w:numFmt w:val="none"/>
      <w:lvlText w:val=""/>
      <w:lvlJc w:val="left"/>
      <w:pPr>
        <w:ind w:left="1361" w:firstLine="0"/>
      </w:pPr>
      <w:rPr>
        <w:rFonts w:hint="default"/>
      </w:rPr>
    </w:lvl>
    <w:lvl w:ilvl="5">
      <w:start w:val="1"/>
      <w:numFmt w:val="none"/>
      <w:lvlText w:val=""/>
      <w:lvlJc w:val="left"/>
      <w:pPr>
        <w:ind w:left="1361" w:firstLine="0"/>
      </w:pPr>
      <w:rPr>
        <w:rFonts w:hint="default"/>
      </w:rPr>
    </w:lvl>
    <w:lvl w:ilvl="6">
      <w:start w:val="1"/>
      <w:numFmt w:val="none"/>
      <w:lvlText w:val=""/>
      <w:lvlJc w:val="left"/>
      <w:pPr>
        <w:ind w:left="1361" w:firstLine="0"/>
      </w:pPr>
      <w:rPr>
        <w:rFonts w:hint="default"/>
      </w:rPr>
    </w:lvl>
    <w:lvl w:ilvl="7">
      <w:start w:val="1"/>
      <w:numFmt w:val="none"/>
      <w:lvlText w:val="%8"/>
      <w:lvlJc w:val="left"/>
      <w:pPr>
        <w:ind w:left="1361" w:firstLine="0"/>
      </w:pPr>
      <w:rPr>
        <w:rFonts w:hint="default"/>
      </w:rPr>
    </w:lvl>
    <w:lvl w:ilvl="8">
      <w:start w:val="1"/>
      <w:numFmt w:val="none"/>
      <w:lvlText w:val="%9"/>
      <w:lvlJc w:val="left"/>
      <w:pPr>
        <w:ind w:left="1361" w:firstLine="0"/>
      </w:pPr>
      <w:rPr>
        <w:rFonts w:hint="default"/>
      </w:rPr>
    </w:lvl>
  </w:abstractNum>
  <w:abstractNum w:abstractNumId="29" w15:restartNumberingAfterBreak="0">
    <w:nsid w:val="40007B63"/>
    <w:multiLevelType w:val="hybridMultilevel"/>
    <w:tmpl w:val="93629F0E"/>
    <w:lvl w:ilvl="0" w:tplc="5D2259C4">
      <w:numFmt w:val="bullet"/>
      <w:lvlText w:val="-"/>
      <w:lvlJc w:val="left"/>
      <w:pPr>
        <w:ind w:left="720" w:hanging="360"/>
      </w:pPr>
      <w:rPr>
        <w:rFonts w:ascii="Microsoft New Tai Lue" w:eastAsia="Microsoft New Tai Lue" w:hAnsi="Microsoft New Tai Lue" w:cs="Microsoft New Tai Lue"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2BE3486"/>
    <w:multiLevelType w:val="hybridMultilevel"/>
    <w:tmpl w:val="4F46C2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47EF576C"/>
    <w:multiLevelType w:val="hybridMultilevel"/>
    <w:tmpl w:val="18DE3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8A64335"/>
    <w:multiLevelType w:val="hybridMultilevel"/>
    <w:tmpl w:val="2D22C1A0"/>
    <w:lvl w:ilvl="0" w:tplc="AC164BEC">
      <w:numFmt w:val="bullet"/>
      <w:lvlText w:val="-"/>
      <w:lvlJc w:val="left"/>
      <w:pPr>
        <w:ind w:left="720" w:hanging="360"/>
      </w:pPr>
      <w:rPr>
        <w:rFonts w:ascii="Calibri" w:eastAsia="Microsoft New Tai Lue"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95D28FC"/>
    <w:multiLevelType w:val="hybridMultilevel"/>
    <w:tmpl w:val="155010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4BF77995"/>
    <w:multiLevelType w:val="multilevel"/>
    <w:tmpl w:val="FEE67744"/>
    <w:lvl w:ilvl="0">
      <w:start w:val="1"/>
      <w:numFmt w:val="bullet"/>
      <w:pStyle w:val="Bodybullet-Level1"/>
      <w:lvlText w:val=""/>
      <w:lvlJc w:val="left"/>
      <w:pPr>
        <w:ind w:left="340" w:hanging="340"/>
      </w:pPr>
      <w:rPr>
        <w:rFonts w:ascii="Symbol" w:hAnsi="Symbol" w:hint="default"/>
        <w:color w:val="00728F"/>
        <w:sz w:val="18"/>
      </w:rPr>
    </w:lvl>
    <w:lvl w:ilvl="1">
      <w:start w:val="1"/>
      <w:numFmt w:val="bullet"/>
      <w:lvlText w:val="­"/>
      <w:lvlJc w:val="left"/>
      <w:pPr>
        <w:ind w:left="680" w:hanging="340"/>
      </w:pPr>
      <w:rPr>
        <w:rFonts w:ascii="Courier New" w:hAnsi="Courier New" w:hint="default"/>
        <w:color w:val="00728F"/>
        <w:sz w:val="18"/>
      </w:rPr>
    </w:lvl>
    <w:lvl w:ilvl="2">
      <w:start w:val="1"/>
      <w:numFmt w:val="bullet"/>
      <w:lvlText w:val=""/>
      <w:lvlJc w:val="left"/>
      <w:pPr>
        <w:ind w:left="1021" w:hanging="341"/>
      </w:pPr>
      <w:rPr>
        <w:rFonts w:ascii="Symbol" w:hAnsi="Symbol" w:hint="default"/>
        <w:color w:val="00728F"/>
        <w:sz w:val="18"/>
      </w:rPr>
    </w:lvl>
    <w:lvl w:ilvl="3">
      <w:start w:val="1"/>
      <w:numFmt w:val="bullet"/>
      <w:lvlText w:val="­"/>
      <w:lvlJc w:val="left"/>
      <w:pPr>
        <w:ind w:left="1361" w:hanging="340"/>
      </w:pPr>
      <w:rPr>
        <w:rFonts w:ascii="Courier New" w:hAnsi="Courier New" w:hint="default"/>
        <w:color w:val="auto"/>
      </w:rPr>
    </w:lvl>
    <w:lvl w:ilvl="4">
      <w:start w:val="1"/>
      <w:numFmt w:val="none"/>
      <w:lvlText w:val=""/>
      <w:lvlJc w:val="left"/>
      <w:pPr>
        <w:ind w:left="1361" w:firstLine="0"/>
      </w:pPr>
      <w:rPr>
        <w:rFonts w:hint="default"/>
      </w:rPr>
    </w:lvl>
    <w:lvl w:ilvl="5">
      <w:start w:val="1"/>
      <w:numFmt w:val="none"/>
      <w:lvlText w:val=""/>
      <w:lvlJc w:val="left"/>
      <w:pPr>
        <w:ind w:left="1361" w:firstLine="0"/>
      </w:pPr>
      <w:rPr>
        <w:rFonts w:hint="default"/>
      </w:rPr>
    </w:lvl>
    <w:lvl w:ilvl="6">
      <w:start w:val="1"/>
      <w:numFmt w:val="none"/>
      <w:lvlText w:val=""/>
      <w:lvlJc w:val="left"/>
      <w:pPr>
        <w:ind w:left="1361" w:firstLine="0"/>
      </w:pPr>
      <w:rPr>
        <w:rFonts w:hint="default"/>
      </w:rPr>
    </w:lvl>
    <w:lvl w:ilvl="7">
      <w:start w:val="1"/>
      <w:numFmt w:val="none"/>
      <w:lvlText w:val=""/>
      <w:lvlJc w:val="left"/>
      <w:pPr>
        <w:ind w:left="1361" w:firstLine="0"/>
      </w:pPr>
      <w:rPr>
        <w:rFonts w:hint="default"/>
      </w:rPr>
    </w:lvl>
    <w:lvl w:ilvl="8">
      <w:start w:val="1"/>
      <w:numFmt w:val="none"/>
      <w:lvlText w:val=""/>
      <w:lvlJc w:val="left"/>
      <w:pPr>
        <w:ind w:left="1361" w:firstLine="0"/>
      </w:pPr>
      <w:rPr>
        <w:rFonts w:hint="default"/>
      </w:rPr>
    </w:lvl>
  </w:abstractNum>
  <w:abstractNum w:abstractNumId="35" w15:restartNumberingAfterBreak="0">
    <w:nsid w:val="60A567E3"/>
    <w:multiLevelType w:val="hybridMultilevel"/>
    <w:tmpl w:val="D8B07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0E15E51"/>
    <w:multiLevelType w:val="multilevel"/>
    <w:tmpl w:val="F6C0C84E"/>
    <w:lvl w:ilvl="0">
      <w:start w:val="1"/>
      <w:numFmt w:val="bullet"/>
      <w:pStyle w:val="Tablebullet-Level1"/>
      <w:lvlText w:val=""/>
      <w:lvlJc w:val="left"/>
      <w:pPr>
        <w:ind w:left="360" w:hanging="360"/>
      </w:pPr>
      <w:rPr>
        <w:rFonts w:ascii="Symbol" w:hAnsi="Symbol" w:hint="default"/>
        <w:color w:val="3F3F3F"/>
        <w:sz w:val="18"/>
        <w:szCs w:val="18"/>
      </w:rPr>
    </w:lvl>
    <w:lvl w:ilvl="1">
      <w:start w:val="1"/>
      <w:numFmt w:val="bullet"/>
      <w:pStyle w:val="Tablebullet-Level2"/>
      <w:lvlText w:val="­"/>
      <w:lvlJc w:val="left"/>
      <w:pPr>
        <w:ind w:left="680" w:hanging="340"/>
      </w:pPr>
      <w:rPr>
        <w:rFonts w:ascii="Courier New" w:hAnsi="Courier New" w:hint="default"/>
        <w:color w:val="00728F"/>
        <w:sz w:val="18"/>
      </w:rPr>
    </w:lvl>
    <w:lvl w:ilvl="2">
      <w:start w:val="1"/>
      <w:numFmt w:val="bullet"/>
      <w:lvlText w:val=""/>
      <w:lvlJc w:val="left"/>
      <w:pPr>
        <w:ind w:left="1021" w:hanging="341"/>
      </w:pPr>
      <w:rPr>
        <w:rFonts w:ascii="Symbol" w:hAnsi="Symbol" w:hint="default"/>
        <w:color w:val="00728F"/>
        <w:sz w:val="18"/>
      </w:rPr>
    </w:lvl>
    <w:lvl w:ilvl="3">
      <w:start w:val="1"/>
      <w:numFmt w:val="bullet"/>
      <w:lvlText w:val="­"/>
      <w:lvlJc w:val="left"/>
      <w:pPr>
        <w:ind w:left="1361" w:hanging="340"/>
      </w:pPr>
      <w:rPr>
        <w:rFonts w:ascii="Courier New" w:hAnsi="Courier New" w:hint="default"/>
        <w:color w:val="auto"/>
      </w:rPr>
    </w:lvl>
    <w:lvl w:ilvl="4">
      <w:start w:val="1"/>
      <w:numFmt w:val="none"/>
      <w:lvlText w:val=""/>
      <w:lvlJc w:val="left"/>
      <w:pPr>
        <w:ind w:left="1361" w:firstLine="0"/>
      </w:pPr>
      <w:rPr>
        <w:rFonts w:hint="default"/>
      </w:rPr>
    </w:lvl>
    <w:lvl w:ilvl="5">
      <w:start w:val="1"/>
      <w:numFmt w:val="none"/>
      <w:lvlText w:val=""/>
      <w:lvlJc w:val="left"/>
      <w:pPr>
        <w:ind w:left="1361" w:firstLine="0"/>
      </w:pPr>
      <w:rPr>
        <w:rFonts w:hint="default"/>
      </w:rPr>
    </w:lvl>
    <w:lvl w:ilvl="6">
      <w:start w:val="1"/>
      <w:numFmt w:val="none"/>
      <w:lvlText w:val=""/>
      <w:lvlJc w:val="left"/>
      <w:pPr>
        <w:ind w:left="1361" w:firstLine="0"/>
      </w:pPr>
      <w:rPr>
        <w:rFonts w:hint="default"/>
      </w:rPr>
    </w:lvl>
    <w:lvl w:ilvl="7">
      <w:start w:val="1"/>
      <w:numFmt w:val="none"/>
      <w:lvlText w:val=""/>
      <w:lvlJc w:val="left"/>
      <w:pPr>
        <w:ind w:left="1361" w:firstLine="0"/>
      </w:pPr>
      <w:rPr>
        <w:rFonts w:hint="default"/>
      </w:rPr>
    </w:lvl>
    <w:lvl w:ilvl="8">
      <w:start w:val="1"/>
      <w:numFmt w:val="none"/>
      <w:lvlText w:val=""/>
      <w:lvlJc w:val="left"/>
      <w:pPr>
        <w:ind w:left="1361" w:firstLine="0"/>
      </w:pPr>
      <w:rPr>
        <w:rFonts w:hint="default"/>
      </w:rPr>
    </w:lvl>
  </w:abstractNum>
  <w:abstractNum w:abstractNumId="37" w15:restartNumberingAfterBreak="0">
    <w:nsid w:val="60EF0CFA"/>
    <w:multiLevelType w:val="hybridMultilevel"/>
    <w:tmpl w:val="2EF85EB0"/>
    <w:lvl w:ilvl="0" w:tplc="5D2259C4">
      <w:numFmt w:val="bullet"/>
      <w:lvlText w:val="-"/>
      <w:lvlJc w:val="left"/>
      <w:pPr>
        <w:ind w:left="720" w:hanging="360"/>
      </w:pPr>
      <w:rPr>
        <w:rFonts w:ascii="Microsoft New Tai Lue" w:eastAsia="Microsoft New Tai Lue" w:hAnsi="Microsoft New Tai Lue" w:cs="Microsoft New Tai Lue"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6F633E1"/>
    <w:multiLevelType w:val="multilevel"/>
    <w:tmpl w:val="DE642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3D3A7E"/>
    <w:multiLevelType w:val="hybridMultilevel"/>
    <w:tmpl w:val="806C3386"/>
    <w:lvl w:ilvl="0" w:tplc="0EB0D5FA">
      <w:numFmt w:val="bullet"/>
      <w:lvlText w:val="-"/>
      <w:lvlJc w:val="left"/>
      <w:pPr>
        <w:ind w:left="720" w:hanging="360"/>
      </w:pPr>
      <w:rPr>
        <w:rFonts w:ascii="Calibri Light" w:eastAsia="Microsoft New Tai Lue" w:hAnsi="Calibri Ligh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BEE5527"/>
    <w:multiLevelType w:val="hybridMultilevel"/>
    <w:tmpl w:val="DC263BF2"/>
    <w:lvl w:ilvl="0" w:tplc="086C9662">
      <w:start w:val="1"/>
      <w:numFmt w:val="bullet"/>
      <w:lvlText w:val="•"/>
      <w:lvlJc w:val="left"/>
      <w:pPr>
        <w:tabs>
          <w:tab w:val="num" w:pos="720"/>
        </w:tabs>
        <w:ind w:left="720" w:hanging="360"/>
      </w:pPr>
      <w:rPr>
        <w:rFonts w:ascii="Arial" w:hAnsi="Arial" w:hint="default"/>
      </w:rPr>
    </w:lvl>
    <w:lvl w:ilvl="1" w:tplc="D458E878" w:tentative="1">
      <w:start w:val="1"/>
      <w:numFmt w:val="bullet"/>
      <w:lvlText w:val="•"/>
      <w:lvlJc w:val="left"/>
      <w:pPr>
        <w:tabs>
          <w:tab w:val="num" w:pos="1440"/>
        </w:tabs>
        <w:ind w:left="1440" w:hanging="360"/>
      </w:pPr>
      <w:rPr>
        <w:rFonts w:ascii="Arial" w:hAnsi="Arial" w:hint="default"/>
      </w:rPr>
    </w:lvl>
    <w:lvl w:ilvl="2" w:tplc="CF8824EE" w:tentative="1">
      <w:start w:val="1"/>
      <w:numFmt w:val="bullet"/>
      <w:lvlText w:val="•"/>
      <w:lvlJc w:val="left"/>
      <w:pPr>
        <w:tabs>
          <w:tab w:val="num" w:pos="2160"/>
        </w:tabs>
        <w:ind w:left="2160" w:hanging="360"/>
      </w:pPr>
      <w:rPr>
        <w:rFonts w:ascii="Arial" w:hAnsi="Arial" w:hint="default"/>
      </w:rPr>
    </w:lvl>
    <w:lvl w:ilvl="3" w:tplc="202CB7E2" w:tentative="1">
      <w:start w:val="1"/>
      <w:numFmt w:val="bullet"/>
      <w:lvlText w:val="•"/>
      <w:lvlJc w:val="left"/>
      <w:pPr>
        <w:tabs>
          <w:tab w:val="num" w:pos="2880"/>
        </w:tabs>
        <w:ind w:left="2880" w:hanging="360"/>
      </w:pPr>
      <w:rPr>
        <w:rFonts w:ascii="Arial" w:hAnsi="Arial" w:hint="default"/>
      </w:rPr>
    </w:lvl>
    <w:lvl w:ilvl="4" w:tplc="E16CA976" w:tentative="1">
      <w:start w:val="1"/>
      <w:numFmt w:val="bullet"/>
      <w:lvlText w:val="•"/>
      <w:lvlJc w:val="left"/>
      <w:pPr>
        <w:tabs>
          <w:tab w:val="num" w:pos="3600"/>
        </w:tabs>
        <w:ind w:left="3600" w:hanging="360"/>
      </w:pPr>
      <w:rPr>
        <w:rFonts w:ascii="Arial" w:hAnsi="Arial" w:hint="default"/>
      </w:rPr>
    </w:lvl>
    <w:lvl w:ilvl="5" w:tplc="C2AAA34C" w:tentative="1">
      <w:start w:val="1"/>
      <w:numFmt w:val="bullet"/>
      <w:lvlText w:val="•"/>
      <w:lvlJc w:val="left"/>
      <w:pPr>
        <w:tabs>
          <w:tab w:val="num" w:pos="4320"/>
        </w:tabs>
        <w:ind w:left="4320" w:hanging="360"/>
      </w:pPr>
      <w:rPr>
        <w:rFonts w:ascii="Arial" w:hAnsi="Arial" w:hint="default"/>
      </w:rPr>
    </w:lvl>
    <w:lvl w:ilvl="6" w:tplc="1BD89776" w:tentative="1">
      <w:start w:val="1"/>
      <w:numFmt w:val="bullet"/>
      <w:lvlText w:val="•"/>
      <w:lvlJc w:val="left"/>
      <w:pPr>
        <w:tabs>
          <w:tab w:val="num" w:pos="5040"/>
        </w:tabs>
        <w:ind w:left="5040" w:hanging="360"/>
      </w:pPr>
      <w:rPr>
        <w:rFonts w:ascii="Arial" w:hAnsi="Arial" w:hint="default"/>
      </w:rPr>
    </w:lvl>
    <w:lvl w:ilvl="7" w:tplc="23969C38" w:tentative="1">
      <w:start w:val="1"/>
      <w:numFmt w:val="bullet"/>
      <w:lvlText w:val="•"/>
      <w:lvlJc w:val="left"/>
      <w:pPr>
        <w:tabs>
          <w:tab w:val="num" w:pos="5760"/>
        </w:tabs>
        <w:ind w:left="5760" w:hanging="360"/>
      </w:pPr>
      <w:rPr>
        <w:rFonts w:ascii="Arial" w:hAnsi="Arial" w:hint="default"/>
      </w:rPr>
    </w:lvl>
    <w:lvl w:ilvl="8" w:tplc="80F49C7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D6805A7"/>
    <w:multiLevelType w:val="hybridMultilevel"/>
    <w:tmpl w:val="31BA3210"/>
    <w:lvl w:ilvl="0" w:tplc="21E83BE6">
      <w:start w:val="8"/>
      <w:numFmt w:val="bullet"/>
      <w:lvlText w:val="-"/>
      <w:lvlJc w:val="left"/>
      <w:pPr>
        <w:ind w:left="720" w:hanging="360"/>
      </w:pPr>
      <w:rPr>
        <w:rFonts w:ascii="Calibri" w:eastAsia="Microsoft New Tai Lue"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DC436E7"/>
    <w:multiLevelType w:val="hybridMultilevel"/>
    <w:tmpl w:val="B65C7312"/>
    <w:lvl w:ilvl="0" w:tplc="DF36986A">
      <w:start w:val="1"/>
      <w:numFmt w:val="bullet"/>
      <w:lvlText w:val="-"/>
      <w:lvlJc w:val="left"/>
      <w:pPr>
        <w:ind w:left="720" w:hanging="360"/>
      </w:pPr>
      <w:rPr>
        <w:rFonts w:ascii="Calibri" w:eastAsia="Microsoft New Tai Lue"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E1F7CC9"/>
    <w:multiLevelType w:val="hybridMultilevel"/>
    <w:tmpl w:val="1646C9A0"/>
    <w:lvl w:ilvl="0" w:tplc="B680BA64">
      <w:start w:val="1"/>
      <w:numFmt w:val="decimal"/>
      <w:pStyle w:val="Tablelist-Numbered"/>
      <w:lvlText w:val="%1."/>
      <w:lvlJc w:val="left"/>
      <w:pPr>
        <w:ind w:left="394" w:hanging="360"/>
      </w:pPr>
      <w:rPr>
        <w:rFonts w:hint="default"/>
        <w:b/>
        <w:i w:val="0"/>
        <w:color w:val="3F3F3F"/>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E615F1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FCC3875"/>
    <w:multiLevelType w:val="hybridMultilevel"/>
    <w:tmpl w:val="2CECBE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1150F1F"/>
    <w:multiLevelType w:val="hybridMultilevel"/>
    <w:tmpl w:val="85B2A2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44E22C0"/>
    <w:multiLevelType w:val="hybridMultilevel"/>
    <w:tmpl w:val="EBE202A8"/>
    <w:lvl w:ilvl="0" w:tplc="275EC662">
      <w:start w:val="1"/>
      <w:numFmt w:val="bullet"/>
      <w:pStyle w:val="Boxbullet"/>
      <w:lvlText w:val=""/>
      <w:lvlJc w:val="left"/>
      <w:pPr>
        <w:ind w:left="720" w:hanging="360"/>
      </w:pPr>
      <w:rPr>
        <w:rFonts w:ascii="Symbol" w:hAnsi="Symbol" w:hint="default"/>
        <w:color w:val="00728F"/>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5050778"/>
    <w:multiLevelType w:val="multilevel"/>
    <w:tmpl w:val="DAB27858"/>
    <w:lvl w:ilvl="0">
      <w:start w:val="1"/>
      <w:numFmt w:val="upperLetter"/>
      <w:pStyle w:val="Endmatter-Heading1"/>
      <w:lvlText w:val="%1."/>
      <w:lvlJc w:val="left"/>
      <w:pPr>
        <w:ind w:left="907" w:hanging="907"/>
      </w:pPr>
      <w:rPr>
        <w:rFonts w:hint="default"/>
      </w:rPr>
    </w:lvl>
    <w:lvl w:ilvl="1">
      <w:start w:val="1"/>
      <w:numFmt w:val="decimal"/>
      <w:pStyle w:val="Endmatter-Heading2"/>
      <w:lvlText w:val="%1.%2."/>
      <w:lvlJc w:val="left"/>
      <w:pPr>
        <w:ind w:left="907" w:hanging="907"/>
      </w:pPr>
      <w:rPr>
        <w:rFonts w:hint="default"/>
      </w:rPr>
    </w:lvl>
    <w:lvl w:ilvl="2">
      <w:start w:val="1"/>
      <w:numFmt w:val="decimal"/>
      <w:pStyle w:val="Endmatter-Heading3"/>
      <w:lvlText w:val="%1.%2.%3."/>
      <w:lvlJc w:val="left"/>
      <w:pPr>
        <w:ind w:left="907" w:hanging="907"/>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9" w15:restartNumberingAfterBreak="0">
    <w:nsid w:val="76876D01"/>
    <w:multiLevelType w:val="hybridMultilevel"/>
    <w:tmpl w:val="3094EE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0" w15:restartNumberingAfterBreak="0">
    <w:nsid w:val="7A7A6451"/>
    <w:multiLevelType w:val="hybridMultilevel"/>
    <w:tmpl w:val="3E84B38E"/>
    <w:lvl w:ilvl="0" w:tplc="A9DC0188">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E3C0EED"/>
    <w:multiLevelType w:val="hybridMultilevel"/>
    <w:tmpl w:val="CEE49474"/>
    <w:lvl w:ilvl="0" w:tplc="65909D6E">
      <w:numFmt w:val="bullet"/>
      <w:lvlText w:val=""/>
      <w:lvlJc w:val="left"/>
      <w:pPr>
        <w:ind w:left="720" w:hanging="360"/>
      </w:pPr>
      <w:rPr>
        <w:rFonts w:ascii="Symbol" w:eastAsia="Microsoft New Tai Lue"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4"/>
  </w:num>
  <w:num w:numId="12">
    <w:abstractNumId w:val="36"/>
  </w:num>
  <w:num w:numId="13">
    <w:abstractNumId w:val="28"/>
  </w:num>
  <w:num w:numId="14">
    <w:abstractNumId w:val="47"/>
  </w:num>
  <w:num w:numId="15">
    <w:abstractNumId w:val="43"/>
  </w:num>
  <w:num w:numId="16">
    <w:abstractNumId w:val="44"/>
  </w:num>
  <w:num w:numId="17">
    <w:abstractNumId w:val="10"/>
  </w:num>
  <w:num w:numId="18">
    <w:abstractNumId w:val="23"/>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48"/>
  </w:num>
  <w:num w:numId="22">
    <w:abstractNumId w:val="22"/>
  </w:num>
  <w:num w:numId="23">
    <w:abstractNumId w:val="15"/>
  </w:num>
  <w:num w:numId="24">
    <w:abstractNumId w:val="17"/>
  </w:num>
  <w:num w:numId="25">
    <w:abstractNumId w:val="27"/>
  </w:num>
  <w:num w:numId="26">
    <w:abstractNumId w:val="14"/>
  </w:num>
  <w:num w:numId="27">
    <w:abstractNumId w:val="45"/>
  </w:num>
  <w:num w:numId="28">
    <w:abstractNumId w:val="19"/>
  </w:num>
  <w:num w:numId="29">
    <w:abstractNumId w:val="49"/>
  </w:num>
  <w:num w:numId="30">
    <w:abstractNumId w:val="33"/>
  </w:num>
  <w:num w:numId="31">
    <w:abstractNumId w:val="21"/>
  </w:num>
  <w:num w:numId="32">
    <w:abstractNumId w:val="51"/>
  </w:num>
  <w:num w:numId="33">
    <w:abstractNumId w:val="46"/>
  </w:num>
  <w:num w:numId="34">
    <w:abstractNumId w:val="16"/>
  </w:num>
  <w:num w:numId="35">
    <w:abstractNumId w:val="37"/>
  </w:num>
  <w:num w:numId="36">
    <w:abstractNumId w:val="29"/>
  </w:num>
  <w:num w:numId="37">
    <w:abstractNumId w:val="26"/>
  </w:num>
  <w:num w:numId="38">
    <w:abstractNumId w:val="42"/>
  </w:num>
  <w:num w:numId="39">
    <w:abstractNumId w:val="30"/>
  </w:num>
  <w:num w:numId="40">
    <w:abstractNumId w:val="11"/>
  </w:num>
  <w:num w:numId="41">
    <w:abstractNumId w:val="50"/>
  </w:num>
  <w:num w:numId="42">
    <w:abstractNumId w:val="40"/>
  </w:num>
  <w:num w:numId="43">
    <w:abstractNumId w:val="12"/>
  </w:num>
  <w:num w:numId="44">
    <w:abstractNumId w:val="35"/>
  </w:num>
  <w:num w:numId="45">
    <w:abstractNumId w:val="20"/>
  </w:num>
  <w:num w:numId="46">
    <w:abstractNumId w:val="24"/>
  </w:num>
  <w:num w:numId="47">
    <w:abstractNumId w:val="31"/>
  </w:num>
  <w:num w:numId="48">
    <w:abstractNumId w:val="38"/>
  </w:num>
  <w:num w:numId="49">
    <w:abstractNumId w:val="32"/>
  </w:num>
  <w:num w:numId="50">
    <w:abstractNumId w:val="39"/>
  </w:num>
  <w:num w:numId="51">
    <w:abstractNumId w:val="25"/>
  </w:num>
  <w:num w:numId="52">
    <w:abstractNumId w:val="23"/>
  </w:num>
  <w:num w:numId="53">
    <w:abstractNumId w:val="23"/>
  </w:num>
  <w:num w:numId="54">
    <w:abstractNumId w:val="23"/>
  </w:num>
  <w:num w:numId="55">
    <w:abstractNumId w:val="41"/>
  </w:num>
  <w:num w:numId="56">
    <w:abstractNumId w:val="42"/>
  </w:num>
  <w:num w:numId="57">
    <w:abstractNumId w:val="41"/>
  </w:num>
  <w:num w:numId="58">
    <w:abstractNumId w:val="23"/>
  </w:num>
  <w:num w:numId="59">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lickAndTypeStyle w:val="BodyText"/>
  <w:characterSpacingControl w:val="doNotCompress"/>
  <w:hdrShapeDefaults>
    <o:shapedefaults v:ext="edit" spidmax="2050"/>
    <o:shapelayout v:ext="edit">
      <o:idmap v:ext="edit" data="2"/>
    </o:shapelayout>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E09"/>
    <w:rsid w:val="00000397"/>
    <w:rsid w:val="0000179F"/>
    <w:rsid w:val="00002089"/>
    <w:rsid w:val="00002AA3"/>
    <w:rsid w:val="00002B0D"/>
    <w:rsid w:val="000047CD"/>
    <w:rsid w:val="0000674C"/>
    <w:rsid w:val="00006E19"/>
    <w:rsid w:val="00006F87"/>
    <w:rsid w:val="0000704D"/>
    <w:rsid w:val="00007478"/>
    <w:rsid w:val="00007B8A"/>
    <w:rsid w:val="00007FC7"/>
    <w:rsid w:val="000100BE"/>
    <w:rsid w:val="00010492"/>
    <w:rsid w:val="00010C91"/>
    <w:rsid w:val="00010FAC"/>
    <w:rsid w:val="000110DE"/>
    <w:rsid w:val="0001191A"/>
    <w:rsid w:val="00011B65"/>
    <w:rsid w:val="00012094"/>
    <w:rsid w:val="000126F5"/>
    <w:rsid w:val="00012AE9"/>
    <w:rsid w:val="000131B2"/>
    <w:rsid w:val="00013855"/>
    <w:rsid w:val="000142FB"/>
    <w:rsid w:val="000152CC"/>
    <w:rsid w:val="0001542B"/>
    <w:rsid w:val="000159C9"/>
    <w:rsid w:val="000164FF"/>
    <w:rsid w:val="00017A0F"/>
    <w:rsid w:val="00017B31"/>
    <w:rsid w:val="00017E32"/>
    <w:rsid w:val="00020620"/>
    <w:rsid w:val="0002103B"/>
    <w:rsid w:val="00021AA8"/>
    <w:rsid w:val="00022204"/>
    <w:rsid w:val="000223A5"/>
    <w:rsid w:val="00022B50"/>
    <w:rsid w:val="00022B5B"/>
    <w:rsid w:val="00022FB9"/>
    <w:rsid w:val="00023528"/>
    <w:rsid w:val="00023A8C"/>
    <w:rsid w:val="00023B2C"/>
    <w:rsid w:val="000241B7"/>
    <w:rsid w:val="00024E7E"/>
    <w:rsid w:val="000250A6"/>
    <w:rsid w:val="00025584"/>
    <w:rsid w:val="0002587A"/>
    <w:rsid w:val="00025950"/>
    <w:rsid w:val="00026060"/>
    <w:rsid w:val="00026998"/>
    <w:rsid w:val="00027F8C"/>
    <w:rsid w:val="00030396"/>
    <w:rsid w:val="000308F1"/>
    <w:rsid w:val="000312F3"/>
    <w:rsid w:val="0003155B"/>
    <w:rsid w:val="00032710"/>
    <w:rsid w:val="00032C19"/>
    <w:rsid w:val="00033C18"/>
    <w:rsid w:val="00033C31"/>
    <w:rsid w:val="00034AD1"/>
    <w:rsid w:val="00034AF7"/>
    <w:rsid w:val="000360AD"/>
    <w:rsid w:val="00036E23"/>
    <w:rsid w:val="0003740E"/>
    <w:rsid w:val="00037531"/>
    <w:rsid w:val="00037AD6"/>
    <w:rsid w:val="00037CA9"/>
    <w:rsid w:val="00040DCE"/>
    <w:rsid w:val="000412CD"/>
    <w:rsid w:val="00041604"/>
    <w:rsid w:val="00042873"/>
    <w:rsid w:val="00042FEE"/>
    <w:rsid w:val="0004408C"/>
    <w:rsid w:val="0004449A"/>
    <w:rsid w:val="000456A0"/>
    <w:rsid w:val="00050750"/>
    <w:rsid w:val="0005092C"/>
    <w:rsid w:val="00050989"/>
    <w:rsid w:val="00050D69"/>
    <w:rsid w:val="000521EF"/>
    <w:rsid w:val="00052217"/>
    <w:rsid w:val="00052357"/>
    <w:rsid w:val="00052550"/>
    <w:rsid w:val="00052EC8"/>
    <w:rsid w:val="00053829"/>
    <w:rsid w:val="00054D3B"/>
    <w:rsid w:val="00055334"/>
    <w:rsid w:val="00055535"/>
    <w:rsid w:val="00056729"/>
    <w:rsid w:val="00056B35"/>
    <w:rsid w:val="00056B4A"/>
    <w:rsid w:val="00057520"/>
    <w:rsid w:val="00057C3A"/>
    <w:rsid w:val="000603E6"/>
    <w:rsid w:val="00061866"/>
    <w:rsid w:val="00061A8A"/>
    <w:rsid w:val="00061F8D"/>
    <w:rsid w:val="0006249D"/>
    <w:rsid w:val="00062980"/>
    <w:rsid w:val="00063027"/>
    <w:rsid w:val="0006345A"/>
    <w:rsid w:val="000635CC"/>
    <w:rsid w:val="000637E2"/>
    <w:rsid w:val="00063905"/>
    <w:rsid w:val="00065352"/>
    <w:rsid w:val="00066182"/>
    <w:rsid w:val="0006653C"/>
    <w:rsid w:val="00066BB9"/>
    <w:rsid w:val="000672F7"/>
    <w:rsid w:val="00067AD2"/>
    <w:rsid w:val="00067BD1"/>
    <w:rsid w:val="00067EEA"/>
    <w:rsid w:val="00070B6D"/>
    <w:rsid w:val="00070D18"/>
    <w:rsid w:val="00070D7F"/>
    <w:rsid w:val="00070EE1"/>
    <w:rsid w:val="00071190"/>
    <w:rsid w:val="000720AB"/>
    <w:rsid w:val="0007225F"/>
    <w:rsid w:val="00072759"/>
    <w:rsid w:val="00073158"/>
    <w:rsid w:val="0007357C"/>
    <w:rsid w:val="0007422E"/>
    <w:rsid w:val="00074750"/>
    <w:rsid w:val="0007510C"/>
    <w:rsid w:val="00075B88"/>
    <w:rsid w:val="00076380"/>
    <w:rsid w:val="00077C18"/>
    <w:rsid w:val="00077DBC"/>
    <w:rsid w:val="00077FF7"/>
    <w:rsid w:val="0008004E"/>
    <w:rsid w:val="0008122B"/>
    <w:rsid w:val="00081606"/>
    <w:rsid w:val="00081631"/>
    <w:rsid w:val="00081CB3"/>
    <w:rsid w:val="00082044"/>
    <w:rsid w:val="000824D7"/>
    <w:rsid w:val="000837D7"/>
    <w:rsid w:val="00083BD0"/>
    <w:rsid w:val="00084100"/>
    <w:rsid w:val="0008502C"/>
    <w:rsid w:val="000855F7"/>
    <w:rsid w:val="00086BE9"/>
    <w:rsid w:val="00086D43"/>
    <w:rsid w:val="00087E23"/>
    <w:rsid w:val="00087E72"/>
    <w:rsid w:val="000905C3"/>
    <w:rsid w:val="0009060A"/>
    <w:rsid w:val="00090EDA"/>
    <w:rsid w:val="00091098"/>
    <w:rsid w:val="00091504"/>
    <w:rsid w:val="00091AB8"/>
    <w:rsid w:val="0009228E"/>
    <w:rsid w:val="00092EB8"/>
    <w:rsid w:val="0009379A"/>
    <w:rsid w:val="00093A00"/>
    <w:rsid w:val="000944B6"/>
    <w:rsid w:val="00094A5D"/>
    <w:rsid w:val="000955EF"/>
    <w:rsid w:val="000963A9"/>
    <w:rsid w:val="00096718"/>
    <w:rsid w:val="00097358"/>
    <w:rsid w:val="000974FD"/>
    <w:rsid w:val="00097E84"/>
    <w:rsid w:val="000A13C3"/>
    <w:rsid w:val="000A17C9"/>
    <w:rsid w:val="000A2CCA"/>
    <w:rsid w:val="000A2EE5"/>
    <w:rsid w:val="000A3229"/>
    <w:rsid w:val="000A3617"/>
    <w:rsid w:val="000A3632"/>
    <w:rsid w:val="000A36C3"/>
    <w:rsid w:val="000A4198"/>
    <w:rsid w:val="000A4478"/>
    <w:rsid w:val="000A4687"/>
    <w:rsid w:val="000A4C81"/>
    <w:rsid w:val="000A545A"/>
    <w:rsid w:val="000A6B3D"/>
    <w:rsid w:val="000A7106"/>
    <w:rsid w:val="000A7E72"/>
    <w:rsid w:val="000B017F"/>
    <w:rsid w:val="000B095C"/>
    <w:rsid w:val="000B114C"/>
    <w:rsid w:val="000B14DD"/>
    <w:rsid w:val="000B1E72"/>
    <w:rsid w:val="000B3A36"/>
    <w:rsid w:val="000B6D53"/>
    <w:rsid w:val="000B758F"/>
    <w:rsid w:val="000C0060"/>
    <w:rsid w:val="000C0315"/>
    <w:rsid w:val="000C1E93"/>
    <w:rsid w:val="000C2441"/>
    <w:rsid w:val="000C26D2"/>
    <w:rsid w:val="000C29F5"/>
    <w:rsid w:val="000C3649"/>
    <w:rsid w:val="000C3784"/>
    <w:rsid w:val="000C3BB3"/>
    <w:rsid w:val="000C5569"/>
    <w:rsid w:val="000C5A1C"/>
    <w:rsid w:val="000C5D5F"/>
    <w:rsid w:val="000C5D79"/>
    <w:rsid w:val="000C625D"/>
    <w:rsid w:val="000C6BE4"/>
    <w:rsid w:val="000C6EA5"/>
    <w:rsid w:val="000C7B1D"/>
    <w:rsid w:val="000D08EC"/>
    <w:rsid w:val="000D0D3B"/>
    <w:rsid w:val="000D1670"/>
    <w:rsid w:val="000D17E3"/>
    <w:rsid w:val="000D1844"/>
    <w:rsid w:val="000D18DD"/>
    <w:rsid w:val="000D1A93"/>
    <w:rsid w:val="000D1ED0"/>
    <w:rsid w:val="000D2695"/>
    <w:rsid w:val="000D2DB0"/>
    <w:rsid w:val="000D3A1C"/>
    <w:rsid w:val="000D4C2E"/>
    <w:rsid w:val="000D4D0D"/>
    <w:rsid w:val="000D56D7"/>
    <w:rsid w:val="000D5E3B"/>
    <w:rsid w:val="000E01C6"/>
    <w:rsid w:val="000E0322"/>
    <w:rsid w:val="000E03CD"/>
    <w:rsid w:val="000E07E0"/>
    <w:rsid w:val="000E0961"/>
    <w:rsid w:val="000E1043"/>
    <w:rsid w:val="000E1A4E"/>
    <w:rsid w:val="000E2323"/>
    <w:rsid w:val="000E30FC"/>
    <w:rsid w:val="000E33DB"/>
    <w:rsid w:val="000E3C6E"/>
    <w:rsid w:val="000E3EE5"/>
    <w:rsid w:val="000E489B"/>
    <w:rsid w:val="000E4A7A"/>
    <w:rsid w:val="000E5A46"/>
    <w:rsid w:val="000E739C"/>
    <w:rsid w:val="000E7483"/>
    <w:rsid w:val="000E74C3"/>
    <w:rsid w:val="000E77D4"/>
    <w:rsid w:val="000F0A6C"/>
    <w:rsid w:val="000F1795"/>
    <w:rsid w:val="000F19A0"/>
    <w:rsid w:val="000F2204"/>
    <w:rsid w:val="000F257B"/>
    <w:rsid w:val="000F277D"/>
    <w:rsid w:val="000F2E50"/>
    <w:rsid w:val="000F31C5"/>
    <w:rsid w:val="000F429A"/>
    <w:rsid w:val="000F43F5"/>
    <w:rsid w:val="000F4853"/>
    <w:rsid w:val="000F504E"/>
    <w:rsid w:val="000F55D0"/>
    <w:rsid w:val="000F649F"/>
    <w:rsid w:val="000F6A07"/>
    <w:rsid w:val="000F73B2"/>
    <w:rsid w:val="000F7832"/>
    <w:rsid w:val="00100A92"/>
    <w:rsid w:val="00101424"/>
    <w:rsid w:val="001025FB"/>
    <w:rsid w:val="00102808"/>
    <w:rsid w:val="0010379E"/>
    <w:rsid w:val="001044B5"/>
    <w:rsid w:val="0010461D"/>
    <w:rsid w:val="001059EB"/>
    <w:rsid w:val="00105C98"/>
    <w:rsid w:val="00106090"/>
    <w:rsid w:val="00106C1B"/>
    <w:rsid w:val="00107198"/>
    <w:rsid w:val="001103DB"/>
    <w:rsid w:val="00110510"/>
    <w:rsid w:val="00110CA0"/>
    <w:rsid w:val="00111115"/>
    <w:rsid w:val="0011116A"/>
    <w:rsid w:val="0011167D"/>
    <w:rsid w:val="0011216A"/>
    <w:rsid w:val="0011338B"/>
    <w:rsid w:val="00113957"/>
    <w:rsid w:val="00113D43"/>
    <w:rsid w:val="00113DE5"/>
    <w:rsid w:val="001143F2"/>
    <w:rsid w:val="0011440D"/>
    <w:rsid w:val="001148AC"/>
    <w:rsid w:val="00114A38"/>
    <w:rsid w:val="00115188"/>
    <w:rsid w:val="00115DD0"/>
    <w:rsid w:val="00116AA0"/>
    <w:rsid w:val="00116CBE"/>
    <w:rsid w:val="00116F10"/>
    <w:rsid w:val="00116FF7"/>
    <w:rsid w:val="0011700E"/>
    <w:rsid w:val="001224B4"/>
    <w:rsid w:val="00122D70"/>
    <w:rsid w:val="00123743"/>
    <w:rsid w:val="00123E5E"/>
    <w:rsid w:val="001240ED"/>
    <w:rsid w:val="00124457"/>
    <w:rsid w:val="00124F83"/>
    <w:rsid w:val="001251B5"/>
    <w:rsid w:val="00125A47"/>
    <w:rsid w:val="00126DD5"/>
    <w:rsid w:val="001274F6"/>
    <w:rsid w:val="00130284"/>
    <w:rsid w:val="00130B71"/>
    <w:rsid w:val="00130DB0"/>
    <w:rsid w:val="001310B2"/>
    <w:rsid w:val="001313C5"/>
    <w:rsid w:val="00131519"/>
    <w:rsid w:val="001325B6"/>
    <w:rsid w:val="001326A9"/>
    <w:rsid w:val="00133178"/>
    <w:rsid w:val="0013320E"/>
    <w:rsid w:val="00133D14"/>
    <w:rsid w:val="00134513"/>
    <w:rsid w:val="001348CD"/>
    <w:rsid w:val="00134A17"/>
    <w:rsid w:val="00135456"/>
    <w:rsid w:val="001355C2"/>
    <w:rsid w:val="00136AAF"/>
    <w:rsid w:val="00136C8B"/>
    <w:rsid w:val="001372C9"/>
    <w:rsid w:val="001373C7"/>
    <w:rsid w:val="001379ED"/>
    <w:rsid w:val="00137ADC"/>
    <w:rsid w:val="00137C47"/>
    <w:rsid w:val="00140289"/>
    <w:rsid w:val="0014040B"/>
    <w:rsid w:val="001406B6"/>
    <w:rsid w:val="00140FA4"/>
    <w:rsid w:val="00141833"/>
    <w:rsid w:val="0014194F"/>
    <w:rsid w:val="00141AEC"/>
    <w:rsid w:val="001424DB"/>
    <w:rsid w:val="0014258E"/>
    <w:rsid w:val="0014345A"/>
    <w:rsid w:val="001435DB"/>
    <w:rsid w:val="00143825"/>
    <w:rsid w:val="00143C9B"/>
    <w:rsid w:val="001441A7"/>
    <w:rsid w:val="001446C8"/>
    <w:rsid w:val="00144809"/>
    <w:rsid w:val="00144838"/>
    <w:rsid w:val="00144B49"/>
    <w:rsid w:val="00144DED"/>
    <w:rsid w:val="001454AD"/>
    <w:rsid w:val="00145933"/>
    <w:rsid w:val="00146076"/>
    <w:rsid w:val="00146214"/>
    <w:rsid w:val="00146D21"/>
    <w:rsid w:val="001471F5"/>
    <w:rsid w:val="00147265"/>
    <w:rsid w:val="00147E77"/>
    <w:rsid w:val="0015033C"/>
    <w:rsid w:val="00150385"/>
    <w:rsid w:val="00150B83"/>
    <w:rsid w:val="00151541"/>
    <w:rsid w:val="00151630"/>
    <w:rsid w:val="001517A4"/>
    <w:rsid w:val="00152846"/>
    <w:rsid w:val="00152C3C"/>
    <w:rsid w:val="00156CDD"/>
    <w:rsid w:val="001571EB"/>
    <w:rsid w:val="001576EF"/>
    <w:rsid w:val="00157DF8"/>
    <w:rsid w:val="0016036E"/>
    <w:rsid w:val="00161343"/>
    <w:rsid w:val="00161D9F"/>
    <w:rsid w:val="001620A4"/>
    <w:rsid w:val="00162282"/>
    <w:rsid w:val="00162724"/>
    <w:rsid w:val="00162FA0"/>
    <w:rsid w:val="001648DF"/>
    <w:rsid w:val="00165B80"/>
    <w:rsid w:val="00165EB0"/>
    <w:rsid w:val="001660A0"/>
    <w:rsid w:val="0016624A"/>
    <w:rsid w:val="00166EE8"/>
    <w:rsid w:val="00167CDE"/>
    <w:rsid w:val="00170148"/>
    <w:rsid w:val="00171110"/>
    <w:rsid w:val="0017163B"/>
    <w:rsid w:val="0017167C"/>
    <w:rsid w:val="00172565"/>
    <w:rsid w:val="001733DE"/>
    <w:rsid w:val="00173C17"/>
    <w:rsid w:val="00173F77"/>
    <w:rsid w:val="0017418B"/>
    <w:rsid w:val="001746E6"/>
    <w:rsid w:val="00174C68"/>
    <w:rsid w:val="0017517F"/>
    <w:rsid w:val="001754FD"/>
    <w:rsid w:val="00175547"/>
    <w:rsid w:val="001755B1"/>
    <w:rsid w:val="00175B5B"/>
    <w:rsid w:val="00175E61"/>
    <w:rsid w:val="001764CF"/>
    <w:rsid w:val="00177050"/>
    <w:rsid w:val="00177535"/>
    <w:rsid w:val="00180CE3"/>
    <w:rsid w:val="001812A3"/>
    <w:rsid w:val="00181709"/>
    <w:rsid w:val="001829EC"/>
    <w:rsid w:val="00182B29"/>
    <w:rsid w:val="00182BC4"/>
    <w:rsid w:val="00182E54"/>
    <w:rsid w:val="0018316E"/>
    <w:rsid w:val="00183651"/>
    <w:rsid w:val="00183BE7"/>
    <w:rsid w:val="00183EA7"/>
    <w:rsid w:val="00184749"/>
    <w:rsid w:val="00185B74"/>
    <w:rsid w:val="00185BF3"/>
    <w:rsid w:val="001868EA"/>
    <w:rsid w:val="001869BE"/>
    <w:rsid w:val="001879FA"/>
    <w:rsid w:val="001908F6"/>
    <w:rsid w:val="001923AE"/>
    <w:rsid w:val="00192AB9"/>
    <w:rsid w:val="00192FC3"/>
    <w:rsid w:val="001932A5"/>
    <w:rsid w:val="00195094"/>
    <w:rsid w:val="00195E0F"/>
    <w:rsid w:val="00196328"/>
    <w:rsid w:val="00196708"/>
    <w:rsid w:val="001968BF"/>
    <w:rsid w:val="001970E9"/>
    <w:rsid w:val="001975BB"/>
    <w:rsid w:val="00197B2E"/>
    <w:rsid w:val="001A04DD"/>
    <w:rsid w:val="001A08E0"/>
    <w:rsid w:val="001A20BC"/>
    <w:rsid w:val="001A27DB"/>
    <w:rsid w:val="001A34CE"/>
    <w:rsid w:val="001A355C"/>
    <w:rsid w:val="001A357E"/>
    <w:rsid w:val="001A3739"/>
    <w:rsid w:val="001A3C7B"/>
    <w:rsid w:val="001A4181"/>
    <w:rsid w:val="001A488F"/>
    <w:rsid w:val="001A4D10"/>
    <w:rsid w:val="001A4E0D"/>
    <w:rsid w:val="001A5CDF"/>
    <w:rsid w:val="001A5D0B"/>
    <w:rsid w:val="001A608F"/>
    <w:rsid w:val="001A6095"/>
    <w:rsid w:val="001A6167"/>
    <w:rsid w:val="001A6448"/>
    <w:rsid w:val="001A694A"/>
    <w:rsid w:val="001A755E"/>
    <w:rsid w:val="001A7825"/>
    <w:rsid w:val="001B03C8"/>
    <w:rsid w:val="001B12BE"/>
    <w:rsid w:val="001B1633"/>
    <w:rsid w:val="001B21BA"/>
    <w:rsid w:val="001B244E"/>
    <w:rsid w:val="001B3102"/>
    <w:rsid w:val="001B3223"/>
    <w:rsid w:val="001B3A4C"/>
    <w:rsid w:val="001B4C22"/>
    <w:rsid w:val="001B6911"/>
    <w:rsid w:val="001B71B1"/>
    <w:rsid w:val="001B728D"/>
    <w:rsid w:val="001B7A28"/>
    <w:rsid w:val="001B7CF8"/>
    <w:rsid w:val="001B7EEF"/>
    <w:rsid w:val="001C08E2"/>
    <w:rsid w:val="001C0E9F"/>
    <w:rsid w:val="001C1449"/>
    <w:rsid w:val="001C1ABA"/>
    <w:rsid w:val="001C335E"/>
    <w:rsid w:val="001C3AF3"/>
    <w:rsid w:val="001C4804"/>
    <w:rsid w:val="001C5135"/>
    <w:rsid w:val="001C57AF"/>
    <w:rsid w:val="001C5E51"/>
    <w:rsid w:val="001C5E81"/>
    <w:rsid w:val="001C5FDD"/>
    <w:rsid w:val="001C64D0"/>
    <w:rsid w:val="001C7AF7"/>
    <w:rsid w:val="001C7F0B"/>
    <w:rsid w:val="001D0602"/>
    <w:rsid w:val="001D0D2F"/>
    <w:rsid w:val="001D1246"/>
    <w:rsid w:val="001D28B0"/>
    <w:rsid w:val="001D2B4E"/>
    <w:rsid w:val="001D2D07"/>
    <w:rsid w:val="001D3C04"/>
    <w:rsid w:val="001D5C57"/>
    <w:rsid w:val="001D5D04"/>
    <w:rsid w:val="001D5FC1"/>
    <w:rsid w:val="001D61D3"/>
    <w:rsid w:val="001D6C77"/>
    <w:rsid w:val="001D7096"/>
    <w:rsid w:val="001D7353"/>
    <w:rsid w:val="001D7699"/>
    <w:rsid w:val="001D780B"/>
    <w:rsid w:val="001D7FD4"/>
    <w:rsid w:val="001E0315"/>
    <w:rsid w:val="001E1570"/>
    <w:rsid w:val="001E1FC4"/>
    <w:rsid w:val="001E2B96"/>
    <w:rsid w:val="001E2E05"/>
    <w:rsid w:val="001E301A"/>
    <w:rsid w:val="001E47B4"/>
    <w:rsid w:val="001E4A27"/>
    <w:rsid w:val="001E5630"/>
    <w:rsid w:val="001E5833"/>
    <w:rsid w:val="001E5DE3"/>
    <w:rsid w:val="001E5E46"/>
    <w:rsid w:val="001E703B"/>
    <w:rsid w:val="001E7512"/>
    <w:rsid w:val="001E78AC"/>
    <w:rsid w:val="001F0547"/>
    <w:rsid w:val="001F0A77"/>
    <w:rsid w:val="001F177C"/>
    <w:rsid w:val="001F17AE"/>
    <w:rsid w:val="001F1878"/>
    <w:rsid w:val="001F2653"/>
    <w:rsid w:val="001F3C50"/>
    <w:rsid w:val="001F4346"/>
    <w:rsid w:val="001F4F16"/>
    <w:rsid w:val="001F54BE"/>
    <w:rsid w:val="001F55B8"/>
    <w:rsid w:val="001F5A2C"/>
    <w:rsid w:val="001F6598"/>
    <w:rsid w:val="001F76DE"/>
    <w:rsid w:val="002000AB"/>
    <w:rsid w:val="002002D0"/>
    <w:rsid w:val="002014E7"/>
    <w:rsid w:val="00201B46"/>
    <w:rsid w:val="002026CC"/>
    <w:rsid w:val="002027CB"/>
    <w:rsid w:val="002029A5"/>
    <w:rsid w:val="002031BD"/>
    <w:rsid w:val="0020322E"/>
    <w:rsid w:val="00203801"/>
    <w:rsid w:val="002038E3"/>
    <w:rsid w:val="00203D85"/>
    <w:rsid w:val="002051EC"/>
    <w:rsid w:val="002060A0"/>
    <w:rsid w:val="00206373"/>
    <w:rsid w:val="00206A35"/>
    <w:rsid w:val="0020753B"/>
    <w:rsid w:val="002109F3"/>
    <w:rsid w:val="0021168B"/>
    <w:rsid w:val="00211B11"/>
    <w:rsid w:val="002124FC"/>
    <w:rsid w:val="002126D6"/>
    <w:rsid w:val="00212C8F"/>
    <w:rsid w:val="00212D28"/>
    <w:rsid w:val="002131DB"/>
    <w:rsid w:val="002137D0"/>
    <w:rsid w:val="002140A8"/>
    <w:rsid w:val="00214389"/>
    <w:rsid w:val="00214E7C"/>
    <w:rsid w:val="00215247"/>
    <w:rsid w:val="0021574F"/>
    <w:rsid w:val="00215DB3"/>
    <w:rsid w:val="00216077"/>
    <w:rsid w:val="00216391"/>
    <w:rsid w:val="00216E9C"/>
    <w:rsid w:val="00217134"/>
    <w:rsid w:val="002212B4"/>
    <w:rsid w:val="00221357"/>
    <w:rsid w:val="00221456"/>
    <w:rsid w:val="002220D5"/>
    <w:rsid w:val="002222F0"/>
    <w:rsid w:val="00224314"/>
    <w:rsid w:val="00224EA3"/>
    <w:rsid w:val="0022510C"/>
    <w:rsid w:val="00225B8D"/>
    <w:rsid w:val="00226BBD"/>
    <w:rsid w:val="00227647"/>
    <w:rsid w:val="00227C4C"/>
    <w:rsid w:val="00230003"/>
    <w:rsid w:val="002300C6"/>
    <w:rsid w:val="00230177"/>
    <w:rsid w:val="002304DE"/>
    <w:rsid w:val="00230F08"/>
    <w:rsid w:val="00231491"/>
    <w:rsid w:val="00231E33"/>
    <w:rsid w:val="002324C0"/>
    <w:rsid w:val="0023275B"/>
    <w:rsid w:val="00232931"/>
    <w:rsid w:val="00232CE9"/>
    <w:rsid w:val="00232D21"/>
    <w:rsid w:val="00233A44"/>
    <w:rsid w:val="00233F72"/>
    <w:rsid w:val="002340A0"/>
    <w:rsid w:val="00234E42"/>
    <w:rsid w:val="002352CD"/>
    <w:rsid w:val="00235BBB"/>
    <w:rsid w:val="00235C93"/>
    <w:rsid w:val="00235F66"/>
    <w:rsid w:val="00236409"/>
    <w:rsid w:val="00236A00"/>
    <w:rsid w:val="00236D9F"/>
    <w:rsid w:val="00237A0A"/>
    <w:rsid w:val="00237D60"/>
    <w:rsid w:val="00237F8F"/>
    <w:rsid w:val="00240485"/>
    <w:rsid w:val="0024133E"/>
    <w:rsid w:val="0024236E"/>
    <w:rsid w:val="002424AB"/>
    <w:rsid w:val="00242991"/>
    <w:rsid w:val="002434E8"/>
    <w:rsid w:val="002440EF"/>
    <w:rsid w:val="002445EE"/>
    <w:rsid w:val="002448AA"/>
    <w:rsid w:val="00244B19"/>
    <w:rsid w:val="00245111"/>
    <w:rsid w:val="002468BA"/>
    <w:rsid w:val="00246A50"/>
    <w:rsid w:val="0024743D"/>
    <w:rsid w:val="0025080C"/>
    <w:rsid w:val="00250D93"/>
    <w:rsid w:val="00251058"/>
    <w:rsid w:val="002516E1"/>
    <w:rsid w:val="00251D8A"/>
    <w:rsid w:val="002522E5"/>
    <w:rsid w:val="0025231E"/>
    <w:rsid w:val="00253304"/>
    <w:rsid w:val="0025373E"/>
    <w:rsid w:val="0025393A"/>
    <w:rsid w:val="00254122"/>
    <w:rsid w:val="0025417B"/>
    <w:rsid w:val="002542CE"/>
    <w:rsid w:val="0025439F"/>
    <w:rsid w:val="0025457D"/>
    <w:rsid w:val="002547E2"/>
    <w:rsid w:val="00254F5A"/>
    <w:rsid w:val="002555CB"/>
    <w:rsid w:val="0025598E"/>
    <w:rsid w:val="0025632B"/>
    <w:rsid w:val="00256330"/>
    <w:rsid w:val="00256E94"/>
    <w:rsid w:val="00256FBE"/>
    <w:rsid w:val="00257840"/>
    <w:rsid w:val="00260374"/>
    <w:rsid w:val="00261078"/>
    <w:rsid w:val="002612E7"/>
    <w:rsid w:val="00262308"/>
    <w:rsid w:val="002629B1"/>
    <w:rsid w:val="00265005"/>
    <w:rsid w:val="00265305"/>
    <w:rsid w:val="00266A96"/>
    <w:rsid w:val="00267967"/>
    <w:rsid w:val="00267D56"/>
    <w:rsid w:val="002703B5"/>
    <w:rsid w:val="002707A6"/>
    <w:rsid w:val="002711E3"/>
    <w:rsid w:val="002714B8"/>
    <w:rsid w:val="00271B2E"/>
    <w:rsid w:val="00271C9D"/>
    <w:rsid w:val="00272918"/>
    <w:rsid w:val="00273880"/>
    <w:rsid w:val="00273A97"/>
    <w:rsid w:val="002740DD"/>
    <w:rsid w:val="002744EA"/>
    <w:rsid w:val="00274A80"/>
    <w:rsid w:val="002752C7"/>
    <w:rsid w:val="00275331"/>
    <w:rsid w:val="002760DC"/>
    <w:rsid w:val="0027624B"/>
    <w:rsid w:val="002762DA"/>
    <w:rsid w:val="002766AA"/>
    <w:rsid w:val="00277C32"/>
    <w:rsid w:val="00280911"/>
    <w:rsid w:val="00280E78"/>
    <w:rsid w:val="002810BE"/>
    <w:rsid w:val="00281192"/>
    <w:rsid w:val="00282BBA"/>
    <w:rsid w:val="00282DEE"/>
    <w:rsid w:val="002838D4"/>
    <w:rsid w:val="00283FBD"/>
    <w:rsid w:val="0028442C"/>
    <w:rsid w:val="00284B24"/>
    <w:rsid w:val="00285022"/>
    <w:rsid w:val="002851B6"/>
    <w:rsid w:val="0028527D"/>
    <w:rsid w:val="00286086"/>
    <w:rsid w:val="00286087"/>
    <w:rsid w:val="00287514"/>
    <w:rsid w:val="00287871"/>
    <w:rsid w:val="00287A6D"/>
    <w:rsid w:val="00290D1D"/>
    <w:rsid w:val="00290D6A"/>
    <w:rsid w:val="0029112D"/>
    <w:rsid w:val="00291E45"/>
    <w:rsid w:val="00292145"/>
    <w:rsid w:val="002925ED"/>
    <w:rsid w:val="00292665"/>
    <w:rsid w:val="00292785"/>
    <w:rsid w:val="002937F9"/>
    <w:rsid w:val="00294230"/>
    <w:rsid w:val="00295CE1"/>
    <w:rsid w:val="00295E02"/>
    <w:rsid w:val="00296931"/>
    <w:rsid w:val="00297EC1"/>
    <w:rsid w:val="002A01EB"/>
    <w:rsid w:val="002A1550"/>
    <w:rsid w:val="002A1EDF"/>
    <w:rsid w:val="002A252B"/>
    <w:rsid w:val="002A2884"/>
    <w:rsid w:val="002A31AA"/>
    <w:rsid w:val="002A32AA"/>
    <w:rsid w:val="002A36F8"/>
    <w:rsid w:val="002A3CC1"/>
    <w:rsid w:val="002A4425"/>
    <w:rsid w:val="002A49B4"/>
    <w:rsid w:val="002A4C5F"/>
    <w:rsid w:val="002A52B3"/>
    <w:rsid w:val="002A5859"/>
    <w:rsid w:val="002A5D03"/>
    <w:rsid w:val="002A5FED"/>
    <w:rsid w:val="002A64C8"/>
    <w:rsid w:val="002A69C4"/>
    <w:rsid w:val="002A6C82"/>
    <w:rsid w:val="002A6E1F"/>
    <w:rsid w:val="002A6FA7"/>
    <w:rsid w:val="002A7112"/>
    <w:rsid w:val="002A7854"/>
    <w:rsid w:val="002A7D93"/>
    <w:rsid w:val="002B02B0"/>
    <w:rsid w:val="002B0757"/>
    <w:rsid w:val="002B0A4A"/>
    <w:rsid w:val="002B0E7C"/>
    <w:rsid w:val="002B1297"/>
    <w:rsid w:val="002B1ADE"/>
    <w:rsid w:val="002B1D37"/>
    <w:rsid w:val="002B2096"/>
    <w:rsid w:val="002B2622"/>
    <w:rsid w:val="002B2DBB"/>
    <w:rsid w:val="002B2E0E"/>
    <w:rsid w:val="002B3724"/>
    <w:rsid w:val="002B3949"/>
    <w:rsid w:val="002B3D12"/>
    <w:rsid w:val="002B50F0"/>
    <w:rsid w:val="002B56DA"/>
    <w:rsid w:val="002B59B1"/>
    <w:rsid w:val="002B5D9F"/>
    <w:rsid w:val="002B654A"/>
    <w:rsid w:val="002B7350"/>
    <w:rsid w:val="002B795D"/>
    <w:rsid w:val="002B7BB8"/>
    <w:rsid w:val="002B7DDF"/>
    <w:rsid w:val="002C0114"/>
    <w:rsid w:val="002C08F8"/>
    <w:rsid w:val="002C12C7"/>
    <w:rsid w:val="002C171C"/>
    <w:rsid w:val="002C1CCD"/>
    <w:rsid w:val="002C246F"/>
    <w:rsid w:val="002C42F7"/>
    <w:rsid w:val="002C4BC3"/>
    <w:rsid w:val="002C4DEC"/>
    <w:rsid w:val="002C6011"/>
    <w:rsid w:val="002C65F8"/>
    <w:rsid w:val="002C6A24"/>
    <w:rsid w:val="002C72F2"/>
    <w:rsid w:val="002C7562"/>
    <w:rsid w:val="002D137F"/>
    <w:rsid w:val="002D1E08"/>
    <w:rsid w:val="002D2178"/>
    <w:rsid w:val="002D24ED"/>
    <w:rsid w:val="002D3172"/>
    <w:rsid w:val="002D348C"/>
    <w:rsid w:val="002D39D3"/>
    <w:rsid w:val="002D4786"/>
    <w:rsid w:val="002D48AD"/>
    <w:rsid w:val="002D4ED5"/>
    <w:rsid w:val="002D6113"/>
    <w:rsid w:val="002D7AD5"/>
    <w:rsid w:val="002E04F2"/>
    <w:rsid w:val="002E060A"/>
    <w:rsid w:val="002E088C"/>
    <w:rsid w:val="002E0E62"/>
    <w:rsid w:val="002E14F8"/>
    <w:rsid w:val="002E187E"/>
    <w:rsid w:val="002E2136"/>
    <w:rsid w:val="002E259C"/>
    <w:rsid w:val="002E2AD1"/>
    <w:rsid w:val="002E3121"/>
    <w:rsid w:val="002E3839"/>
    <w:rsid w:val="002E3D09"/>
    <w:rsid w:val="002E47EF"/>
    <w:rsid w:val="002E492D"/>
    <w:rsid w:val="002E4953"/>
    <w:rsid w:val="002E57C3"/>
    <w:rsid w:val="002E5AAC"/>
    <w:rsid w:val="002E5F27"/>
    <w:rsid w:val="002E624D"/>
    <w:rsid w:val="002E66D9"/>
    <w:rsid w:val="002E6728"/>
    <w:rsid w:val="002E7053"/>
    <w:rsid w:val="002E7121"/>
    <w:rsid w:val="002E7C4C"/>
    <w:rsid w:val="002E7CFA"/>
    <w:rsid w:val="002E7E2E"/>
    <w:rsid w:val="002F162D"/>
    <w:rsid w:val="002F2809"/>
    <w:rsid w:val="002F30D1"/>
    <w:rsid w:val="002F370F"/>
    <w:rsid w:val="002F38B4"/>
    <w:rsid w:val="002F3D38"/>
    <w:rsid w:val="002F44F8"/>
    <w:rsid w:val="002F659A"/>
    <w:rsid w:val="002F65BB"/>
    <w:rsid w:val="002F6BFE"/>
    <w:rsid w:val="002F730A"/>
    <w:rsid w:val="002F7545"/>
    <w:rsid w:val="002F79D6"/>
    <w:rsid w:val="002F7D4D"/>
    <w:rsid w:val="0030107E"/>
    <w:rsid w:val="00301762"/>
    <w:rsid w:val="00301BA1"/>
    <w:rsid w:val="00302513"/>
    <w:rsid w:val="0030267C"/>
    <w:rsid w:val="003026FF"/>
    <w:rsid w:val="003030C8"/>
    <w:rsid w:val="00303F9F"/>
    <w:rsid w:val="00304779"/>
    <w:rsid w:val="00305578"/>
    <w:rsid w:val="00305583"/>
    <w:rsid w:val="00305B90"/>
    <w:rsid w:val="00305E9C"/>
    <w:rsid w:val="003077B3"/>
    <w:rsid w:val="003078B6"/>
    <w:rsid w:val="003103D8"/>
    <w:rsid w:val="00311A3E"/>
    <w:rsid w:val="003121D3"/>
    <w:rsid w:val="0031256F"/>
    <w:rsid w:val="00312E25"/>
    <w:rsid w:val="00313325"/>
    <w:rsid w:val="003140DD"/>
    <w:rsid w:val="00314397"/>
    <w:rsid w:val="00315083"/>
    <w:rsid w:val="003150A7"/>
    <w:rsid w:val="003154B2"/>
    <w:rsid w:val="00315A71"/>
    <w:rsid w:val="00315FE1"/>
    <w:rsid w:val="00316305"/>
    <w:rsid w:val="00316793"/>
    <w:rsid w:val="00316DF7"/>
    <w:rsid w:val="003179E4"/>
    <w:rsid w:val="003203A7"/>
    <w:rsid w:val="0032077C"/>
    <w:rsid w:val="00320EAC"/>
    <w:rsid w:val="00321FF4"/>
    <w:rsid w:val="003221D3"/>
    <w:rsid w:val="003234A8"/>
    <w:rsid w:val="00323603"/>
    <w:rsid w:val="00323F61"/>
    <w:rsid w:val="00324F93"/>
    <w:rsid w:val="00324FC0"/>
    <w:rsid w:val="00326AF6"/>
    <w:rsid w:val="00327440"/>
    <w:rsid w:val="00331A2D"/>
    <w:rsid w:val="003321DD"/>
    <w:rsid w:val="0033287C"/>
    <w:rsid w:val="003328DC"/>
    <w:rsid w:val="0033317B"/>
    <w:rsid w:val="00333235"/>
    <w:rsid w:val="0033352B"/>
    <w:rsid w:val="00333B05"/>
    <w:rsid w:val="00333C71"/>
    <w:rsid w:val="0033450B"/>
    <w:rsid w:val="00334C4F"/>
    <w:rsid w:val="0033584C"/>
    <w:rsid w:val="00337937"/>
    <w:rsid w:val="00340620"/>
    <w:rsid w:val="00340D66"/>
    <w:rsid w:val="003412AE"/>
    <w:rsid w:val="003415DB"/>
    <w:rsid w:val="00341856"/>
    <w:rsid w:val="00341D2C"/>
    <w:rsid w:val="0034221B"/>
    <w:rsid w:val="003429E8"/>
    <w:rsid w:val="00342E05"/>
    <w:rsid w:val="0034327C"/>
    <w:rsid w:val="00344579"/>
    <w:rsid w:val="00347182"/>
    <w:rsid w:val="00347F53"/>
    <w:rsid w:val="003501C3"/>
    <w:rsid w:val="00350F8A"/>
    <w:rsid w:val="003511FB"/>
    <w:rsid w:val="00351922"/>
    <w:rsid w:val="00352102"/>
    <w:rsid w:val="00352257"/>
    <w:rsid w:val="00352C74"/>
    <w:rsid w:val="0035398D"/>
    <w:rsid w:val="00353C1E"/>
    <w:rsid w:val="00354545"/>
    <w:rsid w:val="003548B6"/>
    <w:rsid w:val="00354932"/>
    <w:rsid w:val="00355167"/>
    <w:rsid w:val="00355DBD"/>
    <w:rsid w:val="00355E1A"/>
    <w:rsid w:val="00356C39"/>
    <w:rsid w:val="003576AB"/>
    <w:rsid w:val="003600D8"/>
    <w:rsid w:val="0036021F"/>
    <w:rsid w:val="00360600"/>
    <w:rsid w:val="00361DEB"/>
    <w:rsid w:val="0036256D"/>
    <w:rsid w:val="00362AEC"/>
    <w:rsid w:val="0036345D"/>
    <w:rsid w:val="0036383D"/>
    <w:rsid w:val="003639D0"/>
    <w:rsid w:val="00364937"/>
    <w:rsid w:val="00364F19"/>
    <w:rsid w:val="00365577"/>
    <w:rsid w:val="00365856"/>
    <w:rsid w:val="00365D23"/>
    <w:rsid w:val="00367070"/>
    <w:rsid w:val="0036795A"/>
    <w:rsid w:val="00371118"/>
    <w:rsid w:val="0037122D"/>
    <w:rsid w:val="00371507"/>
    <w:rsid w:val="003719C6"/>
    <w:rsid w:val="0037206C"/>
    <w:rsid w:val="003729BB"/>
    <w:rsid w:val="00373027"/>
    <w:rsid w:val="003732D6"/>
    <w:rsid w:val="00374865"/>
    <w:rsid w:val="0037493F"/>
    <w:rsid w:val="00374A4A"/>
    <w:rsid w:val="00374AE3"/>
    <w:rsid w:val="00374BEE"/>
    <w:rsid w:val="0037500D"/>
    <w:rsid w:val="003754DA"/>
    <w:rsid w:val="003755A3"/>
    <w:rsid w:val="00375904"/>
    <w:rsid w:val="00375DAA"/>
    <w:rsid w:val="00376543"/>
    <w:rsid w:val="00376FB4"/>
    <w:rsid w:val="00377A83"/>
    <w:rsid w:val="0038104E"/>
    <w:rsid w:val="00381640"/>
    <w:rsid w:val="00382A6A"/>
    <w:rsid w:val="00382CF3"/>
    <w:rsid w:val="003836B2"/>
    <w:rsid w:val="00383FE5"/>
    <w:rsid w:val="00384030"/>
    <w:rsid w:val="00384144"/>
    <w:rsid w:val="003843D6"/>
    <w:rsid w:val="003854EB"/>
    <w:rsid w:val="003860A3"/>
    <w:rsid w:val="00387009"/>
    <w:rsid w:val="0038703C"/>
    <w:rsid w:val="00387478"/>
    <w:rsid w:val="00387DF5"/>
    <w:rsid w:val="00387F77"/>
    <w:rsid w:val="00390521"/>
    <w:rsid w:val="00390A0E"/>
    <w:rsid w:val="0039172C"/>
    <w:rsid w:val="00391A9C"/>
    <w:rsid w:val="0039206F"/>
    <w:rsid w:val="003937E7"/>
    <w:rsid w:val="00394252"/>
    <w:rsid w:val="00395256"/>
    <w:rsid w:val="00395392"/>
    <w:rsid w:val="003965E6"/>
    <w:rsid w:val="00396851"/>
    <w:rsid w:val="00396940"/>
    <w:rsid w:val="00396BDB"/>
    <w:rsid w:val="00396C13"/>
    <w:rsid w:val="0039765D"/>
    <w:rsid w:val="003979CA"/>
    <w:rsid w:val="003A008D"/>
    <w:rsid w:val="003A030B"/>
    <w:rsid w:val="003A04DF"/>
    <w:rsid w:val="003A1345"/>
    <w:rsid w:val="003A1B14"/>
    <w:rsid w:val="003A21DB"/>
    <w:rsid w:val="003A2480"/>
    <w:rsid w:val="003A2622"/>
    <w:rsid w:val="003A2847"/>
    <w:rsid w:val="003A41F7"/>
    <w:rsid w:val="003A4532"/>
    <w:rsid w:val="003A460E"/>
    <w:rsid w:val="003A5812"/>
    <w:rsid w:val="003A5E06"/>
    <w:rsid w:val="003A6C68"/>
    <w:rsid w:val="003A73F2"/>
    <w:rsid w:val="003A7983"/>
    <w:rsid w:val="003B052E"/>
    <w:rsid w:val="003B07CC"/>
    <w:rsid w:val="003B09B4"/>
    <w:rsid w:val="003B0ED8"/>
    <w:rsid w:val="003B242B"/>
    <w:rsid w:val="003B2652"/>
    <w:rsid w:val="003B344A"/>
    <w:rsid w:val="003B3691"/>
    <w:rsid w:val="003B47A8"/>
    <w:rsid w:val="003B49E4"/>
    <w:rsid w:val="003B51D8"/>
    <w:rsid w:val="003B6B72"/>
    <w:rsid w:val="003B709A"/>
    <w:rsid w:val="003B75C2"/>
    <w:rsid w:val="003B76EF"/>
    <w:rsid w:val="003B791E"/>
    <w:rsid w:val="003B7D1C"/>
    <w:rsid w:val="003C12F0"/>
    <w:rsid w:val="003C1689"/>
    <w:rsid w:val="003C1CEC"/>
    <w:rsid w:val="003C1F63"/>
    <w:rsid w:val="003C2217"/>
    <w:rsid w:val="003C2CCD"/>
    <w:rsid w:val="003C2EDC"/>
    <w:rsid w:val="003C3048"/>
    <w:rsid w:val="003C30F6"/>
    <w:rsid w:val="003C392B"/>
    <w:rsid w:val="003C3B2A"/>
    <w:rsid w:val="003C3B40"/>
    <w:rsid w:val="003C3D2F"/>
    <w:rsid w:val="003C4303"/>
    <w:rsid w:val="003C4572"/>
    <w:rsid w:val="003C59D2"/>
    <w:rsid w:val="003C617C"/>
    <w:rsid w:val="003C6FB6"/>
    <w:rsid w:val="003C77BB"/>
    <w:rsid w:val="003D07F8"/>
    <w:rsid w:val="003D1687"/>
    <w:rsid w:val="003D16EE"/>
    <w:rsid w:val="003D1FD8"/>
    <w:rsid w:val="003D2E01"/>
    <w:rsid w:val="003D3350"/>
    <w:rsid w:val="003D339B"/>
    <w:rsid w:val="003D341D"/>
    <w:rsid w:val="003D37ED"/>
    <w:rsid w:val="003D3E0C"/>
    <w:rsid w:val="003D5C20"/>
    <w:rsid w:val="003D5D2A"/>
    <w:rsid w:val="003D6044"/>
    <w:rsid w:val="003D7130"/>
    <w:rsid w:val="003D7353"/>
    <w:rsid w:val="003D73A0"/>
    <w:rsid w:val="003D7469"/>
    <w:rsid w:val="003E147D"/>
    <w:rsid w:val="003E1E60"/>
    <w:rsid w:val="003E2075"/>
    <w:rsid w:val="003E20E9"/>
    <w:rsid w:val="003E2777"/>
    <w:rsid w:val="003E3B0D"/>
    <w:rsid w:val="003E7204"/>
    <w:rsid w:val="003F008F"/>
    <w:rsid w:val="003F0B60"/>
    <w:rsid w:val="003F3A80"/>
    <w:rsid w:val="003F41BB"/>
    <w:rsid w:val="003F52E0"/>
    <w:rsid w:val="003F55EE"/>
    <w:rsid w:val="003F5F39"/>
    <w:rsid w:val="003F6B63"/>
    <w:rsid w:val="003F7019"/>
    <w:rsid w:val="003F7A06"/>
    <w:rsid w:val="003F7E40"/>
    <w:rsid w:val="004002B6"/>
    <w:rsid w:val="00400CE8"/>
    <w:rsid w:val="004011CF"/>
    <w:rsid w:val="0040182E"/>
    <w:rsid w:val="00401BF8"/>
    <w:rsid w:val="00401F52"/>
    <w:rsid w:val="004022D0"/>
    <w:rsid w:val="004023FF"/>
    <w:rsid w:val="0040255D"/>
    <w:rsid w:val="0040407A"/>
    <w:rsid w:val="00404250"/>
    <w:rsid w:val="004042C7"/>
    <w:rsid w:val="004046D1"/>
    <w:rsid w:val="004047C7"/>
    <w:rsid w:val="00404CC5"/>
    <w:rsid w:val="00405A05"/>
    <w:rsid w:val="00406B55"/>
    <w:rsid w:val="0040720F"/>
    <w:rsid w:val="004074D5"/>
    <w:rsid w:val="00410DED"/>
    <w:rsid w:val="004115C4"/>
    <w:rsid w:val="004132D9"/>
    <w:rsid w:val="0041436A"/>
    <w:rsid w:val="004144FC"/>
    <w:rsid w:val="004145CB"/>
    <w:rsid w:val="004158C0"/>
    <w:rsid w:val="00416259"/>
    <w:rsid w:val="004162BC"/>
    <w:rsid w:val="00416890"/>
    <w:rsid w:val="00416983"/>
    <w:rsid w:val="00417B59"/>
    <w:rsid w:val="00420201"/>
    <w:rsid w:val="00420512"/>
    <w:rsid w:val="00420A68"/>
    <w:rsid w:val="00420CF9"/>
    <w:rsid w:val="00420E17"/>
    <w:rsid w:val="00420E34"/>
    <w:rsid w:val="00422DDE"/>
    <w:rsid w:val="004230DB"/>
    <w:rsid w:val="0042318F"/>
    <w:rsid w:val="004233EF"/>
    <w:rsid w:val="00423C59"/>
    <w:rsid w:val="00424E54"/>
    <w:rsid w:val="0042522A"/>
    <w:rsid w:val="00425D66"/>
    <w:rsid w:val="00425E81"/>
    <w:rsid w:val="004265F1"/>
    <w:rsid w:val="0042724F"/>
    <w:rsid w:val="00427A94"/>
    <w:rsid w:val="00427C25"/>
    <w:rsid w:val="004316D1"/>
    <w:rsid w:val="00431B57"/>
    <w:rsid w:val="00431FE7"/>
    <w:rsid w:val="00432890"/>
    <w:rsid w:val="0043293C"/>
    <w:rsid w:val="004330E1"/>
    <w:rsid w:val="0043357A"/>
    <w:rsid w:val="00433785"/>
    <w:rsid w:val="0043428A"/>
    <w:rsid w:val="004354E1"/>
    <w:rsid w:val="00435585"/>
    <w:rsid w:val="00436978"/>
    <w:rsid w:val="00436DA6"/>
    <w:rsid w:val="00442674"/>
    <w:rsid w:val="00442DB7"/>
    <w:rsid w:val="004430E0"/>
    <w:rsid w:val="0044566A"/>
    <w:rsid w:val="00445A79"/>
    <w:rsid w:val="00445E68"/>
    <w:rsid w:val="00446217"/>
    <w:rsid w:val="004463EB"/>
    <w:rsid w:val="00450A62"/>
    <w:rsid w:val="0045189F"/>
    <w:rsid w:val="004519BC"/>
    <w:rsid w:val="00451A16"/>
    <w:rsid w:val="00452A3D"/>
    <w:rsid w:val="004530F3"/>
    <w:rsid w:val="00454859"/>
    <w:rsid w:val="00454F49"/>
    <w:rsid w:val="0045531F"/>
    <w:rsid w:val="00455C94"/>
    <w:rsid w:val="004562BD"/>
    <w:rsid w:val="00456454"/>
    <w:rsid w:val="00456B42"/>
    <w:rsid w:val="00457679"/>
    <w:rsid w:val="00460C68"/>
    <w:rsid w:val="00460CCC"/>
    <w:rsid w:val="00460CF0"/>
    <w:rsid w:val="00462967"/>
    <w:rsid w:val="004630A5"/>
    <w:rsid w:val="00463403"/>
    <w:rsid w:val="0046384E"/>
    <w:rsid w:val="00463E24"/>
    <w:rsid w:val="00465148"/>
    <w:rsid w:val="00465197"/>
    <w:rsid w:val="004652EF"/>
    <w:rsid w:val="004654C2"/>
    <w:rsid w:val="004655C6"/>
    <w:rsid w:val="004655F8"/>
    <w:rsid w:val="0046573E"/>
    <w:rsid w:val="004668E5"/>
    <w:rsid w:val="00466CD5"/>
    <w:rsid w:val="00467279"/>
    <w:rsid w:val="004673BA"/>
    <w:rsid w:val="0046768F"/>
    <w:rsid w:val="00470BEF"/>
    <w:rsid w:val="004719CA"/>
    <w:rsid w:val="00471A58"/>
    <w:rsid w:val="004721A4"/>
    <w:rsid w:val="004724CA"/>
    <w:rsid w:val="004724EC"/>
    <w:rsid w:val="0047296C"/>
    <w:rsid w:val="00473033"/>
    <w:rsid w:val="00474359"/>
    <w:rsid w:val="00474C80"/>
    <w:rsid w:val="00474CFF"/>
    <w:rsid w:val="00474F27"/>
    <w:rsid w:val="00475283"/>
    <w:rsid w:val="004752E4"/>
    <w:rsid w:val="004752FD"/>
    <w:rsid w:val="004755A0"/>
    <w:rsid w:val="0047586F"/>
    <w:rsid w:val="00475B5A"/>
    <w:rsid w:val="00476057"/>
    <w:rsid w:val="004775F2"/>
    <w:rsid w:val="004779E4"/>
    <w:rsid w:val="00480FFE"/>
    <w:rsid w:val="004818FE"/>
    <w:rsid w:val="00481CA5"/>
    <w:rsid w:val="00482BE9"/>
    <w:rsid w:val="0048336F"/>
    <w:rsid w:val="00483640"/>
    <w:rsid w:val="00483B9A"/>
    <w:rsid w:val="0048468D"/>
    <w:rsid w:val="00485D2F"/>
    <w:rsid w:val="004875D5"/>
    <w:rsid w:val="00487B3C"/>
    <w:rsid w:val="00490073"/>
    <w:rsid w:val="004901AF"/>
    <w:rsid w:val="004902C0"/>
    <w:rsid w:val="00490C77"/>
    <w:rsid w:val="00490D83"/>
    <w:rsid w:val="0049122C"/>
    <w:rsid w:val="004916C9"/>
    <w:rsid w:val="00491E4D"/>
    <w:rsid w:val="004937AB"/>
    <w:rsid w:val="00494196"/>
    <w:rsid w:val="00494C33"/>
    <w:rsid w:val="00494C6A"/>
    <w:rsid w:val="00495556"/>
    <w:rsid w:val="00495850"/>
    <w:rsid w:val="00496CC6"/>
    <w:rsid w:val="00497190"/>
    <w:rsid w:val="004A0E30"/>
    <w:rsid w:val="004A12CB"/>
    <w:rsid w:val="004A12D6"/>
    <w:rsid w:val="004A2A58"/>
    <w:rsid w:val="004A2B0F"/>
    <w:rsid w:val="004A35E8"/>
    <w:rsid w:val="004A3CC8"/>
    <w:rsid w:val="004A421C"/>
    <w:rsid w:val="004A473B"/>
    <w:rsid w:val="004A4C39"/>
    <w:rsid w:val="004A5DF1"/>
    <w:rsid w:val="004A60DE"/>
    <w:rsid w:val="004A64C6"/>
    <w:rsid w:val="004A65E8"/>
    <w:rsid w:val="004A6B4F"/>
    <w:rsid w:val="004A72B9"/>
    <w:rsid w:val="004A7B90"/>
    <w:rsid w:val="004A7DC6"/>
    <w:rsid w:val="004B00F1"/>
    <w:rsid w:val="004B0569"/>
    <w:rsid w:val="004B082C"/>
    <w:rsid w:val="004B0B59"/>
    <w:rsid w:val="004B123F"/>
    <w:rsid w:val="004B2BD6"/>
    <w:rsid w:val="004B2BE6"/>
    <w:rsid w:val="004B3462"/>
    <w:rsid w:val="004B34BE"/>
    <w:rsid w:val="004B38F4"/>
    <w:rsid w:val="004B3A27"/>
    <w:rsid w:val="004B47F1"/>
    <w:rsid w:val="004B487C"/>
    <w:rsid w:val="004B4D9B"/>
    <w:rsid w:val="004B5B79"/>
    <w:rsid w:val="004B6004"/>
    <w:rsid w:val="004B688A"/>
    <w:rsid w:val="004B6973"/>
    <w:rsid w:val="004B70AA"/>
    <w:rsid w:val="004B7237"/>
    <w:rsid w:val="004B736C"/>
    <w:rsid w:val="004B7A93"/>
    <w:rsid w:val="004C1B25"/>
    <w:rsid w:val="004C2644"/>
    <w:rsid w:val="004C28B7"/>
    <w:rsid w:val="004C357A"/>
    <w:rsid w:val="004C3A22"/>
    <w:rsid w:val="004C40F7"/>
    <w:rsid w:val="004C42E0"/>
    <w:rsid w:val="004C4481"/>
    <w:rsid w:val="004C4512"/>
    <w:rsid w:val="004C4DC7"/>
    <w:rsid w:val="004C5070"/>
    <w:rsid w:val="004C5180"/>
    <w:rsid w:val="004C5758"/>
    <w:rsid w:val="004C57B0"/>
    <w:rsid w:val="004C5D41"/>
    <w:rsid w:val="004C5E66"/>
    <w:rsid w:val="004C5F74"/>
    <w:rsid w:val="004C6BD2"/>
    <w:rsid w:val="004C6FCE"/>
    <w:rsid w:val="004C711A"/>
    <w:rsid w:val="004C7AD2"/>
    <w:rsid w:val="004C7F98"/>
    <w:rsid w:val="004C7FF1"/>
    <w:rsid w:val="004D0723"/>
    <w:rsid w:val="004D09FD"/>
    <w:rsid w:val="004D0C52"/>
    <w:rsid w:val="004D129A"/>
    <w:rsid w:val="004D140F"/>
    <w:rsid w:val="004D1B22"/>
    <w:rsid w:val="004D1FBC"/>
    <w:rsid w:val="004D2FF8"/>
    <w:rsid w:val="004D410D"/>
    <w:rsid w:val="004D44E4"/>
    <w:rsid w:val="004D4F3B"/>
    <w:rsid w:val="004D68BA"/>
    <w:rsid w:val="004D7040"/>
    <w:rsid w:val="004E0242"/>
    <w:rsid w:val="004E1696"/>
    <w:rsid w:val="004E1F67"/>
    <w:rsid w:val="004E275D"/>
    <w:rsid w:val="004E300A"/>
    <w:rsid w:val="004E3388"/>
    <w:rsid w:val="004E3D04"/>
    <w:rsid w:val="004E4423"/>
    <w:rsid w:val="004E452B"/>
    <w:rsid w:val="004E49F9"/>
    <w:rsid w:val="004E5017"/>
    <w:rsid w:val="004E54EA"/>
    <w:rsid w:val="004E5A10"/>
    <w:rsid w:val="004E5C9C"/>
    <w:rsid w:val="004E5CC0"/>
    <w:rsid w:val="004E6708"/>
    <w:rsid w:val="004E6C8B"/>
    <w:rsid w:val="004E74AD"/>
    <w:rsid w:val="004F013C"/>
    <w:rsid w:val="004F0874"/>
    <w:rsid w:val="004F144C"/>
    <w:rsid w:val="004F265C"/>
    <w:rsid w:val="004F273C"/>
    <w:rsid w:val="004F3115"/>
    <w:rsid w:val="004F38CE"/>
    <w:rsid w:val="004F4056"/>
    <w:rsid w:val="004F49FC"/>
    <w:rsid w:val="004F4A50"/>
    <w:rsid w:val="004F4C61"/>
    <w:rsid w:val="004F56AE"/>
    <w:rsid w:val="004F57C5"/>
    <w:rsid w:val="004F6102"/>
    <w:rsid w:val="004F61E6"/>
    <w:rsid w:val="004F70D1"/>
    <w:rsid w:val="004F73BF"/>
    <w:rsid w:val="004F7EFB"/>
    <w:rsid w:val="0050081C"/>
    <w:rsid w:val="0050191A"/>
    <w:rsid w:val="00502660"/>
    <w:rsid w:val="0050310A"/>
    <w:rsid w:val="005034C8"/>
    <w:rsid w:val="00503F6E"/>
    <w:rsid w:val="005041B4"/>
    <w:rsid w:val="005049FA"/>
    <w:rsid w:val="00504E35"/>
    <w:rsid w:val="00504FFB"/>
    <w:rsid w:val="00505054"/>
    <w:rsid w:val="005051EA"/>
    <w:rsid w:val="0050577B"/>
    <w:rsid w:val="00505C3B"/>
    <w:rsid w:val="00505FC2"/>
    <w:rsid w:val="00506799"/>
    <w:rsid w:val="00506886"/>
    <w:rsid w:val="00506B77"/>
    <w:rsid w:val="00506E8B"/>
    <w:rsid w:val="005112A6"/>
    <w:rsid w:val="005116A0"/>
    <w:rsid w:val="00511985"/>
    <w:rsid w:val="005119C2"/>
    <w:rsid w:val="00513EC0"/>
    <w:rsid w:val="00513ECD"/>
    <w:rsid w:val="00514808"/>
    <w:rsid w:val="00514D03"/>
    <w:rsid w:val="00515C61"/>
    <w:rsid w:val="00515FA1"/>
    <w:rsid w:val="00516109"/>
    <w:rsid w:val="00516DEA"/>
    <w:rsid w:val="00517765"/>
    <w:rsid w:val="0052165F"/>
    <w:rsid w:val="00521F51"/>
    <w:rsid w:val="00522BA0"/>
    <w:rsid w:val="00523194"/>
    <w:rsid w:val="0052429F"/>
    <w:rsid w:val="005242D6"/>
    <w:rsid w:val="00525002"/>
    <w:rsid w:val="00525441"/>
    <w:rsid w:val="005262E9"/>
    <w:rsid w:val="0052682D"/>
    <w:rsid w:val="00526965"/>
    <w:rsid w:val="00526EEA"/>
    <w:rsid w:val="0052764B"/>
    <w:rsid w:val="005276F2"/>
    <w:rsid w:val="005278A1"/>
    <w:rsid w:val="0053034A"/>
    <w:rsid w:val="00530F16"/>
    <w:rsid w:val="00531841"/>
    <w:rsid w:val="00531FD0"/>
    <w:rsid w:val="005334C6"/>
    <w:rsid w:val="00533634"/>
    <w:rsid w:val="0053392B"/>
    <w:rsid w:val="00533A33"/>
    <w:rsid w:val="005340CD"/>
    <w:rsid w:val="005357E0"/>
    <w:rsid w:val="00535892"/>
    <w:rsid w:val="00536010"/>
    <w:rsid w:val="005360AE"/>
    <w:rsid w:val="005366C2"/>
    <w:rsid w:val="0053678D"/>
    <w:rsid w:val="00536851"/>
    <w:rsid w:val="00536B27"/>
    <w:rsid w:val="00536CD6"/>
    <w:rsid w:val="00537026"/>
    <w:rsid w:val="00540E4F"/>
    <w:rsid w:val="00541114"/>
    <w:rsid w:val="00541DFE"/>
    <w:rsid w:val="00543ABC"/>
    <w:rsid w:val="00544835"/>
    <w:rsid w:val="005457BB"/>
    <w:rsid w:val="00545856"/>
    <w:rsid w:val="00546EAB"/>
    <w:rsid w:val="00546FEE"/>
    <w:rsid w:val="00547219"/>
    <w:rsid w:val="00547620"/>
    <w:rsid w:val="00547872"/>
    <w:rsid w:val="00547891"/>
    <w:rsid w:val="005505FB"/>
    <w:rsid w:val="005514CC"/>
    <w:rsid w:val="005519C8"/>
    <w:rsid w:val="00551A9E"/>
    <w:rsid w:val="00551F41"/>
    <w:rsid w:val="00552075"/>
    <w:rsid w:val="0055240C"/>
    <w:rsid w:val="0055284A"/>
    <w:rsid w:val="00552865"/>
    <w:rsid w:val="005529F8"/>
    <w:rsid w:val="00552FDF"/>
    <w:rsid w:val="00553111"/>
    <w:rsid w:val="00553430"/>
    <w:rsid w:val="0055361A"/>
    <w:rsid w:val="00553853"/>
    <w:rsid w:val="00553BDE"/>
    <w:rsid w:val="005541EE"/>
    <w:rsid w:val="00554281"/>
    <w:rsid w:val="00554A50"/>
    <w:rsid w:val="00554D27"/>
    <w:rsid w:val="00555504"/>
    <w:rsid w:val="0055556C"/>
    <w:rsid w:val="00555642"/>
    <w:rsid w:val="00555CC5"/>
    <w:rsid w:val="00556539"/>
    <w:rsid w:val="005568E1"/>
    <w:rsid w:val="00556A14"/>
    <w:rsid w:val="0055786E"/>
    <w:rsid w:val="00557E28"/>
    <w:rsid w:val="005604D0"/>
    <w:rsid w:val="005605CA"/>
    <w:rsid w:val="0056098B"/>
    <w:rsid w:val="00561469"/>
    <w:rsid w:val="0056147E"/>
    <w:rsid w:val="0056164F"/>
    <w:rsid w:val="00561888"/>
    <w:rsid w:val="005618BE"/>
    <w:rsid w:val="00562181"/>
    <w:rsid w:val="0056234B"/>
    <w:rsid w:val="00562688"/>
    <w:rsid w:val="00562C37"/>
    <w:rsid w:val="00562F3B"/>
    <w:rsid w:val="00563F4C"/>
    <w:rsid w:val="005649C0"/>
    <w:rsid w:val="00565706"/>
    <w:rsid w:val="005657D6"/>
    <w:rsid w:val="00565DC6"/>
    <w:rsid w:val="005666EC"/>
    <w:rsid w:val="00566BE3"/>
    <w:rsid w:val="00566D93"/>
    <w:rsid w:val="005670DA"/>
    <w:rsid w:val="00567367"/>
    <w:rsid w:val="00567C1A"/>
    <w:rsid w:val="005704F3"/>
    <w:rsid w:val="00570769"/>
    <w:rsid w:val="00570FCE"/>
    <w:rsid w:val="00572734"/>
    <w:rsid w:val="00572A5E"/>
    <w:rsid w:val="00572F19"/>
    <w:rsid w:val="00573258"/>
    <w:rsid w:val="00573740"/>
    <w:rsid w:val="00573A23"/>
    <w:rsid w:val="00573E44"/>
    <w:rsid w:val="0057456D"/>
    <w:rsid w:val="0057634F"/>
    <w:rsid w:val="00576421"/>
    <w:rsid w:val="00576722"/>
    <w:rsid w:val="00576784"/>
    <w:rsid w:val="00576BBF"/>
    <w:rsid w:val="005771E2"/>
    <w:rsid w:val="005779AA"/>
    <w:rsid w:val="00581394"/>
    <w:rsid w:val="00581409"/>
    <w:rsid w:val="00581ED1"/>
    <w:rsid w:val="00582046"/>
    <w:rsid w:val="0058291F"/>
    <w:rsid w:val="00583203"/>
    <w:rsid w:val="0058350F"/>
    <w:rsid w:val="00583EFE"/>
    <w:rsid w:val="00584E4D"/>
    <w:rsid w:val="00585261"/>
    <w:rsid w:val="00585541"/>
    <w:rsid w:val="0058576D"/>
    <w:rsid w:val="0058580F"/>
    <w:rsid w:val="00585983"/>
    <w:rsid w:val="00585E02"/>
    <w:rsid w:val="005861D8"/>
    <w:rsid w:val="00586A1D"/>
    <w:rsid w:val="00586B8F"/>
    <w:rsid w:val="00586BFE"/>
    <w:rsid w:val="005878F6"/>
    <w:rsid w:val="00587BF4"/>
    <w:rsid w:val="00587CB3"/>
    <w:rsid w:val="005906E2"/>
    <w:rsid w:val="00591004"/>
    <w:rsid w:val="005910BC"/>
    <w:rsid w:val="005921A3"/>
    <w:rsid w:val="00592A8C"/>
    <w:rsid w:val="005931D5"/>
    <w:rsid w:val="005933BD"/>
    <w:rsid w:val="00593A5A"/>
    <w:rsid w:val="00593D17"/>
    <w:rsid w:val="00593FCB"/>
    <w:rsid w:val="005940E4"/>
    <w:rsid w:val="00595214"/>
    <w:rsid w:val="00595BDC"/>
    <w:rsid w:val="0059604A"/>
    <w:rsid w:val="0059769F"/>
    <w:rsid w:val="00597A46"/>
    <w:rsid w:val="005A1504"/>
    <w:rsid w:val="005A1967"/>
    <w:rsid w:val="005A1A78"/>
    <w:rsid w:val="005A1F51"/>
    <w:rsid w:val="005A2111"/>
    <w:rsid w:val="005A2133"/>
    <w:rsid w:val="005A22ED"/>
    <w:rsid w:val="005A2471"/>
    <w:rsid w:val="005A2FCC"/>
    <w:rsid w:val="005A3A79"/>
    <w:rsid w:val="005A413D"/>
    <w:rsid w:val="005A50CC"/>
    <w:rsid w:val="005A51D1"/>
    <w:rsid w:val="005A5C22"/>
    <w:rsid w:val="005A61C2"/>
    <w:rsid w:val="005A74DD"/>
    <w:rsid w:val="005A7AB9"/>
    <w:rsid w:val="005A7B2B"/>
    <w:rsid w:val="005A7FB1"/>
    <w:rsid w:val="005B0292"/>
    <w:rsid w:val="005B0317"/>
    <w:rsid w:val="005B0642"/>
    <w:rsid w:val="005B066E"/>
    <w:rsid w:val="005B069A"/>
    <w:rsid w:val="005B0B07"/>
    <w:rsid w:val="005B0D63"/>
    <w:rsid w:val="005B1259"/>
    <w:rsid w:val="005B13D8"/>
    <w:rsid w:val="005B1A71"/>
    <w:rsid w:val="005B3C93"/>
    <w:rsid w:val="005B48FC"/>
    <w:rsid w:val="005B4AAD"/>
    <w:rsid w:val="005B590A"/>
    <w:rsid w:val="005B5AD7"/>
    <w:rsid w:val="005B622F"/>
    <w:rsid w:val="005B63A4"/>
    <w:rsid w:val="005B644E"/>
    <w:rsid w:val="005C010B"/>
    <w:rsid w:val="005C03B5"/>
    <w:rsid w:val="005C0AA2"/>
    <w:rsid w:val="005C0D16"/>
    <w:rsid w:val="005C12E7"/>
    <w:rsid w:val="005C1353"/>
    <w:rsid w:val="005C15AD"/>
    <w:rsid w:val="005C2DF9"/>
    <w:rsid w:val="005C3467"/>
    <w:rsid w:val="005C3B80"/>
    <w:rsid w:val="005C469B"/>
    <w:rsid w:val="005C4C80"/>
    <w:rsid w:val="005C4E76"/>
    <w:rsid w:val="005C521F"/>
    <w:rsid w:val="005C5514"/>
    <w:rsid w:val="005C5D6F"/>
    <w:rsid w:val="005D0308"/>
    <w:rsid w:val="005D0620"/>
    <w:rsid w:val="005D0951"/>
    <w:rsid w:val="005D0EFF"/>
    <w:rsid w:val="005D1409"/>
    <w:rsid w:val="005D14E6"/>
    <w:rsid w:val="005D19B3"/>
    <w:rsid w:val="005D1AD8"/>
    <w:rsid w:val="005D2CEF"/>
    <w:rsid w:val="005D2EDC"/>
    <w:rsid w:val="005D3556"/>
    <w:rsid w:val="005D37A4"/>
    <w:rsid w:val="005D3ED8"/>
    <w:rsid w:val="005D458A"/>
    <w:rsid w:val="005D562F"/>
    <w:rsid w:val="005D581B"/>
    <w:rsid w:val="005D5928"/>
    <w:rsid w:val="005D5E60"/>
    <w:rsid w:val="005D5ED9"/>
    <w:rsid w:val="005D6905"/>
    <w:rsid w:val="005D6FE8"/>
    <w:rsid w:val="005D76BD"/>
    <w:rsid w:val="005D78B3"/>
    <w:rsid w:val="005D78E5"/>
    <w:rsid w:val="005E08D9"/>
    <w:rsid w:val="005E1D3F"/>
    <w:rsid w:val="005E2A2B"/>
    <w:rsid w:val="005E3A66"/>
    <w:rsid w:val="005E3D36"/>
    <w:rsid w:val="005E3D8B"/>
    <w:rsid w:val="005E4449"/>
    <w:rsid w:val="005E46F8"/>
    <w:rsid w:val="005E5B09"/>
    <w:rsid w:val="005E63DA"/>
    <w:rsid w:val="005E675E"/>
    <w:rsid w:val="005E756B"/>
    <w:rsid w:val="005E7961"/>
    <w:rsid w:val="005E7CA9"/>
    <w:rsid w:val="005F00AA"/>
    <w:rsid w:val="005F0C9F"/>
    <w:rsid w:val="005F1097"/>
    <w:rsid w:val="005F14E2"/>
    <w:rsid w:val="005F2095"/>
    <w:rsid w:val="005F37D5"/>
    <w:rsid w:val="005F4397"/>
    <w:rsid w:val="005F45B5"/>
    <w:rsid w:val="005F4B1D"/>
    <w:rsid w:val="005F4EA9"/>
    <w:rsid w:val="005F5772"/>
    <w:rsid w:val="005F5909"/>
    <w:rsid w:val="005F5D5F"/>
    <w:rsid w:val="005F5EC5"/>
    <w:rsid w:val="005F6006"/>
    <w:rsid w:val="005F6853"/>
    <w:rsid w:val="005F703E"/>
    <w:rsid w:val="005F7142"/>
    <w:rsid w:val="0060009F"/>
    <w:rsid w:val="006000EA"/>
    <w:rsid w:val="00600295"/>
    <w:rsid w:val="006003DF"/>
    <w:rsid w:val="00600543"/>
    <w:rsid w:val="0060071D"/>
    <w:rsid w:val="0060094F"/>
    <w:rsid w:val="00601878"/>
    <w:rsid w:val="006020A9"/>
    <w:rsid w:val="006027D3"/>
    <w:rsid w:val="00602C37"/>
    <w:rsid w:val="006031B6"/>
    <w:rsid w:val="0060459D"/>
    <w:rsid w:val="00604DBD"/>
    <w:rsid w:val="0060536F"/>
    <w:rsid w:val="00605679"/>
    <w:rsid w:val="00605B61"/>
    <w:rsid w:val="00606235"/>
    <w:rsid w:val="00606443"/>
    <w:rsid w:val="00606672"/>
    <w:rsid w:val="00606C38"/>
    <w:rsid w:val="00606D2D"/>
    <w:rsid w:val="006075E3"/>
    <w:rsid w:val="00607EAB"/>
    <w:rsid w:val="00610041"/>
    <w:rsid w:val="00610EA1"/>
    <w:rsid w:val="00610F99"/>
    <w:rsid w:val="00611F0F"/>
    <w:rsid w:val="00612BAF"/>
    <w:rsid w:val="006133FB"/>
    <w:rsid w:val="006138EA"/>
    <w:rsid w:val="0061390B"/>
    <w:rsid w:val="00614805"/>
    <w:rsid w:val="0061574C"/>
    <w:rsid w:val="006164B2"/>
    <w:rsid w:val="006164F4"/>
    <w:rsid w:val="00617129"/>
    <w:rsid w:val="0061796E"/>
    <w:rsid w:val="006179FC"/>
    <w:rsid w:val="00617D61"/>
    <w:rsid w:val="00617F84"/>
    <w:rsid w:val="006202BF"/>
    <w:rsid w:val="00620373"/>
    <w:rsid w:val="006208DC"/>
    <w:rsid w:val="00621282"/>
    <w:rsid w:val="006225B5"/>
    <w:rsid w:val="0062345D"/>
    <w:rsid w:val="006241BB"/>
    <w:rsid w:val="0062447E"/>
    <w:rsid w:val="00625C5B"/>
    <w:rsid w:val="0062669F"/>
    <w:rsid w:val="00627726"/>
    <w:rsid w:val="00627AC9"/>
    <w:rsid w:val="00627D35"/>
    <w:rsid w:val="00630830"/>
    <w:rsid w:val="00630A7D"/>
    <w:rsid w:val="00631047"/>
    <w:rsid w:val="006315EF"/>
    <w:rsid w:val="00631D69"/>
    <w:rsid w:val="00632867"/>
    <w:rsid w:val="00632F8D"/>
    <w:rsid w:val="006349CC"/>
    <w:rsid w:val="0063701C"/>
    <w:rsid w:val="006370AA"/>
    <w:rsid w:val="00637161"/>
    <w:rsid w:val="00637263"/>
    <w:rsid w:val="00637510"/>
    <w:rsid w:val="00637F7B"/>
    <w:rsid w:val="0064045C"/>
    <w:rsid w:val="00640711"/>
    <w:rsid w:val="00640EE5"/>
    <w:rsid w:val="00641420"/>
    <w:rsid w:val="0064288B"/>
    <w:rsid w:val="006428F3"/>
    <w:rsid w:val="00642AD3"/>
    <w:rsid w:val="00642C59"/>
    <w:rsid w:val="00643C9F"/>
    <w:rsid w:val="006440B6"/>
    <w:rsid w:val="006452D6"/>
    <w:rsid w:val="006455A8"/>
    <w:rsid w:val="00645792"/>
    <w:rsid w:val="00645929"/>
    <w:rsid w:val="00646DB2"/>
    <w:rsid w:val="0064709C"/>
    <w:rsid w:val="0064787A"/>
    <w:rsid w:val="006516E6"/>
    <w:rsid w:val="006529A5"/>
    <w:rsid w:val="006529BA"/>
    <w:rsid w:val="00652CFE"/>
    <w:rsid w:val="006534BB"/>
    <w:rsid w:val="00654CF1"/>
    <w:rsid w:val="00654FD9"/>
    <w:rsid w:val="00655008"/>
    <w:rsid w:val="006554D5"/>
    <w:rsid w:val="00655A27"/>
    <w:rsid w:val="00656DEB"/>
    <w:rsid w:val="00656E48"/>
    <w:rsid w:val="00657CE7"/>
    <w:rsid w:val="00657CF5"/>
    <w:rsid w:val="00660079"/>
    <w:rsid w:val="00660206"/>
    <w:rsid w:val="00660222"/>
    <w:rsid w:val="00660256"/>
    <w:rsid w:val="006604B4"/>
    <w:rsid w:val="00660A13"/>
    <w:rsid w:val="00660CAE"/>
    <w:rsid w:val="00660F6D"/>
    <w:rsid w:val="00661402"/>
    <w:rsid w:val="006619A2"/>
    <w:rsid w:val="006622AD"/>
    <w:rsid w:val="00662594"/>
    <w:rsid w:val="0066274F"/>
    <w:rsid w:val="00663064"/>
    <w:rsid w:val="00663378"/>
    <w:rsid w:val="00663FC3"/>
    <w:rsid w:val="00663FDE"/>
    <w:rsid w:val="006645B5"/>
    <w:rsid w:val="00664C5D"/>
    <w:rsid w:val="00664CFE"/>
    <w:rsid w:val="00665016"/>
    <w:rsid w:val="00666562"/>
    <w:rsid w:val="00666F14"/>
    <w:rsid w:val="00667070"/>
    <w:rsid w:val="006675E3"/>
    <w:rsid w:val="0066765E"/>
    <w:rsid w:val="00667988"/>
    <w:rsid w:val="00667BCC"/>
    <w:rsid w:val="00667C54"/>
    <w:rsid w:val="00670428"/>
    <w:rsid w:val="00670AA8"/>
    <w:rsid w:val="0067113F"/>
    <w:rsid w:val="00671B82"/>
    <w:rsid w:val="00671DF6"/>
    <w:rsid w:val="0067276D"/>
    <w:rsid w:val="00672D2D"/>
    <w:rsid w:val="00672D96"/>
    <w:rsid w:val="00672DB0"/>
    <w:rsid w:val="00673ECD"/>
    <w:rsid w:val="0067436B"/>
    <w:rsid w:val="00674539"/>
    <w:rsid w:val="00675385"/>
    <w:rsid w:val="006760A8"/>
    <w:rsid w:val="00676222"/>
    <w:rsid w:val="006762EC"/>
    <w:rsid w:val="00676B0C"/>
    <w:rsid w:val="00677805"/>
    <w:rsid w:val="00677870"/>
    <w:rsid w:val="0068058D"/>
    <w:rsid w:val="00680980"/>
    <w:rsid w:val="006824A6"/>
    <w:rsid w:val="00682EB9"/>
    <w:rsid w:val="0068335F"/>
    <w:rsid w:val="0068377D"/>
    <w:rsid w:val="00683ACA"/>
    <w:rsid w:val="00683DEC"/>
    <w:rsid w:val="00684306"/>
    <w:rsid w:val="006849EC"/>
    <w:rsid w:val="0068566E"/>
    <w:rsid w:val="006867ED"/>
    <w:rsid w:val="00686D28"/>
    <w:rsid w:val="0068731A"/>
    <w:rsid w:val="00687E4E"/>
    <w:rsid w:val="00690A14"/>
    <w:rsid w:val="006917CB"/>
    <w:rsid w:val="00691E10"/>
    <w:rsid w:val="006928E8"/>
    <w:rsid w:val="00692A54"/>
    <w:rsid w:val="00693207"/>
    <w:rsid w:val="006933D8"/>
    <w:rsid w:val="0069474F"/>
    <w:rsid w:val="00694A08"/>
    <w:rsid w:val="00695243"/>
    <w:rsid w:val="00695FBD"/>
    <w:rsid w:val="0069676F"/>
    <w:rsid w:val="0069795E"/>
    <w:rsid w:val="006A0860"/>
    <w:rsid w:val="006A0A12"/>
    <w:rsid w:val="006A0C6D"/>
    <w:rsid w:val="006A1A29"/>
    <w:rsid w:val="006A239B"/>
    <w:rsid w:val="006A2547"/>
    <w:rsid w:val="006A3186"/>
    <w:rsid w:val="006A3A1F"/>
    <w:rsid w:val="006A3C9B"/>
    <w:rsid w:val="006A48BC"/>
    <w:rsid w:val="006A55B6"/>
    <w:rsid w:val="006A6BE9"/>
    <w:rsid w:val="006A6F0B"/>
    <w:rsid w:val="006A723B"/>
    <w:rsid w:val="006A7312"/>
    <w:rsid w:val="006B0744"/>
    <w:rsid w:val="006B0B3D"/>
    <w:rsid w:val="006B1919"/>
    <w:rsid w:val="006B30A7"/>
    <w:rsid w:val="006B41CA"/>
    <w:rsid w:val="006B4835"/>
    <w:rsid w:val="006B515F"/>
    <w:rsid w:val="006B64ED"/>
    <w:rsid w:val="006B71B1"/>
    <w:rsid w:val="006C0739"/>
    <w:rsid w:val="006C121E"/>
    <w:rsid w:val="006C1552"/>
    <w:rsid w:val="006C19B6"/>
    <w:rsid w:val="006C1E20"/>
    <w:rsid w:val="006C2458"/>
    <w:rsid w:val="006C26CE"/>
    <w:rsid w:val="006C276D"/>
    <w:rsid w:val="006C2931"/>
    <w:rsid w:val="006C3F75"/>
    <w:rsid w:val="006C444C"/>
    <w:rsid w:val="006C485F"/>
    <w:rsid w:val="006C4DCC"/>
    <w:rsid w:val="006C4F73"/>
    <w:rsid w:val="006C51A3"/>
    <w:rsid w:val="006C58DF"/>
    <w:rsid w:val="006C5977"/>
    <w:rsid w:val="006C6379"/>
    <w:rsid w:val="006C6BFF"/>
    <w:rsid w:val="006C70B5"/>
    <w:rsid w:val="006D03DF"/>
    <w:rsid w:val="006D092F"/>
    <w:rsid w:val="006D0EE3"/>
    <w:rsid w:val="006D257D"/>
    <w:rsid w:val="006D2E35"/>
    <w:rsid w:val="006D3754"/>
    <w:rsid w:val="006D3E2B"/>
    <w:rsid w:val="006D405B"/>
    <w:rsid w:val="006D4BB8"/>
    <w:rsid w:val="006D538F"/>
    <w:rsid w:val="006D5B66"/>
    <w:rsid w:val="006D6138"/>
    <w:rsid w:val="006D63FF"/>
    <w:rsid w:val="006D68D7"/>
    <w:rsid w:val="006D6CAE"/>
    <w:rsid w:val="006D74D5"/>
    <w:rsid w:val="006D7BE9"/>
    <w:rsid w:val="006E05CD"/>
    <w:rsid w:val="006E0A37"/>
    <w:rsid w:val="006E0F03"/>
    <w:rsid w:val="006E255C"/>
    <w:rsid w:val="006E25DA"/>
    <w:rsid w:val="006E28F5"/>
    <w:rsid w:val="006E4438"/>
    <w:rsid w:val="006E4CAF"/>
    <w:rsid w:val="006E5135"/>
    <w:rsid w:val="006E5EE1"/>
    <w:rsid w:val="006E675C"/>
    <w:rsid w:val="006E7A42"/>
    <w:rsid w:val="006E7C9D"/>
    <w:rsid w:val="006F015B"/>
    <w:rsid w:val="006F14F5"/>
    <w:rsid w:val="006F1744"/>
    <w:rsid w:val="006F2633"/>
    <w:rsid w:val="006F27A7"/>
    <w:rsid w:val="006F34AD"/>
    <w:rsid w:val="006F3F9C"/>
    <w:rsid w:val="006F56CF"/>
    <w:rsid w:val="006F5757"/>
    <w:rsid w:val="006F588B"/>
    <w:rsid w:val="006F5A59"/>
    <w:rsid w:val="006F5AE4"/>
    <w:rsid w:val="006F5DC4"/>
    <w:rsid w:val="006F609A"/>
    <w:rsid w:val="006F60C4"/>
    <w:rsid w:val="006F6B18"/>
    <w:rsid w:val="006F6CDD"/>
    <w:rsid w:val="006F732F"/>
    <w:rsid w:val="006F75ED"/>
    <w:rsid w:val="006F7EE6"/>
    <w:rsid w:val="00700BEB"/>
    <w:rsid w:val="00700BFC"/>
    <w:rsid w:val="00701D6B"/>
    <w:rsid w:val="00702F4E"/>
    <w:rsid w:val="00703A84"/>
    <w:rsid w:val="00703C8A"/>
    <w:rsid w:val="00704692"/>
    <w:rsid w:val="0070483A"/>
    <w:rsid w:val="0070508F"/>
    <w:rsid w:val="00705279"/>
    <w:rsid w:val="0070634E"/>
    <w:rsid w:val="00706650"/>
    <w:rsid w:val="0070695D"/>
    <w:rsid w:val="00706B31"/>
    <w:rsid w:val="0070762C"/>
    <w:rsid w:val="007079C5"/>
    <w:rsid w:val="00711228"/>
    <w:rsid w:val="0071147A"/>
    <w:rsid w:val="00711B92"/>
    <w:rsid w:val="00711FBB"/>
    <w:rsid w:val="0071237E"/>
    <w:rsid w:val="0071244A"/>
    <w:rsid w:val="00712494"/>
    <w:rsid w:val="00713058"/>
    <w:rsid w:val="00713069"/>
    <w:rsid w:val="00713C08"/>
    <w:rsid w:val="00714467"/>
    <w:rsid w:val="00714511"/>
    <w:rsid w:val="007152DB"/>
    <w:rsid w:val="007152F2"/>
    <w:rsid w:val="00715793"/>
    <w:rsid w:val="00715CCC"/>
    <w:rsid w:val="0071646B"/>
    <w:rsid w:val="0071737A"/>
    <w:rsid w:val="00720996"/>
    <w:rsid w:val="00720EC9"/>
    <w:rsid w:val="00721523"/>
    <w:rsid w:val="00721742"/>
    <w:rsid w:val="007228E5"/>
    <w:rsid w:val="00722D56"/>
    <w:rsid w:val="00723A10"/>
    <w:rsid w:val="00723CBA"/>
    <w:rsid w:val="00724124"/>
    <w:rsid w:val="00724411"/>
    <w:rsid w:val="00724658"/>
    <w:rsid w:val="00724766"/>
    <w:rsid w:val="007248D0"/>
    <w:rsid w:val="0072514A"/>
    <w:rsid w:val="00726142"/>
    <w:rsid w:val="00727A68"/>
    <w:rsid w:val="00727BFF"/>
    <w:rsid w:val="0073040C"/>
    <w:rsid w:val="007307AE"/>
    <w:rsid w:val="00731BC9"/>
    <w:rsid w:val="007321A6"/>
    <w:rsid w:val="00732349"/>
    <w:rsid w:val="00732480"/>
    <w:rsid w:val="0073288F"/>
    <w:rsid w:val="00733B33"/>
    <w:rsid w:val="00734179"/>
    <w:rsid w:val="00734728"/>
    <w:rsid w:val="00734D03"/>
    <w:rsid w:val="00735A2E"/>
    <w:rsid w:val="0073618D"/>
    <w:rsid w:val="007362A5"/>
    <w:rsid w:val="007371F4"/>
    <w:rsid w:val="007375B8"/>
    <w:rsid w:val="00740641"/>
    <w:rsid w:val="00740679"/>
    <w:rsid w:val="0074097B"/>
    <w:rsid w:val="00741426"/>
    <w:rsid w:val="007417AB"/>
    <w:rsid w:val="00741998"/>
    <w:rsid w:val="00741AFA"/>
    <w:rsid w:val="0074235E"/>
    <w:rsid w:val="0074299B"/>
    <w:rsid w:val="00742AC1"/>
    <w:rsid w:val="00742B3F"/>
    <w:rsid w:val="00743114"/>
    <w:rsid w:val="007433F5"/>
    <w:rsid w:val="00743406"/>
    <w:rsid w:val="00743418"/>
    <w:rsid w:val="00743497"/>
    <w:rsid w:val="00744554"/>
    <w:rsid w:val="007448AD"/>
    <w:rsid w:val="007453BE"/>
    <w:rsid w:val="00745B12"/>
    <w:rsid w:val="00745CD9"/>
    <w:rsid w:val="00747083"/>
    <w:rsid w:val="00747D41"/>
    <w:rsid w:val="0075007F"/>
    <w:rsid w:val="00750460"/>
    <w:rsid w:val="00750C0D"/>
    <w:rsid w:val="00750DAE"/>
    <w:rsid w:val="00750E87"/>
    <w:rsid w:val="00751B3C"/>
    <w:rsid w:val="00751D32"/>
    <w:rsid w:val="007529AF"/>
    <w:rsid w:val="00752B5E"/>
    <w:rsid w:val="00752D90"/>
    <w:rsid w:val="00753ED8"/>
    <w:rsid w:val="00754116"/>
    <w:rsid w:val="007541B3"/>
    <w:rsid w:val="00754235"/>
    <w:rsid w:val="00754685"/>
    <w:rsid w:val="007547D1"/>
    <w:rsid w:val="00754D97"/>
    <w:rsid w:val="00755922"/>
    <w:rsid w:val="00755E1B"/>
    <w:rsid w:val="00757088"/>
    <w:rsid w:val="00757667"/>
    <w:rsid w:val="00757985"/>
    <w:rsid w:val="00757E19"/>
    <w:rsid w:val="0076000E"/>
    <w:rsid w:val="00760546"/>
    <w:rsid w:val="00761490"/>
    <w:rsid w:val="007618B1"/>
    <w:rsid w:val="00761C27"/>
    <w:rsid w:val="00762DC8"/>
    <w:rsid w:val="007634DD"/>
    <w:rsid w:val="007635CF"/>
    <w:rsid w:val="00763CB1"/>
    <w:rsid w:val="00765D4C"/>
    <w:rsid w:val="0076632D"/>
    <w:rsid w:val="00766576"/>
    <w:rsid w:val="0076719D"/>
    <w:rsid w:val="0076744B"/>
    <w:rsid w:val="00767E8A"/>
    <w:rsid w:val="007700A3"/>
    <w:rsid w:val="00771A66"/>
    <w:rsid w:val="00773122"/>
    <w:rsid w:val="00773EE6"/>
    <w:rsid w:val="00774128"/>
    <w:rsid w:val="007742B5"/>
    <w:rsid w:val="00775707"/>
    <w:rsid w:val="00775AFD"/>
    <w:rsid w:val="007763AF"/>
    <w:rsid w:val="00776D36"/>
    <w:rsid w:val="007776A5"/>
    <w:rsid w:val="00777D2D"/>
    <w:rsid w:val="00777E66"/>
    <w:rsid w:val="0078043C"/>
    <w:rsid w:val="0078113C"/>
    <w:rsid w:val="0078237B"/>
    <w:rsid w:val="007826D6"/>
    <w:rsid w:val="00782774"/>
    <w:rsid w:val="00783B04"/>
    <w:rsid w:val="0078447F"/>
    <w:rsid w:val="00785009"/>
    <w:rsid w:val="00785226"/>
    <w:rsid w:val="0078563F"/>
    <w:rsid w:val="00787881"/>
    <w:rsid w:val="00787CC9"/>
    <w:rsid w:val="00790268"/>
    <w:rsid w:val="007903E2"/>
    <w:rsid w:val="007904CB"/>
    <w:rsid w:val="00790D9C"/>
    <w:rsid w:val="007913BF"/>
    <w:rsid w:val="0079152F"/>
    <w:rsid w:val="00792206"/>
    <w:rsid w:val="007925FF"/>
    <w:rsid w:val="00793493"/>
    <w:rsid w:val="00793C6B"/>
    <w:rsid w:val="00793D02"/>
    <w:rsid w:val="00793DC9"/>
    <w:rsid w:val="00794741"/>
    <w:rsid w:val="0079496C"/>
    <w:rsid w:val="00794CC5"/>
    <w:rsid w:val="007954BE"/>
    <w:rsid w:val="00795696"/>
    <w:rsid w:val="00795C56"/>
    <w:rsid w:val="00795C66"/>
    <w:rsid w:val="00797523"/>
    <w:rsid w:val="007A09C6"/>
    <w:rsid w:val="007A09FF"/>
    <w:rsid w:val="007A14EB"/>
    <w:rsid w:val="007A162E"/>
    <w:rsid w:val="007A16A0"/>
    <w:rsid w:val="007A223F"/>
    <w:rsid w:val="007A43D8"/>
    <w:rsid w:val="007A4742"/>
    <w:rsid w:val="007A4990"/>
    <w:rsid w:val="007A4B2A"/>
    <w:rsid w:val="007A5091"/>
    <w:rsid w:val="007A5869"/>
    <w:rsid w:val="007A5B8A"/>
    <w:rsid w:val="007A5C0F"/>
    <w:rsid w:val="007A5D7A"/>
    <w:rsid w:val="007A626A"/>
    <w:rsid w:val="007A6929"/>
    <w:rsid w:val="007A70BC"/>
    <w:rsid w:val="007A7B71"/>
    <w:rsid w:val="007A7C09"/>
    <w:rsid w:val="007B0206"/>
    <w:rsid w:val="007B0CF8"/>
    <w:rsid w:val="007B0FD0"/>
    <w:rsid w:val="007B2BBA"/>
    <w:rsid w:val="007B2D0F"/>
    <w:rsid w:val="007B3003"/>
    <w:rsid w:val="007B30F8"/>
    <w:rsid w:val="007B3232"/>
    <w:rsid w:val="007B36D9"/>
    <w:rsid w:val="007B3C81"/>
    <w:rsid w:val="007B3CA8"/>
    <w:rsid w:val="007B3FDC"/>
    <w:rsid w:val="007B451A"/>
    <w:rsid w:val="007B6C21"/>
    <w:rsid w:val="007B6C7F"/>
    <w:rsid w:val="007B70FE"/>
    <w:rsid w:val="007B72F4"/>
    <w:rsid w:val="007B7408"/>
    <w:rsid w:val="007B7B05"/>
    <w:rsid w:val="007B7E00"/>
    <w:rsid w:val="007C00A3"/>
    <w:rsid w:val="007C1013"/>
    <w:rsid w:val="007C103D"/>
    <w:rsid w:val="007C1A87"/>
    <w:rsid w:val="007C1C9D"/>
    <w:rsid w:val="007C2953"/>
    <w:rsid w:val="007C2976"/>
    <w:rsid w:val="007C2F0A"/>
    <w:rsid w:val="007C3012"/>
    <w:rsid w:val="007C4829"/>
    <w:rsid w:val="007C5BDD"/>
    <w:rsid w:val="007C5C5D"/>
    <w:rsid w:val="007C66E2"/>
    <w:rsid w:val="007C6FA5"/>
    <w:rsid w:val="007C782B"/>
    <w:rsid w:val="007C7A41"/>
    <w:rsid w:val="007C7BB2"/>
    <w:rsid w:val="007D0973"/>
    <w:rsid w:val="007D0D31"/>
    <w:rsid w:val="007D1BA4"/>
    <w:rsid w:val="007D1ED0"/>
    <w:rsid w:val="007D1F78"/>
    <w:rsid w:val="007D20D1"/>
    <w:rsid w:val="007D252A"/>
    <w:rsid w:val="007D30AE"/>
    <w:rsid w:val="007D4647"/>
    <w:rsid w:val="007D4897"/>
    <w:rsid w:val="007D4898"/>
    <w:rsid w:val="007D4D9F"/>
    <w:rsid w:val="007D4F68"/>
    <w:rsid w:val="007D6751"/>
    <w:rsid w:val="007D6EC3"/>
    <w:rsid w:val="007D7A86"/>
    <w:rsid w:val="007D7AB4"/>
    <w:rsid w:val="007D7F0E"/>
    <w:rsid w:val="007E01B6"/>
    <w:rsid w:val="007E04AA"/>
    <w:rsid w:val="007E12AF"/>
    <w:rsid w:val="007E1F48"/>
    <w:rsid w:val="007E21EF"/>
    <w:rsid w:val="007E24E9"/>
    <w:rsid w:val="007E35A0"/>
    <w:rsid w:val="007E399D"/>
    <w:rsid w:val="007E3BF4"/>
    <w:rsid w:val="007E3DE3"/>
    <w:rsid w:val="007E3F57"/>
    <w:rsid w:val="007E45C2"/>
    <w:rsid w:val="007E4621"/>
    <w:rsid w:val="007E5162"/>
    <w:rsid w:val="007E5270"/>
    <w:rsid w:val="007E559E"/>
    <w:rsid w:val="007E5E6F"/>
    <w:rsid w:val="007E631B"/>
    <w:rsid w:val="007E641B"/>
    <w:rsid w:val="007E6F10"/>
    <w:rsid w:val="007E77FD"/>
    <w:rsid w:val="007E7836"/>
    <w:rsid w:val="007F1685"/>
    <w:rsid w:val="007F172C"/>
    <w:rsid w:val="007F1874"/>
    <w:rsid w:val="007F201F"/>
    <w:rsid w:val="007F2458"/>
    <w:rsid w:val="007F2842"/>
    <w:rsid w:val="007F294C"/>
    <w:rsid w:val="007F2BEF"/>
    <w:rsid w:val="007F3335"/>
    <w:rsid w:val="007F43D2"/>
    <w:rsid w:val="007F461A"/>
    <w:rsid w:val="007F4A07"/>
    <w:rsid w:val="007F4D87"/>
    <w:rsid w:val="007F4EA5"/>
    <w:rsid w:val="007F501C"/>
    <w:rsid w:val="007F52B8"/>
    <w:rsid w:val="007F68D8"/>
    <w:rsid w:val="007F695F"/>
    <w:rsid w:val="007F700F"/>
    <w:rsid w:val="007F734C"/>
    <w:rsid w:val="007F73D6"/>
    <w:rsid w:val="007F7B39"/>
    <w:rsid w:val="00800354"/>
    <w:rsid w:val="00800497"/>
    <w:rsid w:val="008006A2"/>
    <w:rsid w:val="008009C1"/>
    <w:rsid w:val="00801599"/>
    <w:rsid w:val="0080168F"/>
    <w:rsid w:val="00801938"/>
    <w:rsid w:val="00801B9F"/>
    <w:rsid w:val="00801BF2"/>
    <w:rsid w:val="00801BF4"/>
    <w:rsid w:val="00801CF0"/>
    <w:rsid w:val="00802E05"/>
    <w:rsid w:val="0080300E"/>
    <w:rsid w:val="00803340"/>
    <w:rsid w:val="008034CE"/>
    <w:rsid w:val="008034E2"/>
    <w:rsid w:val="00804660"/>
    <w:rsid w:val="0080561B"/>
    <w:rsid w:val="00806177"/>
    <w:rsid w:val="00806546"/>
    <w:rsid w:val="00806963"/>
    <w:rsid w:val="0080696B"/>
    <w:rsid w:val="00806A0D"/>
    <w:rsid w:val="00806C38"/>
    <w:rsid w:val="00806F83"/>
    <w:rsid w:val="00807802"/>
    <w:rsid w:val="00807B07"/>
    <w:rsid w:val="0081025D"/>
    <w:rsid w:val="0081034C"/>
    <w:rsid w:val="00811D35"/>
    <w:rsid w:val="00811F2B"/>
    <w:rsid w:val="00812379"/>
    <w:rsid w:val="008123BE"/>
    <w:rsid w:val="00812FCD"/>
    <w:rsid w:val="00813FA4"/>
    <w:rsid w:val="00814BE4"/>
    <w:rsid w:val="00815389"/>
    <w:rsid w:val="00815A34"/>
    <w:rsid w:val="0082033A"/>
    <w:rsid w:val="008206D3"/>
    <w:rsid w:val="008207B7"/>
    <w:rsid w:val="00821A89"/>
    <w:rsid w:val="00822D48"/>
    <w:rsid w:val="008233F3"/>
    <w:rsid w:val="00824470"/>
    <w:rsid w:val="00824515"/>
    <w:rsid w:val="008266A2"/>
    <w:rsid w:val="00826C86"/>
    <w:rsid w:val="008275F8"/>
    <w:rsid w:val="008277E0"/>
    <w:rsid w:val="00827897"/>
    <w:rsid w:val="00827977"/>
    <w:rsid w:val="008279F0"/>
    <w:rsid w:val="0083040A"/>
    <w:rsid w:val="0083084F"/>
    <w:rsid w:val="008309B6"/>
    <w:rsid w:val="008314F3"/>
    <w:rsid w:val="00831DD3"/>
    <w:rsid w:val="00831FE7"/>
    <w:rsid w:val="008321F8"/>
    <w:rsid w:val="0083256F"/>
    <w:rsid w:val="00832B32"/>
    <w:rsid w:val="00832E6C"/>
    <w:rsid w:val="008334B1"/>
    <w:rsid w:val="00833D13"/>
    <w:rsid w:val="00834673"/>
    <w:rsid w:val="008346A1"/>
    <w:rsid w:val="00834AC7"/>
    <w:rsid w:val="008360F5"/>
    <w:rsid w:val="008361FF"/>
    <w:rsid w:val="00836D12"/>
    <w:rsid w:val="00837BDD"/>
    <w:rsid w:val="00840E11"/>
    <w:rsid w:val="008412F4"/>
    <w:rsid w:val="0084209E"/>
    <w:rsid w:val="008426B8"/>
    <w:rsid w:val="00842F47"/>
    <w:rsid w:val="008434DF"/>
    <w:rsid w:val="00843B74"/>
    <w:rsid w:val="008444AE"/>
    <w:rsid w:val="00844B44"/>
    <w:rsid w:val="00845806"/>
    <w:rsid w:val="00845FC1"/>
    <w:rsid w:val="00846DDD"/>
    <w:rsid w:val="008477D9"/>
    <w:rsid w:val="008504A0"/>
    <w:rsid w:val="008505E8"/>
    <w:rsid w:val="00850AE0"/>
    <w:rsid w:val="00850DC7"/>
    <w:rsid w:val="0085129E"/>
    <w:rsid w:val="008519CF"/>
    <w:rsid w:val="00851EF1"/>
    <w:rsid w:val="00854002"/>
    <w:rsid w:val="00854B75"/>
    <w:rsid w:val="00854F25"/>
    <w:rsid w:val="00855AF2"/>
    <w:rsid w:val="00855F18"/>
    <w:rsid w:val="008560F3"/>
    <w:rsid w:val="00856660"/>
    <w:rsid w:val="00860D5B"/>
    <w:rsid w:val="0086161D"/>
    <w:rsid w:val="00861E3C"/>
    <w:rsid w:val="00863175"/>
    <w:rsid w:val="00863704"/>
    <w:rsid w:val="008637C0"/>
    <w:rsid w:val="00863874"/>
    <w:rsid w:val="0086427F"/>
    <w:rsid w:val="0086529D"/>
    <w:rsid w:val="00865B77"/>
    <w:rsid w:val="0086649C"/>
    <w:rsid w:val="008668A3"/>
    <w:rsid w:val="00866A71"/>
    <w:rsid w:val="00866C13"/>
    <w:rsid w:val="008670F6"/>
    <w:rsid w:val="00867D38"/>
    <w:rsid w:val="00867E09"/>
    <w:rsid w:val="00867EB0"/>
    <w:rsid w:val="008731DE"/>
    <w:rsid w:val="008737D4"/>
    <w:rsid w:val="00873A91"/>
    <w:rsid w:val="008741A3"/>
    <w:rsid w:val="00874602"/>
    <w:rsid w:val="00876458"/>
    <w:rsid w:val="00876805"/>
    <w:rsid w:val="00877121"/>
    <w:rsid w:val="008771E7"/>
    <w:rsid w:val="00877750"/>
    <w:rsid w:val="00877894"/>
    <w:rsid w:val="00877C7E"/>
    <w:rsid w:val="008800BE"/>
    <w:rsid w:val="0088042C"/>
    <w:rsid w:val="00881505"/>
    <w:rsid w:val="0088220A"/>
    <w:rsid w:val="008822B8"/>
    <w:rsid w:val="008825AB"/>
    <w:rsid w:val="00882706"/>
    <w:rsid w:val="00882803"/>
    <w:rsid w:val="008828C2"/>
    <w:rsid w:val="00883CD1"/>
    <w:rsid w:val="008840E8"/>
    <w:rsid w:val="0088434E"/>
    <w:rsid w:val="008845F2"/>
    <w:rsid w:val="008846E4"/>
    <w:rsid w:val="00884B44"/>
    <w:rsid w:val="008856F3"/>
    <w:rsid w:val="008868DD"/>
    <w:rsid w:val="0088699A"/>
    <w:rsid w:val="008902EE"/>
    <w:rsid w:val="008906E0"/>
    <w:rsid w:val="00890918"/>
    <w:rsid w:val="00890D87"/>
    <w:rsid w:val="00890FA1"/>
    <w:rsid w:val="00891B01"/>
    <w:rsid w:val="00892230"/>
    <w:rsid w:val="0089256F"/>
    <w:rsid w:val="008935CF"/>
    <w:rsid w:val="00894026"/>
    <w:rsid w:val="00894099"/>
    <w:rsid w:val="00894329"/>
    <w:rsid w:val="00894463"/>
    <w:rsid w:val="00894CA6"/>
    <w:rsid w:val="00894D27"/>
    <w:rsid w:val="008954CD"/>
    <w:rsid w:val="00896E9A"/>
    <w:rsid w:val="008975B5"/>
    <w:rsid w:val="0089779A"/>
    <w:rsid w:val="008979D0"/>
    <w:rsid w:val="008A045F"/>
    <w:rsid w:val="008A135A"/>
    <w:rsid w:val="008A1A86"/>
    <w:rsid w:val="008A23D7"/>
    <w:rsid w:val="008A275E"/>
    <w:rsid w:val="008A2BA7"/>
    <w:rsid w:val="008A2C1D"/>
    <w:rsid w:val="008A2DE4"/>
    <w:rsid w:val="008A41C8"/>
    <w:rsid w:val="008A4299"/>
    <w:rsid w:val="008A4C87"/>
    <w:rsid w:val="008A4CCA"/>
    <w:rsid w:val="008A5663"/>
    <w:rsid w:val="008A5A1F"/>
    <w:rsid w:val="008A5F9E"/>
    <w:rsid w:val="008A5FC4"/>
    <w:rsid w:val="008A6247"/>
    <w:rsid w:val="008A6569"/>
    <w:rsid w:val="008A6712"/>
    <w:rsid w:val="008A688B"/>
    <w:rsid w:val="008A6E6B"/>
    <w:rsid w:val="008A726B"/>
    <w:rsid w:val="008A7886"/>
    <w:rsid w:val="008B0F3B"/>
    <w:rsid w:val="008B2DFA"/>
    <w:rsid w:val="008B5061"/>
    <w:rsid w:val="008B5201"/>
    <w:rsid w:val="008B5292"/>
    <w:rsid w:val="008B5AC6"/>
    <w:rsid w:val="008B5AE4"/>
    <w:rsid w:val="008B64C6"/>
    <w:rsid w:val="008B663D"/>
    <w:rsid w:val="008C07E2"/>
    <w:rsid w:val="008C0EDA"/>
    <w:rsid w:val="008C0F5E"/>
    <w:rsid w:val="008C19EF"/>
    <w:rsid w:val="008C1DA4"/>
    <w:rsid w:val="008C1E44"/>
    <w:rsid w:val="008C2565"/>
    <w:rsid w:val="008C2FF8"/>
    <w:rsid w:val="008C328F"/>
    <w:rsid w:val="008C4962"/>
    <w:rsid w:val="008C4FF2"/>
    <w:rsid w:val="008C5640"/>
    <w:rsid w:val="008C6265"/>
    <w:rsid w:val="008C6446"/>
    <w:rsid w:val="008C6B08"/>
    <w:rsid w:val="008C71A2"/>
    <w:rsid w:val="008C7365"/>
    <w:rsid w:val="008C7EB6"/>
    <w:rsid w:val="008D04C8"/>
    <w:rsid w:val="008D0A94"/>
    <w:rsid w:val="008D2EF7"/>
    <w:rsid w:val="008D3C32"/>
    <w:rsid w:val="008D4561"/>
    <w:rsid w:val="008D5429"/>
    <w:rsid w:val="008D555A"/>
    <w:rsid w:val="008D5CD2"/>
    <w:rsid w:val="008D6C13"/>
    <w:rsid w:val="008D734D"/>
    <w:rsid w:val="008E0426"/>
    <w:rsid w:val="008E05E9"/>
    <w:rsid w:val="008E093E"/>
    <w:rsid w:val="008E178D"/>
    <w:rsid w:val="008E1DF3"/>
    <w:rsid w:val="008E2B93"/>
    <w:rsid w:val="008E349E"/>
    <w:rsid w:val="008E3784"/>
    <w:rsid w:val="008E3BC4"/>
    <w:rsid w:val="008E4011"/>
    <w:rsid w:val="008E54A3"/>
    <w:rsid w:val="008E5B3A"/>
    <w:rsid w:val="008E5D83"/>
    <w:rsid w:val="008E5FE3"/>
    <w:rsid w:val="008E6714"/>
    <w:rsid w:val="008E681B"/>
    <w:rsid w:val="008E6924"/>
    <w:rsid w:val="008E698A"/>
    <w:rsid w:val="008E700A"/>
    <w:rsid w:val="008E7135"/>
    <w:rsid w:val="008E738B"/>
    <w:rsid w:val="008E777C"/>
    <w:rsid w:val="008F00F0"/>
    <w:rsid w:val="008F0466"/>
    <w:rsid w:val="008F1751"/>
    <w:rsid w:val="008F17A4"/>
    <w:rsid w:val="008F1D8A"/>
    <w:rsid w:val="008F202E"/>
    <w:rsid w:val="008F23A9"/>
    <w:rsid w:val="008F24C3"/>
    <w:rsid w:val="008F2563"/>
    <w:rsid w:val="008F3090"/>
    <w:rsid w:val="008F3116"/>
    <w:rsid w:val="008F3A2E"/>
    <w:rsid w:val="008F3A84"/>
    <w:rsid w:val="008F41FD"/>
    <w:rsid w:val="008F4BC3"/>
    <w:rsid w:val="008F4E96"/>
    <w:rsid w:val="008F56C8"/>
    <w:rsid w:val="008F769E"/>
    <w:rsid w:val="008F79D5"/>
    <w:rsid w:val="009007B9"/>
    <w:rsid w:val="009011CC"/>
    <w:rsid w:val="00901F5A"/>
    <w:rsid w:val="0090275E"/>
    <w:rsid w:val="009027A7"/>
    <w:rsid w:val="0090298D"/>
    <w:rsid w:val="00903209"/>
    <w:rsid w:val="00903332"/>
    <w:rsid w:val="00903489"/>
    <w:rsid w:val="00903EA8"/>
    <w:rsid w:val="00903F2C"/>
    <w:rsid w:val="009048E6"/>
    <w:rsid w:val="009052A7"/>
    <w:rsid w:val="009056F4"/>
    <w:rsid w:val="00905857"/>
    <w:rsid w:val="00905C1A"/>
    <w:rsid w:val="009062A7"/>
    <w:rsid w:val="00906502"/>
    <w:rsid w:val="0090797B"/>
    <w:rsid w:val="009079E8"/>
    <w:rsid w:val="00907B8F"/>
    <w:rsid w:val="0091032C"/>
    <w:rsid w:val="00910CF3"/>
    <w:rsid w:val="00911334"/>
    <w:rsid w:val="00911D68"/>
    <w:rsid w:val="00912146"/>
    <w:rsid w:val="00912607"/>
    <w:rsid w:val="00912F44"/>
    <w:rsid w:val="00912FE6"/>
    <w:rsid w:val="009133C2"/>
    <w:rsid w:val="00913A28"/>
    <w:rsid w:val="00913FE5"/>
    <w:rsid w:val="0091401C"/>
    <w:rsid w:val="00914A7F"/>
    <w:rsid w:val="00914DE7"/>
    <w:rsid w:val="009153B8"/>
    <w:rsid w:val="00915826"/>
    <w:rsid w:val="00915AAF"/>
    <w:rsid w:val="00915DCA"/>
    <w:rsid w:val="009161F8"/>
    <w:rsid w:val="00916462"/>
    <w:rsid w:val="009166DF"/>
    <w:rsid w:val="009178D5"/>
    <w:rsid w:val="00917F43"/>
    <w:rsid w:val="009213C8"/>
    <w:rsid w:val="0092185E"/>
    <w:rsid w:val="00921D74"/>
    <w:rsid w:val="00921E6E"/>
    <w:rsid w:val="009222C4"/>
    <w:rsid w:val="00922601"/>
    <w:rsid w:val="00922DC0"/>
    <w:rsid w:val="009230B9"/>
    <w:rsid w:val="00923247"/>
    <w:rsid w:val="009232A0"/>
    <w:rsid w:val="009241F7"/>
    <w:rsid w:val="00924705"/>
    <w:rsid w:val="009251BB"/>
    <w:rsid w:val="00925453"/>
    <w:rsid w:val="009257A9"/>
    <w:rsid w:val="00925898"/>
    <w:rsid w:val="00926119"/>
    <w:rsid w:val="00926CDC"/>
    <w:rsid w:val="00930CDF"/>
    <w:rsid w:val="00931636"/>
    <w:rsid w:val="009321FC"/>
    <w:rsid w:val="00932524"/>
    <w:rsid w:val="00932ABF"/>
    <w:rsid w:val="00932B79"/>
    <w:rsid w:val="00932D51"/>
    <w:rsid w:val="00933461"/>
    <w:rsid w:val="00934E3E"/>
    <w:rsid w:val="00935223"/>
    <w:rsid w:val="00935738"/>
    <w:rsid w:val="009366AF"/>
    <w:rsid w:val="009367DA"/>
    <w:rsid w:val="00936B27"/>
    <w:rsid w:val="00936CD6"/>
    <w:rsid w:val="0094033C"/>
    <w:rsid w:val="009405EE"/>
    <w:rsid w:val="0094143D"/>
    <w:rsid w:val="00942B94"/>
    <w:rsid w:val="00943227"/>
    <w:rsid w:val="009436A5"/>
    <w:rsid w:val="009439F5"/>
    <w:rsid w:val="009447AE"/>
    <w:rsid w:val="009448B0"/>
    <w:rsid w:val="00944AB0"/>
    <w:rsid w:val="009457BD"/>
    <w:rsid w:val="00945E33"/>
    <w:rsid w:val="009462B0"/>
    <w:rsid w:val="00946AB7"/>
    <w:rsid w:val="009504E8"/>
    <w:rsid w:val="00950909"/>
    <w:rsid w:val="00950CF0"/>
    <w:rsid w:val="00950EB2"/>
    <w:rsid w:val="009516AE"/>
    <w:rsid w:val="009524D2"/>
    <w:rsid w:val="00952DDB"/>
    <w:rsid w:val="00953DF6"/>
    <w:rsid w:val="0095424F"/>
    <w:rsid w:val="00954E51"/>
    <w:rsid w:val="009558F5"/>
    <w:rsid w:val="0095616F"/>
    <w:rsid w:val="00956926"/>
    <w:rsid w:val="00956E02"/>
    <w:rsid w:val="009576F6"/>
    <w:rsid w:val="0095795F"/>
    <w:rsid w:val="00957C3F"/>
    <w:rsid w:val="00957C81"/>
    <w:rsid w:val="009606E5"/>
    <w:rsid w:val="0096086D"/>
    <w:rsid w:val="009613C1"/>
    <w:rsid w:val="00961D35"/>
    <w:rsid w:val="009622CD"/>
    <w:rsid w:val="009624EF"/>
    <w:rsid w:val="0096291F"/>
    <w:rsid w:val="00963640"/>
    <w:rsid w:val="00965F4F"/>
    <w:rsid w:val="00966C35"/>
    <w:rsid w:val="00967A10"/>
    <w:rsid w:val="009704C4"/>
    <w:rsid w:val="0097080C"/>
    <w:rsid w:val="0097256E"/>
    <w:rsid w:val="009744C8"/>
    <w:rsid w:val="00974C74"/>
    <w:rsid w:val="009757C4"/>
    <w:rsid w:val="00975EDB"/>
    <w:rsid w:val="00975F79"/>
    <w:rsid w:val="00975FF9"/>
    <w:rsid w:val="009769CD"/>
    <w:rsid w:val="00976D6C"/>
    <w:rsid w:val="009770DF"/>
    <w:rsid w:val="00977631"/>
    <w:rsid w:val="00977A1B"/>
    <w:rsid w:val="00977C55"/>
    <w:rsid w:val="00977DD5"/>
    <w:rsid w:val="009807B6"/>
    <w:rsid w:val="00980A4B"/>
    <w:rsid w:val="00980A92"/>
    <w:rsid w:val="00980D67"/>
    <w:rsid w:val="00980DFB"/>
    <w:rsid w:val="00981C34"/>
    <w:rsid w:val="00982316"/>
    <w:rsid w:val="00982AB6"/>
    <w:rsid w:val="00982AFF"/>
    <w:rsid w:val="00982E00"/>
    <w:rsid w:val="00983ADD"/>
    <w:rsid w:val="00984520"/>
    <w:rsid w:val="0098554D"/>
    <w:rsid w:val="00985AA5"/>
    <w:rsid w:val="009860E9"/>
    <w:rsid w:val="0098657C"/>
    <w:rsid w:val="009869C9"/>
    <w:rsid w:val="00987B2F"/>
    <w:rsid w:val="00990C67"/>
    <w:rsid w:val="00991019"/>
    <w:rsid w:val="00991599"/>
    <w:rsid w:val="00991A25"/>
    <w:rsid w:val="00992BF5"/>
    <w:rsid w:val="00992DD1"/>
    <w:rsid w:val="0099313B"/>
    <w:rsid w:val="00993247"/>
    <w:rsid w:val="00994974"/>
    <w:rsid w:val="00994C08"/>
    <w:rsid w:val="00994D92"/>
    <w:rsid w:val="00995309"/>
    <w:rsid w:val="00995314"/>
    <w:rsid w:val="0099539A"/>
    <w:rsid w:val="00995756"/>
    <w:rsid w:val="009957AE"/>
    <w:rsid w:val="00995BE7"/>
    <w:rsid w:val="00995C8F"/>
    <w:rsid w:val="0099677B"/>
    <w:rsid w:val="009969C6"/>
    <w:rsid w:val="00997443"/>
    <w:rsid w:val="009A0772"/>
    <w:rsid w:val="009A07A6"/>
    <w:rsid w:val="009A1980"/>
    <w:rsid w:val="009A263F"/>
    <w:rsid w:val="009A2ADC"/>
    <w:rsid w:val="009A49FC"/>
    <w:rsid w:val="009A502E"/>
    <w:rsid w:val="009A7046"/>
    <w:rsid w:val="009A742F"/>
    <w:rsid w:val="009A77CE"/>
    <w:rsid w:val="009A7DB5"/>
    <w:rsid w:val="009A7EFC"/>
    <w:rsid w:val="009B0C0D"/>
    <w:rsid w:val="009B219B"/>
    <w:rsid w:val="009B27D9"/>
    <w:rsid w:val="009B32C8"/>
    <w:rsid w:val="009B3DEC"/>
    <w:rsid w:val="009B3FF1"/>
    <w:rsid w:val="009B4A31"/>
    <w:rsid w:val="009B50D4"/>
    <w:rsid w:val="009B57D5"/>
    <w:rsid w:val="009B5F6A"/>
    <w:rsid w:val="009B7683"/>
    <w:rsid w:val="009C00A7"/>
    <w:rsid w:val="009C038D"/>
    <w:rsid w:val="009C0458"/>
    <w:rsid w:val="009C06F9"/>
    <w:rsid w:val="009C096E"/>
    <w:rsid w:val="009C12BD"/>
    <w:rsid w:val="009C1549"/>
    <w:rsid w:val="009C1A87"/>
    <w:rsid w:val="009C1F11"/>
    <w:rsid w:val="009C2270"/>
    <w:rsid w:val="009C2553"/>
    <w:rsid w:val="009C327E"/>
    <w:rsid w:val="009C3294"/>
    <w:rsid w:val="009C455B"/>
    <w:rsid w:val="009C48ED"/>
    <w:rsid w:val="009C4BC7"/>
    <w:rsid w:val="009C4BFE"/>
    <w:rsid w:val="009C5C41"/>
    <w:rsid w:val="009C615C"/>
    <w:rsid w:val="009C637F"/>
    <w:rsid w:val="009C63BB"/>
    <w:rsid w:val="009C69CC"/>
    <w:rsid w:val="009C6C5C"/>
    <w:rsid w:val="009C73A1"/>
    <w:rsid w:val="009C7687"/>
    <w:rsid w:val="009C799A"/>
    <w:rsid w:val="009C7D05"/>
    <w:rsid w:val="009C7FC4"/>
    <w:rsid w:val="009D0F77"/>
    <w:rsid w:val="009D1122"/>
    <w:rsid w:val="009D1195"/>
    <w:rsid w:val="009D14C8"/>
    <w:rsid w:val="009D1816"/>
    <w:rsid w:val="009D1CF5"/>
    <w:rsid w:val="009D1EC0"/>
    <w:rsid w:val="009D21C1"/>
    <w:rsid w:val="009D2B76"/>
    <w:rsid w:val="009D31EF"/>
    <w:rsid w:val="009D40C5"/>
    <w:rsid w:val="009D4257"/>
    <w:rsid w:val="009D43D2"/>
    <w:rsid w:val="009D5200"/>
    <w:rsid w:val="009D611E"/>
    <w:rsid w:val="009D7221"/>
    <w:rsid w:val="009D74F1"/>
    <w:rsid w:val="009D75C7"/>
    <w:rsid w:val="009D79C0"/>
    <w:rsid w:val="009D7D1B"/>
    <w:rsid w:val="009D7EA8"/>
    <w:rsid w:val="009E1E87"/>
    <w:rsid w:val="009E24DD"/>
    <w:rsid w:val="009E262F"/>
    <w:rsid w:val="009E37E6"/>
    <w:rsid w:val="009E3892"/>
    <w:rsid w:val="009E4C4D"/>
    <w:rsid w:val="009E4FE6"/>
    <w:rsid w:val="009E5045"/>
    <w:rsid w:val="009E62F1"/>
    <w:rsid w:val="009E6F37"/>
    <w:rsid w:val="009E7988"/>
    <w:rsid w:val="009F002D"/>
    <w:rsid w:val="009F095B"/>
    <w:rsid w:val="009F0A93"/>
    <w:rsid w:val="009F1735"/>
    <w:rsid w:val="009F1D8A"/>
    <w:rsid w:val="009F2E6D"/>
    <w:rsid w:val="009F33BC"/>
    <w:rsid w:val="009F37A7"/>
    <w:rsid w:val="009F3E0C"/>
    <w:rsid w:val="009F3F49"/>
    <w:rsid w:val="009F4222"/>
    <w:rsid w:val="009F4E28"/>
    <w:rsid w:val="009F4EBB"/>
    <w:rsid w:val="009F5369"/>
    <w:rsid w:val="009F5663"/>
    <w:rsid w:val="009F5D01"/>
    <w:rsid w:val="009F5F58"/>
    <w:rsid w:val="009F6299"/>
    <w:rsid w:val="009F6305"/>
    <w:rsid w:val="009F6CC4"/>
    <w:rsid w:val="009F6D81"/>
    <w:rsid w:val="009F762E"/>
    <w:rsid w:val="00A00909"/>
    <w:rsid w:val="00A01013"/>
    <w:rsid w:val="00A0161F"/>
    <w:rsid w:val="00A0211C"/>
    <w:rsid w:val="00A02144"/>
    <w:rsid w:val="00A0215F"/>
    <w:rsid w:val="00A021EA"/>
    <w:rsid w:val="00A0315C"/>
    <w:rsid w:val="00A03437"/>
    <w:rsid w:val="00A03910"/>
    <w:rsid w:val="00A0420F"/>
    <w:rsid w:val="00A04EC4"/>
    <w:rsid w:val="00A0507C"/>
    <w:rsid w:val="00A052AF"/>
    <w:rsid w:val="00A05910"/>
    <w:rsid w:val="00A05B0F"/>
    <w:rsid w:val="00A05B1F"/>
    <w:rsid w:val="00A063E8"/>
    <w:rsid w:val="00A064BE"/>
    <w:rsid w:val="00A069A5"/>
    <w:rsid w:val="00A06B99"/>
    <w:rsid w:val="00A070DD"/>
    <w:rsid w:val="00A0728B"/>
    <w:rsid w:val="00A0772D"/>
    <w:rsid w:val="00A100B3"/>
    <w:rsid w:val="00A10546"/>
    <w:rsid w:val="00A10F8E"/>
    <w:rsid w:val="00A11B38"/>
    <w:rsid w:val="00A11CC1"/>
    <w:rsid w:val="00A12BF2"/>
    <w:rsid w:val="00A12DD3"/>
    <w:rsid w:val="00A12ECD"/>
    <w:rsid w:val="00A13A0F"/>
    <w:rsid w:val="00A141AC"/>
    <w:rsid w:val="00A1438A"/>
    <w:rsid w:val="00A14603"/>
    <w:rsid w:val="00A15292"/>
    <w:rsid w:val="00A154AE"/>
    <w:rsid w:val="00A15B10"/>
    <w:rsid w:val="00A163D6"/>
    <w:rsid w:val="00A16632"/>
    <w:rsid w:val="00A1777E"/>
    <w:rsid w:val="00A207DA"/>
    <w:rsid w:val="00A20DA2"/>
    <w:rsid w:val="00A217B1"/>
    <w:rsid w:val="00A21C9F"/>
    <w:rsid w:val="00A21D07"/>
    <w:rsid w:val="00A21F0B"/>
    <w:rsid w:val="00A21F4F"/>
    <w:rsid w:val="00A221C6"/>
    <w:rsid w:val="00A22CEB"/>
    <w:rsid w:val="00A235F8"/>
    <w:rsid w:val="00A2383F"/>
    <w:rsid w:val="00A23D00"/>
    <w:rsid w:val="00A243CD"/>
    <w:rsid w:val="00A24DDD"/>
    <w:rsid w:val="00A26C42"/>
    <w:rsid w:val="00A273E9"/>
    <w:rsid w:val="00A27966"/>
    <w:rsid w:val="00A30782"/>
    <w:rsid w:val="00A30B5B"/>
    <w:rsid w:val="00A310C2"/>
    <w:rsid w:val="00A31136"/>
    <w:rsid w:val="00A311B3"/>
    <w:rsid w:val="00A31BB7"/>
    <w:rsid w:val="00A3222E"/>
    <w:rsid w:val="00A3268C"/>
    <w:rsid w:val="00A32694"/>
    <w:rsid w:val="00A329CC"/>
    <w:rsid w:val="00A333AD"/>
    <w:rsid w:val="00A33F09"/>
    <w:rsid w:val="00A34761"/>
    <w:rsid w:val="00A34799"/>
    <w:rsid w:val="00A34B60"/>
    <w:rsid w:val="00A3578F"/>
    <w:rsid w:val="00A35A67"/>
    <w:rsid w:val="00A35F29"/>
    <w:rsid w:val="00A36189"/>
    <w:rsid w:val="00A3663D"/>
    <w:rsid w:val="00A371B5"/>
    <w:rsid w:val="00A372B5"/>
    <w:rsid w:val="00A376B6"/>
    <w:rsid w:val="00A377CE"/>
    <w:rsid w:val="00A37E0D"/>
    <w:rsid w:val="00A37E12"/>
    <w:rsid w:val="00A4009A"/>
    <w:rsid w:val="00A4050B"/>
    <w:rsid w:val="00A40A41"/>
    <w:rsid w:val="00A40D4A"/>
    <w:rsid w:val="00A40F9A"/>
    <w:rsid w:val="00A410AC"/>
    <w:rsid w:val="00A41ADD"/>
    <w:rsid w:val="00A42512"/>
    <w:rsid w:val="00A428C1"/>
    <w:rsid w:val="00A42916"/>
    <w:rsid w:val="00A44F77"/>
    <w:rsid w:val="00A4555E"/>
    <w:rsid w:val="00A45E48"/>
    <w:rsid w:val="00A460D9"/>
    <w:rsid w:val="00A466D9"/>
    <w:rsid w:val="00A46809"/>
    <w:rsid w:val="00A46955"/>
    <w:rsid w:val="00A46963"/>
    <w:rsid w:val="00A46CC1"/>
    <w:rsid w:val="00A471F0"/>
    <w:rsid w:val="00A47819"/>
    <w:rsid w:val="00A479A5"/>
    <w:rsid w:val="00A47F37"/>
    <w:rsid w:val="00A50188"/>
    <w:rsid w:val="00A509C2"/>
    <w:rsid w:val="00A50B23"/>
    <w:rsid w:val="00A50CCA"/>
    <w:rsid w:val="00A513CC"/>
    <w:rsid w:val="00A51A25"/>
    <w:rsid w:val="00A51CC8"/>
    <w:rsid w:val="00A52637"/>
    <w:rsid w:val="00A528B8"/>
    <w:rsid w:val="00A52FEA"/>
    <w:rsid w:val="00A53008"/>
    <w:rsid w:val="00A5358F"/>
    <w:rsid w:val="00A537C7"/>
    <w:rsid w:val="00A545AC"/>
    <w:rsid w:val="00A54DFA"/>
    <w:rsid w:val="00A550DE"/>
    <w:rsid w:val="00A5558F"/>
    <w:rsid w:val="00A5581B"/>
    <w:rsid w:val="00A55959"/>
    <w:rsid w:val="00A55A9F"/>
    <w:rsid w:val="00A55AD2"/>
    <w:rsid w:val="00A55B5F"/>
    <w:rsid w:val="00A55CA8"/>
    <w:rsid w:val="00A57CAB"/>
    <w:rsid w:val="00A57FCF"/>
    <w:rsid w:val="00A57FFE"/>
    <w:rsid w:val="00A600C4"/>
    <w:rsid w:val="00A60119"/>
    <w:rsid w:val="00A60BCC"/>
    <w:rsid w:val="00A60CDB"/>
    <w:rsid w:val="00A6121B"/>
    <w:rsid w:val="00A61238"/>
    <w:rsid w:val="00A61365"/>
    <w:rsid w:val="00A61C5B"/>
    <w:rsid w:val="00A622DC"/>
    <w:rsid w:val="00A6258B"/>
    <w:rsid w:val="00A64644"/>
    <w:rsid w:val="00A64A33"/>
    <w:rsid w:val="00A65072"/>
    <w:rsid w:val="00A65275"/>
    <w:rsid w:val="00A66655"/>
    <w:rsid w:val="00A67FF8"/>
    <w:rsid w:val="00A710E3"/>
    <w:rsid w:val="00A71364"/>
    <w:rsid w:val="00A717A4"/>
    <w:rsid w:val="00A72238"/>
    <w:rsid w:val="00A74057"/>
    <w:rsid w:val="00A7437E"/>
    <w:rsid w:val="00A74BA2"/>
    <w:rsid w:val="00A75653"/>
    <w:rsid w:val="00A75916"/>
    <w:rsid w:val="00A75925"/>
    <w:rsid w:val="00A75AB2"/>
    <w:rsid w:val="00A760C5"/>
    <w:rsid w:val="00A76699"/>
    <w:rsid w:val="00A76828"/>
    <w:rsid w:val="00A778C1"/>
    <w:rsid w:val="00A802CF"/>
    <w:rsid w:val="00A80D9B"/>
    <w:rsid w:val="00A80D9D"/>
    <w:rsid w:val="00A80E24"/>
    <w:rsid w:val="00A8106D"/>
    <w:rsid w:val="00A810F1"/>
    <w:rsid w:val="00A8293B"/>
    <w:rsid w:val="00A840BC"/>
    <w:rsid w:val="00A84275"/>
    <w:rsid w:val="00A844C7"/>
    <w:rsid w:val="00A84525"/>
    <w:rsid w:val="00A84613"/>
    <w:rsid w:val="00A84FC2"/>
    <w:rsid w:val="00A8543A"/>
    <w:rsid w:val="00A854C2"/>
    <w:rsid w:val="00A8572D"/>
    <w:rsid w:val="00A86879"/>
    <w:rsid w:val="00A869EB"/>
    <w:rsid w:val="00A87036"/>
    <w:rsid w:val="00A87186"/>
    <w:rsid w:val="00A900A6"/>
    <w:rsid w:val="00A90FBA"/>
    <w:rsid w:val="00A912AC"/>
    <w:rsid w:val="00A91E61"/>
    <w:rsid w:val="00A91F4F"/>
    <w:rsid w:val="00A930C3"/>
    <w:rsid w:val="00A930E7"/>
    <w:rsid w:val="00A93371"/>
    <w:rsid w:val="00A936CB"/>
    <w:rsid w:val="00A939AB"/>
    <w:rsid w:val="00A93C3E"/>
    <w:rsid w:val="00A945A3"/>
    <w:rsid w:val="00A94DB1"/>
    <w:rsid w:val="00A95AE2"/>
    <w:rsid w:val="00A97383"/>
    <w:rsid w:val="00A97807"/>
    <w:rsid w:val="00A978AB"/>
    <w:rsid w:val="00A97F09"/>
    <w:rsid w:val="00A97F74"/>
    <w:rsid w:val="00AA048B"/>
    <w:rsid w:val="00AA1182"/>
    <w:rsid w:val="00AA1492"/>
    <w:rsid w:val="00AA17F3"/>
    <w:rsid w:val="00AA2566"/>
    <w:rsid w:val="00AA2C20"/>
    <w:rsid w:val="00AA2E90"/>
    <w:rsid w:val="00AA3702"/>
    <w:rsid w:val="00AA38E1"/>
    <w:rsid w:val="00AA6C11"/>
    <w:rsid w:val="00AA7182"/>
    <w:rsid w:val="00AA75A5"/>
    <w:rsid w:val="00AB064B"/>
    <w:rsid w:val="00AB06BB"/>
    <w:rsid w:val="00AB0D9C"/>
    <w:rsid w:val="00AB0EF0"/>
    <w:rsid w:val="00AB1C4A"/>
    <w:rsid w:val="00AB1D08"/>
    <w:rsid w:val="00AB2C61"/>
    <w:rsid w:val="00AB4359"/>
    <w:rsid w:val="00AB4735"/>
    <w:rsid w:val="00AB54E3"/>
    <w:rsid w:val="00AB5AA3"/>
    <w:rsid w:val="00AB631A"/>
    <w:rsid w:val="00AB71EF"/>
    <w:rsid w:val="00AB783F"/>
    <w:rsid w:val="00AC0A44"/>
    <w:rsid w:val="00AC1813"/>
    <w:rsid w:val="00AC1CBC"/>
    <w:rsid w:val="00AC213E"/>
    <w:rsid w:val="00AC2640"/>
    <w:rsid w:val="00AC28BA"/>
    <w:rsid w:val="00AC2F03"/>
    <w:rsid w:val="00AC345C"/>
    <w:rsid w:val="00AC37E5"/>
    <w:rsid w:val="00AC48F0"/>
    <w:rsid w:val="00AC5994"/>
    <w:rsid w:val="00AC5D19"/>
    <w:rsid w:val="00AC72E1"/>
    <w:rsid w:val="00AC733E"/>
    <w:rsid w:val="00AD1AA8"/>
    <w:rsid w:val="00AD2005"/>
    <w:rsid w:val="00AD27B1"/>
    <w:rsid w:val="00AD2B55"/>
    <w:rsid w:val="00AD35A1"/>
    <w:rsid w:val="00AD42B5"/>
    <w:rsid w:val="00AD4510"/>
    <w:rsid w:val="00AD4C2F"/>
    <w:rsid w:val="00AD4DFE"/>
    <w:rsid w:val="00AD544A"/>
    <w:rsid w:val="00AD7725"/>
    <w:rsid w:val="00AD792D"/>
    <w:rsid w:val="00AE0BFA"/>
    <w:rsid w:val="00AE0DF6"/>
    <w:rsid w:val="00AE1E6F"/>
    <w:rsid w:val="00AE2172"/>
    <w:rsid w:val="00AE21C7"/>
    <w:rsid w:val="00AE2262"/>
    <w:rsid w:val="00AE22BF"/>
    <w:rsid w:val="00AE239B"/>
    <w:rsid w:val="00AE3642"/>
    <w:rsid w:val="00AE4598"/>
    <w:rsid w:val="00AE46DF"/>
    <w:rsid w:val="00AE49A1"/>
    <w:rsid w:val="00AE4E9B"/>
    <w:rsid w:val="00AE55AD"/>
    <w:rsid w:val="00AE590A"/>
    <w:rsid w:val="00AE6CB8"/>
    <w:rsid w:val="00AE70BA"/>
    <w:rsid w:val="00AE7CFE"/>
    <w:rsid w:val="00AF0562"/>
    <w:rsid w:val="00AF0CAD"/>
    <w:rsid w:val="00AF1B1C"/>
    <w:rsid w:val="00AF203C"/>
    <w:rsid w:val="00AF23F3"/>
    <w:rsid w:val="00AF298A"/>
    <w:rsid w:val="00AF2A1B"/>
    <w:rsid w:val="00AF2AD9"/>
    <w:rsid w:val="00AF32BB"/>
    <w:rsid w:val="00AF3715"/>
    <w:rsid w:val="00AF3BB6"/>
    <w:rsid w:val="00AF413C"/>
    <w:rsid w:val="00AF4445"/>
    <w:rsid w:val="00AF47A7"/>
    <w:rsid w:val="00AF512C"/>
    <w:rsid w:val="00AF5D1F"/>
    <w:rsid w:val="00AF65F4"/>
    <w:rsid w:val="00AF6696"/>
    <w:rsid w:val="00AF6E61"/>
    <w:rsid w:val="00AF7766"/>
    <w:rsid w:val="00AF7917"/>
    <w:rsid w:val="00AF7BA9"/>
    <w:rsid w:val="00B003CB"/>
    <w:rsid w:val="00B014C9"/>
    <w:rsid w:val="00B0183B"/>
    <w:rsid w:val="00B0189A"/>
    <w:rsid w:val="00B018F7"/>
    <w:rsid w:val="00B01EA1"/>
    <w:rsid w:val="00B025B3"/>
    <w:rsid w:val="00B02EE2"/>
    <w:rsid w:val="00B0342A"/>
    <w:rsid w:val="00B035DE"/>
    <w:rsid w:val="00B0388E"/>
    <w:rsid w:val="00B038C2"/>
    <w:rsid w:val="00B03C82"/>
    <w:rsid w:val="00B04199"/>
    <w:rsid w:val="00B043E9"/>
    <w:rsid w:val="00B0449C"/>
    <w:rsid w:val="00B04721"/>
    <w:rsid w:val="00B048D7"/>
    <w:rsid w:val="00B04CDF"/>
    <w:rsid w:val="00B051C9"/>
    <w:rsid w:val="00B05CDA"/>
    <w:rsid w:val="00B05EA4"/>
    <w:rsid w:val="00B05EFB"/>
    <w:rsid w:val="00B06A1C"/>
    <w:rsid w:val="00B06C59"/>
    <w:rsid w:val="00B06E12"/>
    <w:rsid w:val="00B07A49"/>
    <w:rsid w:val="00B07ED2"/>
    <w:rsid w:val="00B10A4E"/>
    <w:rsid w:val="00B11651"/>
    <w:rsid w:val="00B11F47"/>
    <w:rsid w:val="00B127A3"/>
    <w:rsid w:val="00B133B8"/>
    <w:rsid w:val="00B134F1"/>
    <w:rsid w:val="00B1447A"/>
    <w:rsid w:val="00B14C18"/>
    <w:rsid w:val="00B14E98"/>
    <w:rsid w:val="00B152D2"/>
    <w:rsid w:val="00B15DA5"/>
    <w:rsid w:val="00B16FBF"/>
    <w:rsid w:val="00B172E1"/>
    <w:rsid w:val="00B17926"/>
    <w:rsid w:val="00B17D5F"/>
    <w:rsid w:val="00B21510"/>
    <w:rsid w:val="00B21B72"/>
    <w:rsid w:val="00B22D51"/>
    <w:rsid w:val="00B22EF6"/>
    <w:rsid w:val="00B233A1"/>
    <w:rsid w:val="00B236F1"/>
    <w:rsid w:val="00B23D84"/>
    <w:rsid w:val="00B23E66"/>
    <w:rsid w:val="00B23EEE"/>
    <w:rsid w:val="00B23FA4"/>
    <w:rsid w:val="00B24173"/>
    <w:rsid w:val="00B242A9"/>
    <w:rsid w:val="00B2553E"/>
    <w:rsid w:val="00B25805"/>
    <w:rsid w:val="00B25857"/>
    <w:rsid w:val="00B26D42"/>
    <w:rsid w:val="00B27A52"/>
    <w:rsid w:val="00B27DAD"/>
    <w:rsid w:val="00B300F5"/>
    <w:rsid w:val="00B303BE"/>
    <w:rsid w:val="00B30731"/>
    <w:rsid w:val="00B30F84"/>
    <w:rsid w:val="00B31BF2"/>
    <w:rsid w:val="00B33002"/>
    <w:rsid w:val="00B346FE"/>
    <w:rsid w:val="00B348DC"/>
    <w:rsid w:val="00B34F09"/>
    <w:rsid w:val="00B352E8"/>
    <w:rsid w:val="00B355E9"/>
    <w:rsid w:val="00B3672D"/>
    <w:rsid w:val="00B36E57"/>
    <w:rsid w:val="00B37AAA"/>
    <w:rsid w:val="00B37B25"/>
    <w:rsid w:val="00B37BEB"/>
    <w:rsid w:val="00B40416"/>
    <w:rsid w:val="00B418C7"/>
    <w:rsid w:val="00B41A1D"/>
    <w:rsid w:val="00B41C5B"/>
    <w:rsid w:val="00B4275E"/>
    <w:rsid w:val="00B4285D"/>
    <w:rsid w:val="00B439FF"/>
    <w:rsid w:val="00B43F41"/>
    <w:rsid w:val="00B4431C"/>
    <w:rsid w:val="00B453F4"/>
    <w:rsid w:val="00B45650"/>
    <w:rsid w:val="00B45ACF"/>
    <w:rsid w:val="00B4618F"/>
    <w:rsid w:val="00B46E1B"/>
    <w:rsid w:val="00B47490"/>
    <w:rsid w:val="00B47A97"/>
    <w:rsid w:val="00B50A1B"/>
    <w:rsid w:val="00B512F8"/>
    <w:rsid w:val="00B52211"/>
    <w:rsid w:val="00B53749"/>
    <w:rsid w:val="00B54B7A"/>
    <w:rsid w:val="00B54ED2"/>
    <w:rsid w:val="00B56793"/>
    <w:rsid w:val="00B56965"/>
    <w:rsid w:val="00B570BC"/>
    <w:rsid w:val="00B6057A"/>
    <w:rsid w:val="00B60BBF"/>
    <w:rsid w:val="00B61251"/>
    <w:rsid w:val="00B6140C"/>
    <w:rsid w:val="00B61AB8"/>
    <w:rsid w:val="00B6243D"/>
    <w:rsid w:val="00B62525"/>
    <w:rsid w:val="00B63ABF"/>
    <w:rsid w:val="00B63F1B"/>
    <w:rsid w:val="00B642C7"/>
    <w:rsid w:val="00B64AEB"/>
    <w:rsid w:val="00B64C68"/>
    <w:rsid w:val="00B64E4D"/>
    <w:rsid w:val="00B66C6F"/>
    <w:rsid w:val="00B66D26"/>
    <w:rsid w:val="00B670E7"/>
    <w:rsid w:val="00B67C68"/>
    <w:rsid w:val="00B71052"/>
    <w:rsid w:val="00B716F8"/>
    <w:rsid w:val="00B72FDB"/>
    <w:rsid w:val="00B733FC"/>
    <w:rsid w:val="00B746CB"/>
    <w:rsid w:val="00B74BD4"/>
    <w:rsid w:val="00B74E95"/>
    <w:rsid w:val="00B75ECB"/>
    <w:rsid w:val="00B75F05"/>
    <w:rsid w:val="00B76001"/>
    <w:rsid w:val="00B760E6"/>
    <w:rsid w:val="00B7650E"/>
    <w:rsid w:val="00B7679D"/>
    <w:rsid w:val="00B76AFD"/>
    <w:rsid w:val="00B76D43"/>
    <w:rsid w:val="00B77635"/>
    <w:rsid w:val="00B77906"/>
    <w:rsid w:val="00B8027D"/>
    <w:rsid w:val="00B810B2"/>
    <w:rsid w:val="00B8127D"/>
    <w:rsid w:val="00B81AAC"/>
    <w:rsid w:val="00B8246C"/>
    <w:rsid w:val="00B826BA"/>
    <w:rsid w:val="00B8322F"/>
    <w:rsid w:val="00B833C6"/>
    <w:rsid w:val="00B83BFB"/>
    <w:rsid w:val="00B83C44"/>
    <w:rsid w:val="00B83D8D"/>
    <w:rsid w:val="00B851D3"/>
    <w:rsid w:val="00B8530F"/>
    <w:rsid w:val="00B8562D"/>
    <w:rsid w:val="00B85F7C"/>
    <w:rsid w:val="00B8739D"/>
    <w:rsid w:val="00B8762A"/>
    <w:rsid w:val="00B87772"/>
    <w:rsid w:val="00B87870"/>
    <w:rsid w:val="00B87F77"/>
    <w:rsid w:val="00B87FDD"/>
    <w:rsid w:val="00B90275"/>
    <w:rsid w:val="00B90391"/>
    <w:rsid w:val="00B9059A"/>
    <w:rsid w:val="00B90EF3"/>
    <w:rsid w:val="00B910DE"/>
    <w:rsid w:val="00B91616"/>
    <w:rsid w:val="00B91642"/>
    <w:rsid w:val="00B916AD"/>
    <w:rsid w:val="00B92730"/>
    <w:rsid w:val="00B92EF9"/>
    <w:rsid w:val="00B940EE"/>
    <w:rsid w:val="00B94190"/>
    <w:rsid w:val="00B943F6"/>
    <w:rsid w:val="00B94625"/>
    <w:rsid w:val="00B947A5"/>
    <w:rsid w:val="00B96191"/>
    <w:rsid w:val="00B9699A"/>
    <w:rsid w:val="00B96D51"/>
    <w:rsid w:val="00B96D9F"/>
    <w:rsid w:val="00B96F9F"/>
    <w:rsid w:val="00B97440"/>
    <w:rsid w:val="00BA02D7"/>
    <w:rsid w:val="00BA04AE"/>
    <w:rsid w:val="00BA0A80"/>
    <w:rsid w:val="00BA0C9D"/>
    <w:rsid w:val="00BA0D68"/>
    <w:rsid w:val="00BA1274"/>
    <w:rsid w:val="00BA12E1"/>
    <w:rsid w:val="00BA16FA"/>
    <w:rsid w:val="00BA1ECB"/>
    <w:rsid w:val="00BA343C"/>
    <w:rsid w:val="00BA3989"/>
    <w:rsid w:val="00BA3D5A"/>
    <w:rsid w:val="00BA43F5"/>
    <w:rsid w:val="00BA490F"/>
    <w:rsid w:val="00BA4ADC"/>
    <w:rsid w:val="00BA5341"/>
    <w:rsid w:val="00BA5622"/>
    <w:rsid w:val="00BA60C0"/>
    <w:rsid w:val="00BA68F8"/>
    <w:rsid w:val="00BA6B70"/>
    <w:rsid w:val="00BA6C84"/>
    <w:rsid w:val="00BA77F0"/>
    <w:rsid w:val="00BA7E60"/>
    <w:rsid w:val="00BB042C"/>
    <w:rsid w:val="00BB103E"/>
    <w:rsid w:val="00BB10FC"/>
    <w:rsid w:val="00BB126A"/>
    <w:rsid w:val="00BB356D"/>
    <w:rsid w:val="00BB3A0A"/>
    <w:rsid w:val="00BB4612"/>
    <w:rsid w:val="00BB525C"/>
    <w:rsid w:val="00BB58D8"/>
    <w:rsid w:val="00BB59B2"/>
    <w:rsid w:val="00BB5EA5"/>
    <w:rsid w:val="00BB607C"/>
    <w:rsid w:val="00BB671B"/>
    <w:rsid w:val="00BB6C01"/>
    <w:rsid w:val="00BB707E"/>
    <w:rsid w:val="00BC02A7"/>
    <w:rsid w:val="00BC05FB"/>
    <w:rsid w:val="00BC0734"/>
    <w:rsid w:val="00BC0AB0"/>
    <w:rsid w:val="00BC1100"/>
    <w:rsid w:val="00BC1308"/>
    <w:rsid w:val="00BC1611"/>
    <w:rsid w:val="00BC25BD"/>
    <w:rsid w:val="00BC25FD"/>
    <w:rsid w:val="00BC2E86"/>
    <w:rsid w:val="00BC3B73"/>
    <w:rsid w:val="00BC43CF"/>
    <w:rsid w:val="00BC4A16"/>
    <w:rsid w:val="00BC5975"/>
    <w:rsid w:val="00BC5B11"/>
    <w:rsid w:val="00BC5B64"/>
    <w:rsid w:val="00BC5C29"/>
    <w:rsid w:val="00BC5CE0"/>
    <w:rsid w:val="00BC61F1"/>
    <w:rsid w:val="00BC723C"/>
    <w:rsid w:val="00BC728F"/>
    <w:rsid w:val="00BC77CA"/>
    <w:rsid w:val="00BD00E9"/>
    <w:rsid w:val="00BD087F"/>
    <w:rsid w:val="00BD1147"/>
    <w:rsid w:val="00BD1623"/>
    <w:rsid w:val="00BD2580"/>
    <w:rsid w:val="00BD39A9"/>
    <w:rsid w:val="00BD5400"/>
    <w:rsid w:val="00BD591C"/>
    <w:rsid w:val="00BD6EDC"/>
    <w:rsid w:val="00BD6F0E"/>
    <w:rsid w:val="00BD7755"/>
    <w:rsid w:val="00BE0035"/>
    <w:rsid w:val="00BE03B7"/>
    <w:rsid w:val="00BE08E5"/>
    <w:rsid w:val="00BE0C1E"/>
    <w:rsid w:val="00BE0E0B"/>
    <w:rsid w:val="00BE1276"/>
    <w:rsid w:val="00BE1F41"/>
    <w:rsid w:val="00BE2159"/>
    <w:rsid w:val="00BE22F6"/>
    <w:rsid w:val="00BE3338"/>
    <w:rsid w:val="00BE38D9"/>
    <w:rsid w:val="00BE434E"/>
    <w:rsid w:val="00BE44ED"/>
    <w:rsid w:val="00BE4B33"/>
    <w:rsid w:val="00BE4D43"/>
    <w:rsid w:val="00BE5303"/>
    <w:rsid w:val="00BE5676"/>
    <w:rsid w:val="00BE6E66"/>
    <w:rsid w:val="00BE6EA8"/>
    <w:rsid w:val="00BE6FBF"/>
    <w:rsid w:val="00BE7041"/>
    <w:rsid w:val="00BE71FF"/>
    <w:rsid w:val="00BE75C7"/>
    <w:rsid w:val="00BE7CDF"/>
    <w:rsid w:val="00BE7F01"/>
    <w:rsid w:val="00BF014B"/>
    <w:rsid w:val="00BF07A6"/>
    <w:rsid w:val="00BF0D1A"/>
    <w:rsid w:val="00BF1905"/>
    <w:rsid w:val="00BF24C4"/>
    <w:rsid w:val="00BF2879"/>
    <w:rsid w:val="00BF2E25"/>
    <w:rsid w:val="00BF35FA"/>
    <w:rsid w:val="00BF3664"/>
    <w:rsid w:val="00BF378C"/>
    <w:rsid w:val="00BF43BD"/>
    <w:rsid w:val="00BF457B"/>
    <w:rsid w:val="00BF4689"/>
    <w:rsid w:val="00BF4AC5"/>
    <w:rsid w:val="00BF4C59"/>
    <w:rsid w:val="00BF5880"/>
    <w:rsid w:val="00BF5954"/>
    <w:rsid w:val="00BF5D76"/>
    <w:rsid w:val="00BF600B"/>
    <w:rsid w:val="00BF61A4"/>
    <w:rsid w:val="00BF6341"/>
    <w:rsid w:val="00BF7105"/>
    <w:rsid w:val="00BF7111"/>
    <w:rsid w:val="00BF7489"/>
    <w:rsid w:val="00C007F3"/>
    <w:rsid w:val="00C00A58"/>
    <w:rsid w:val="00C016CA"/>
    <w:rsid w:val="00C0235E"/>
    <w:rsid w:val="00C02870"/>
    <w:rsid w:val="00C0294E"/>
    <w:rsid w:val="00C03274"/>
    <w:rsid w:val="00C03CD3"/>
    <w:rsid w:val="00C04219"/>
    <w:rsid w:val="00C04984"/>
    <w:rsid w:val="00C04D9D"/>
    <w:rsid w:val="00C04F66"/>
    <w:rsid w:val="00C0513D"/>
    <w:rsid w:val="00C0535A"/>
    <w:rsid w:val="00C0537D"/>
    <w:rsid w:val="00C0597F"/>
    <w:rsid w:val="00C05CC6"/>
    <w:rsid w:val="00C06045"/>
    <w:rsid w:val="00C062DA"/>
    <w:rsid w:val="00C06ACC"/>
    <w:rsid w:val="00C06B36"/>
    <w:rsid w:val="00C06C86"/>
    <w:rsid w:val="00C07132"/>
    <w:rsid w:val="00C07C9B"/>
    <w:rsid w:val="00C104F3"/>
    <w:rsid w:val="00C1117E"/>
    <w:rsid w:val="00C11853"/>
    <w:rsid w:val="00C11ED8"/>
    <w:rsid w:val="00C12350"/>
    <w:rsid w:val="00C12496"/>
    <w:rsid w:val="00C12734"/>
    <w:rsid w:val="00C12B41"/>
    <w:rsid w:val="00C1340F"/>
    <w:rsid w:val="00C136DC"/>
    <w:rsid w:val="00C1413B"/>
    <w:rsid w:val="00C1511F"/>
    <w:rsid w:val="00C15290"/>
    <w:rsid w:val="00C1552A"/>
    <w:rsid w:val="00C17109"/>
    <w:rsid w:val="00C171C5"/>
    <w:rsid w:val="00C17D55"/>
    <w:rsid w:val="00C20696"/>
    <w:rsid w:val="00C20B4C"/>
    <w:rsid w:val="00C20D02"/>
    <w:rsid w:val="00C21141"/>
    <w:rsid w:val="00C2123F"/>
    <w:rsid w:val="00C21990"/>
    <w:rsid w:val="00C225F8"/>
    <w:rsid w:val="00C22718"/>
    <w:rsid w:val="00C233D7"/>
    <w:rsid w:val="00C236D1"/>
    <w:rsid w:val="00C25571"/>
    <w:rsid w:val="00C25C85"/>
    <w:rsid w:val="00C262EE"/>
    <w:rsid w:val="00C2636A"/>
    <w:rsid w:val="00C265ED"/>
    <w:rsid w:val="00C26C27"/>
    <w:rsid w:val="00C26CF2"/>
    <w:rsid w:val="00C30662"/>
    <w:rsid w:val="00C3068F"/>
    <w:rsid w:val="00C3069B"/>
    <w:rsid w:val="00C307DF"/>
    <w:rsid w:val="00C30C1B"/>
    <w:rsid w:val="00C30FDE"/>
    <w:rsid w:val="00C3116F"/>
    <w:rsid w:val="00C31A60"/>
    <w:rsid w:val="00C31D00"/>
    <w:rsid w:val="00C31F95"/>
    <w:rsid w:val="00C32C27"/>
    <w:rsid w:val="00C352DE"/>
    <w:rsid w:val="00C357DC"/>
    <w:rsid w:val="00C35A84"/>
    <w:rsid w:val="00C365AA"/>
    <w:rsid w:val="00C36946"/>
    <w:rsid w:val="00C36DEC"/>
    <w:rsid w:val="00C37065"/>
    <w:rsid w:val="00C3727B"/>
    <w:rsid w:val="00C37903"/>
    <w:rsid w:val="00C404D0"/>
    <w:rsid w:val="00C405F8"/>
    <w:rsid w:val="00C40811"/>
    <w:rsid w:val="00C40AC5"/>
    <w:rsid w:val="00C4120D"/>
    <w:rsid w:val="00C42416"/>
    <w:rsid w:val="00C42B67"/>
    <w:rsid w:val="00C43012"/>
    <w:rsid w:val="00C43EF5"/>
    <w:rsid w:val="00C4463B"/>
    <w:rsid w:val="00C44B4A"/>
    <w:rsid w:val="00C45153"/>
    <w:rsid w:val="00C45572"/>
    <w:rsid w:val="00C46130"/>
    <w:rsid w:val="00C474FD"/>
    <w:rsid w:val="00C5070C"/>
    <w:rsid w:val="00C5073E"/>
    <w:rsid w:val="00C50882"/>
    <w:rsid w:val="00C50A89"/>
    <w:rsid w:val="00C50B03"/>
    <w:rsid w:val="00C50CB7"/>
    <w:rsid w:val="00C50E1D"/>
    <w:rsid w:val="00C50E25"/>
    <w:rsid w:val="00C5131B"/>
    <w:rsid w:val="00C51459"/>
    <w:rsid w:val="00C51719"/>
    <w:rsid w:val="00C51A51"/>
    <w:rsid w:val="00C51C05"/>
    <w:rsid w:val="00C528C1"/>
    <w:rsid w:val="00C52B85"/>
    <w:rsid w:val="00C52CC0"/>
    <w:rsid w:val="00C52E54"/>
    <w:rsid w:val="00C5319B"/>
    <w:rsid w:val="00C53473"/>
    <w:rsid w:val="00C5355C"/>
    <w:rsid w:val="00C53E84"/>
    <w:rsid w:val="00C542AA"/>
    <w:rsid w:val="00C54618"/>
    <w:rsid w:val="00C546F0"/>
    <w:rsid w:val="00C5512E"/>
    <w:rsid w:val="00C554BF"/>
    <w:rsid w:val="00C561D8"/>
    <w:rsid w:val="00C5621C"/>
    <w:rsid w:val="00C56770"/>
    <w:rsid w:val="00C571C8"/>
    <w:rsid w:val="00C60FAA"/>
    <w:rsid w:val="00C610A9"/>
    <w:rsid w:val="00C6174E"/>
    <w:rsid w:val="00C61801"/>
    <w:rsid w:val="00C62412"/>
    <w:rsid w:val="00C63061"/>
    <w:rsid w:val="00C638BE"/>
    <w:rsid w:val="00C63A5F"/>
    <w:rsid w:val="00C63EB5"/>
    <w:rsid w:val="00C64B4E"/>
    <w:rsid w:val="00C64D97"/>
    <w:rsid w:val="00C66251"/>
    <w:rsid w:val="00C667CD"/>
    <w:rsid w:val="00C67A0D"/>
    <w:rsid w:val="00C70008"/>
    <w:rsid w:val="00C7029F"/>
    <w:rsid w:val="00C70721"/>
    <w:rsid w:val="00C70745"/>
    <w:rsid w:val="00C70CFA"/>
    <w:rsid w:val="00C7191F"/>
    <w:rsid w:val="00C71A2A"/>
    <w:rsid w:val="00C71A73"/>
    <w:rsid w:val="00C71AA2"/>
    <w:rsid w:val="00C71E1E"/>
    <w:rsid w:val="00C7231C"/>
    <w:rsid w:val="00C72CCB"/>
    <w:rsid w:val="00C731A8"/>
    <w:rsid w:val="00C74289"/>
    <w:rsid w:val="00C7475F"/>
    <w:rsid w:val="00C7495C"/>
    <w:rsid w:val="00C75676"/>
    <w:rsid w:val="00C75A2F"/>
    <w:rsid w:val="00C77844"/>
    <w:rsid w:val="00C8052F"/>
    <w:rsid w:val="00C80539"/>
    <w:rsid w:val="00C80837"/>
    <w:rsid w:val="00C80861"/>
    <w:rsid w:val="00C80A7C"/>
    <w:rsid w:val="00C80ABD"/>
    <w:rsid w:val="00C811F8"/>
    <w:rsid w:val="00C8248D"/>
    <w:rsid w:val="00C82591"/>
    <w:rsid w:val="00C82B9D"/>
    <w:rsid w:val="00C8377E"/>
    <w:rsid w:val="00C83A3E"/>
    <w:rsid w:val="00C840DA"/>
    <w:rsid w:val="00C8553B"/>
    <w:rsid w:val="00C8565E"/>
    <w:rsid w:val="00C8643E"/>
    <w:rsid w:val="00C86692"/>
    <w:rsid w:val="00C86D0D"/>
    <w:rsid w:val="00C86DB8"/>
    <w:rsid w:val="00C86F29"/>
    <w:rsid w:val="00C911A4"/>
    <w:rsid w:val="00C912FB"/>
    <w:rsid w:val="00C92D2C"/>
    <w:rsid w:val="00C9343A"/>
    <w:rsid w:val="00C93FCD"/>
    <w:rsid w:val="00C94160"/>
    <w:rsid w:val="00C94592"/>
    <w:rsid w:val="00C9523E"/>
    <w:rsid w:val="00C959FD"/>
    <w:rsid w:val="00C9771F"/>
    <w:rsid w:val="00C97F91"/>
    <w:rsid w:val="00CA015A"/>
    <w:rsid w:val="00CA01FA"/>
    <w:rsid w:val="00CA0385"/>
    <w:rsid w:val="00CA04F8"/>
    <w:rsid w:val="00CA0C02"/>
    <w:rsid w:val="00CA26DB"/>
    <w:rsid w:val="00CA32DC"/>
    <w:rsid w:val="00CA3525"/>
    <w:rsid w:val="00CA40B3"/>
    <w:rsid w:val="00CA41C7"/>
    <w:rsid w:val="00CA4E44"/>
    <w:rsid w:val="00CA524A"/>
    <w:rsid w:val="00CA584D"/>
    <w:rsid w:val="00CA5B86"/>
    <w:rsid w:val="00CA5CA7"/>
    <w:rsid w:val="00CA624B"/>
    <w:rsid w:val="00CA6276"/>
    <w:rsid w:val="00CA62B7"/>
    <w:rsid w:val="00CA7058"/>
    <w:rsid w:val="00CB0F22"/>
    <w:rsid w:val="00CB18E1"/>
    <w:rsid w:val="00CB18F5"/>
    <w:rsid w:val="00CB19CA"/>
    <w:rsid w:val="00CB1C3F"/>
    <w:rsid w:val="00CB1F57"/>
    <w:rsid w:val="00CB2362"/>
    <w:rsid w:val="00CB2F02"/>
    <w:rsid w:val="00CB387B"/>
    <w:rsid w:val="00CB38F8"/>
    <w:rsid w:val="00CB4255"/>
    <w:rsid w:val="00CB491A"/>
    <w:rsid w:val="00CB6C4F"/>
    <w:rsid w:val="00CB7232"/>
    <w:rsid w:val="00CB7AC2"/>
    <w:rsid w:val="00CC1499"/>
    <w:rsid w:val="00CC17D1"/>
    <w:rsid w:val="00CC18D3"/>
    <w:rsid w:val="00CC1D93"/>
    <w:rsid w:val="00CC1E6B"/>
    <w:rsid w:val="00CC3077"/>
    <w:rsid w:val="00CC335D"/>
    <w:rsid w:val="00CC3FA6"/>
    <w:rsid w:val="00CC5147"/>
    <w:rsid w:val="00CC59DC"/>
    <w:rsid w:val="00CC5C2C"/>
    <w:rsid w:val="00CC6205"/>
    <w:rsid w:val="00CC72E5"/>
    <w:rsid w:val="00CD0ED9"/>
    <w:rsid w:val="00CD10CA"/>
    <w:rsid w:val="00CD1911"/>
    <w:rsid w:val="00CD29C8"/>
    <w:rsid w:val="00CD2D5C"/>
    <w:rsid w:val="00CD2E11"/>
    <w:rsid w:val="00CD3314"/>
    <w:rsid w:val="00CD36E3"/>
    <w:rsid w:val="00CD4B45"/>
    <w:rsid w:val="00CD4CA7"/>
    <w:rsid w:val="00CD54E2"/>
    <w:rsid w:val="00CD5A68"/>
    <w:rsid w:val="00CD5FD3"/>
    <w:rsid w:val="00CD79F2"/>
    <w:rsid w:val="00CD7C11"/>
    <w:rsid w:val="00CE04B9"/>
    <w:rsid w:val="00CE04BC"/>
    <w:rsid w:val="00CE0C49"/>
    <w:rsid w:val="00CE1342"/>
    <w:rsid w:val="00CE1663"/>
    <w:rsid w:val="00CE1669"/>
    <w:rsid w:val="00CE26C7"/>
    <w:rsid w:val="00CE2791"/>
    <w:rsid w:val="00CE27F0"/>
    <w:rsid w:val="00CE355D"/>
    <w:rsid w:val="00CE3B27"/>
    <w:rsid w:val="00CE5AEB"/>
    <w:rsid w:val="00CE6329"/>
    <w:rsid w:val="00CE79DB"/>
    <w:rsid w:val="00CE7A94"/>
    <w:rsid w:val="00CE7C66"/>
    <w:rsid w:val="00CF1308"/>
    <w:rsid w:val="00CF1F43"/>
    <w:rsid w:val="00CF208F"/>
    <w:rsid w:val="00CF2254"/>
    <w:rsid w:val="00CF25A6"/>
    <w:rsid w:val="00CF3E80"/>
    <w:rsid w:val="00CF4987"/>
    <w:rsid w:val="00CF56DF"/>
    <w:rsid w:val="00CF5CF2"/>
    <w:rsid w:val="00CF5E87"/>
    <w:rsid w:val="00CF63BF"/>
    <w:rsid w:val="00CF7FA1"/>
    <w:rsid w:val="00D000DA"/>
    <w:rsid w:val="00D002B1"/>
    <w:rsid w:val="00D00A7C"/>
    <w:rsid w:val="00D010CC"/>
    <w:rsid w:val="00D018A5"/>
    <w:rsid w:val="00D025B9"/>
    <w:rsid w:val="00D02671"/>
    <w:rsid w:val="00D02C45"/>
    <w:rsid w:val="00D03226"/>
    <w:rsid w:val="00D037F1"/>
    <w:rsid w:val="00D044E8"/>
    <w:rsid w:val="00D05450"/>
    <w:rsid w:val="00D0550B"/>
    <w:rsid w:val="00D0737E"/>
    <w:rsid w:val="00D12483"/>
    <w:rsid w:val="00D13BC9"/>
    <w:rsid w:val="00D13DDF"/>
    <w:rsid w:val="00D141AE"/>
    <w:rsid w:val="00D1431F"/>
    <w:rsid w:val="00D1434F"/>
    <w:rsid w:val="00D14564"/>
    <w:rsid w:val="00D146A0"/>
    <w:rsid w:val="00D150D6"/>
    <w:rsid w:val="00D153EC"/>
    <w:rsid w:val="00D172B9"/>
    <w:rsid w:val="00D1772C"/>
    <w:rsid w:val="00D1773B"/>
    <w:rsid w:val="00D17821"/>
    <w:rsid w:val="00D209B2"/>
    <w:rsid w:val="00D20E4E"/>
    <w:rsid w:val="00D20F81"/>
    <w:rsid w:val="00D21444"/>
    <w:rsid w:val="00D217D9"/>
    <w:rsid w:val="00D21B85"/>
    <w:rsid w:val="00D22CE9"/>
    <w:rsid w:val="00D23A88"/>
    <w:rsid w:val="00D24521"/>
    <w:rsid w:val="00D24D34"/>
    <w:rsid w:val="00D24E6D"/>
    <w:rsid w:val="00D2594C"/>
    <w:rsid w:val="00D25D04"/>
    <w:rsid w:val="00D260E9"/>
    <w:rsid w:val="00D26BBC"/>
    <w:rsid w:val="00D277E6"/>
    <w:rsid w:val="00D30256"/>
    <w:rsid w:val="00D30823"/>
    <w:rsid w:val="00D30B67"/>
    <w:rsid w:val="00D30C9A"/>
    <w:rsid w:val="00D3154B"/>
    <w:rsid w:val="00D3177F"/>
    <w:rsid w:val="00D31A39"/>
    <w:rsid w:val="00D31F05"/>
    <w:rsid w:val="00D322A5"/>
    <w:rsid w:val="00D32707"/>
    <w:rsid w:val="00D33388"/>
    <w:rsid w:val="00D33D9B"/>
    <w:rsid w:val="00D34A8D"/>
    <w:rsid w:val="00D34EC5"/>
    <w:rsid w:val="00D350EF"/>
    <w:rsid w:val="00D35AE5"/>
    <w:rsid w:val="00D3664A"/>
    <w:rsid w:val="00D3728E"/>
    <w:rsid w:val="00D378FE"/>
    <w:rsid w:val="00D40C6F"/>
    <w:rsid w:val="00D40CBC"/>
    <w:rsid w:val="00D41CC2"/>
    <w:rsid w:val="00D41D85"/>
    <w:rsid w:val="00D4330B"/>
    <w:rsid w:val="00D4444E"/>
    <w:rsid w:val="00D445A1"/>
    <w:rsid w:val="00D44B7C"/>
    <w:rsid w:val="00D44E92"/>
    <w:rsid w:val="00D45032"/>
    <w:rsid w:val="00D453D9"/>
    <w:rsid w:val="00D46CA2"/>
    <w:rsid w:val="00D47022"/>
    <w:rsid w:val="00D47547"/>
    <w:rsid w:val="00D501D0"/>
    <w:rsid w:val="00D51426"/>
    <w:rsid w:val="00D51A03"/>
    <w:rsid w:val="00D52969"/>
    <w:rsid w:val="00D52AC5"/>
    <w:rsid w:val="00D52C5A"/>
    <w:rsid w:val="00D537AF"/>
    <w:rsid w:val="00D540C1"/>
    <w:rsid w:val="00D54A00"/>
    <w:rsid w:val="00D556C4"/>
    <w:rsid w:val="00D571F0"/>
    <w:rsid w:val="00D57284"/>
    <w:rsid w:val="00D574FF"/>
    <w:rsid w:val="00D575E9"/>
    <w:rsid w:val="00D57DC4"/>
    <w:rsid w:val="00D60704"/>
    <w:rsid w:val="00D60869"/>
    <w:rsid w:val="00D60C62"/>
    <w:rsid w:val="00D626C2"/>
    <w:rsid w:val="00D6274B"/>
    <w:rsid w:val="00D62790"/>
    <w:rsid w:val="00D6296E"/>
    <w:rsid w:val="00D655F7"/>
    <w:rsid w:val="00D65EA9"/>
    <w:rsid w:val="00D65F29"/>
    <w:rsid w:val="00D662E3"/>
    <w:rsid w:val="00D66691"/>
    <w:rsid w:val="00D66A43"/>
    <w:rsid w:val="00D66A47"/>
    <w:rsid w:val="00D66C63"/>
    <w:rsid w:val="00D7040D"/>
    <w:rsid w:val="00D71D30"/>
    <w:rsid w:val="00D721D9"/>
    <w:rsid w:val="00D722C0"/>
    <w:rsid w:val="00D72B30"/>
    <w:rsid w:val="00D72F1F"/>
    <w:rsid w:val="00D7452A"/>
    <w:rsid w:val="00D7454F"/>
    <w:rsid w:val="00D7563F"/>
    <w:rsid w:val="00D7575D"/>
    <w:rsid w:val="00D75FFA"/>
    <w:rsid w:val="00D766B4"/>
    <w:rsid w:val="00D767FD"/>
    <w:rsid w:val="00D7727B"/>
    <w:rsid w:val="00D804E5"/>
    <w:rsid w:val="00D80ACA"/>
    <w:rsid w:val="00D81215"/>
    <w:rsid w:val="00D81349"/>
    <w:rsid w:val="00D8142D"/>
    <w:rsid w:val="00D828E6"/>
    <w:rsid w:val="00D82C82"/>
    <w:rsid w:val="00D83484"/>
    <w:rsid w:val="00D83AE4"/>
    <w:rsid w:val="00D83E3F"/>
    <w:rsid w:val="00D843A3"/>
    <w:rsid w:val="00D84E76"/>
    <w:rsid w:val="00D8538C"/>
    <w:rsid w:val="00D8538E"/>
    <w:rsid w:val="00D8596D"/>
    <w:rsid w:val="00D86F14"/>
    <w:rsid w:val="00D8749B"/>
    <w:rsid w:val="00D8777D"/>
    <w:rsid w:val="00D901B3"/>
    <w:rsid w:val="00D90A66"/>
    <w:rsid w:val="00D91048"/>
    <w:rsid w:val="00D91286"/>
    <w:rsid w:val="00D9311D"/>
    <w:rsid w:val="00D93995"/>
    <w:rsid w:val="00D93BC6"/>
    <w:rsid w:val="00D93C80"/>
    <w:rsid w:val="00D945FC"/>
    <w:rsid w:val="00D95823"/>
    <w:rsid w:val="00D95EC9"/>
    <w:rsid w:val="00D9616C"/>
    <w:rsid w:val="00D96C25"/>
    <w:rsid w:val="00DA0223"/>
    <w:rsid w:val="00DA07B7"/>
    <w:rsid w:val="00DA0B3A"/>
    <w:rsid w:val="00DA0D66"/>
    <w:rsid w:val="00DA0FD2"/>
    <w:rsid w:val="00DA1DB4"/>
    <w:rsid w:val="00DA1DDC"/>
    <w:rsid w:val="00DA1E7B"/>
    <w:rsid w:val="00DA242A"/>
    <w:rsid w:val="00DA28BC"/>
    <w:rsid w:val="00DA2F89"/>
    <w:rsid w:val="00DA3EBD"/>
    <w:rsid w:val="00DA4D55"/>
    <w:rsid w:val="00DA4DAA"/>
    <w:rsid w:val="00DA5A10"/>
    <w:rsid w:val="00DA5C34"/>
    <w:rsid w:val="00DA6A3C"/>
    <w:rsid w:val="00DA6FD2"/>
    <w:rsid w:val="00DA710C"/>
    <w:rsid w:val="00DA748B"/>
    <w:rsid w:val="00DA749B"/>
    <w:rsid w:val="00DA7907"/>
    <w:rsid w:val="00DA7EAA"/>
    <w:rsid w:val="00DB067A"/>
    <w:rsid w:val="00DB10D8"/>
    <w:rsid w:val="00DB1956"/>
    <w:rsid w:val="00DB2F21"/>
    <w:rsid w:val="00DB3EED"/>
    <w:rsid w:val="00DB4C2C"/>
    <w:rsid w:val="00DB4CCB"/>
    <w:rsid w:val="00DB5F83"/>
    <w:rsid w:val="00DB6C43"/>
    <w:rsid w:val="00DB74E0"/>
    <w:rsid w:val="00DB7A51"/>
    <w:rsid w:val="00DB7C46"/>
    <w:rsid w:val="00DC0D41"/>
    <w:rsid w:val="00DC0F04"/>
    <w:rsid w:val="00DC10E6"/>
    <w:rsid w:val="00DC154E"/>
    <w:rsid w:val="00DC2A1E"/>
    <w:rsid w:val="00DC2BD3"/>
    <w:rsid w:val="00DC31F4"/>
    <w:rsid w:val="00DC3533"/>
    <w:rsid w:val="00DC46D7"/>
    <w:rsid w:val="00DC48A7"/>
    <w:rsid w:val="00DC4AE2"/>
    <w:rsid w:val="00DC51D8"/>
    <w:rsid w:val="00DC53BB"/>
    <w:rsid w:val="00DC542E"/>
    <w:rsid w:val="00DC5764"/>
    <w:rsid w:val="00DC5B8C"/>
    <w:rsid w:val="00DC6189"/>
    <w:rsid w:val="00DC6305"/>
    <w:rsid w:val="00DC6759"/>
    <w:rsid w:val="00DC68EF"/>
    <w:rsid w:val="00DC6F6F"/>
    <w:rsid w:val="00DC7300"/>
    <w:rsid w:val="00DC7515"/>
    <w:rsid w:val="00DC7C32"/>
    <w:rsid w:val="00DD00F5"/>
    <w:rsid w:val="00DD0239"/>
    <w:rsid w:val="00DD08AF"/>
    <w:rsid w:val="00DD11D4"/>
    <w:rsid w:val="00DD12AD"/>
    <w:rsid w:val="00DD1DF8"/>
    <w:rsid w:val="00DD21B7"/>
    <w:rsid w:val="00DD247A"/>
    <w:rsid w:val="00DD2775"/>
    <w:rsid w:val="00DD2B97"/>
    <w:rsid w:val="00DD4123"/>
    <w:rsid w:val="00DD44F2"/>
    <w:rsid w:val="00DD4C8D"/>
    <w:rsid w:val="00DD4FC1"/>
    <w:rsid w:val="00DD5955"/>
    <w:rsid w:val="00DD5E31"/>
    <w:rsid w:val="00DD63F3"/>
    <w:rsid w:val="00DD75FC"/>
    <w:rsid w:val="00DD7CEE"/>
    <w:rsid w:val="00DE011D"/>
    <w:rsid w:val="00DE0464"/>
    <w:rsid w:val="00DE0ADF"/>
    <w:rsid w:val="00DE0BE7"/>
    <w:rsid w:val="00DE186F"/>
    <w:rsid w:val="00DE1DE7"/>
    <w:rsid w:val="00DE3FC8"/>
    <w:rsid w:val="00DE42F9"/>
    <w:rsid w:val="00DE43D2"/>
    <w:rsid w:val="00DE44E7"/>
    <w:rsid w:val="00DE4B14"/>
    <w:rsid w:val="00DE582F"/>
    <w:rsid w:val="00DE69D2"/>
    <w:rsid w:val="00DE6B6A"/>
    <w:rsid w:val="00DE7361"/>
    <w:rsid w:val="00DE7830"/>
    <w:rsid w:val="00DE7A51"/>
    <w:rsid w:val="00DF017A"/>
    <w:rsid w:val="00DF0206"/>
    <w:rsid w:val="00DF0885"/>
    <w:rsid w:val="00DF0BAB"/>
    <w:rsid w:val="00DF19AE"/>
    <w:rsid w:val="00DF1E68"/>
    <w:rsid w:val="00DF20D7"/>
    <w:rsid w:val="00DF2302"/>
    <w:rsid w:val="00DF3000"/>
    <w:rsid w:val="00DF3F9C"/>
    <w:rsid w:val="00DF47B0"/>
    <w:rsid w:val="00DF59DC"/>
    <w:rsid w:val="00DF6ADE"/>
    <w:rsid w:val="00DF7C5F"/>
    <w:rsid w:val="00E00781"/>
    <w:rsid w:val="00E00D32"/>
    <w:rsid w:val="00E00D68"/>
    <w:rsid w:val="00E00E88"/>
    <w:rsid w:val="00E012DA"/>
    <w:rsid w:val="00E013DC"/>
    <w:rsid w:val="00E020CF"/>
    <w:rsid w:val="00E0280F"/>
    <w:rsid w:val="00E03BF3"/>
    <w:rsid w:val="00E0467C"/>
    <w:rsid w:val="00E04D49"/>
    <w:rsid w:val="00E04F74"/>
    <w:rsid w:val="00E0506D"/>
    <w:rsid w:val="00E050A5"/>
    <w:rsid w:val="00E062B9"/>
    <w:rsid w:val="00E066B6"/>
    <w:rsid w:val="00E072EF"/>
    <w:rsid w:val="00E0785B"/>
    <w:rsid w:val="00E10802"/>
    <w:rsid w:val="00E11BF3"/>
    <w:rsid w:val="00E11C25"/>
    <w:rsid w:val="00E11EFF"/>
    <w:rsid w:val="00E1217D"/>
    <w:rsid w:val="00E12B9C"/>
    <w:rsid w:val="00E12D92"/>
    <w:rsid w:val="00E12E7C"/>
    <w:rsid w:val="00E13096"/>
    <w:rsid w:val="00E134D4"/>
    <w:rsid w:val="00E143B1"/>
    <w:rsid w:val="00E1476D"/>
    <w:rsid w:val="00E15ADD"/>
    <w:rsid w:val="00E15BA0"/>
    <w:rsid w:val="00E16573"/>
    <w:rsid w:val="00E17D78"/>
    <w:rsid w:val="00E20762"/>
    <w:rsid w:val="00E20944"/>
    <w:rsid w:val="00E20E9B"/>
    <w:rsid w:val="00E21854"/>
    <w:rsid w:val="00E224FA"/>
    <w:rsid w:val="00E23146"/>
    <w:rsid w:val="00E238A2"/>
    <w:rsid w:val="00E23E98"/>
    <w:rsid w:val="00E24CE0"/>
    <w:rsid w:val="00E25122"/>
    <w:rsid w:val="00E251D6"/>
    <w:rsid w:val="00E25936"/>
    <w:rsid w:val="00E25B27"/>
    <w:rsid w:val="00E25BF0"/>
    <w:rsid w:val="00E25D98"/>
    <w:rsid w:val="00E262CD"/>
    <w:rsid w:val="00E2654B"/>
    <w:rsid w:val="00E2785C"/>
    <w:rsid w:val="00E27ACF"/>
    <w:rsid w:val="00E3075F"/>
    <w:rsid w:val="00E30BDC"/>
    <w:rsid w:val="00E30CE1"/>
    <w:rsid w:val="00E3120B"/>
    <w:rsid w:val="00E314B4"/>
    <w:rsid w:val="00E31A13"/>
    <w:rsid w:val="00E32055"/>
    <w:rsid w:val="00E33222"/>
    <w:rsid w:val="00E34244"/>
    <w:rsid w:val="00E34942"/>
    <w:rsid w:val="00E34CF0"/>
    <w:rsid w:val="00E356AD"/>
    <w:rsid w:val="00E35D69"/>
    <w:rsid w:val="00E36351"/>
    <w:rsid w:val="00E36865"/>
    <w:rsid w:val="00E37146"/>
    <w:rsid w:val="00E40C64"/>
    <w:rsid w:val="00E41067"/>
    <w:rsid w:val="00E415A8"/>
    <w:rsid w:val="00E41B81"/>
    <w:rsid w:val="00E41D64"/>
    <w:rsid w:val="00E43DC6"/>
    <w:rsid w:val="00E44173"/>
    <w:rsid w:val="00E444C4"/>
    <w:rsid w:val="00E44E43"/>
    <w:rsid w:val="00E46C5D"/>
    <w:rsid w:val="00E47022"/>
    <w:rsid w:val="00E47D60"/>
    <w:rsid w:val="00E500FB"/>
    <w:rsid w:val="00E5025D"/>
    <w:rsid w:val="00E50D0E"/>
    <w:rsid w:val="00E50D47"/>
    <w:rsid w:val="00E50DA3"/>
    <w:rsid w:val="00E51048"/>
    <w:rsid w:val="00E51316"/>
    <w:rsid w:val="00E51EE3"/>
    <w:rsid w:val="00E53DA3"/>
    <w:rsid w:val="00E53E40"/>
    <w:rsid w:val="00E5425F"/>
    <w:rsid w:val="00E55B03"/>
    <w:rsid w:val="00E561DB"/>
    <w:rsid w:val="00E56378"/>
    <w:rsid w:val="00E56C5F"/>
    <w:rsid w:val="00E56E71"/>
    <w:rsid w:val="00E570ED"/>
    <w:rsid w:val="00E578AA"/>
    <w:rsid w:val="00E57E96"/>
    <w:rsid w:val="00E60EF6"/>
    <w:rsid w:val="00E62AF4"/>
    <w:rsid w:val="00E62E67"/>
    <w:rsid w:val="00E63059"/>
    <w:rsid w:val="00E63744"/>
    <w:rsid w:val="00E63D60"/>
    <w:rsid w:val="00E6422F"/>
    <w:rsid w:val="00E64905"/>
    <w:rsid w:val="00E64A97"/>
    <w:rsid w:val="00E65B3A"/>
    <w:rsid w:val="00E65EB9"/>
    <w:rsid w:val="00E6607D"/>
    <w:rsid w:val="00E66F16"/>
    <w:rsid w:val="00E67226"/>
    <w:rsid w:val="00E70B6F"/>
    <w:rsid w:val="00E70C90"/>
    <w:rsid w:val="00E71105"/>
    <w:rsid w:val="00E7115E"/>
    <w:rsid w:val="00E711C9"/>
    <w:rsid w:val="00E71E42"/>
    <w:rsid w:val="00E731A1"/>
    <w:rsid w:val="00E73250"/>
    <w:rsid w:val="00E732EC"/>
    <w:rsid w:val="00E738DB"/>
    <w:rsid w:val="00E73EE3"/>
    <w:rsid w:val="00E74C18"/>
    <w:rsid w:val="00E74D65"/>
    <w:rsid w:val="00E75480"/>
    <w:rsid w:val="00E75754"/>
    <w:rsid w:val="00E76AD9"/>
    <w:rsid w:val="00E7753D"/>
    <w:rsid w:val="00E814B3"/>
    <w:rsid w:val="00E8199A"/>
    <w:rsid w:val="00E824D3"/>
    <w:rsid w:val="00E824FD"/>
    <w:rsid w:val="00E82C70"/>
    <w:rsid w:val="00E84712"/>
    <w:rsid w:val="00E85F8A"/>
    <w:rsid w:val="00E86A25"/>
    <w:rsid w:val="00E87E89"/>
    <w:rsid w:val="00E90E7D"/>
    <w:rsid w:val="00E9155D"/>
    <w:rsid w:val="00E91975"/>
    <w:rsid w:val="00E91C43"/>
    <w:rsid w:val="00E9232F"/>
    <w:rsid w:val="00E92952"/>
    <w:rsid w:val="00E93E4B"/>
    <w:rsid w:val="00E94009"/>
    <w:rsid w:val="00E94078"/>
    <w:rsid w:val="00E94517"/>
    <w:rsid w:val="00E94B98"/>
    <w:rsid w:val="00E95708"/>
    <w:rsid w:val="00E95F03"/>
    <w:rsid w:val="00E9656C"/>
    <w:rsid w:val="00E96B17"/>
    <w:rsid w:val="00E96FEA"/>
    <w:rsid w:val="00E97B42"/>
    <w:rsid w:val="00EA018F"/>
    <w:rsid w:val="00EA0F32"/>
    <w:rsid w:val="00EA1C87"/>
    <w:rsid w:val="00EA1D25"/>
    <w:rsid w:val="00EA27A8"/>
    <w:rsid w:val="00EA27CC"/>
    <w:rsid w:val="00EA351F"/>
    <w:rsid w:val="00EA3B27"/>
    <w:rsid w:val="00EA3C2C"/>
    <w:rsid w:val="00EA4090"/>
    <w:rsid w:val="00EA41CC"/>
    <w:rsid w:val="00EA44E8"/>
    <w:rsid w:val="00EA454E"/>
    <w:rsid w:val="00EA5006"/>
    <w:rsid w:val="00EA610E"/>
    <w:rsid w:val="00EA709E"/>
    <w:rsid w:val="00EA78F7"/>
    <w:rsid w:val="00EA7944"/>
    <w:rsid w:val="00EA7BA3"/>
    <w:rsid w:val="00EB0CFB"/>
    <w:rsid w:val="00EB0D19"/>
    <w:rsid w:val="00EB0E54"/>
    <w:rsid w:val="00EB1090"/>
    <w:rsid w:val="00EB209E"/>
    <w:rsid w:val="00EB2311"/>
    <w:rsid w:val="00EB2BAE"/>
    <w:rsid w:val="00EB2EC9"/>
    <w:rsid w:val="00EB4ADB"/>
    <w:rsid w:val="00EB4BC3"/>
    <w:rsid w:val="00EB4D52"/>
    <w:rsid w:val="00EB4F11"/>
    <w:rsid w:val="00EB4FD4"/>
    <w:rsid w:val="00EB539C"/>
    <w:rsid w:val="00EB55A1"/>
    <w:rsid w:val="00EB5BC9"/>
    <w:rsid w:val="00EB5D5E"/>
    <w:rsid w:val="00EB6182"/>
    <w:rsid w:val="00EB759B"/>
    <w:rsid w:val="00EC012B"/>
    <w:rsid w:val="00EC017F"/>
    <w:rsid w:val="00EC02F5"/>
    <w:rsid w:val="00EC0635"/>
    <w:rsid w:val="00EC1153"/>
    <w:rsid w:val="00EC1819"/>
    <w:rsid w:val="00EC22D7"/>
    <w:rsid w:val="00EC30EA"/>
    <w:rsid w:val="00EC3BDB"/>
    <w:rsid w:val="00EC4412"/>
    <w:rsid w:val="00EC4803"/>
    <w:rsid w:val="00EC5045"/>
    <w:rsid w:val="00EC64AB"/>
    <w:rsid w:val="00EC76E6"/>
    <w:rsid w:val="00EC7772"/>
    <w:rsid w:val="00EC7862"/>
    <w:rsid w:val="00EC7888"/>
    <w:rsid w:val="00ED05B9"/>
    <w:rsid w:val="00ED13B5"/>
    <w:rsid w:val="00ED20EB"/>
    <w:rsid w:val="00ED2190"/>
    <w:rsid w:val="00ED297A"/>
    <w:rsid w:val="00ED2D34"/>
    <w:rsid w:val="00ED2E7A"/>
    <w:rsid w:val="00ED33DD"/>
    <w:rsid w:val="00ED3989"/>
    <w:rsid w:val="00ED3A37"/>
    <w:rsid w:val="00ED3B7E"/>
    <w:rsid w:val="00ED4655"/>
    <w:rsid w:val="00ED4BBC"/>
    <w:rsid w:val="00ED4F19"/>
    <w:rsid w:val="00ED5049"/>
    <w:rsid w:val="00ED5571"/>
    <w:rsid w:val="00ED5AC9"/>
    <w:rsid w:val="00ED608C"/>
    <w:rsid w:val="00ED629D"/>
    <w:rsid w:val="00ED62DD"/>
    <w:rsid w:val="00ED675F"/>
    <w:rsid w:val="00ED6FC0"/>
    <w:rsid w:val="00ED79A4"/>
    <w:rsid w:val="00EE0318"/>
    <w:rsid w:val="00EE0957"/>
    <w:rsid w:val="00EE2CC5"/>
    <w:rsid w:val="00EE2E08"/>
    <w:rsid w:val="00EE3210"/>
    <w:rsid w:val="00EE4B2E"/>
    <w:rsid w:val="00EE5148"/>
    <w:rsid w:val="00EE5560"/>
    <w:rsid w:val="00EE5688"/>
    <w:rsid w:val="00EE5C78"/>
    <w:rsid w:val="00EE5DEC"/>
    <w:rsid w:val="00EE6A2C"/>
    <w:rsid w:val="00EE6CC8"/>
    <w:rsid w:val="00EE6D4F"/>
    <w:rsid w:val="00EE6DD6"/>
    <w:rsid w:val="00EE7D37"/>
    <w:rsid w:val="00EF0AC9"/>
    <w:rsid w:val="00EF1240"/>
    <w:rsid w:val="00EF15B2"/>
    <w:rsid w:val="00EF1F4F"/>
    <w:rsid w:val="00EF2210"/>
    <w:rsid w:val="00EF24A8"/>
    <w:rsid w:val="00EF34A9"/>
    <w:rsid w:val="00EF384B"/>
    <w:rsid w:val="00EF4469"/>
    <w:rsid w:val="00EF5D7F"/>
    <w:rsid w:val="00EF6281"/>
    <w:rsid w:val="00EF79F9"/>
    <w:rsid w:val="00EF7CCB"/>
    <w:rsid w:val="00EF7F8D"/>
    <w:rsid w:val="00F00157"/>
    <w:rsid w:val="00F00749"/>
    <w:rsid w:val="00F01429"/>
    <w:rsid w:val="00F01862"/>
    <w:rsid w:val="00F01997"/>
    <w:rsid w:val="00F02480"/>
    <w:rsid w:val="00F03487"/>
    <w:rsid w:val="00F055DF"/>
    <w:rsid w:val="00F05D2D"/>
    <w:rsid w:val="00F06472"/>
    <w:rsid w:val="00F077CF"/>
    <w:rsid w:val="00F10BF5"/>
    <w:rsid w:val="00F12534"/>
    <w:rsid w:val="00F13019"/>
    <w:rsid w:val="00F134AA"/>
    <w:rsid w:val="00F13673"/>
    <w:rsid w:val="00F136D8"/>
    <w:rsid w:val="00F139B0"/>
    <w:rsid w:val="00F13BF4"/>
    <w:rsid w:val="00F144EF"/>
    <w:rsid w:val="00F1476D"/>
    <w:rsid w:val="00F1483E"/>
    <w:rsid w:val="00F1492D"/>
    <w:rsid w:val="00F14995"/>
    <w:rsid w:val="00F1500C"/>
    <w:rsid w:val="00F20120"/>
    <w:rsid w:val="00F2063D"/>
    <w:rsid w:val="00F2278D"/>
    <w:rsid w:val="00F22B06"/>
    <w:rsid w:val="00F22BDD"/>
    <w:rsid w:val="00F22FCB"/>
    <w:rsid w:val="00F230AC"/>
    <w:rsid w:val="00F23101"/>
    <w:rsid w:val="00F23AA1"/>
    <w:rsid w:val="00F23C61"/>
    <w:rsid w:val="00F23CC4"/>
    <w:rsid w:val="00F23DB3"/>
    <w:rsid w:val="00F23F33"/>
    <w:rsid w:val="00F241FE"/>
    <w:rsid w:val="00F25BF3"/>
    <w:rsid w:val="00F2655F"/>
    <w:rsid w:val="00F2696E"/>
    <w:rsid w:val="00F26AC7"/>
    <w:rsid w:val="00F274E9"/>
    <w:rsid w:val="00F27500"/>
    <w:rsid w:val="00F27C2A"/>
    <w:rsid w:val="00F30078"/>
    <w:rsid w:val="00F30338"/>
    <w:rsid w:val="00F317AF"/>
    <w:rsid w:val="00F31BBE"/>
    <w:rsid w:val="00F31FE4"/>
    <w:rsid w:val="00F3202C"/>
    <w:rsid w:val="00F32A48"/>
    <w:rsid w:val="00F3348A"/>
    <w:rsid w:val="00F3390D"/>
    <w:rsid w:val="00F33B07"/>
    <w:rsid w:val="00F33D3F"/>
    <w:rsid w:val="00F34F36"/>
    <w:rsid w:val="00F35744"/>
    <w:rsid w:val="00F364AE"/>
    <w:rsid w:val="00F367B9"/>
    <w:rsid w:val="00F36829"/>
    <w:rsid w:val="00F36D7A"/>
    <w:rsid w:val="00F375BF"/>
    <w:rsid w:val="00F40053"/>
    <w:rsid w:val="00F40086"/>
    <w:rsid w:val="00F41987"/>
    <w:rsid w:val="00F420D9"/>
    <w:rsid w:val="00F4234F"/>
    <w:rsid w:val="00F429CA"/>
    <w:rsid w:val="00F43275"/>
    <w:rsid w:val="00F432E7"/>
    <w:rsid w:val="00F43436"/>
    <w:rsid w:val="00F43469"/>
    <w:rsid w:val="00F4361C"/>
    <w:rsid w:val="00F436B2"/>
    <w:rsid w:val="00F4375D"/>
    <w:rsid w:val="00F4416D"/>
    <w:rsid w:val="00F450B8"/>
    <w:rsid w:val="00F45210"/>
    <w:rsid w:val="00F4566C"/>
    <w:rsid w:val="00F45F3C"/>
    <w:rsid w:val="00F462DE"/>
    <w:rsid w:val="00F4686A"/>
    <w:rsid w:val="00F46BBC"/>
    <w:rsid w:val="00F46F14"/>
    <w:rsid w:val="00F47645"/>
    <w:rsid w:val="00F47924"/>
    <w:rsid w:val="00F5096B"/>
    <w:rsid w:val="00F51863"/>
    <w:rsid w:val="00F51FEF"/>
    <w:rsid w:val="00F51FF0"/>
    <w:rsid w:val="00F5215A"/>
    <w:rsid w:val="00F52AC6"/>
    <w:rsid w:val="00F52EBD"/>
    <w:rsid w:val="00F5308A"/>
    <w:rsid w:val="00F53328"/>
    <w:rsid w:val="00F53697"/>
    <w:rsid w:val="00F53BD2"/>
    <w:rsid w:val="00F53C52"/>
    <w:rsid w:val="00F53DA2"/>
    <w:rsid w:val="00F54B76"/>
    <w:rsid w:val="00F55DEB"/>
    <w:rsid w:val="00F55EAB"/>
    <w:rsid w:val="00F56832"/>
    <w:rsid w:val="00F56C5F"/>
    <w:rsid w:val="00F56D9D"/>
    <w:rsid w:val="00F5706C"/>
    <w:rsid w:val="00F578C4"/>
    <w:rsid w:val="00F57BAC"/>
    <w:rsid w:val="00F57D1C"/>
    <w:rsid w:val="00F57DF1"/>
    <w:rsid w:val="00F60178"/>
    <w:rsid w:val="00F602ED"/>
    <w:rsid w:val="00F60B00"/>
    <w:rsid w:val="00F6154E"/>
    <w:rsid w:val="00F61806"/>
    <w:rsid w:val="00F62310"/>
    <w:rsid w:val="00F62B41"/>
    <w:rsid w:val="00F62CD0"/>
    <w:rsid w:val="00F635BB"/>
    <w:rsid w:val="00F6392A"/>
    <w:rsid w:val="00F63D15"/>
    <w:rsid w:val="00F64BEF"/>
    <w:rsid w:val="00F650C2"/>
    <w:rsid w:val="00F65293"/>
    <w:rsid w:val="00F657D5"/>
    <w:rsid w:val="00F66023"/>
    <w:rsid w:val="00F66FB4"/>
    <w:rsid w:val="00F67585"/>
    <w:rsid w:val="00F67898"/>
    <w:rsid w:val="00F701C8"/>
    <w:rsid w:val="00F712B6"/>
    <w:rsid w:val="00F71483"/>
    <w:rsid w:val="00F71636"/>
    <w:rsid w:val="00F71AC5"/>
    <w:rsid w:val="00F71BE1"/>
    <w:rsid w:val="00F722D2"/>
    <w:rsid w:val="00F738AA"/>
    <w:rsid w:val="00F74078"/>
    <w:rsid w:val="00F7447E"/>
    <w:rsid w:val="00F74C1E"/>
    <w:rsid w:val="00F753F5"/>
    <w:rsid w:val="00F7603C"/>
    <w:rsid w:val="00F7623B"/>
    <w:rsid w:val="00F7664F"/>
    <w:rsid w:val="00F80A9F"/>
    <w:rsid w:val="00F80B99"/>
    <w:rsid w:val="00F80D78"/>
    <w:rsid w:val="00F811C9"/>
    <w:rsid w:val="00F8136F"/>
    <w:rsid w:val="00F818F8"/>
    <w:rsid w:val="00F81E6B"/>
    <w:rsid w:val="00F82259"/>
    <w:rsid w:val="00F82E2C"/>
    <w:rsid w:val="00F8358E"/>
    <w:rsid w:val="00F8444B"/>
    <w:rsid w:val="00F8481F"/>
    <w:rsid w:val="00F84A67"/>
    <w:rsid w:val="00F84C56"/>
    <w:rsid w:val="00F84DB8"/>
    <w:rsid w:val="00F8539B"/>
    <w:rsid w:val="00F8568C"/>
    <w:rsid w:val="00F856EC"/>
    <w:rsid w:val="00F85DA5"/>
    <w:rsid w:val="00F8726E"/>
    <w:rsid w:val="00F87C11"/>
    <w:rsid w:val="00F900DD"/>
    <w:rsid w:val="00F901D4"/>
    <w:rsid w:val="00F905AD"/>
    <w:rsid w:val="00F912FE"/>
    <w:rsid w:val="00F9145F"/>
    <w:rsid w:val="00F914C3"/>
    <w:rsid w:val="00F92776"/>
    <w:rsid w:val="00F93940"/>
    <w:rsid w:val="00F93DE1"/>
    <w:rsid w:val="00F93FE5"/>
    <w:rsid w:val="00F9434C"/>
    <w:rsid w:val="00F9544C"/>
    <w:rsid w:val="00F9565B"/>
    <w:rsid w:val="00F96082"/>
    <w:rsid w:val="00F97096"/>
    <w:rsid w:val="00F9769F"/>
    <w:rsid w:val="00F97A55"/>
    <w:rsid w:val="00FA0126"/>
    <w:rsid w:val="00FA025B"/>
    <w:rsid w:val="00FA0B94"/>
    <w:rsid w:val="00FA0EB3"/>
    <w:rsid w:val="00FA0F77"/>
    <w:rsid w:val="00FA1D44"/>
    <w:rsid w:val="00FA1E7C"/>
    <w:rsid w:val="00FA21C6"/>
    <w:rsid w:val="00FA229F"/>
    <w:rsid w:val="00FA3688"/>
    <w:rsid w:val="00FA36BC"/>
    <w:rsid w:val="00FA40FB"/>
    <w:rsid w:val="00FA499B"/>
    <w:rsid w:val="00FA5D16"/>
    <w:rsid w:val="00FA69E6"/>
    <w:rsid w:val="00FA6E7F"/>
    <w:rsid w:val="00FA7864"/>
    <w:rsid w:val="00FA7CFD"/>
    <w:rsid w:val="00FB03C2"/>
    <w:rsid w:val="00FB07B0"/>
    <w:rsid w:val="00FB1BFB"/>
    <w:rsid w:val="00FB1E06"/>
    <w:rsid w:val="00FB1FE0"/>
    <w:rsid w:val="00FB2719"/>
    <w:rsid w:val="00FB2E0A"/>
    <w:rsid w:val="00FB38EB"/>
    <w:rsid w:val="00FB4318"/>
    <w:rsid w:val="00FB4B68"/>
    <w:rsid w:val="00FB4D3A"/>
    <w:rsid w:val="00FB53C2"/>
    <w:rsid w:val="00FB571B"/>
    <w:rsid w:val="00FB5DDC"/>
    <w:rsid w:val="00FB6601"/>
    <w:rsid w:val="00FB727A"/>
    <w:rsid w:val="00FB78C9"/>
    <w:rsid w:val="00FC026A"/>
    <w:rsid w:val="00FC066D"/>
    <w:rsid w:val="00FC07F2"/>
    <w:rsid w:val="00FC14C0"/>
    <w:rsid w:val="00FC1857"/>
    <w:rsid w:val="00FC18B3"/>
    <w:rsid w:val="00FC2302"/>
    <w:rsid w:val="00FC2867"/>
    <w:rsid w:val="00FC2FA1"/>
    <w:rsid w:val="00FC321B"/>
    <w:rsid w:val="00FC3687"/>
    <w:rsid w:val="00FC3D34"/>
    <w:rsid w:val="00FC49DC"/>
    <w:rsid w:val="00FC4BD0"/>
    <w:rsid w:val="00FC51B0"/>
    <w:rsid w:val="00FC524D"/>
    <w:rsid w:val="00FC550C"/>
    <w:rsid w:val="00FC5B7D"/>
    <w:rsid w:val="00FC5D2F"/>
    <w:rsid w:val="00FC61CE"/>
    <w:rsid w:val="00FC6260"/>
    <w:rsid w:val="00FC6981"/>
    <w:rsid w:val="00FC6DA9"/>
    <w:rsid w:val="00FC7185"/>
    <w:rsid w:val="00FC7B36"/>
    <w:rsid w:val="00FD00B2"/>
    <w:rsid w:val="00FD084C"/>
    <w:rsid w:val="00FD0F29"/>
    <w:rsid w:val="00FD2110"/>
    <w:rsid w:val="00FD2883"/>
    <w:rsid w:val="00FD2973"/>
    <w:rsid w:val="00FD3693"/>
    <w:rsid w:val="00FD41AC"/>
    <w:rsid w:val="00FD4B6D"/>
    <w:rsid w:val="00FD4BB1"/>
    <w:rsid w:val="00FD5F68"/>
    <w:rsid w:val="00FD6344"/>
    <w:rsid w:val="00FD6454"/>
    <w:rsid w:val="00FD6515"/>
    <w:rsid w:val="00FD6746"/>
    <w:rsid w:val="00FD682B"/>
    <w:rsid w:val="00FD6CC1"/>
    <w:rsid w:val="00FD7746"/>
    <w:rsid w:val="00FE00FF"/>
    <w:rsid w:val="00FE071F"/>
    <w:rsid w:val="00FE0DFA"/>
    <w:rsid w:val="00FE191B"/>
    <w:rsid w:val="00FE1C2F"/>
    <w:rsid w:val="00FE2922"/>
    <w:rsid w:val="00FE2D8F"/>
    <w:rsid w:val="00FE34B6"/>
    <w:rsid w:val="00FE3780"/>
    <w:rsid w:val="00FE3FE9"/>
    <w:rsid w:val="00FE4DDC"/>
    <w:rsid w:val="00FE4E17"/>
    <w:rsid w:val="00FE4EE1"/>
    <w:rsid w:val="00FE517C"/>
    <w:rsid w:val="00FE58F0"/>
    <w:rsid w:val="00FE67F9"/>
    <w:rsid w:val="00FE6925"/>
    <w:rsid w:val="00FE6CC7"/>
    <w:rsid w:val="00FE713D"/>
    <w:rsid w:val="00FE7719"/>
    <w:rsid w:val="00FF12F2"/>
    <w:rsid w:val="00FF198C"/>
    <w:rsid w:val="00FF233C"/>
    <w:rsid w:val="00FF3096"/>
    <w:rsid w:val="00FF3E0D"/>
    <w:rsid w:val="00FF417F"/>
    <w:rsid w:val="00FF472C"/>
    <w:rsid w:val="00FF4E1F"/>
    <w:rsid w:val="00FF4EED"/>
    <w:rsid w:val="00FF55E0"/>
    <w:rsid w:val="00FF5F79"/>
    <w:rsid w:val="00FF64A1"/>
    <w:rsid w:val="00FF7069"/>
    <w:rsid w:val="00FF70E1"/>
    <w:rsid w:val="00FF7CA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2919C757"/>
  <w15:docId w15:val="{FE8A530E-4F9A-4C6F-9D12-C846082EA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icrosoft New Tai Lue" w:eastAsia="Microsoft New Tai Lue" w:hAnsi="Microsoft New Tai Lue"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unhideWhenUsed="1"/>
    <w:lsdException w:name="List Number 4" w:semiHidden="1" w:unhideWhenUsed="1"/>
    <w:lsdException w:name="List Number 5" w:semiHidden="1"/>
    <w:lsdException w:name="Title" w:semiHidden="1" w:uiPriority="15"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F9544C"/>
    <w:pPr>
      <w:spacing w:before="240"/>
    </w:pPr>
    <w:rPr>
      <w:rFonts w:ascii="Calibri" w:hAnsi="Calibri"/>
      <w:sz w:val="22"/>
      <w:szCs w:val="22"/>
      <w:lang w:eastAsia="en-US"/>
    </w:rPr>
  </w:style>
  <w:style w:type="paragraph" w:styleId="Heading1">
    <w:name w:val="heading 1"/>
    <w:aliases w:val="Numbered H1"/>
    <w:basedOn w:val="Normal"/>
    <w:next w:val="BodyText"/>
    <w:link w:val="Heading1Char"/>
    <w:uiPriority w:val="9"/>
    <w:qFormat/>
    <w:rsid w:val="002B1ADE"/>
    <w:pPr>
      <w:keepNext/>
      <w:keepLines/>
      <w:spacing w:after="120" w:line="400" w:lineRule="atLeast"/>
      <w:outlineLvl w:val="0"/>
    </w:pPr>
    <w:rPr>
      <w:rFonts w:ascii="Calibri Light" w:eastAsia="MS Gothic" w:hAnsi="Calibri Light"/>
      <w:bCs/>
      <w:caps/>
      <w:color w:val="276C6C"/>
      <w:sz w:val="40"/>
      <w:szCs w:val="28"/>
    </w:rPr>
  </w:style>
  <w:style w:type="paragraph" w:styleId="Heading2">
    <w:name w:val="heading 2"/>
    <w:aliases w:val="Numbered H2"/>
    <w:basedOn w:val="Normal"/>
    <w:next w:val="BodyText"/>
    <w:link w:val="Heading2Char"/>
    <w:uiPriority w:val="9"/>
    <w:qFormat/>
    <w:rsid w:val="002B1ADE"/>
    <w:pPr>
      <w:keepNext/>
      <w:keepLines/>
      <w:numPr>
        <w:ilvl w:val="1"/>
        <w:numId w:val="20"/>
      </w:numPr>
      <w:spacing w:after="200" w:line="280" w:lineRule="atLeast"/>
      <w:outlineLvl w:val="1"/>
    </w:pPr>
    <w:rPr>
      <w:rFonts w:ascii="Calibri Light" w:eastAsia="MS Gothic" w:hAnsi="Calibri Light"/>
      <w:bCs/>
      <w:color w:val="3AA2A2"/>
      <w:sz w:val="32"/>
      <w:szCs w:val="26"/>
    </w:rPr>
  </w:style>
  <w:style w:type="paragraph" w:styleId="Heading3">
    <w:name w:val="heading 3"/>
    <w:aliases w:val="Numbering H3"/>
    <w:basedOn w:val="Normal"/>
    <w:next w:val="BodyText"/>
    <w:uiPriority w:val="9"/>
    <w:qFormat/>
    <w:rsid w:val="002B1ADE"/>
    <w:pPr>
      <w:keepNext/>
      <w:keepLines/>
      <w:numPr>
        <w:ilvl w:val="2"/>
        <w:numId w:val="20"/>
      </w:numPr>
      <w:spacing w:before="200" w:after="120"/>
      <w:outlineLvl w:val="2"/>
    </w:pPr>
    <w:rPr>
      <w:rFonts w:ascii="Calibri Light" w:eastAsia="MS Gothic" w:hAnsi="Calibri Light"/>
      <w:bCs/>
      <w:color w:val="254F90"/>
      <w:sz w:val="24"/>
    </w:rPr>
  </w:style>
  <w:style w:type="paragraph" w:styleId="Heading4">
    <w:name w:val="heading 4"/>
    <w:basedOn w:val="Normal"/>
    <w:next w:val="BodyText"/>
    <w:link w:val="Heading4Char"/>
    <w:uiPriority w:val="9"/>
    <w:qFormat/>
    <w:rsid w:val="002B1ADE"/>
    <w:pPr>
      <w:keepNext/>
      <w:keepLines/>
      <w:numPr>
        <w:ilvl w:val="3"/>
        <w:numId w:val="20"/>
      </w:numPr>
      <w:spacing w:before="200" w:after="120"/>
      <w:outlineLvl w:val="3"/>
    </w:pPr>
    <w:rPr>
      <w:rFonts w:ascii="Calibri Light" w:eastAsia="MS Gothic" w:hAnsi="Calibri Light"/>
      <w:bCs/>
      <w:iCs/>
      <w:color w:val="276C6C"/>
      <w:sz w:val="24"/>
    </w:rPr>
  </w:style>
  <w:style w:type="paragraph" w:styleId="Heading5">
    <w:name w:val="heading 5"/>
    <w:basedOn w:val="Normal"/>
    <w:next w:val="BodyText"/>
    <w:uiPriority w:val="9"/>
    <w:qFormat/>
    <w:rsid w:val="00570FCE"/>
    <w:pPr>
      <w:keepNext/>
      <w:keepLines/>
      <w:numPr>
        <w:ilvl w:val="4"/>
        <w:numId w:val="20"/>
      </w:numPr>
      <w:spacing w:before="200" w:after="120"/>
      <w:jc w:val="right"/>
      <w:outlineLvl w:val="4"/>
    </w:pPr>
    <w:rPr>
      <w:rFonts w:ascii="Arial" w:eastAsia="MS Gothic" w:hAnsi="Arial"/>
      <w:b/>
      <w:caps/>
      <w:color w:val="3AA2A2"/>
      <w:sz w:val="18"/>
    </w:rPr>
  </w:style>
  <w:style w:type="paragraph" w:styleId="Heading6">
    <w:name w:val="heading 6"/>
    <w:basedOn w:val="Normal"/>
    <w:next w:val="Normal"/>
    <w:uiPriority w:val="9"/>
    <w:unhideWhenUsed/>
    <w:qFormat/>
    <w:rsid w:val="00F9544C"/>
    <w:pPr>
      <w:keepNext/>
      <w:keepLines/>
      <w:numPr>
        <w:ilvl w:val="5"/>
        <w:numId w:val="18"/>
      </w:numPr>
      <w:spacing w:before="200"/>
      <w:outlineLvl w:val="5"/>
    </w:pPr>
    <w:rPr>
      <w:rFonts w:ascii="Arial" w:eastAsia="MS Gothic" w:hAnsi="Arial"/>
      <w:i/>
      <w:iCs/>
      <w:color w:val="122748"/>
    </w:rPr>
  </w:style>
  <w:style w:type="paragraph" w:styleId="Heading7">
    <w:name w:val="heading 7"/>
    <w:basedOn w:val="Normal"/>
    <w:next w:val="Normal"/>
    <w:uiPriority w:val="9"/>
    <w:semiHidden/>
    <w:unhideWhenUsed/>
    <w:qFormat/>
    <w:rsid w:val="00855F18"/>
    <w:pPr>
      <w:keepNext/>
      <w:keepLines/>
      <w:numPr>
        <w:ilvl w:val="6"/>
        <w:numId w:val="18"/>
      </w:numPr>
      <w:spacing w:before="200"/>
      <w:outlineLvl w:val="6"/>
    </w:pPr>
    <w:rPr>
      <w:rFonts w:ascii="Arial" w:eastAsia="MS Gothic" w:hAnsi="Arial"/>
      <w:i/>
      <w:iCs/>
      <w:color w:val="3F3F3F"/>
    </w:rPr>
  </w:style>
  <w:style w:type="paragraph" w:styleId="Heading8">
    <w:name w:val="heading 8"/>
    <w:basedOn w:val="Normal"/>
    <w:next w:val="Normal"/>
    <w:uiPriority w:val="9"/>
    <w:semiHidden/>
    <w:unhideWhenUsed/>
    <w:qFormat/>
    <w:rsid w:val="00A0420F"/>
    <w:pPr>
      <w:keepNext/>
      <w:keepLines/>
      <w:numPr>
        <w:ilvl w:val="7"/>
        <w:numId w:val="18"/>
      </w:numPr>
      <w:spacing w:before="200"/>
      <w:outlineLvl w:val="7"/>
    </w:pPr>
    <w:rPr>
      <w:rFonts w:ascii="Arial" w:eastAsia="MS Gothic" w:hAnsi="Arial"/>
      <w:color w:val="6F6F6F"/>
      <w:sz w:val="20"/>
      <w:szCs w:val="20"/>
    </w:rPr>
  </w:style>
  <w:style w:type="paragraph" w:styleId="Heading9">
    <w:name w:val="heading 9"/>
    <w:basedOn w:val="Normal"/>
    <w:next w:val="Normal"/>
    <w:uiPriority w:val="9"/>
    <w:semiHidden/>
    <w:unhideWhenUsed/>
    <w:qFormat/>
    <w:rsid w:val="00A0420F"/>
    <w:pPr>
      <w:keepNext/>
      <w:keepLines/>
      <w:numPr>
        <w:ilvl w:val="8"/>
        <w:numId w:val="18"/>
      </w:numPr>
      <w:spacing w:before="200"/>
      <w:outlineLvl w:val="8"/>
    </w:pPr>
    <w:rPr>
      <w:rFonts w:ascii="Arial" w:eastAsia="MS Gothic" w:hAnsi="Arial"/>
      <w:i/>
      <w:iCs/>
      <w:color w:val="6F6F6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autoRedefine/>
    <w:rsid w:val="0052682D"/>
    <w:pPr>
      <w:tabs>
        <w:tab w:val="left" w:pos="2617"/>
      </w:tabs>
      <w:spacing w:before="0"/>
      <w:jc w:val="center"/>
    </w:pPr>
    <w:rPr>
      <w:color w:val="2F2F2F"/>
    </w:rPr>
  </w:style>
  <w:style w:type="paragraph" w:customStyle="1" w:styleId="Titleheading">
    <w:name w:val="Title heading"/>
    <w:basedOn w:val="BodyText"/>
    <w:next w:val="BodyText"/>
    <w:link w:val="TitleheadingChar"/>
    <w:uiPriority w:val="15"/>
    <w:qFormat/>
    <w:rsid w:val="002B1ADE"/>
    <w:pPr>
      <w:spacing w:before="480" w:after="360" w:line="440" w:lineRule="atLeast"/>
    </w:pPr>
    <w:rPr>
      <w:rFonts w:ascii="Calibri Light" w:hAnsi="Calibri Light"/>
      <w:caps/>
      <w:color w:val="212A4C"/>
      <w:sz w:val="96"/>
    </w:rPr>
  </w:style>
  <w:style w:type="paragraph" w:customStyle="1" w:styleId="Tablecellheading">
    <w:name w:val="Table cell heading"/>
    <w:basedOn w:val="Tabletext"/>
    <w:uiPriority w:val="12"/>
    <w:qFormat/>
    <w:rsid w:val="002B1ADE"/>
    <w:pPr>
      <w:keepNext/>
    </w:pPr>
    <w:rPr>
      <w:rFonts w:ascii="Calibri Light" w:hAnsi="Calibri Light"/>
      <w:bCs/>
      <w:color w:val="212A4C"/>
    </w:rPr>
  </w:style>
  <w:style w:type="paragraph" w:customStyle="1" w:styleId="Tabletext">
    <w:name w:val="Table text"/>
    <w:basedOn w:val="BodyText"/>
    <w:uiPriority w:val="12"/>
    <w:qFormat/>
    <w:rsid w:val="002B1ADE"/>
    <w:pPr>
      <w:spacing w:before="120" w:after="120"/>
    </w:pPr>
    <w:rPr>
      <w:rFonts w:eastAsia="Calibri"/>
      <w:lang w:eastAsia="en-AU"/>
    </w:rPr>
  </w:style>
  <w:style w:type="paragraph" w:styleId="Caption">
    <w:name w:val="caption"/>
    <w:basedOn w:val="Normal"/>
    <w:next w:val="Normal"/>
    <w:uiPriority w:val="35"/>
    <w:semiHidden/>
    <w:qFormat/>
    <w:rsid w:val="0052764B"/>
    <w:pPr>
      <w:tabs>
        <w:tab w:val="left" w:pos="1021"/>
      </w:tabs>
      <w:spacing w:after="120"/>
      <w:ind w:left="1021" w:hanging="1021"/>
    </w:pPr>
    <w:rPr>
      <w:b/>
      <w:bCs/>
      <w:color w:val="00728F"/>
      <w:sz w:val="18"/>
      <w:szCs w:val="18"/>
    </w:rPr>
  </w:style>
  <w:style w:type="paragraph" w:customStyle="1" w:styleId="Tablecaption">
    <w:name w:val="Table caption"/>
    <w:basedOn w:val="Caption"/>
    <w:next w:val="Tabledescription"/>
    <w:uiPriority w:val="11"/>
    <w:qFormat/>
    <w:rsid w:val="00EB5D5E"/>
    <w:pPr>
      <w:keepNext/>
    </w:pPr>
    <w:rPr>
      <w:color w:val="181F38"/>
    </w:rPr>
  </w:style>
  <w:style w:type="character" w:styleId="Strong">
    <w:name w:val="Strong"/>
    <w:uiPriority w:val="22"/>
    <w:qFormat/>
    <w:rsid w:val="00BF014B"/>
    <w:rPr>
      <w:b/>
      <w:bCs/>
    </w:rPr>
  </w:style>
  <w:style w:type="paragraph" w:styleId="BalloonText">
    <w:name w:val="Balloon Text"/>
    <w:basedOn w:val="Normal"/>
    <w:uiPriority w:val="99"/>
    <w:semiHidden/>
    <w:rsid w:val="00A66655"/>
    <w:rPr>
      <w:rFonts w:ascii="Tahoma" w:hAnsi="Tahoma" w:cs="Tahoma"/>
      <w:sz w:val="16"/>
      <w:szCs w:val="16"/>
    </w:rPr>
  </w:style>
  <w:style w:type="character" w:styleId="Hyperlink">
    <w:name w:val="Hyperlink"/>
    <w:uiPriority w:val="99"/>
    <w:unhideWhenUsed/>
    <w:rsid w:val="00A1438A"/>
    <w:rPr>
      <w:color w:val="254F90"/>
      <w:u w:val="single"/>
    </w:rPr>
  </w:style>
  <w:style w:type="paragraph" w:customStyle="1" w:styleId="Tablebullet-Level1">
    <w:name w:val="Table bullet - Level 1"/>
    <w:basedOn w:val="Tabletext"/>
    <w:uiPriority w:val="13"/>
    <w:qFormat/>
    <w:rsid w:val="00EB5D5E"/>
    <w:pPr>
      <w:numPr>
        <w:numId w:val="12"/>
      </w:numPr>
    </w:pPr>
  </w:style>
  <w:style w:type="paragraph" w:customStyle="1" w:styleId="Tabledescription">
    <w:name w:val="Table description"/>
    <w:basedOn w:val="Tablecaption"/>
    <w:uiPriority w:val="11"/>
    <w:qFormat/>
    <w:rsid w:val="0052764B"/>
    <w:pPr>
      <w:tabs>
        <w:tab w:val="clear" w:pos="1021"/>
      </w:tabs>
      <w:spacing w:before="120" w:after="240"/>
      <w:ind w:firstLine="0"/>
    </w:pPr>
    <w:rPr>
      <w:b w:val="0"/>
      <w:color w:val="auto"/>
    </w:rPr>
  </w:style>
  <w:style w:type="paragraph" w:customStyle="1" w:styleId="Endmatter-Heading1">
    <w:name w:val="End matter - Heading 1"/>
    <w:basedOn w:val="Heading1"/>
    <w:next w:val="BodyText"/>
    <w:uiPriority w:val="19"/>
    <w:qFormat/>
    <w:rsid w:val="00FC3687"/>
    <w:pPr>
      <w:pageBreakBefore/>
      <w:numPr>
        <w:numId w:val="21"/>
      </w:numPr>
    </w:pPr>
  </w:style>
  <w:style w:type="paragraph" w:styleId="TOCHeading">
    <w:name w:val="TOC Heading"/>
    <w:basedOn w:val="Heading1"/>
    <w:next w:val="BodyText"/>
    <w:uiPriority w:val="39"/>
    <w:qFormat/>
    <w:rsid w:val="002B1ADE"/>
    <w:pPr>
      <w:spacing w:after="360"/>
      <w:outlineLvl w:val="9"/>
    </w:pPr>
    <w:rPr>
      <w:sz w:val="56"/>
    </w:rPr>
  </w:style>
  <w:style w:type="paragraph" w:styleId="TOC1">
    <w:name w:val="toc 1"/>
    <w:basedOn w:val="Normal"/>
    <w:next w:val="Normal"/>
    <w:autoRedefine/>
    <w:uiPriority w:val="39"/>
    <w:rsid w:val="007F68D8"/>
    <w:pPr>
      <w:tabs>
        <w:tab w:val="left" w:pos="0"/>
        <w:tab w:val="right" w:leader="dot" w:pos="9029"/>
      </w:tabs>
      <w:spacing w:before="120" w:after="100"/>
      <w:ind w:right="379"/>
    </w:pPr>
    <w:rPr>
      <w:rFonts w:ascii="Calibri Light" w:hAnsi="Calibri Light"/>
      <w:noProof/>
      <w:color w:val="222A35"/>
      <w:sz w:val="24"/>
    </w:rPr>
  </w:style>
  <w:style w:type="paragraph" w:styleId="TOC2">
    <w:name w:val="toc 2"/>
    <w:basedOn w:val="Normal"/>
    <w:next w:val="Normal"/>
    <w:autoRedefine/>
    <w:uiPriority w:val="39"/>
    <w:rsid w:val="007C4829"/>
    <w:pPr>
      <w:tabs>
        <w:tab w:val="left" w:pos="567"/>
        <w:tab w:val="right" w:leader="dot" w:pos="9029"/>
      </w:tabs>
      <w:spacing w:before="0" w:after="100"/>
      <w:ind w:left="567" w:right="379"/>
    </w:pPr>
    <w:rPr>
      <w:rFonts w:ascii="Calibri Light" w:hAnsi="Calibri Light"/>
      <w:color w:val="3B3838"/>
    </w:rPr>
  </w:style>
  <w:style w:type="paragraph" w:styleId="TOC3">
    <w:name w:val="toc 3"/>
    <w:basedOn w:val="Normal"/>
    <w:next w:val="Normal"/>
    <w:autoRedefine/>
    <w:uiPriority w:val="39"/>
    <w:rsid w:val="00D556C4"/>
    <w:pPr>
      <w:tabs>
        <w:tab w:val="right" w:leader="dot" w:pos="9016"/>
      </w:tabs>
      <w:spacing w:before="0" w:after="100"/>
      <w:ind w:left="440"/>
    </w:pPr>
  </w:style>
  <w:style w:type="paragraph" w:customStyle="1" w:styleId="Titlesub-heading">
    <w:name w:val="Title sub-heading"/>
    <w:basedOn w:val="Normal"/>
    <w:next w:val="BodyText"/>
    <w:uiPriority w:val="15"/>
    <w:qFormat/>
    <w:rsid w:val="00EB5D5E"/>
    <w:pPr>
      <w:spacing w:after="120" w:line="440" w:lineRule="atLeast"/>
      <w:contextualSpacing/>
    </w:pPr>
    <w:rPr>
      <w:rFonts w:ascii="Cambria" w:eastAsia="MS Gothic" w:hAnsi="Cambria"/>
      <w:color w:val="212A4C"/>
      <w:kern w:val="28"/>
      <w:sz w:val="36"/>
      <w:szCs w:val="52"/>
    </w:rPr>
  </w:style>
  <w:style w:type="paragraph" w:customStyle="1" w:styleId="Endmatter-Heading2">
    <w:name w:val="End matter - Heading 2"/>
    <w:basedOn w:val="Heading2"/>
    <w:next w:val="BodyText"/>
    <w:uiPriority w:val="19"/>
    <w:qFormat/>
    <w:rsid w:val="00FC3687"/>
    <w:pPr>
      <w:numPr>
        <w:numId w:val="21"/>
      </w:numPr>
    </w:pPr>
  </w:style>
  <w:style w:type="paragraph" w:styleId="Header">
    <w:name w:val="header"/>
    <w:basedOn w:val="Normal"/>
    <w:link w:val="HeaderChar"/>
    <w:rsid w:val="002B1ADE"/>
    <w:pPr>
      <w:tabs>
        <w:tab w:val="center" w:pos="4513"/>
        <w:tab w:val="right" w:pos="9026"/>
      </w:tabs>
      <w:spacing w:before="0"/>
      <w:jc w:val="right"/>
    </w:pPr>
    <w:rPr>
      <w:rFonts w:ascii="Calibri Light" w:hAnsi="Calibri Light"/>
      <w:caps/>
      <w:color w:val="4472C4"/>
      <w:sz w:val="18"/>
    </w:rPr>
  </w:style>
  <w:style w:type="paragraph" w:styleId="Footer">
    <w:name w:val="footer"/>
    <w:basedOn w:val="Normal"/>
    <w:link w:val="FooterChar"/>
    <w:uiPriority w:val="99"/>
    <w:rsid w:val="00570FCE"/>
    <w:pPr>
      <w:tabs>
        <w:tab w:val="center" w:pos="4513"/>
        <w:tab w:val="right" w:pos="9026"/>
      </w:tabs>
    </w:pPr>
    <w:rPr>
      <w:rFonts w:ascii="Microsoft New Tai Lue" w:hAnsi="Microsoft New Tai Lue"/>
      <w:color w:val="212A4C"/>
      <w:sz w:val="20"/>
    </w:rPr>
  </w:style>
  <w:style w:type="paragraph" w:customStyle="1" w:styleId="Bodybullet-Level1">
    <w:name w:val="Body bullet - Level 1"/>
    <w:basedOn w:val="BodyText"/>
    <w:uiPriority w:val="1"/>
    <w:qFormat/>
    <w:rsid w:val="00793DC9"/>
    <w:pPr>
      <w:numPr>
        <w:numId w:val="11"/>
      </w:numPr>
      <w:spacing w:before="120" w:after="180"/>
    </w:pPr>
  </w:style>
  <w:style w:type="paragraph" w:customStyle="1" w:styleId="Bodybullet-Level2">
    <w:name w:val="Body bullet - Level 2"/>
    <w:basedOn w:val="Bodybullet-Level1"/>
    <w:uiPriority w:val="1"/>
    <w:qFormat/>
    <w:rsid w:val="00EB5D5E"/>
    <w:pPr>
      <w:numPr>
        <w:numId w:val="22"/>
      </w:numPr>
    </w:pPr>
  </w:style>
  <w:style w:type="paragraph" w:customStyle="1" w:styleId="Bodybullet-Level3">
    <w:name w:val="Body bullet - Level 3"/>
    <w:basedOn w:val="Bodybullet-Level1"/>
    <w:uiPriority w:val="1"/>
    <w:qFormat/>
    <w:rsid w:val="00617129"/>
    <w:pPr>
      <w:numPr>
        <w:numId w:val="25"/>
      </w:numPr>
    </w:pPr>
  </w:style>
  <w:style w:type="paragraph" w:customStyle="1" w:styleId="Tablebullet-Level2">
    <w:name w:val="Table bullet - Level 2"/>
    <w:basedOn w:val="Tablebullet-Level1"/>
    <w:uiPriority w:val="13"/>
    <w:qFormat/>
    <w:rsid w:val="00AC37E5"/>
    <w:pPr>
      <w:numPr>
        <w:ilvl w:val="1"/>
      </w:numPr>
    </w:pPr>
  </w:style>
  <w:style w:type="paragraph" w:customStyle="1" w:styleId="Figurecaption">
    <w:name w:val="Figure caption"/>
    <w:basedOn w:val="Caption"/>
    <w:next w:val="Normal"/>
    <w:link w:val="FigurecaptionCharChar"/>
    <w:uiPriority w:val="10"/>
    <w:qFormat/>
    <w:rsid w:val="00EB5D5E"/>
    <w:pPr>
      <w:keepNext/>
    </w:pPr>
    <w:rPr>
      <w:color w:val="3F3F3F"/>
    </w:rPr>
  </w:style>
  <w:style w:type="character" w:styleId="PageNumber">
    <w:name w:val="page number"/>
    <w:uiPriority w:val="49"/>
    <w:rsid w:val="00054D3B"/>
    <w:rPr>
      <w:color w:val="FFFFFF"/>
      <w:sz w:val="22"/>
    </w:rPr>
  </w:style>
  <w:style w:type="paragraph" w:customStyle="1" w:styleId="Bodynumbered-Level1">
    <w:name w:val="Body numbered - Level 1"/>
    <w:basedOn w:val="BodyText"/>
    <w:uiPriority w:val="1"/>
    <w:qFormat/>
    <w:rsid w:val="00087E72"/>
    <w:pPr>
      <w:numPr>
        <w:numId w:val="13"/>
      </w:numPr>
      <w:spacing w:before="120" w:after="180"/>
    </w:pPr>
  </w:style>
  <w:style w:type="paragraph" w:customStyle="1" w:styleId="Bodynumbered-Level2">
    <w:name w:val="Body numbered - Level 2"/>
    <w:basedOn w:val="Bodynumbered-Level1"/>
    <w:uiPriority w:val="1"/>
    <w:qFormat/>
    <w:rsid w:val="0055556C"/>
    <w:pPr>
      <w:numPr>
        <w:numId w:val="26"/>
      </w:numPr>
    </w:pPr>
  </w:style>
  <w:style w:type="paragraph" w:customStyle="1" w:styleId="Bodynumbered-Level3">
    <w:name w:val="Body numbered - Level 3"/>
    <w:basedOn w:val="Bodynumbered-Level1"/>
    <w:uiPriority w:val="1"/>
    <w:qFormat/>
    <w:rsid w:val="00A6258B"/>
    <w:pPr>
      <w:numPr>
        <w:numId w:val="23"/>
      </w:numPr>
    </w:pPr>
  </w:style>
  <w:style w:type="paragraph" w:customStyle="1" w:styleId="Preliminaries-Heading1">
    <w:name w:val="Preliminaries - Heading 1"/>
    <w:basedOn w:val="Heading1"/>
    <w:next w:val="BodyText"/>
    <w:uiPriority w:val="18"/>
    <w:qFormat/>
    <w:rsid w:val="007E77FD"/>
  </w:style>
  <w:style w:type="paragraph" w:customStyle="1" w:styleId="Preliminaries-Heading2">
    <w:name w:val="Preliminaries - Heading 2"/>
    <w:basedOn w:val="Heading2"/>
    <w:next w:val="BodyText"/>
    <w:uiPriority w:val="18"/>
    <w:qFormat/>
    <w:rsid w:val="00EB5D5E"/>
    <w:pPr>
      <w:numPr>
        <w:ilvl w:val="0"/>
        <w:numId w:val="0"/>
      </w:numPr>
    </w:pPr>
  </w:style>
  <w:style w:type="paragraph" w:customStyle="1" w:styleId="Preliminaries-Heading3">
    <w:name w:val="Preliminaries - Heading 3"/>
    <w:basedOn w:val="Heading3"/>
    <w:next w:val="BodyText"/>
    <w:uiPriority w:val="18"/>
    <w:qFormat/>
    <w:rsid w:val="007E77FD"/>
    <w:pPr>
      <w:numPr>
        <w:ilvl w:val="0"/>
        <w:numId w:val="0"/>
      </w:numPr>
    </w:pPr>
  </w:style>
  <w:style w:type="paragraph" w:styleId="FootnoteText">
    <w:name w:val="footnote text"/>
    <w:basedOn w:val="Normal"/>
    <w:link w:val="FootnoteTextChar"/>
    <w:uiPriority w:val="99"/>
    <w:rsid w:val="001F4F16"/>
    <w:rPr>
      <w:rFonts w:ascii="Microsoft New Tai Lue" w:hAnsi="Microsoft New Tai Lue"/>
      <w:sz w:val="16"/>
      <w:szCs w:val="20"/>
    </w:rPr>
  </w:style>
  <w:style w:type="character" w:styleId="FootnoteReference">
    <w:name w:val="footnote reference"/>
    <w:uiPriority w:val="99"/>
    <w:rsid w:val="008D0A94"/>
    <w:rPr>
      <w:vertAlign w:val="superscript"/>
    </w:rPr>
  </w:style>
  <w:style w:type="paragraph" w:customStyle="1" w:styleId="Bodytext-Indent">
    <w:name w:val="Body text - Indent"/>
    <w:basedOn w:val="BodyText"/>
    <w:next w:val="BodyText"/>
    <w:qFormat/>
    <w:rsid w:val="00DF7C5F"/>
    <w:pPr>
      <w:ind w:left="340"/>
    </w:pPr>
  </w:style>
  <w:style w:type="paragraph" w:customStyle="1" w:styleId="Boxtext">
    <w:name w:val="Box text"/>
    <w:basedOn w:val="BodyText"/>
    <w:uiPriority w:val="14"/>
    <w:qFormat/>
    <w:rsid w:val="00A1438A"/>
    <w:pPr>
      <w:pBdr>
        <w:top w:val="single" w:sz="8" w:space="8" w:color="D9E021"/>
        <w:left w:val="single" w:sz="8" w:space="8" w:color="D9E021"/>
        <w:bottom w:val="single" w:sz="8" w:space="8" w:color="D9E021"/>
        <w:right w:val="single" w:sz="8" w:space="0" w:color="D9E021"/>
      </w:pBdr>
      <w:shd w:val="clear" w:color="auto" w:fill="F7F8D2"/>
      <w:ind w:left="198"/>
    </w:pPr>
    <w:rPr>
      <w:rFonts w:ascii="Microsoft New Tai Lue" w:hAnsi="Microsoft New Tai Lue"/>
    </w:rPr>
  </w:style>
  <w:style w:type="paragraph" w:customStyle="1" w:styleId="Boxheading">
    <w:name w:val="Box heading"/>
    <w:basedOn w:val="Boxtext"/>
    <w:next w:val="Boxtext"/>
    <w:uiPriority w:val="14"/>
    <w:qFormat/>
    <w:rsid w:val="00A1438A"/>
    <w:pPr>
      <w:spacing w:after="120"/>
    </w:pPr>
    <w:rPr>
      <w:rFonts w:ascii="Arial" w:hAnsi="Arial"/>
      <w:caps/>
      <w:color w:val="212A4C"/>
      <w:sz w:val="28"/>
    </w:rPr>
  </w:style>
  <w:style w:type="paragraph" w:customStyle="1" w:styleId="Boxbullet">
    <w:name w:val="Box bullet"/>
    <w:basedOn w:val="Boxtext"/>
    <w:uiPriority w:val="15"/>
    <w:qFormat/>
    <w:rsid w:val="00F01429"/>
    <w:pPr>
      <w:numPr>
        <w:numId w:val="14"/>
      </w:numPr>
      <w:spacing w:after="180"/>
      <w:ind w:left="652" w:hanging="454"/>
    </w:pPr>
  </w:style>
  <w:style w:type="paragraph" w:customStyle="1" w:styleId="Boxsub-heading">
    <w:name w:val="Box sub-heading"/>
    <w:basedOn w:val="Boxtext"/>
    <w:next w:val="Boxtext"/>
    <w:uiPriority w:val="14"/>
    <w:qFormat/>
    <w:rsid w:val="00874602"/>
    <w:pPr>
      <w:pBdr>
        <w:top w:val="single" w:sz="4" w:space="8" w:color="F3ADD7"/>
        <w:left w:val="single" w:sz="4" w:space="8" w:color="F3ADD7"/>
        <w:bottom w:val="single" w:sz="4" w:space="8" w:color="F3ADD7"/>
        <w:right w:val="single" w:sz="4" w:space="0" w:color="F3ADD7"/>
      </w:pBdr>
    </w:pPr>
    <w:rPr>
      <w:b/>
      <w:color w:val="3F3F3F"/>
    </w:rPr>
  </w:style>
  <w:style w:type="paragraph" w:customStyle="1" w:styleId="SourceNotes">
    <w:name w:val="Source/Notes"/>
    <w:basedOn w:val="BodyText"/>
    <w:next w:val="BodyText"/>
    <w:uiPriority w:val="10"/>
    <w:qFormat/>
    <w:rsid w:val="002B1ADE"/>
    <w:rPr>
      <w:i/>
      <w:sz w:val="16"/>
    </w:rPr>
  </w:style>
  <w:style w:type="paragraph" w:customStyle="1" w:styleId="Boxcaption">
    <w:name w:val="Box caption"/>
    <w:basedOn w:val="Caption"/>
    <w:uiPriority w:val="14"/>
    <w:qFormat/>
    <w:rsid w:val="00EB5D5E"/>
    <w:rPr>
      <w:color w:val="181F38"/>
    </w:rPr>
  </w:style>
  <w:style w:type="paragraph" w:customStyle="1" w:styleId="Endmatter-Heading3">
    <w:name w:val="End matter - Heading 3"/>
    <w:basedOn w:val="Heading3"/>
    <w:next w:val="BodyText"/>
    <w:uiPriority w:val="19"/>
    <w:qFormat/>
    <w:rsid w:val="00FC3687"/>
    <w:pPr>
      <w:numPr>
        <w:numId w:val="21"/>
      </w:numPr>
    </w:pPr>
  </w:style>
  <w:style w:type="paragraph" w:customStyle="1" w:styleId="Titledate">
    <w:name w:val="Title date"/>
    <w:basedOn w:val="Normal"/>
    <w:uiPriority w:val="16"/>
    <w:qFormat/>
    <w:rsid w:val="00EB5D5E"/>
    <w:pPr>
      <w:spacing w:before="80" w:after="120" w:line="460" w:lineRule="atLeast"/>
      <w:contextualSpacing/>
    </w:pPr>
    <w:rPr>
      <w:rFonts w:ascii="Cambria" w:eastAsia="MS Gothic" w:hAnsi="Cambria"/>
      <w:b/>
      <w:color w:val="212A4C"/>
      <w:kern w:val="28"/>
      <w:sz w:val="32"/>
      <w:szCs w:val="52"/>
    </w:rPr>
  </w:style>
  <w:style w:type="paragraph" w:customStyle="1" w:styleId="Boxlist-Numbered">
    <w:name w:val="Box list - Numbered"/>
    <w:basedOn w:val="Titledate"/>
    <w:uiPriority w:val="15"/>
    <w:qFormat/>
    <w:rsid w:val="00EB5D5E"/>
    <w:rPr>
      <w:sz w:val="24"/>
    </w:rPr>
  </w:style>
  <w:style w:type="paragraph" w:customStyle="1" w:styleId="Boxlist-Alpha">
    <w:name w:val="Box list - Alpha"/>
    <w:basedOn w:val="Boxtext"/>
    <w:uiPriority w:val="15"/>
    <w:qFormat/>
    <w:rsid w:val="00F9544C"/>
    <w:pPr>
      <w:numPr>
        <w:numId w:val="24"/>
      </w:numPr>
      <w:spacing w:before="120"/>
    </w:pPr>
  </w:style>
  <w:style w:type="paragraph" w:customStyle="1" w:styleId="Chartandfiguresheading">
    <w:name w:val="Chart and figures heading"/>
    <w:basedOn w:val="H2"/>
    <w:next w:val="BodyText"/>
    <w:link w:val="ChartandfiguresheadingChar"/>
    <w:qFormat/>
    <w:rsid w:val="00F9544C"/>
  </w:style>
  <w:style w:type="paragraph" w:customStyle="1" w:styleId="Tablelist-Numbered">
    <w:name w:val="Table list - Numbered"/>
    <w:basedOn w:val="Tabletext"/>
    <w:uiPriority w:val="13"/>
    <w:qFormat/>
    <w:rsid w:val="00EB5D5E"/>
    <w:pPr>
      <w:numPr>
        <w:numId w:val="15"/>
      </w:numPr>
    </w:pPr>
  </w:style>
  <w:style w:type="paragraph" w:customStyle="1" w:styleId="Tablecellsub-heading">
    <w:name w:val="Table cell sub-heading"/>
    <w:basedOn w:val="Tablecellheading"/>
    <w:uiPriority w:val="12"/>
    <w:qFormat/>
    <w:rsid w:val="00133178"/>
    <w:rPr>
      <w:color w:val="auto"/>
    </w:rPr>
  </w:style>
  <w:style w:type="character" w:styleId="Emphasis">
    <w:name w:val="Emphasis"/>
    <w:uiPriority w:val="20"/>
    <w:qFormat/>
    <w:rsid w:val="00D52C5A"/>
    <w:rPr>
      <w:i/>
      <w:iCs/>
    </w:rPr>
  </w:style>
  <w:style w:type="character" w:styleId="CommentReference">
    <w:name w:val="annotation reference"/>
    <w:uiPriority w:val="99"/>
    <w:semiHidden/>
    <w:rsid w:val="008F23A9"/>
    <w:rPr>
      <w:sz w:val="16"/>
      <w:szCs w:val="16"/>
    </w:rPr>
  </w:style>
  <w:style w:type="paragraph" w:styleId="CommentText">
    <w:name w:val="annotation text"/>
    <w:basedOn w:val="Normal"/>
    <w:link w:val="CommentTextChar"/>
    <w:uiPriority w:val="99"/>
    <w:rsid w:val="008F23A9"/>
    <w:rPr>
      <w:sz w:val="20"/>
      <w:szCs w:val="20"/>
    </w:rPr>
  </w:style>
  <w:style w:type="paragraph" w:styleId="CommentSubject">
    <w:name w:val="annotation subject"/>
    <w:basedOn w:val="CommentText"/>
    <w:next w:val="CommentText"/>
    <w:uiPriority w:val="99"/>
    <w:semiHidden/>
    <w:rsid w:val="008F23A9"/>
    <w:rPr>
      <w:b/>
      <w:bCs/>
    </w:rPr>
  </w:style>
  <w:style w:type="numbering" w:styleId="111111">
    <w:name w:val="Outline List 2"/>
    <w:basedOn w:val="NoList"/>
    <w:uiPriority w:val="99"/>
    <w:semiHidden/>
    <w:unhideWhenUsed/>
    <w:rsid w:val="00A0420F"/>
    <w:pPr>
      <w:numPr>
        <w:numId w:val="16"/>
      </w:numPr>
    </w:pPr>
  </w:style>
  <w:style w:type="numbering" w:styleId="1ai">
    <w:name w:val="Outline List 1"/>
    <w:basedOn w:val="NoList"/>
    <w:uiPriority w:val="99"/>
    <w:semiHidden/>
    <w:unhideWhenUsed/>
    <w:rsid w:val="00A0420F"/>
    <w:pPr>
      <w:numPr>
        <w:numId w:val="17"/>
      </w:numPr>
    </w:pPr>
  </w:style>
  <w:style w:type="numbering" w:styleId="ArticleSection">
    <w:name w:val="Outline List 3"/>
    <w:basedOn w:val="NoList"/>
    <w:uiPriority w:val="99"/>
    <w:semiHidden/>
    <w:unhideWhenUsed/>
    <w:rsid w:val="00A0420F"/>
    <w:pPr>
      <w:numPr>
        <w:numId w:val="18"/>
      </w:numPr>
    </w:pPr>
  </w:style>
  <w:style w:type="paragraph" w:styleId="Bibliography">
    <w:name w:val="Bibliography"/>
    <w:basedOn w:val="Normal"/>
    <w:next w:val="Normal"/>
    <w:uiPriority w:val="37"/>
    <w:semiHidden/>
    <w:unhideWhenUsed/>
    <w:rsid w:val="00A0420F"/>
  </w:style>
  <w:style w:type="paragraph" w:styleId="BlockText">
    <w:name w:val="Block Text"/>
    <w:basedOn w:val="Normal"/>
    <w:uiPriority w:val="99"/>
    <w:semiHidden/>
    <w:rsid w:val="00A0420F"/>
    <w:pPr>
      <w:pBdr>
        <w:top w:val="single" w:sz="2" w:space="10" w:color="254F90" w:shadow="1" w:frame="1"/>
        <w:left w:val="single" w:sz="2" w:space="10" w:color="254F90" w:shadow="1" w:frame="1"/>
        <w:bottom w:val="single" w:sz="2" w:space="10" w:color="254F90" w:shadow="1" w:frame="1"/>
        <w:right w:val="single" w:sz="2" w:space="10" w:color="254F90" w:shadow="1" w:frame="1"/>
      </w:pBdr>
      <w:ind w:left="1152" w:right="1152"/>
    </w:pPr>
    <w:rPr>
      <w:rFonts w:ascii="Microsoft New Tai Lue" w:eastAsia="MS Mincho" w:hAnsi="Microsoft New Tai Lue"/>
      <w:i/>
      <w:iCs/>
      <w:color w:val="254F90"/>
    </w:rPr>
  </w:style>
  <w:style w:type="paragraph" w:styleId="BodyText2">
    <w:name w:val="Body Text 2"/>
    <w:basedOn w:val="Normal"/>
    <w:uiPriority w:val="99"/>
    <w:semiHidden/>
    <w:rsid w:val="00A0420F"/>
    <w:pPr>
      <w:spacing w:after="120" w:line="480" w:lineRule="auto"/>
    </w:pPr>
  </w:style>
  <w:style w:type="paragraph" w:styleId="BodyText3">
    <w:name w:val="Body Text 3"/>
    <w:basedOn w:val="Normal"/>
    <w:uiPriority w:val="99"/>
    <w:semiHidden/>
    <w:rsid w:val="00A0420F"/>
    <w:pPr>
      <w:spacing w:after="120"/>
    </w:pPr>
    <w:rPr>
      <w:sz w:val="16"/>
      <w:szCs w:val="16"/>
    </w:rPr>
  </w:style>
  <w:style w:type="paragraph" w:styleId="BodyTextFirstIndent">
    <w:name w:val="Body Text First Indent"/>
    <w:basedOn w:val="BodyText"/>
    <w:uiPriority w:val="99"/>
    <w:semiHidden/>
    <w:rsid w:val="00A0420F"/>
    <w:pPr>
      <w:ind w:firstLine="360"/>
    </w:pPr>
  </w:style>
  <w:style w:type="paragraph" w:styleId="BodyTextIndent">
    <w:name w:val="Body Text Indent"/>
    <w:basedOn w:val="Normal"/>
    <w:uiPriority w:val="99"/>
    <w:semiHidden/>
    <w:rsid w:val="00A0420F"/>
    <w:pPr>
      <w:spacing w:after="120"/>
      <w:ind w:left="283"/>
    </w:pPr>
  </w:style>
  <w:style w:type="paragraph" w:styleId="BodyTextFirstIndent2">
    <w:name w:val="Body Text First Indent 2"/>
    <w:basedOn w:val="BodyTextIndent"/>
    <w:uiPriority w:val="99"/>
    <w:semiHidden/>
    <w:rsid w:val="00A0420F"/>
    <w:pPr>
      <w:spacing w:after="0"/>
      <w:ind w:left="360" w:firstLine="360"/>
    </w:pPr>
  </w:style>
  <w:style w:type="paragraph" w:styleId="BodyTextIndent2">
    <w:name w:val="Body Text Indent 2"/>
    <w:basedOn w:val="Normal"/>
    <w:uiPriority w:val="99"/>
    <w:semiHidden/>
    <w:rsid w:val="00A0420F"/>
    <w:pPr>
      <w:spacing w:after="120" w:line="480" w:lineRule="auto"/>
      <w:ind w:left="283"/>
    </w:pPr>
  </w:style>
  <w:style w:type="paragraph" w:styleId="BodyTextIndent3">
    <w:name w:val="Body Text Indent 3"/>
    <w:basedOn w:val="Normal"/>
    <w:uiPriority w:val="99"/>
    <w:semiHidden/>
    <w:rsid w:val="00A0420F"/>
    <w:pPr>
      <w:spacing w:after="120"/>
      <w:ind w:left="283"/>
    </w:pPr>
    <w:rPr>
      <w:sz w:val="16"/>
      <w:szCs w:val="16"/>
    </w:rPr>
  </w:style>
  <w:style w:type="character" w:styleId="BookTitle">
    <w:name w:val="Book Title"/>
    <w:uiPriority w:val="33"/>
    <w:semiHidden/>
    <w:qFormat/>
    <w:rsid w:val="00A0420F"/>
    <w:rPr>
      <w:b/>
      <w:bCs/>
      <w:smallCaps/>
      <w:spacing w:val="5"/>
    </w:rPr>
  </w:style>
  <w:style w:type="paragraph" w:styleId="Closing">
    <w:name w:val="Closing"/>
    <w:basedOn w:val="Normal"/>
    <w:link w:val="ClosingChar"/>
    <w:uiPriority w:val="99"/>
    <w:semiHidden/>
    <w:rsid w:val="00A0420F"/>
    <w:pPr>
      <w:ind w:left="4252"/>
    </w:pPr>
  </w:style>
  <w:style w:type="character" w:customStyle="1" w:styleId="ClosingChar">
    <w:name w:val="Closing Char"/>
    <w:link w:val="Closing"/>
    <w:uiPriority w:val="99"/>
    <w:semiHidden/>
    <w:rsid w:val="00A0420F"/>
    <w:rPr>
      <w:rFonts w:ascii="Calibri" w:hAnsi="Calibri"/>
    </w:rPr>
  </w:style>
  <w:style w:type="paragraph" w:styleId="Date">
    <w:name w:val="Date"/>
    <w:basedOn w:val="Normal"/>
    <w:next w:val="Normal"/>
    <w:link w:val="DateChar"/>
    <w:uiPriority w:val="99"/>
    <w:semiHidden/>
    <w:rsid w:val="00A0420F"/>
  </w:style>
  <w:style w:type="character" w:customStyle="1" w:styleId="DateChar">
    <w:name w:val="Date Char"/>
    <w:link w:val="Date"/>
    <w:uiPriority w:val="99"/>
    <w:semiHidden/>
    <w:rsid w:val="00A0420F"/>
    <w:rPr>
      <w:rFonts w:ascii="Calibri" w:hAnsi="Calibri"/>
    </w:rPr>
  </w:style>
  <w:style w:type="paragraph" w:styleId="DocumentMap">
    <w:name w:val="Document Map"/>
    <w:basedOn w:val="Normal"/>
    <w:link w:val="DocumentMapChar"/>
    <w:uiPriority w:val="99"/>
    <w:semiHidden/>
    <w:rsid w:val="00A0420F"/>
    <w:rPr>
      <w:rFonts w:ascii="Tahoma" w:hAnsi="Tahoma" w:cs="Tahoma"/>
      <w:sz w:val="16"/>
      <w:szCs w:val="16"/>
    </w:rPr>
  </w:style>
  <w:style w:type="character" w:customStyle="1" w:styleId="DocumentMapChar">
    <w:name w:val="Document Map Char"/>
    <w:link w:val="DocumentMap"/>
    <w:uiPriority w:val="99"/>
    <w:semiHidden/>
    <w:rsid w:val="00A0420F"/>
    <w:rPr>
      <w:rFonts w:ascii="Tahoma" w:hAnsi="Tahoma" w:cs="Tahoma"/>
      <w:sz w:val="16"/>
      <w:szCs w:val="16"/>
    </w:rPr>
  </w:style>
  <w:style w:type="paragraph" w:styleId="E-mailSignature">
    <w:name w:val="E-mail Signature"/>
    <w:basedOn w:val="Normal"/>
    <w:link w:val="E-mailSignatureChar"/>
    <w:uiPriority w:val="99"/>
    <w:semiHidden/>
    <w:rsid w:val="00A0420F"/>
  </w:style>
  <w:style w:type="character" w:customStyle="1" w:styleId="E-mailSignatureChar">
    <w:name w:val="E-mail Signature Char"/>
    <w:link w:val="E-mailSignature"/>
    <w:uiPriority w:val="99"/>
    <w:semiHidden/>
    <w:rsid w:val="00A0420F"/>
    <w:rPr>
      <w:rFonts w:ascii="Calibri" w:hAnsi="Calibri"/>
    </w:rPr>
  </w:style>
  <w:style w:type="character" w:styleId="EndnoteReference">
    <w:name w:val="endnote reference"/>
    <w:uiPriority w:val="99"/>
    <w:semiHidden/>
    <w:unhideWhenUsed/>
    <w:rsid w:val="00A0420F"/>
    <w:rPr>
      <w:vertAlign w:val="superscript"/>
    </w:rPr>
  </w:style>
  <w:style w:type="paragraph" w:styleId="EndnoteText">
    <w:name w:val="endnote text"/>
    <w:basedOn w:val="Normal"/>
    <w:link w:val="EndnoteTextChar"/>
    <w:uiPriority w:val="99"/>
    <w:semiHidden/>
    <w:unhideWhenUsed/>
    <w:rsid w:val="00A0420F"/>
    <w:rPr>
      <w:sz w:val="20"/>
      <w:szCs w:val="20"/>
    </w:rPr>
  </w:style>
  <w:style w:type="character" w:customStyle="1" w:styleId="EndnoteTextChar">
    <w:name w:val="Endnote Text Char"/>
    <w:link w:val="EndnoteText"/>
    <w:uiPriority w:val="99"/>
    <w:semiHidden/>
    <w:rsid w:val="00A0420F"/>
    <w:rPr>
      <w:rFonts w:ascii="Calibri" w:hAnsi="Calibri"/>
      <w:sz w:val="20"/>
      <w:szCs w:val="20"/>
    </w:rPr>
  </w:style>
  <w:style w:type="paragraph" w:styleId="EnvelopeAddress">
    <w:name w:val="envelope address"/>
    <w:basedOn w:val="Normal"/>
    <w:uiPriority w:val="99"/>
    <w:semiHidden/>
    <w:rsid w:val="00A0420F"/>
    <w:pPr>
      <w:framePr w:w="7920" w:h="1980" w:hRule="exact" w:hSpace="180" w:wrap="auto" w:hAnchor="page" w:xAlign="center" w:yAlign="bottom"/>
      <w:ind w:left="2880"/>
    </w:pPr>
    <w:rPr>
      <w:rFonts w:ascii="Arial" w:eastAsia="MS Gothic" w:hAnsi="Arial"/>
      <w:sz w:val="24"/>
      <w:szCs w:val="24"/>
    </w:rPr>
  </w:style>
  <w:style w:type="paragraph" w:styleId="EnvelopeReturn">
    <w:name w:val="envelope return"/>
    <w:basedOn w:val="Normal"/>
    <w:uiPriority w:val="99"/>
    <w:semiHidden/>
    <w:rsid w:val="00A0420F"/>
    <w:rPr>
      <w:rFonts w:ascii="Arial" w:eastAsia="MS Gothic" w:hAnsi="Arial"/>
      <w:sz w:val="20"/>
      <w:szCs w:val="20"/>
    </w:rPr>
  </w:style>
  <w:style w:type="character" w:styleId="FollowedHyperlink">
    <w:name w:val="FollowedHyperlink"/>
    <w:uiPriority w:val="99"/>
    <w:semiHidden/>
    <w:rsid w:val="00A0420F"/>
    <w:rPr>
      <w:color w:val="595959"/>
      <w:u w:val="single"/>
    </w:rPr>
  </w:style>
  <w:style w:type="character" w:styleId="HTMLAcronym">
    <w:name w:val="HTML Acronym"/>
    <w:basedOn w:val="DefaultParagraphFont"/>
    <w:uiPriority w:val="99"/>
    <w:semiHidden/>
    <w:rsid w:val="00A0420F"/>
  </w:style>
  <w:style w:type="paragraph" w:styleId="HTMLAddress">
    <w:name w:val="HTML Address"/>
    <w:basedOn w:val="Normal"/>
    <w:link w:val="HTMLAddressChar"/>
    <w:uiPriority w:val="99"/>
    <w:semiHidden/>
    <w:rsid w:val="00A0420F"/>
    <w:rPr>
      <w:i/>
      <w:iCs/>
    </w:rPr>
  </w:style>
  <w:style w:type="character" w:customStyle="1" w:styleId="HTMLAddressChar">
    <w:name w:val="HTML Address Char"/>
    <w:link w:val="HTMLAddress"/>
    <w:uiPriority w:val="99"/>
    <w:semiHidden/>
    <w:rsid w:val="00A0420F"/>
    <w:rPr>
      <w:rFonts w:ascii="Calibri" w:hAnsi="Calibri"/>
      <w:i/>
      <w:iCs/>
    </w:rPr>
  </w:style>
  <w:style w:type="character" w:styleId="HTMLCite">
    <w:name w:val="HTML Cite"/>
    <w:uiPriority w:val="99"/>
    <w:semiHidden/>
    <w:rsid w:val="00A0420F"/>
    <w:rPr>
      <w:i/>
      <w:iCs/>
    </w:rPr>
  </w:style>
  <w:style w:type="character" w:styleId="HTMLCode">
    <w:name w:val="HTML Code"/>
    <w:uiPriority w:val="99"/>
    <w:semiHidden/>
    <w:rsid w:val="00A0420F"/>
    <w:rPr>
      <w:rFonts w:ascii="Consolas" w:hAnsi="Consolas" w:cs="Consolas"/>
      <w:sz w:val="20"/>
      <w:szCs w:val="20"/>
    </w:rPr>
  </w:style>
  <w:style w:type="character" w:styleId="HTMLDefinition">
    <w:name w:val="HTML Definition"/>
    <w:uiPriority w:val="99"/>
    <w:semiHidden/>
    <w:rsid w:val="00A0420F"/>
    <w:rPr>
      <w:i/>
      <w:iCs/>
    </w:rPr>
  </w:style>
  <w:style w:type="character" w:styleId="HTMLKeyboard">
    <w:name w:val="HTML Keyboard"/>
    <w:uiPriority w:val="99"/>
    <w:semiHidden/>
    <w:rsid w:val="00A0420F"/>
    <w:rPr>
      <w:rFonts w:ascii="Consolas" w:hAnsi="Consolas" w:cs="Consolas"/>
      <w:sz w:val="20"/>
      <w:szCs w:val="20"/>
    </w:rPr>
  </w:style>
  <w:style w:type="paragraph" w:styleId="HTMLPreformatted">
    <w:name w:val="HTML Preformatted"/>
    <w:basedOn w:val="Normal"/>
    <w:link w:val="HTMLPreformattedChar"/>
    <w:uiPriority w:val="99"/>
    <w:semiHidden/>
    <w:rsid w:val="00A0420F"/>
    <w:rPr>
      <w:rFonts w:ascii="Consolas" w:hAnsi="Consolas" w:cs="Consolas"/>
      <w:sz w:val="20"/>
      <w:szCs w:val="20"/>
    </w:rPr>
  </w:style>
  <w:style w:type="character" w:customStyle="1" w:styleId="HTMLPreformattedChar">
    <w:name w:val="HTML Preformatted Char"/>
    <w:link w:val="HTMLPreformatted"/>
    <w:uiPriority w:val="99"/>
    <w:semiHidden/>
    <w:rsid w:val="00A0420F"/>
    <w:rPr>
      <w:rFonts w:ascii="Consolas" w:hAnsi="Consolas" w:cs="Consolas"/>
      <w:sz w:val="20"/>
      <w:szCs w:val="20"/>
    </w:rPr>
  </w:style>
  <w:style w:type="character" w:styleId="HTMLSample">
    <w:name w:val="HTML Sample"/>
    <w:uiPriority w:val="99"/>
    <w:semiHidden/>
    <w:rsid w:val="00A0420F"/>
    <w:rPr>
      <w:rFonts w:ascii="Consolas" w:hAnsi="Consolas" w:cs="Consolas"/>
      <w:sz w:val="24"/>
      <w:szCs w:val="24"/>
    </w:rPr>
  </w:style>
  <w:style w:type="character" w:styleId="HTMLTypewriter">
    <w:name w:val="HTML Typewriter"/>
    <w:uiPriority w:val="99"/>
    <w:semiHidden/>
    <w:rsid w:val="00A0420F"/>
    <w:rPr>
      <w:rFonts w:ascii="Consolas" w:hAnsi="Consolas" w:cs="Consolas"/>
      <w:sz w:val="20"/>
      <w:szCs w:val="20"/>
    </w:rPr>
  </w:style>
  <w:style w:type="character" w:styleId="HTMLVariable">
    <w:name w:val="HTML Variable"/>
    <w:uiPriority w:val="99"/>
    <w:semiHidden/>
    <w:rsid w:val="00A0420F"/>
    <w:rPr>
      <w:i/>
      <w:iCs/>
    </w:rPr>
  </w:style>
  <w:style w:type="paragraph" w:styleId="Index1">
    <w:name w:val="index 1"/>
    <w:basedOn w:val="Normal"/>
    <w:next w:val="Normal"/>
    <w:autoRedefine/>
    <w:uiPriority w:val="99"/>
    <w:semiHidden/>
    <w:rsid w:val="00A0420F"/>
    <w:pPr>
      <w:ind w:left="220" w:hanging="220"/>
    </w:pPr>
  </w:style>
  <w:style w:type="paragraph" w:styleId="Index2">
    <w:name w:val="index 2"/>
    <w:basedOn w:val="Normal"/>
    <w:next w:val="Normal"/>
    <w:autoRedefine/>
    <w:uiPriority w:val="99"/>
    <w:semiHidden/>
    <w:rsid w:val="00A0420F"/>
    <w:pPr>
      <w:ind w:left="440" w:hanging="220"/>
    </w:pPr>
  </w:style>
  <w:style w:type="paragraph" w:styleId="Index3">
    <w:name w:val="index 3"/>
    <w:basedOn w:val="Normal"/>
    <w:next w:val="Normal"/>
    <w:autoRedefine/>
    <w:uiPriority w:val="99"/>
    <w:semiHidden/>
    <w:rsid w:val="00A0420F"/>
    <w:pPr>
      <w:ind w:left="660" w:hanging="220"/>
    </w:pPr>
  </w:style>
  <w:style w:type="paragraph" w:styleId="Index4">
    <w:name w:val="index 4"/>
    <w:basedOn w:val="Normal"/>
    <w:next w:val="Normal"/>
    <w:autoRedefine/>
    <w:uiPriority w:val="99"/>
    <w:semiHidden/>
    <w:rsid w:val="00A0420F"/>
    <w:pPr>
      <w:ind w:left="880" w:hanging="220"/>
    </w:pPr>
  </w:style>
  <w:style w:type="paragraph" w:styleId="Index5">
    <w:name w:val="index 5"/>
    <w:basedOn w:val="Normal"/>
    <w:next w:val="Normal"/>
    <w:autoRedefine/>
    <w:uiPriority w:val="99"/>
    <w:semiHidden/>
    <w:rsid w:val="00A0420F"/>
    <w:pPr>
      <w:ind w:left="1100" w:hanging="220"/>
    </w:pPr>
  </w:style>
  <w:style w:type="paragraph" w:styleId="Index6">
    <w:name w:val="index 6"/>
    <w:basedOn w:val="Normal"/>
    <w:next w:val="Normal"/>
    <w:autoRedefine/>
    <w:uiPriority w:val="99"/>
    <w:semiHidden/>
    <w:rsid w:val="00A0420F"/>
    <w:pPr>
      <w:ind w:left="1320" w:hanging="220"/>
    </w:pPr>
  </w:style>
  <w:style w:type="paragraph" w:styleId="Index7">
    <w:name w:val="index 7"/>
    <w:basedOn w:val="Normal"/>
    <w:next w:val="Normal"/>
    <w:autoRedefine/>
    <w:uiPriority w:val="99"/>
    <w:semiHidden/>
    <w:rsid w:val="00A0420F"/>
    <w:pPr>
      <w:ind w:left="1540" w:hanging="220"/>
    </w:pPr>
  </w:style>
  <w:style w:type="paragraph" w:styleId="Index8">
    <w:name w:val="index 8"/>
    <w:basedOn w:val="Normal"/>
    <w:next w:val="Normal"/>
    <w:autoRedefine/>
    <w:uiPriority w:val="99"/>
    <w:semiHidden/>
    <w:rsid w:val="00A0420F"/>
    <w:pPr>
      <w:ind w:left="1760" w:hanging="220"/>
    </w:pPr>
  </w:style>
  <w:style w:type="paragraph" w:styleId="Index9">
    <w:name w:val="index 9"/>
    <w:basedOn w:val="Normal"/>
    <w:next w:val="Normal"/>
    <w:autoRedefine/>
    <w:uiPriority w:val="99"/>
    <w:semiHidden/>
    <w:rsid w:val="00A0420F"/>
    <w:pPr>
      <w:ind w:left="1980" w:hanging="220"/>
    </w:pPr>
  </w:style>
  <w:style w:type="paragraph" w:styleId="IndexHeading">
    <w:name w:val="index heading"/>
    <w:basedOn w:val="Normal"/>
    <w:next w:val="Index1"/>
    <w:uiPriority w:val="99"/>
    <w:semiHidden/>
    <w:rsid w:val="00A0420F"/>
    <w:rPr>
      <w:rFonts w:ascii="Arial" w:eastAsia="MS Gothic" w:hAnsi="Arial"/>
      <w:b/>
      <w:bCs/>
    </w:rPr>
  </w:style>
  <w:style w:type="character" w:styleId="IntenseEmphasis">
    <w:name w:val="Intense Emphasis"/>
    <w:uiPriority w:val="21"/>
    <w:semiHidden/>
    <w:qFormat/>
    <w:rsid w:val="00A0420F"/>
    <w:rPr>
      <w:b/>
      <w:bCs/>
      <w:i/>
      <w:iCs/>
      <w:color w:val="254F90"/>
    </w:rPr>
  </w:style>
  <w:style w:type="paragraph" w:styleId="IntenseQuote">
    <w:name w:val="Intense Quote"/>
    <w:basedOn w:val="Normal"/>
    <w:next w:val="Normal"/>
    <w:link w:val="IntenseQuoteChar"/>
    <w:uiPriority w:val="30"/>
    <w:semiHidden/>
    <w:qFormat/>
    <w:rsid w:val="00A0420F"/>
    <w:pPr>
      <w:pBdr>
        <w:bottom w:val="single" w:sz="4" w:space="4" w:color="254F90"/>
      </w:pBdr>
      <w:spacing w:before="200" w:after="280"/>
      <w:ind w:left="936" w:right="936"/>
    </w:pPr>
    <w:rPr>
      <w:b/>
      <w:bCs/>
      <w:i/>
      <w:iCs/>
      <w:color w:val="254F90"/>
    </w:rPr>
  </w:style>
  <w:style w:type="character" w:customStyle="1" w:styleId="IntenseQuoteChar">
    <w:name w:val="Intense Quote Char"/>
    <w:link w:val="IntenseQuote"/>
    <w:uiPriority w:val="30"/>
    <w:semiHidden/>
    <w:rsid w:val="00A0420F"/>
    <w:rPr>
      <w:rFonts w:ascii="Calibri" w:hAnsi="Calibri"/>
      <w:b/>
      <w:bCs/>
      <w:i/>
      <w:iCs/>
      <w:color w:val="254F90"/>
    </w:rPr>
  </w:style>
  <w:style w:type="character" w:styleId="IntenseReference">
    <w:name w:val="Intense Reference"/>
    <w:uiPriority w:val="32"/>
    <w:semiHidden/>
    <w:qFormat/>
    <w:rsid w:val="00A0420F"/>
    <w:rPr>
      <w:b/>
      <w:bCs/>
      <w:smallCaps/>
      <w:color w:val="C62C2A"/>
      <w:spacing w:val="5"/>
      <w:u w:val="single"/>
    </w:rPr>
  </w:style>
  <w:style w:type="character" w:styleId="LineNumber">
    <w:name w:val="line number"/>
    <w:basedOn w:val="DefaultParagraphFont"/>
    <w:uiPriority w:val="99"/>
    <w:semiHidden/>
    <w:rsid w:val="00A0420F"/>
  </w:style>
  <w:style w:type="paragraph" w:styleId="List">
    <w:name w:val="List"/>
    <w:basedOn w:val="Normal"/>
    <w:uiPriority w:val="99"/>
    <w:semiHidden/>
    <w:rsid w:val="00A0420F"/>
    <w:pPr>
      <w:ind w:left="283" w:hanging="283"/>
      <w:contextualSpacing/>
    </w:pPr>
  </w:style>
  <w:style w:type="paragraph" w:styleId="List2">
    <w:name w:val="List 2"/>
    <w:basedOn w:val="Normal"/>
    <w:uiPriority w:val="99"/>
    <w:semiHidden/>
    <w:rsid w:val="00A0420F"/>
    <w:pPr>
      <w:ind w:left="566" w:hanging="283"/>
      <w:contextualSpacing/>
    </w:pPr>
  </w:style>
  <w:style w:type="paragraph" w:styleId="List3">
    <w:name w:val="List 3"/>
    <w:basedOn w:val="Normal"/>
    <w:uiPriority w:val="99"/>
    <w:semiHidden/>
    <w:rsid w:val="00A0420F"/>
    <w:pPr>
      <w:ind w:left="849" w:hanging="283"/>
      <w:contextualSpacing/>
    </w:pPr>
  </w:style>
  <w:style w:type="paragraph" w:styleId="List4">
    <w:name w:val="List 4"/>
    <w:basedOn w:val="Normal"/>
    <w:uiPriority w:val="99"/>
    <w:semiHidden/>
    <w:rsid w:val="00A0420F"/>
    <w:pPr>
      <w:ind w:left="1132" w:hanging="283"/>
      <w:contextualSpacing/>
    </w:pPr>
  </w:style>
  <w:style w:type="paragraph" w:styleId="List5">
    <w:name w:val="List 5"/>
    <w:basedOn w:val="Normal"/>
    <w:uiPriority w:val="99"/>
    <w:semiHidden/>
    <w:rsid w:val="00A0420F"/>
    <w:pPr>
      <w:ind w:left="1415" w:hanging="283"/>
      <w:contextualSpacing/>
    </w:pPr>
  </w:style>
  <w:style w:type="paragraph" w:styleId="ListBullet">
    <w:name w:val="List Bullet"/>
    <w:basedOn w:val="Normal"/>
    <w:uiPriority w:val="99"/>
    <w:semiHidden/>
    <w:rsid w:val="00A0420F"/>
    <w:pPr>
      <w:numPr>
        <w:numId w:val="1"/>
      </w:numPr>
      <w:ind w:left="0" w:firstLine="0"/>
      <w:contextualSpacing/>
    </w:pPr>
  </w:style>
  <w:style w:type="paragraph" w:styleId="ListBullet2">
    <w:name w:val="List Bullet 2"/>
    <w:basedOn w:val="Normal"/>
    <w:uiPriority w:val="99"/>
    <w:semiHidden/>
    <w:rsid w:val="00A0420F"/>
    <w:pPr>
      <w:numPr>
        <w:numId w:val="2"/>
      </w:numPr>
      <w:contextualSpacing/>
    </w:pPr>
  </w:style>
  <w:style w:type="paragraph" w:styleId="ListBullet3">
    <w:name w:val="List Bullet 3"/>
    <w:basedOn w:val="Normal"/>
    <w:uiPriority w:val="99"/>
    <w:semiHidden/>
    <w:rsid w:val="00A0420F"/>
    <w:pPr>
      <w:numPr>
        <w:numId w:val="3"/>
      </w:numPr>
      <w:contextualSpacing/>
    </w:pPr>
  </w:style>
  <w:style w:type="paragraph" w:styleId="ListBullet4">
    <w:name w:val="List Bullet 4"/>
    <w:basedOn w:val="Normal"/>
    <w:uiPriority w:val="99"/>
    <w:semiHidden/>
    <w:rsid w:val="00A0420F"/>
    <w:pPr>
      <w:numPr>
        <w:numId w:val="4"/>
      </w:numPr>
      <w:contextualSpacing/>
    </w:pPr>
  </w:style>
  <w:style w:type="paragraph" w:styleId="ListBullet5">
    <w:name w:val="List Bullet 5"/>
    <w:basedOn w:val="Normal"/>
    <w:uiPriority w:val="99"/>
    <w:semiHidden/>
    <w:rsid w:val="00A0420F"/>
    <w:pPr>
      <w:numPr>
        <w:numId w:val="5"/>
      </w:numPr>
      <w:contextualSpacing/>
    </w:pPr>
  </w:style>
  <w:style w:type="paragraph" w:styleId="ListContinue">
    <w:name w:val="List Continue"/>
    <w:basedOn w:val="Normal"/>
    <w:uiPriority w:val="99"/>
    <w:semiHidden/>
    <w:rsid w:val="00A0420F"/>
    <w:pPr>
      <w:spacing w:after="120"/>
      <w:ind w:left="283"/>
      <w:contextualSpacing/>
    </w:pPr>
  </w:style>
  <w:style w:type="paragraph" w:styleId="ListContinue2">
    <w:name w:val="List Continue 2"/>
    <w:basedOn w:val="Normal"/>
    <w:uiPriority w:val="99"/>
    <w:semiHidden/>
    <w:rsid w:val="00A0420F"/>
    <w:pPr>
      <w:spacing w:after="120"/>
      <w:ind w:left="566"/>
      <w:contextualSpacing/>
    </w:pPr>
  </w:style>
  <w:style w:type="paragraph" w:styleId="ListContinue3">
    <w:name w:val="List Continue 3"/>
    <w:basedOn w:val="Normal"/>
    <w:uiPriority w:val="99"/>
    <w:semiHidden/>
    <w:rsid w:val="00A0420F"/>
    <w:pPr>
      <w:spacing w:after="120"/>
      <w:ind w:left="849"/>
      <w:contextualSpacing/>
    </w:pPr>
  </w:style>
  <w:style w:type="paragraph" w:styleId="ListContinue4">
    <w:name w:val="List Continue 4"/>
    <w:basedOn w:val="Normal"/>
    <w:uiPriority w:val="99"/>
    <w:semiHidden/>
    <w:rsid w:val="00A0420F"/>
    <w:pPr>
      <w:spacing w:after="120"/>
      <w:ind w:left="1132"/>
      <w:contextualSpacing/>
    </w:pPr>
  </w:style>
  <w:style w:type="paragraph" w:styleId="ListContinue5">
    <w:name w:val="List Continue 5"/>
    <w:basedOn w:val="Normal"/>
    <w:uiPriority w:val="99"/>
    <w:semiHidden/>
    <w:rsid w:val="00A0420F"/>
    <w:pPr>
      <w:spacing w:after="120"/>
      <w:ind w:left="1415"/>
      <w:contextualSpacing/>
    </w:pPr>
  </w:style>
  <w:style w:type="paragraph" w:styleId="ListNumber">
    <w:name w:val="List Number"/>
    <w:basedOn w:val="Normal"/>
    <w:uiPriority w:val="99"/>
    <w:semiHidden/>
    <w:rsid w:val="00A0420F"/>
    <w:pPr>
      <w:numPr>
        <w:numId w:val="6"/>
      </w:numPr>
      <w:contextualSpacing/>
    </w:pPr>
  </w:style>
  <w:style w:type="paragraph" w:styleId="ListNumber2">
    <w:name w:val="List Number 2"/>
    <w:basedOn w:val="Normal"/>
    <w:uiPriority w:val="99"/>
    <w:semiHidden/>
    <w:rsid w:val="00A0420F"/>
    <w:pPr>
      <w:numPr>
        <w:numId w:val="7"/>
      </w:numPr>
      <w:contextualSpacing/>
    </w:pPr>
  </w:style>
  <w:style w:type="paragraph" w:styleId="ListNumber3">
    <w:name w:val="List Number 3"/>
    <w:basedOn w:val="Normal"/>
    <w:uiPriority w:val="99"/>
    <w:semiHidden/>
    <w:rsid w:val="00A0420F"/>
    <w:pPr>
      <w:numPr>
        <w:numId w:val="8"/>
      </w:numPr>
      <w:contextualSpacing/>
    </w:pPr>
  </w:style>
  <w:style w:type="paragraph" w:styleId="ListNumber4">
    <w:name w:val="List Number 4"/>
    <w:basedOn w:val="Normal"/>
    <w:uiPriority w:val="99"/>
    <w:semiHidden/>
    <w:rsid w:val="00A0420F"/>
    <w:pPr>
      <w:numPr>
        <w:numId w:val="9"/>
      </w:numPr>
      <w:contextualSpacing/>
    </w:pPr>
  </w:style>
  <w:style w:type="paragraph" w:styleId="ListNumber5">
    <w:name w:val="List Number 5"/>
    <w:basedOn w:val="Normal"/>
    <w:uiPriority w:val="99"/>
    <w:semiHidden/>
    <w:rsid w:val="00A0420F"/>
    <w:pPr>
      <w:numPr>
        <w:numId w:val="10"/>
      </w:numPr>
      <w:contextualSpacing/>
    </w:pPr>
  </w:style>
  <w:style w:type="paragraph" w:styleId="ListParagraph">
    <w:name w:val="List Paragraph"/>
    <w:aliases w:val="List Paragraph1,Recommendation,List Paragraph11,L,bullet point list,1 heading,Bullet point,Dot point 1.5 line spacing,List Paragraph - bullets,NFP GP Bulleted List,List Paragraph Number,Bulit List -  Paragraph,Bullet OSM,CV text,Dot pt"/>
    <w:basedOn w:val="Normal"/>
    <w:link w:val="ListParagraphChar"/>
    <w:uiPriority w:val="34"/>
    <w:qFormat/>
    <w:rsid w:val="00A0420F"/>
    <w:pPr>
      <w:ind w:left="720"/>
      <w:contextualSpacing/>
    </w:pPr>
  </w:style>
  <w:style w:type="paragraph" w:styleId="MacroText">
    <w:name w:val="macro"/>
    <w:link w:val="MacroTextChar"/>
    <w:uiPriority w:val="99"/>
    <w:semiHidden/>
    <w:rsid w:val="00A0420F"/>
    <w:pPr>
      <w:tabs>
        <w:tab w:val="left" w:pos="480"/>
        <w:tab w:val="left" w:pos="960"/>
        <w:tab w:val="left" w:pos="1440"/>
        <w:tab w:val="left" w:pos="1920"/>
        <w:tab w:val="left" w:pos="2400"/>
        <w:tab w:val="left" w:pos="2880"/>
        <w:tab w:val="left" w:pos="3360"/>
        <w:tab w:val="left" w:pos="3840"/>
        <w:tab w:val="left" w:pos="4320"/>
      </w:tabs>
      <w:spacing w:before="240"/>
      <w:ind w:left="1021" w:hanging="1021"/>
    </w:pPr>
    <w:rPr>
      <w:rFonts w:ascii="Consolas" w:hAnsi="Consolas" w:cs="Consolas"/>
      <w:lang w:eastAsia="en-US"/>
    </w:rPr>
  </w:style>
  <w:style w:type="character" w:customStyle="1" w:styleId="MacroTextChar">
    <w:name w:val="Macro Text Char"/>
    <w:link w:val="MacroText"/>
    <w:uiPriority w:val="99"/>
    <w:semiHidden/>
    <w:rsid w:val="00A0420F"/>
    <w:rPr>
      <w:rFonts w:ascii="Consolas" w:hAnsi="Consolas" w:cs="Consolas"/>
      <w:sz w:val="20"/>
      <w:szCs w:val="20"/>
    </w:rPr>
  </w:style>
  <w:style w:type="paragraph" w:styleId="MessageHeader">
    <w:name w:val="Message Header"/>
    <w:basedOn w:val="Normal"/>
    <w:link w:val="MessageHeaderChar"/>
    <w:uiPriority w:val="99"/>
    <w:semiHidden/>
    <w:rsid w:val="00A0420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Gothic" w:hAnsi="Arial"/>
      <w:sz w:val="24"/>
      <w:szCs w:val="24"/>
    </w:rPr>
  </w:style>
  <w:style w:type="character" w:customStyle="1" w:styleId="MessageHeaderChar">
    <w:name w:val="Message Header Char"/>
    <w:link w:val="MessageHeader"/>
    <w:uiPriority w:val="99"/>
    <w:semiHidden/>
    <w:rsid w:val="00A0420F"/>
    <w:rPr>
      <w:rFonts w:ascii="Arial" w:eastAsia="MS Gothic" w:hAnsi="Arial" w:cs="Times New Roman"/>
      <w:sz w:val="24"/>
      <w:szCs w:val="24"/>
      <w:shd w:val="pct20" w:color="auto" w:fill="auto"/>
    </w:rPr>
  </w:style>
  <w:style w:type="paragraph" w:styleId="NoSpacing">
    <w:name w:val="No Spacing"/>
    <w:link w:val="NoSpacingChar"/>
    <w:uiPriority w:val="1"/>
    <w:qFormat/>
    <w:rsid w:val="00A0420F"/>
    <w:pPr>
      <w:spacing w:before="240"/>
      <w:ind w:left="1021" w:hanging="1021"/>
    </w:pPr>
    <w:rPr>
      <w:rFonts w:ascii="Calibri" w:hAnsi="Calibri"/>
      <w:sz w:val="22"/>
      <w:szCs w:val="22"/>
      <w:lang w:eastAsia="en-US"/>
    </w:rPr>
  </w:style>
  <w:style w:type="paragraph" w:styleId="NormalWeb">
    <w:name w:val="Normal (Web)"/>
    <w:basedOn w:val="Normal"/>
    <w:uiPriority w:val="99"/>
    <w:rsid w:val="00A0420F"/>
    <w:rPr>
      <w:rFonts w:ascii="Times New Roman" w:hAnsi="Times New Roman"/>
      <w:sz w:val="24"/>
      <w:szCs w:val="24"/>
    </w:rPr>
  </w:style>
  <w:style w:type="paragraph" w:styleId="NormalIndent">
    <w:name w:val="Normal Indent"/>
    <w:basedOn w:val="Normal"/>
    <w:uiPriority w:val="99"/>
    <w:semiHidden/>
    <w:rsid w:val="00A0420F"/>
    <w:pPr>
      <w:ind w:left="720"/>
    </w:pPr>
  </w:style>
  <w:style w:type="paragraph" w:styleId="NoteHeading">
    <w:name w:val="Note Heading"/>
    <w:basedOn w:val="Normal"/>
    <w:next w:val="Normal"/>
    <w:link w:val="NoteHeadingChar"/>
    <w:uiPriority w:val="99"/>
    <w:semiHidden/>
    <w:rsid w:val="00A0420F"/>
  </w:style>
  <w:style w:type="character" w:customStyle="1" w:styleId="NoteHeadingChar">
    <w:name w:val="Note Heading Char"/>
    <w:link w:val="NoteHeading"/>
    <w:uiPriority w:val="99"/>
    <w:semiHidden/>
    <w:rsid w:val="00A0420F"/>
    <w:rPr>
      <w:rFonts w:ascii="Calibri" w:hAnsi="Calibri"/>
    </w:rPr>
  </w:style>
  <w:style w:type="character" w:styleId="PlaceholderText">
    <w:name w:val="Placeholder Text"/>
    <w:uiPriority w:val="99"/>
    <w:semiHidden/>
    <w:rsid w:val="00A0420F"/>
    <w:rPr>
      <w:color w:val="808080"/>
    </w:rPr>
  </w:style>
  <w:style w:type="paragraph" w:styleId="PlainText">
    <w:name w:val="Plain Text"/>
    <w:basedOn w:val="Normal"/>
    <w:link w:val="PlainTextChar"/>
    <w:uiPriority w:val="99"/>
    <w:semiHidden/>
    <w:rsid w:val="00A0420F"/>
    <w:rPr>
      <w:rFonts w:ascii="Consolas" w:hAnsi="Consolas" w:cs="Consolas"/>
      <w:sz w:val="21"/>
      <w:szCs w:val="21"/>
    </w:rPr>
  </w:style>
  <w:style w:type="character" w:customStyle="1" w:styleId="PlainTextChar">
    <w:name w:val="Plain Text Char"/>
    <w:link w:val="PlainText"/>
    <w:uiPriority w:val="99"/>
    <w:semiHidden/>
    <w:rsid w:val="00A0420F"/>
    <w:rPr>
      <w:rFonts w:ascii="Consolas" w:hAnsi="Consolas" w:cs="Consolas"/>
      <w:sz w:val="21"/>
      <w:szCs w:val="21"/>
    </w:rPr>
  </w:style>
  <w:style w:type="paragraph" w:styleId="Quote">
    <w:name w:val="Quote"/>
    <w:basedOn w:val="Normal"/>
    <w:next w:val="Normal"/>
    <w:link w:val="QuoteChar"/>
    <w:uiPriority w:val="29"/>
    <w:semiHidden/>
    <w:qFormat/>
    <w:rsid w:val="00A0420F"/>
    <w:rPr>
      <w:i/>
      <w:iCs/>
      <w:color w:val="3F3F3F"/>
    </w:rPr>
  </w:style>
  <w:style w:type="character" w:customStyle="1" w:styleId="QuoteChar">
    <w:name w:val="Quote Char"/>
    <w:link w:val="Quote"/>
    <w:uiPriority w:val="29"/>
    <w:semiHidden/>
    <w:rsid w:val="00A0420F"/>
    <w:rPr>
      <w:rFonts w:ascii="Calibri" w:hAnsi="Calibri"/>
      <w:i/>
      <w:iCs/>
      <w:color w:val="3F3F3F"/>
    </w:rPr>
  </w:style>
  <w:style w:type="paragraph" w:styleId="Salutation">
    <w:name w:val="Salutation"/>
    <w:basedOn w:val="Normal"/>
    <w:next w:val="Normal"/>
    <w:link w:val="SalutationChar"/>
    <w:uiPriority w:val="99"/>
    <w:semiHidden/>
    <w:rsid w:val="00A0420F"/>
  </w:style>
  <w:style w:type="character" w:customStyle="1" w:styleId="SalutationChar">
    <w:name w:val="Salutation Char"/>
    <w:link w:val="Salutation"/>
    <w:uiPriority w:val="99"/>
    <w:semiHidden/>
    <w:rsid w:val="00A0420F"/>
    <w:rPr>
      <w:rFonts w:ascii="Calibri" w:hAnsi="Calibri"/>
    </w:rPr>
  </w:style>
  <w:style w:type="paragraph" w:styleId="Signature">
    <w:name w:val="Signature"/>
    <w:basedOn w:val="Normal"/>
    <w:link w:val="SignatureChar"/>
    <w:uiPriority w:val="99"/>
    <w:semiHidden/>
    <w:rsid w:val="00A0420F"/>
    <w:pPr>
      <w:ind w:left="4252"/>
    </w:pPr>
  </w:style>
  <w:style w:type="character" w:customStyle="1" w:styleId="SignatureChar">
    <w:name w:val="Signature Char"/>
    <w:link w:val="Signature"/>
    <w:uiPriority w:val="99"/>
    <w:semiHidden/>
    <w:rsid w:val="00A0420F"/>
    <w:rPr>
      <w:rFonts w:ascii="Calibri" w:hAnsi="Calibri"/>
    </w:rPr>
  </w:style>
  <w:style w:type="paragraph" w:styleId="Subtitle">
    <w:name w:val="Subtitle"/>
    <w:basedOn w:val="Normal"/>
    <w:next w:val="Normal"/>
    <w:link w:val="SubtitleChar"/>
    <w:uiPriority w:val="15"/>
    <w:semiHidden/>
    <w:qFormat/>
    <w:rsid w:val="00A0420F"/>
    <w:pPr>
      <w:numPr>
        <w:ilvl w:val="1"/>
      </w:numPr>
      <w:ind w:left="1021" w:hanging="1021"/>
    </w:pPr>
    <w:rPr>
      <w:rFonts w:ascii="Arial" w:eastAsia="MS Gothic" w:hAnsi="Arial"/>
      <w:i/>
      <w:iCs/>
      <w:color w:val="254F90"/>
      <w:spacing w:val="15"/>
      <w:sz w:val="24"/>
      <w:szCs w:val="24"/>
    </w:rPr>
  </w:style>
  <w:style w:type="character" w:customStyle="1" w:styleId="SubtitleChar">
    <w:name w:val="Subtitle Char"/>
    <w:link w:val="Subtitle"/>
    <w:uiPriority w:val="15"/>
    <w:semiHidden/>
    <w:rsid w:val="00A0420F"/>
    <w:rPr>
      <w:rFonts w:ascii="Arial" w:eastAsia="MS Gothic" w:hAnsi="Arial" w:cs="Times New Roman"/>
      <w:i/>
      <w:iCs/>
      <w:color w:val="254F90"/>
      <w:spacing w:val="15"/>
      <w:sz w:val="24"/>
      <w:szCs w:val="24"/>
    </w:rPr>
  </w:style>
  <w:style w:type="character" w:styleId="SubtleEmphasis">
    <w:name w:val="Subtle Emphasis"/>
    <w:uiPriority w:val="19"/>
    <w:semiHidden/>
    <w:qFormat/>
    <w:rsid w:val="00A0420F"/>
    <w:rPr>
      <w:i/>
      <w:iCs/>
      <w:color w:val="9F9F9F"/>
    </w:rPr>
  </w:style>
  <w:style w:type="character" w:styleId="SubtleReference">
    <w:name w:val="Subtle Reference"/>
    <w:uiPriority w:val="31"/>
    <w:semiHidden/>
    <w:qFormat/>
    <w:rsid w:val="00A0420F"/>
    <w:rPr>
      <w:smallCaps/>
      <w:color w:val="C62C2A"/>
      <w:u w:val="single"/>
    </w:rPr>
  </w:style>
  <w:style w:type="table" w:styleId="Table3Deffects1">
    <w:name w:val="Table 3D effects 1"/>
    <w:basedOn w:val="TableNormal"/>
    <w:uiPriority w:val="99"/>
    <w:semiHidden/>
    <w:unhideWhenUsed/>
    <w:rsid w:val="00A0420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0420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042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0420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0420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042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0420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uiPriority w:val="99"/>
    <w:semiHidden/>
    <w:unhideWhenUsed/>
    <w:rsid w:val="00A0420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0420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0420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0420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0420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042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0420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A042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042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0420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0420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0420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0420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042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042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A0420F"/>
    <w:pPr>
      <w:ind w:left="220" w:hanging="220"/>
    </w:pPr>
  </w:style>
  <w:style w:type="paragraph" w:styleId="TableofFigures">
    <w:name w:val="table of figures"/>
    <w:basedOn w:val="Normal"/>
    <w:next w:val="Normal"/>
    <w:uiPriority w:val="99"/>
    <w:semiHidden/>
    <w:rsid w:val="00A0420F"/>
  </w:style>
  <w:style w:type="table" w:styleId="TableProfessional">
    <w:name w:val="Table Professional"/>
    <w:basedOn w:val="TableNormal"/>
    <w:uiPriority w:val="99"/>
    <w:semiHidden/>
    <w:unhideWhenUsed/>
    <w:rsid w:val="00A0420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0420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042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0420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042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042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04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0420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0420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0420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rsid w:val="00A0420F"/>
    <w:pPr>
      <w:spacing w:before="120"/>
    </w:pPr>
    <w:rPr>
      <w:rFonts w:ascii="Arial" w:eastAsia="MS Gothic" w:hAnsi="Arial"/>
      <w:b/>
      <w:bCs/>
      <w:sz w:val="24"/>
      <w:szCs w:val="24"/>
    </w:rPr>
  </w:style>
  <w:style w:type="paragraph" w:styleId="TOC4">
    <w:name w:val="toc 4"/>
    <w:basedOn w:val="Normal"/>
    <w:next w:val="Normal"/>
    <w:autoRedefine/>
    <w:uiPriority w:val="39"/>
    <w:semiHidden/>
    <w:unhideWhenUsed/>
    <w:rsid w:val="00A0420F"/>
    <w:pPr>
      <w:spacing w:after="100"/>
      <w:ind w:left="660"/>
    </w:pPr>
  </w:style>
  <w:style w:type="paragraph" w:styleId="TOC5">
    <w:name w:val="toc 5"/>
    <w:basedOn w:val="Normal"/>
    <w:next w:val="Normal"/>
    <w:autoRedefine/>
    <w:uiPriority w:val="39"/>
    <w:semiHidden/>
    <w:unhideWhenUsed/>
    <w:rsid w:val="00A0420F"/>
    <w:pPr>
      <w:spacing w:after="100"/>
      <w:ind w:left="880"/>
    </w:pPr>
  </w:style>
  <w:style w:type="paragraph" w:styleId="TOC6">
    <w:name w:val="toc 6"/>
    <w:basedOn w:val="Normal"/>
    <w:next w:val="Normal"/>
    <w:autoRedefine/>
    <w:uiPriority w:val="39"/>
    <w:semiHidden/>
    <w:unhideWhenUsed/>
    <w:rsid w:val="00A0420F"/>
    <w:pPr>
      <w:spacing w:after="100"/>
      <w:ind w:left="1100"/>
    </w:pPr>
  </w:style>
  <w:style w:type="paragraph" w:styleId="TOC7">
    <w:name w:val="toc 7"/>
    <w:basedOn w:val="Normal"/>
    <w:next w:val="Normal"/>
    <w:autoRedefine/>
    <w:uiPriority w:val="39"/>
    <w:semiHidden/>
    <w:unhideWhenUsed/>
    <w:rsid w:val="00A0420F"/>
    <w:pPr>
      <w:spacing w:after="100"/>
      <w:ind w:left="1320"/>
    </w:pPr>
  </w:style>
  <w:style w:type="paragraph" w:styleId="TOC8">
    <w:name w:val="toc 8"/>
    <w:basedOn w:val="Normal"/>
    <w:next w:val="Normal"/>
    <w:autoRedefine/>
    <w:uiPriority w:val="39"/>
    <w:semiHidden/>
    <w:unhideWhenUsed/>
    <w:rsid w:val="00A0420F"/>
    <w:pPr>
      <w:spacing w:after="100"/>
      <w:ind w:left="1540"/>
    </w:pPr>
  </w:style>
  <w:style w:type="paragraph" w:styleId="TOC9">
    <w:name w:val="toc 9"/>
    <w:basedOn w:val="Normal"/>
    <w:next w:val="Normal"/>
    <w:autoRedefine/>
    <w:uiPriority w:val="39"/>
    <w:semiHidden/>
    <w:unhideWhenUsed/>
    <w:rsid w:val="00A0420F"/>
    <w:pPr>
      <w:spacing w:after="100"/>
      <w:ind w:left="1760"/>
    </w:pPr>
  </w:style>
  <w:style w:type="paragraph" w:customStyle="1" w:styleId="Definitiontext">
    <w:name w:val="Definition text"/>
    <w:basedOn w:val="BodyText"/>
    <w:uiPriority w:val="20"/>
    <w:qFormat/>
    <w:rsid w:val="00C80837"/>
    <w:pPr>
      <w:spacing w:before="120"/>
    </w:pPr>
  </w:style>
  <w:style w:type="paragraph" w:customStyle="1" w:styleId="Definitionterm">
    <w:name w:val="Definition term"/>
    <w:basedOn w:val="Definitiontext"/>
    <w:next w:val="Definitiontext"/>
    <w:uiPriority w:val="20"/>
    <w:qFormat/>
    <w:rsid w:val="00A34761"/>
    <w:pPr>
      <w:spacing w:before="240" w:after="120"/>
    </w:pPr>
    <w:rPr>
      <w:b/>
    </w:rPr>
  </w:style>
  <w:style w:type="table" w:customStyle="1" w:styleId="ColorfulGrid1">
    <w:name w:val="Colorful Grid1"/>
    <w:basedOn w:val="TableNormal"/>
    <w:uiPriority w:val="99"/>
    <w:semiHidden/>
    <w:rsid w:val="00361DEB"/>
    <w:rPr>
      <w:color w:val="3F3F3F"/>
    </w:rPr>
    <w:tblPr>
      <w:tblStyleRowBandSize w:val="1"/>
      <w:tblStyleColBandSize w:val="1"/>
      <w:tblBorders>
        <w:insideH w:val="single" w:sz="4" w:space="0" w:color="FFFFFF"/>
      </w:tblBorders>
    </w:tblPr>
    <w:tcPr>
      <w:shd w:val="clear" w:color="auto" w:fill="D8D8D8"/>
    </w:tcPr>
    <w:tblStylePr w:type="firstRow">
      <w:rPr>
        <w:b/>
        <w:bCs/>
      </w:rPr>
      <w:tblPr/>
      <w:tcPr>
        <w:shd w:val="clear" w:color="auto" w:fill="B2B2B2"/>
      </w:tcPr>
    </w:tblStylePr>
    <w:tblStylePr w:type="lastRow">
      <w:rPr>
        <w:b/>
        <w:bCs/>
        <w:color w:val="3F3F3F"/>
      </w:rPr>
      <w:tblPr/>
      <w:tcPr>
        <w:shd w:val="clear" w:color="auto" w:fill="B2B2B2"/>
      </w:tcPr>
    </w:tblStylePr>
    <w:tblStylePr w:type="firstCol">
      <w:rPr>
        <w:color w:val="FFFFFF"/>
      </w:rPr>
      <w:tblPr/>
      <w:tcPr>
        <w:shd w:val="clear" w:color="auto" w:fill="2F2F2F"/>
      </w:tcPr>
    </w:tblStylePr>
    <w:tblStylePr w:type="lastCol">
      <w:rPr>
        <w:color w:val="FFFFFF"/>
      </w:rPr>
      <w:tblPr/>
      <w:tcPr>
        <w:shd w:val="clear" w:color="auto" w:fill="2F2F2F"/>
      </w:tcPr>
    </w:tblStylePr>
    <w:tblStylePr w:type="band1Vert">
      <w:tblPr/>
      <w:tcPr>
        <w:shd w:val="clear" w:color="auto" w:fill="9F9F9F"/>
      </w:tcPr>
    </w:tblStylePr>
    <w:tblStylePr w:type="band1Horz">
      <w:tblPr/>
      <w:tcPr>
        <w:shd w:val="clear" w:color="auto" w:fill="9F9F9F"/>
      </w:tcPr>
    </w:tblStylePr>
  </w:style>
  <w:style w:type="table" w:styleId="ColorfulGrid-Accent1">
    <w:name w:val="Colorful Grid Accent 1"/>
    <w:basedOn w:val="TableNormal"/>
    <w:uiPriority w:val="99"/>
    <w:semiHidden/>
    <w:rsid w:val="00361DEB"/>
    <w:rPr>
      <w:color w:val="3F3F3F"/>
    </w:rPr>
    <w:tblPr>
      <w:tblStyleRowBandSize w:val="1"/>
      <w:tblStyleColBandSize w:val="1"/>
      <w:tblBorders>
        <w:insideH w:val="single" w:sz="4" w:space="0" w:color="FFFFFF"/>
      </w:tblBorders>
    </w:tblPr>
    <w:tcPr>
      <w:shd w:val="clear" w:color="auto" w:fill="CAD9F1"/>
    </w:tcPr>
    <w:tblStylePr w:type="firstRow">
      <w:rPr>
        <w:b/>
        <w:bCs/>
      </w:rPr>
      <w:tblPr/>
      <w:tcPr>
        <w:shd w:val="clear" w:color="auto" w:fill="96B4E4"/>
      </w:tcPr>
    </w:tblStylePr>
    <w:tblStylePr w:type="lastRow">
      <w:rPr>
        <w:b/>
        <w:bCs/>
        <w:color w:val="3F3F3F"/>
      </w:rPr>
      <w:tblPr/>
      <w:tcPr>
        <w:shd w:val="clear" w:color="auto" w:fill="96B4E4"/>
      </w:tcPr>
    </w:tblStylePr>
    <w:tblStylePr w:type="firstCol">
      <w:rPr>
        <w:color w:val="FFFFFF"/>
      </w:rPr>
      <w:tblPr/>
      <w:tcPr>
        <w:shd w:val="clear" w:color="auto" w:fill="1B3B6B"/>
      </w:tcPr>
    </w:tblStylePr>
    <w:tblStylePr w:type="lastCol">
      <w:rPr>
        <w:color w:val="FFFFFF"/>
      </w:rPr>
      <w:tblPr/>
      <w:tcPr>
        <w:shd w:val="clear" w:color="auto" w:fill="1B3B6B"/>
      </w:tcPr>
    </w:tblStylePr>
    <w:tblStylePr w:type="band1Vert">
      <w:tblPr/>
      <w:tcPr>
        <w:shd w:val="clear" w:color="auto" w:fill="7CA2DD"/>
      </w:tcPr>
    </w:tblStylePr>
    <w:tblStylePr w:type="band1Horz">
      <w:tblPr/>
      <w:tcPr>
        <w:shd w:val="clear" w:color="auto" w:fill="7CA2DD"/>
      </w:tcPr>
    </w:tblStylePr>
  </w:style>
  <w:style w:type="table" w:styleId="ColorfulGrid-Accent2">
    <w:name w:val="Colorful Grid Accent 2"/>
    <w:basedOn w:val="TableNormal"/>
    <w:uiPriority w:val="99"/>
    <w:semiHidden/>
    <w:rsid w:val="00361DEB"/>
    <w:rPr>
      <w:color w:val="3F3F3F"/>
    </w:rPr>
    <w:tblPr>
      <w:tblStyleRowBandSize w:val="1"/>
      <w:tblStyleColBandSize w:val="1"/>
      <w:tblBorders>
        <w:insideH w:val="single" w:sz="4" w:space="0" w:color="FFFFFF"/>
      </w:tblBorders>
    </w:tblPr>
    <w:tcPr>
      <w:shd w:val="clear" w:color="auto" w:fill="F5D2D2"/>
    </w:tcPr>
    <w:tblStylePr w:type="firstRow">
      <w:rPr>
        <w:b/>
        <w:bCs/>
      </w:rPr>
      <w:tblPr/>
      <w:tcPr>
        <w:shd w:val="clear" w:color="auto" w:fill="ECA6A5"/>
      </w:tcPr>
    </w:tblStylePr>
    <w:tblStylePr w:type="lastRow">
      <w:rPr>
        <w:b/>
        <w:bCs/>
        <w:color w:val="3F3F3F"/>
      </w:rPr>
      <w:tblPr/>
      <w:tcPr>
        <w:shd w:val="clear" w:color="auto" w:fill="ECA6A5"/>
      </w:tcPr>
    </w:tblStylePr>
    <w:tblStylePr w:type="firstCol">
      <w:rPr>
        <w:color w:val="FFFFFF"/>
      </w:rPr>
      <w:tblPr/>
      <w:tcPr>
        <w:shd w:val="clear" w:color="auto" w:fill="94201F"/>
      </w:tcPr>
    </w:tblStylePr>
    <w:tblStylePr w:type="lastCol">
      <w:rPr>
        <w:color w:val="FFFFFF"/>
      </w:rPr>
      <w:tblPr/>
      <w:tcPr>
        <w:shd w:val="clear" w:color="auto" w:fill="94201F"/>
      </w:tcPr>
    </w:tblStylePr>
    <w:tblStylePr w:type="band1Vert">
      <w:tblPr/>
      <w:tcPr>
        <w:shd w:val="clear" w:color="auto" w:fill="E7908F"/>
      </w:tcPr>
    </w:tblStylePr>
    <w:tblStylePr w:type="band1Horz">
      <w:tblPr/>
      <w:tcPr>
        <w:shd w:val="clear" w:color="auto" w:fill="E7908F"/>
      </w:tcPr>
    </w:tblStylePr>
  </w:style>
  <w:style w:type="table" w:styleId="ColorfulGrid-Accent3">
    <w:name w:val="Colorful Grid Accent 3"/>
    <w:basedOn w:val="TableNormal"/>
    <w:uiPriority w:val="99"/>
    <w:semiHidden/>
    <w:rsid w:val="00361DEB"/>
    <w:rPr>
      <w:color w:val="3F3F3F"/>
    </w:rPr>
    <w:tblPr>
      <w:tblStyleRowBandSize w:val="1"/>
      <w:tblStyleColBandSize w:val="1"/>
      <w:tblBorders>
        <w:insideH w:val="single" w:sz="4" w:space="0" w:color="FFFFFF"/>
      </w:tblBorders>
    </w:tblPr>
    <w:tcPr>
      <w:shd w:val="clear" w:color="auto" w:fill="F9D6EB"/>
    </w:tcPr>
    <w:tblStylePr w:type="firstRow">
      <w:rPr>
        <w:b/>
        <w:bCs/>
      </w:rPr>
      <w:tblPr/>
      <w:tcPr>
        <w:shd w:val="clear" w:color="auto" w:fill="F3ADD7"/>
      </w:tcPr>
    </w:tblStylePr>
    <w:tblStylePr w:type="lastRow">
      <w:rPr>
        <w:b/>
        <w:bCs/>
        <w:color w:val="3F3F3F"/>
      </w:rPr>
      <w:tblPr/>
      <w:tcPr>
        <w:shd w:val="clear" w:color="auto" w:fill="F3ADD7"/>
      </w:tcPr>
    </w:tblStylePr>
    <w:tblStylePr w:type="firstCol">
      <w:rPr>
        <w:color w:val="FFFFFF"/>
      </w:rPr>
      <w:tblPr/>
      <w:tcPr>
        <w:shd w:val="clear" w:color="auto" w:fill="B51A76"/>
      </w:tcPr>
    </w:tblStylePr>
    <w:tblStylePr w:type="lastCol">
      <w:rPr>
        <w:color w:val="FFFFFF"/>
      </w:rPr>
      <w:tblPr/>
      <w:tcPr>
        <w:shd w:val="clear" w:color="auto" w:fill="B51A76"/>
      </w:tcPr>
    </w:tblStylePr>
    <w:tblStylePr w:type="band1Vert">
      <w:tblPr/>
      <w:tcPr>
        <w:shd w:val="clear" w:color="auto" w:fill="F099CD"/>
      </w:tcPr>
    </w:tblStylePr>
    <w:tblStylePr w:type="band1Horz">
      <w:tblPr/>
      <w:tcPr>
        <w:shd w:val="clear" w:color="auto" w:fill="F099CD"/>
      </w:tcPr>
    </w:tblStylePr>
  </w:style>
  <w:style w:type="table" w:styleId="ColorfulGrid-Accent4">
    <w:name w:val="Colorful Grid Accent 4"/>
    <w:basedOn w:val="TableNormal"/>
    <w:uiPriority w:val="99"/>
    <w:semiHidden/>
    <w:rsid w:val="00361DEB"/>
    <w:rPr>
      <w:color w:val="3F3F3F"/>
    </w:rPr>
    <w:tblPr>
      <w:tblStyleRowBandSize w:val="1"/>
      <w:tblStyleColBandSize w:val="1"/>
      <w:tblBorders>
        <w:insideH w:val="single" w:sz="4" w:space="0" w:color="FFFFFF"/>
      </w:tblBorders>
    </w:tblPr>
    <w:tcPr>
      <w:shd w:val="clear" w:color="auto" w:fill="FDE9D1"/>
    </w:tcPr>
    <w:tblStylePr w:type="firstRow">
      <w:rPr>
        <w:b/>
        <w:bCs/>
      </w:rPr>
      <w:tblPr/>
      <w:tcPr>
        <w:shd w:val="clear" w:color="auto" w:fill="FBD3A4"/>
      </w:tcPr>
    </w:tblStylePr>
    <w:tblStylePr w:type="lastRow">
      <w:rPr>
        <w:b/>
        <w:bCs/>
        <w:color w:val="3F3F3F"/>
      </w:rPr>
      <w:tblPr/>
      <w:tcPr>
        <w:shd w:val="clear" w:color="auto" w:fill="FBD3A4"/>
      </w:tcPr>
    </w:tblStylePr>
    <w:tblStylePr w:type="firstCol">
      <w:rPr>
        <w:color w:val="FFFFFF"/>
      </w:rPr>
      <w:tblPr/>
      <w:tcPr>
        <w:shd w:val="clear" w:color="auto" w:fill="C86E07"/>
      </w:tcPr>
    </w:tblStylePr>
    <w:tblStylePr w:type="lastCol">
      <w:rPr>
        <w:color w:val="FFFFFF"/>
      </w:rPr>
      <w:tblPr/>
      <w:tcPr>
        <w:shd w:val="clear" w:color="auto" w:fill="C86E07"/>
      </w:tcPr>
    </w:tblStylePr>
    <w:tblStylePr w:type="band1Vert">
      <w:tblPr/>
      <w:tcPr>
        <w:shd w:val="clear" w:color="auto" w:fill="FBC88E"/>
      </w:tcPr>
    </w:tblStylePr>
    <w:tblStylePr w:type="band1Horz">
      <w:tblPr/>
      <w:tcPr>
        <w:shd w:val="clear" w:color="auto" w:fill="FBC88E"/>
      </w:tcPr>
    </w:tblStylePr>
  </w:style>
  <w:style w:type="table" w:styleId="ColorfulGrid-Accent5">
    <w:name w:val="Colorful Grid Accent 5"/>
    <w:basedOn w:val="TableNormal"/>
    <w:uiPriority w:val="99"/>
    <w:semiHidden/>
    <w:rsid w:val="00361DEB"/>
    <w:rPr>
      <w:color w:val="3F3F3F"/>
    </w:rPr>
    <w:tblPr>
      <w:tblStyleRowBandSize w:val="1"/>
      <w:tblStyleColBandSize w:val="1"/>
      <w:tblBorders>
        <w:insideH w:val="single" w:sz="4" w:space="0" w:color="FFFFFF"/>
      </w:tblBorders>
    </w:tblPr>
    <w:tcPr>
      <w:shd w:val="clear" w:color="auto" w:fill="F7F8D2"/>
    </w:tcPr>
    <w:tblStylePr w:type="firstRow">
      <w:rPr>
        <w:b/>
        <w:bCs/>
      </w:rPr>
      <w:tblPr/>
      <w:tcPr>
        <w:shd w:val="clear" w:color="auto" w:fill="EFF2A6"/>
      </w:tcPr>
    </w:tblStylePr>
    <w:tblStylePr w:type="lastRow">
      <w:rPr>
        <w:b/>
        <w:bCs/>
        <w:color w:val="3F3F3F"/>
      </w:rPr>
      <w:tblPr/>
      <w:tcPr>
        <w:shd w:val="clear" w:color="auto" w:fill="EFF2A6"/>
      </w:tcPr>
    </w:tblStylePr>
    <w:tblStylePr w:type="firstCol">
      <w:rPr>
        <w:color w:val="FFFFFF"/>
      </w:rPr>
      <w:tblPr/>
      <w:tcPr>
        <w:shd w:val="clear" w:color="auto" w:fill="A2A817"/>
      </w:tcPr>
    </w:tblStylePr>
    <w:tblStylePr w:type="lastCol">
      <w:rPr>
        <w:color w:val="FFFFFF"/>
      </w:rPr>
      <w:tblPr/>
      <w:tcPr>
        <w:shd w:val="clear" w:color="auto" w:fill="A2A817"/>
      </w:tcPr>
    </w:tblStylePr>
    <w:tblStylePr w:type="band1Vert">
      <w:tblPr/>
      <w:tcPr>
        <w:shd w:val="clear" w:color="auto" w:fill="EBEF90"/>
      </w:tcPr>
    </w:tblStylePr>
    <w:tblStylePr w:type="band1Horz">
      <w:tblPr/>
      <w:tcPr>
        <w:shd w:val="clear" w:color="auto" w:fill="EBEF90"/>
      </w:tcPr>
    </w:tblStylePr>
  </w:style>
  <w:style w:type="table" w:styleId="ColorfulGrid-Accent6">
    <w:name w:val="Colorful Grid Accent 6"/>
    <w:basedOn w:val="TableNormal"/>
    <w:uiPriority w:val="99"/>
    <w:semiHidden/>
    <w:rsid w:val="00361DEB"/>
    <w:rPr>
      <w:color w:val="3F3F3F"/>
    </w:rPr>
    <w:tblPr>
      <w:tblStyleRowBandSize w:val="1"/>
      <w:tblStyleColBandSize w:val="1"/>
      <w:tblBorders>
        <w:insideH w:val="single" w:sz="4" w:space="0" w:color="FFFFFF"/>
      </w:tblBorders>
    </w:tblPr>
    <w:tcPr>
      <w:shd w:val="clear" w:color="auto" w:fill="DFF3F3"/>
    </w:tcPr>
    <w:tblStylePr w:type="firstRow">
      <w:rPr>
        <w:b/>
        <w:bCs/>
      </w:rPr>
      <w:tblPr/>
      <w:tcPr>
        <w:shd w:val="clear" w:color="auto" w:fill="BFE8E8"/>
      </w:tcPr>
    </w:tblStylePr>
    <w:tblStylePr w:type="lastRow">
      <w:rPr>
        <w:b/>
        <w:bCs/>
        <w:color w:val="3F3F3F"/>
      </w:rPr>
      <w:tblPr/>
      <w:tcPr>
        <w:shd w:val="clear" w:color="auto" w:fill="BFE8E8"/>
      </w:tcPr>
    </w:tblStylePr>
    <w:tblStylePr w:type="firstCol">
      <w:rPr>
        <w:color w:val="FFFFFF"/>
      </w:rPr>
      <w:tblPr/>
      <w:tcPr>
        <w:shd w:val="clear" w:color="auto" w:fill="3AA2A2"/>
      </w:tcPr>
    </w:tblStylePr>
    <w:tblStylePr w:type="lastCol">
      <w:rPr>
        <w:color w:val="FFFFFF"/>
      </w:rPr>
      <w:tblPr/>
      <w:tcPr>
        <w:shd w:val="clear" w:color="auto" w:fill="3AA2A2"/>
      </w:tcPr>
    </w:tblStylePr>
    <w:tblStylePr w:type="band1Vert">
      <w:tblPr/>
      <w:tcPr>
        <w:shd w:val="clear" w:color="auto" w:fill="B0E2E2"/>
      </w:tcPr>
    </w:tblStylePr>
    <w:tblStylePr w:type="band1Horz">
      <w:tblPr/>
      <w:tcPr>
        <w:shd w:val="clear" w:color="auto" w:fill="B0E2E2"/>
      </w:tcPr>
    </w:tblStylePr>
  </w:style>
  <w:style w:type="table" w:customStyle="1" w:styleId="ColorfulList1">
    <w:name w:val="Colorful List1"/>
    <w:basedOn w:val="TableNormal"/>
    <w:uiPriority w:val="99"/>
    <w:semiHidden/>
    <w:rsid w:val="00361DEB"/>
    <w:rPr>
      <w:color w:val="3F3F3F"/>
    </w:rPr>
    <w:tblPr>
      <w:tblStyleRowBandSize w:val="1"/>
      <w:tblStyleColBandSize w:val="1"/>
    </w:tblPr>
    <w:tcPr>
      <w:shd w:val="clear" w:color="auto" w:fill="ECECEC"/>
    </w:tcPr>
    <w:tblStylePr w:type="firstRow">
      <w:rPr>
        <w:b/>
        <w:bCs/>
        <w:color w:val="FFFFFF"/>
      </w:rPr>
      <w:tblPr/>
      <w:tcPr>
        <w:tcBorders>
          <w:bottom w:val="single" w:sz="12" w:space="0" w:color="FFFFFF"/>
        </w:tcBorders>
        <w:shd w:val="clear" w:color="auto" w:fill="9E2321"/>
      </w:tcPr>
    </w:tblStylePr>
    <w:tblStylePr w:type="lastRow">
      <w:rPr>
        <w:b/>
        <w:bCs/>
        <w:color w:val="9E2321"/>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CFCF"/>
      </w:tcPr>
    </w:tblStylePr>
    <w:tblStylePr w:type="band1Horz">
      <w:tblPr/>
      <w:tcPr>
        <w:shd w:val="clear" w:color="auto" w:fill="D8D8D8"/>
      </w:tcPr>
    </w:tblStylePr>
  </w:style>
  <w:style w:type="table" w:styleId="ColorfulList-Accent1">
    <w:name w:val="Colorful List Accent 1"/>
    <w:basedOn w:val="TableNormal"/>
    <w:uiPriority w:val="99"/>
    <w:semiHidden/>
    <w:rsid w:val="00361DEB"/>
    <w:rPr>
      <w:color w:val="3F3F3F"/>
    </w:rPr>
    <w:tblPr>
      <w:tblStyleRowBandSize w:val="1"/>
      <w:tblStyleColBandSize w:val="1"/>
    </w:tblPr>
    <w:tcPr>
      <w:shd w:val="clear" w:color="auto" w:fill="E5ECF8"/>
    </w:tcPr>
    <w:tblStylePr w:type="firstRow">
      <w:rPr>
        <w:b/>
        <w:bCs/>
        <w:color w:val="FFFFFF"/>
      </w:rPr>
      <w:tblPr/>
      <w:tcPr>
        <w:tcBorders>
          <w:bottom w:val="single" w:sz="12" w:space="0" w:color="FFFFFF"/>
        </w:tcBorders>
        <w:shd w:val="clear" w:color="auto" w:fill="9E2321"/>
      </w:tcPr>
    </w:tblStylePr>
    <w:tblStylePr w:type="lastRow">
      <w:rPr>
        <w:b/>
        <w:bCs/>
        <w:color w:val="9E2321"/>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ED1EE"/>
      </w:tcPr>
    </w:tblStylePr>
    <w:tblStylePr w:type="band1Horz">
      <w:tblPr/>
      <w:tcPr>
        <w:shd w:val="clear" w:color="auto" w:fill="CAD9F1"/>
      </w:tcPr>
    </w:tblStylePr>
  </w:style>
  <w:style w:type="table" w:styleId="ColorfulList-Accent2">
    <w:name w:val="Colorful List Accent 2"/>
    <w:basedOn w:val="TableNormal"/>
    <w:uiPriority w:val="99"/>
    <w:semiHidden/>
    <w:rsid w:val="00361DEB"/>
    <w:rPr>
      <w:color w:val="3F3F3F"/>
    </w:rPr>
    <w:tblPr>
      <w:tblStyleRowBandSize w:val="1"/>
      <w:tblStyleColBandSize w:val="1"/>
    </w:tblPr>
    <w:tcPr>
      <w:shd w:val="clear" w:color="auto" w:fill="FAE9E9"/>
    </w:tcPr>
    <w:tblStylePr w:type="firstRow">
      <w:rPr>
        <w:b/>
        <w:bCs/>
        <w:color w:val="FFFFFF"/>
      </w:rPr>
      <w:tblPr/>
      <w:tcPr>
        <w:tcBorders>
          <w:bottom w:val="single" w:sz="12" w:space="0" w:color="FFFFFF"/>
        </w:tcBorders>
        <w:shd w:val="clear" w:color="auto" w:fill="9E2321"/>
      </w:tcPr>
    </w:tblStylePr>
    <w:tblStylePr w:type="lastRow">
      <w:rPr>
        <w:b/>
        <w:bCs/>
        <w:color w:val="9E2321"/>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C8C7"/>
      </w:tcPr>
    </w:tblStylePr>
    <w:tblStylePr w:type="band1Horz">
      <w:tblPr/>
      <w:tcPr>
        <w:shd w:val="clear" w:color="auto" w:fill="F5D2D2"/>
      </w:tcPr>
    </w:tblStylePr>
  </w:style>
  <w:style w:type="table" w:styleId="ColorfulList-Accent3">
    <w:name w:val="Colorful List Accent 3"/>
    <w:basedOn w:val="TableNormal"/>
    <w:uiPriority w:val="99"/>
    <w:semiHidden/>
    <w:rsid w:val="00361DEB"/>
    <w:rPr>
      <w:color w:val="3F3F3F"/>
    </w:rPr>
    <w:tblPr>
      <w:tblStyleRowBandSize w:val="1"/>
      <w:tblStyleColBandSize w:val="1"/>
    </w:tblPr>
    <w:tcPr>
      <w:shd w:val="clear" w:color="auto" w:fill="FCEAF5"/>
    </w:tcPr>
    <w:tblStylePr w:type="firstRow">
      <w:rPr>
        <w:b/>
        <w:bCs/>
        <w:color w:val="FFFFFF"/>
      </w:rPr>
      <w:tblPr/>
      <w:tcPr>
        <w:tcBorders>
          <w:bottom w:val="single" w:sz="12" w:space="0" w:color="FFFFFF"/>
        </w:tcBorders>
        <w:shd w:val="clear" w:color="auto" w:fill="D57607"/>
      </w:tcPr>
    </w:tblStylePr>
    <w:tblStylePr w:type="lastRow">
      <w:rPr>
        <w:b/>
        <w:bCs/>
        <w:color w:val="D57607"/>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E6"/>
      </w:tcPr>
    </w:tblStylePr>
    <w:tblStylePr w:type="band1Horz">
      <w:tblPr/>
      <w:tcPr>
        <w:shd w:val="clear" w:color="auto" w:fill="F9D6EB"/>
      </w:tcPr>
    </w:tblStylePr>
  </w:style>
  <w:style w:type="table" w:styleId="ColorfulList-Accent4">
    <w:name w:val="Colorful List Accent 4"/>
    <w:basedOn w:val="TableNormal"/>
    <w:uiPriority w:val="99"/>
    <w:semiHidden/>
    <w:rsid w:val="00361DEB"/>
    <w:rPr>
      <w:color w:val="3F3F3F"/>
    </w:rPr>
    <w:tblPr>
      <w:tblStyleRowBandSize w:val="1"/>
      <w:tblStyleColBandSize w:val="1"/>
    </w:tblPr>
    <w:tcPr>
      <w:shd w:val="clear" w:color="auto" w:fill="FEF4E8"/>
    </w:tcPr>
    <w:tblStylePr w:type="firstRow">
      <w:rPr>
        <w:b/>
        <w:bCs/>
        <w:color w:val="FFFFFF"/>
      </w:rPr>
      <w:tblPr/>
      <w:tcPr>
        <w:tcBorders>
          <w:bottom w:val="single" w:sz="12" w:space="0" w:color="FFFFFF"/>
        </w:tcBorders>
        <w:shd w:val="clear" w:color="auto" w:fill="C21B7F"/>
      </w:tcPr>
    </w:tblStylePr>
    <w:tblStylePr w:type="lastRow">
      <w:rPr>
        <w:b/>
        <w:bCs/>
        <w:color w:val="C21B7F"/>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C7"/>
      </w:tcPr>
    </w:tblStylePr>
    <w:tblStylePr w:type="band1Horz">
      <w:tblPr/>
      <w:tcPr>
        <w:shd w:val="clear" w:color="auto" w:fill="FDE9D1"/>
      </w:tcPr>
    </w:tblStylePr>
  </w:style>
  <w:style w:type="table" w:styleId="ColorfulList-Accent5">
    <w:name w:val="Colorful List Accent 5"/>
    <w:basedOn w:val="TableNormal"/>
    <w:uiPriority w:val="99"/>
    <w:semiHidden/>
    <w:rsid w:val="00361DEB"/>
    <w:rPr>
      <w:color w:val="3F3F3F"/>
    </w:rPr>
    <w:tblPr>
      <w:tblStyleRowBandSize w:val="1"/>
      <w:tblStyleColBandSize w:val="1"/>
    </w:tblPr>
    <w:tcPr>
      <w:shd w:val="clear" w:color="auto" w:fill="FBFCE9"/>
    </w:tcPr>
    <w:tblStylePr w:type="firstRow">
      <w:rPr>
        <w:b/>
        <w:bCs/>
        <w:color w:val="FFFFFF"/>
      </w:rPr>
      <w:tblPr/>
      <w:tcPr>
        <w:tcBorders>
          <w:bottom w:val="single" w:sz="12" w:space="0" w:color="FFFFFF"/>
        </w:tcBorders>
        <w:shd w:val="clear" w:color="auto" w:fill="3EADAD"/>
      </w:tcPr>
    </w:tblStylePr>
    <w:tblStylePr w:type="lastRow">
      <w:rPr>
        <w:b/>
        <w:bCs/>
        <w:color w:val="3EADAD"/>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F7C8"/>
      </w:tcPr>
    </w:tblStylePr>
    <w:tblStylePr w:type="band1Horz">
      <w:tblPr/>
      <w:tcPr>
        <w:shd w:val="clear" w:color="auto" w:fill="F7F8D2"/>
      </w:tcPr>
    </w:tblStylePr>
  </w:style>
  <w:style w:type="table" w:styleId="ColorfulList-Accent6">
    <w:name w:val="Colorful List Accent 6"/>
    <w:basedOn w:val="TableNormal"/>
    <w:uiPriority w:val="99"/>
    <w:semiHidden/>
    <w:rsid w:val="00361DEB"/>
    <w:rPr>
      <w:color w:val="3F3F3F"/>
    </w:rPr>
    <w:tblPr>
      <w:tblStyleRowBandSize w:val="1"/>
      <w:tblStyleColBandSize w:val="1"/>
    </w:tblPr>
    <w:tcPr>
      <w:shd w:val="clear" w:color="auto" w:fill="EFF9F9"/>
    </w:tcPr>
    <w:tblStylePr w:type="firstRow">
      <w:rPr>
        <w:b/>
        <w:bCs/>
        <w:color w:val="FFFFFF"/>
      </w:rPr>
      <w:tblPr/>
      <w:tcPr>
        <w:tcBorders>
          <w:bottom w:val="single" w:sz="12" w:space="0" w:color="FFFFFF"/>
        </w:tcBorders>
        <w:shd w:val="clear" w:color="auto" w:fill="AEB419"/>
      </w:tcPr>
    </w:tblStylePr>
    <w:tblStylePr w:type="lastRow">
      <w:rPr>
        <w:b/>
        <w:bCs/>
        <w:color w:val="AEB419"/>
      </w:rPr>
      <w:tblPr/>
      <w:tcPr>
        <w:tcBorders>
          <w:top w:val="single" w:sz="12" w:space="0" w:color="3F3F3F"/>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F1F1"/>
      </w:tcPr>
    </w:tblStylePr>
    <w:tblStylePr w:type="band1Horz">
      <w:tblPr/>
      <w:tcPr>
        <w:shd w:val="clear" w:color="auto" w:fill="DFF3F3"/>
      </w:tcPr>
    </w:tblStylePr>
  </w:style>
  <w:style w:type="table" w:customStyle="1" w:styleId="ColorfulShading1">
    <w:name w:val="Colorful Shading1"/>
    <w:basedOn w:val="TableNormal"/>
    <w:uiPriority w:val="99"/>
    <w:semiHidden/>
    <w:rsid w:val="00361DEB"/>
    <w:rPr>
      <w:color w:val="3F3F3F"/>
    </w:rPr>
    <w:tblPr>
      <w:tblStyleRowBandSize w:val="1"/>
      <w:tblStyleColBandSize w:val="1"/>
      <w:tblBorders>
        <w:top w:val="single" w:sz="24" w:space="0" w:color="C62C2A"/>
        <w:left w:val="single" w:sz="4" w:space="0" w:color="3F3F3F"/>
        <w:bottom w:val="single" w:sz="4" w:space="0" w:color="3F3F3F"/>
        <w:right w:val="single" w:sz="4" w:space="0" w:color="3F3F3F"/>
        <w:insideH w:val="single" w:sz="4" w:space="0" w:color="FFFFFF"/>
        <w:insideV w:val="single" w:sz="4" w:space="0" w:color="FFFFFF"/>
      </w:tblBorders>
    </w:tblPr>
    <w:tcPr>
      <w:shd w:val="clear" w:color="auto" w:fill="ECECEC"/>
    </w:tcPr>
    <w:tblStylePr w:type="firstRow">
      <w:rPr>
        <w:b/>
        <w:bCs/>
      </w:rPr>
      <w:tblPr/>
      <w:tcPr>
        <w:tcBorders>
          <w:top w:val="nil"/>
          <w:left w:val="nil"/>
          <w:bottom w:val="single" w:sz="24" w:space="0" w:color="C62C2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2525"/>
      </w:tcPr>
    </w:tblStylePr>
    <w:tblStylePr w:type="firstCol">
      <w:rPr>
        <w:color w:val="FFFFFF"/>
      </w:rPr>
      <w:tblPr/>
      <w:tcPr>
        <w:tcBorders>
          <w:top w:val="nil"/>
          <w:left w:val="nil"/>
          <w:bottom w:val="nil"/>
          <w:right w:val="nil"/>
          <w:insideH w:val="single" w:sz="4" w:space="0" w:color="252525"/>
          <w:insideV w:val="nil"/>
        </w:tcBorders>
        <w:shd w:val="clear" w:color="auto" w:fill="252525"/>
      </w:tcPr>
    </w:tblStylePr>
    <w:tblStylePr w:type="lastCol">
      <w:rPr>
        <w:color w:val="FFFFFF"/>
      </w:rPr>
      <w:tblPr/>
      <w:tcPr>
        <w:tcBorders>
          <w:top w:val="nil"/>
          <w:left w:val="nil"/>
          <w:bottom w:val="nil"/>
          <w:right w:val="nil"/>
          <w:insideH w:val="nil"/>
          <w:insideV w:val="nil"/>
        </w:tcBorders>
        <w:shd w:val="clear" w:color="auto" w:fill="2F2F2F"/>
      </w:tcPr>
    </w:tblStylePr>
    <w:tblStylePr w:type="band1Vert">
      <w:tblPr/>
      <w:tcPr>
        <w:shd w:val="clear" w:color="auto" w:fill="B2B2B2"/>
      </w:tcPr>
    </w:tblStylePr>
    <w:tblStylePr w:type="band1Horz">
      <w:tblPr/>
      <w:tcPr>
        <w:shd w:val="clear" w:color="auto" w:fill="9F9F9F"/>
      </w:tcPr>
    </w:tblStylePr>
    <w:tblStylePr w:type="neCell">
      <w:rPr>
        <w:color w:val="3F3F3F"/>
      </w:rPr>
    </w:tblStylePr>
    <w:tblStylePr w:type="nwCell">
      <w:rPr>
        <w:color w:val="3F3F3F"/>
      </w:rPr>
    </w:tblStylePr>
  </w:style>
  <w:style w:type="table" w:styleId="ColorfulShading-Accent1">
    <w:name w:val="Colorful Shading Accent 1"/>
    <w:basedOn w:val="TableNormal"/>
    <w:uiPriority w:val="99"/>
    <w:semiHidden/>
    <w:rsid w:val="00361DEB"/>
    <w:rPr>
      <w:color w:val="3F3F3F"/>
    </w:rPr>
    <w:tblPr>
      <w:tblStyleRowBandSize w:val="1"/>
      <w:tblStyleColBandSize w:val="1"/>
      <w:tblBorders>
        <w:top w:val="single" w:sz="24" w:space="0" w:color="C62C2A"/>
        <w:left w:val="single" w:sz="4" w:space="0" w:color="254F90"/>
        <w:bottom w:val="single" w:sz="4" w:space="0" w:color="254F90"/>
        <w:right w:val="single" w:sz="4" w:space="0" w:color="254F90"/>
        <w:insideH w:val="single" w:sz="4" w:space="0" w:color="FFFFFF"/>
        <w:insideV w:val="single" w:sz="4" w:space="0" w:color="FFFFFF"/>
      </w:tblBorders>
    </w:tblPr>
    <w:tcPr>
      <w:shd w:val="clear" w:color="auto" w:fill="E5ECF8"/>
    </w:tcPr>
    <w:tblStylePr w:type="firstRow">
      <w:rPr>
        <w:b/>
        <w:bCs/>
      </w:rPr>
      <w:tblPr/>
      <w:tcPr>
        <w:tcBorders>
          <w:top w:val="nil"/>
          <w:left w:val="nil"/>
          <w:bottom w:val="single" w:sz="24" w:space="0" w:color="C62C2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162F56"/>
      </w:tcPr>
    </w:tblStylePr>
    <w:tblStylePr w:type="firstCol">
      <w:rPr>
        <w:color w:val="FFFFFF"/>
      </w:rPr>
      <w:tblPr/>
      <w:tcPr>
        <w:tcBorders>
          <w:top w:val="nil"/>
          <w:left w:val="nil"/>
          <w:bottom w:val="nil"/>
          <w:right w:val="nil"/>
          <w:insideH w:val="single" w:sz="4" w:space="0" w:color="162F56"/>
          <w:insideV w:val="nil"/>
        </w:tcBorders>
        <w:shd w:val="clear" w:color="auto" w:fill="162F56"/>
      </w:tcPr>
    </w:tblStylePr>
    <w:tblStylePr w:type="lastCol">
      <w:rPr>
        <w:color w:val="FFFFFF"/>
      </w:rPr>
      <w:tblPr/>
      <w:tcPr>
        <w:tcBorders>
          <w:top w:val="nil"/>
          <w:left w:val="nil"/>
          <w:bottom w:val="nil"/>
          <w:right w:val="nil"/>
          <w:insideH w:val="nil"/>
          <w:insideV w:val="nil"/>
        </w:tcBorders>
        <w:shd w:val="clear" w:color="auto" w:fill="162F56"/>
      </w:tcPr>
    </w:tblStylePr>
    <w:tblStylePr w:type="band1Vert">
      <w:tblPr/>
      <w:tcPr>
        <w:shd w:val="clear" w:color="auto" w:fill="96B4E4"/>
      </w:tcPr>
    </w:tblStylePr>
    <w:tblStylePr w:type="band1Horz">
      <w:tblPr/>
      <w:tcPr>
        <w:shd w:val="clear" w:color="auto" w:fill="7CA2DD"/>
      </w:tcPr>
    </w:tblStylePr>
    <w:tblStylePr w:type="neCell">
      <w:rPr>
        <w:color w:val="3F3F3F"/>
      </w:rPr>
    </w:tblStylePr>
    <w:tblStylePr w:type="nwCell">
      <w:rPr>
        <w:color w:val="3F3F3F"/>
      </w:rPr>
    </w:tblStylePr>
  </w:style>
  <w:style w:type="table" w:styleId="ColorfulShading-Accent2">
    <w:name w:val="Colorful Shading Accent 2"/>
    <w:basedOn w:val="TableNormal"/>
    <w:uiPriority w:val="99"/>
    <w:semiHidden/>
    <w:rsid w:val="00361DEB"/>
    <w:rPr>
      <w:color w:val="3F3F3F"/>
    </w:rPr>
    <w:tblPr>
      <w:tblStyleRowBandSize w:val="1"/>
      <w:tblStyleColBandSize w:val="1"/>
      <w:tblBorders>
        <w:top w:val="single" w:sz="24" w:space="0" w:color="C62C2A"/>
        <w:left w:val="single" w:sz="4" w:space="0" w:color="C62C2A"/>
        <w:bottom w:val="single" w:sz="4" w:space="0" w:color="C62C2A"/>
        <w:right w:val="single" w:sz="4" w:space="0" w:color="C62C2A"/>
        <w:insideH w:val="single" w:sz="4" w:space="0" w:color="FFFFFF"/>
        <w:insideV w:val="single" w:sz="4" w:space="0" w:color="FFFFFF"/>
      </w:tblBorders>
    </w:tblPr>
    <w:tcPr>
      <w:shd w:val="clear" w:color="auto" w:fill="FAE9E9"/>
    </w:tcPr>
    <w:tblStylePr w:type="firstRow">
      <w:rPr>
        <w:b/>
        <w:bCs/>
      </w:rPr>
      <w:tblPr/>
      <w:tcPr>
        <w:tcBorders>
          <w:top w:val="nil"/>
          <w:left w:val="nil"/>
          <w:bottom w:val="single" w:sz="24" w:space="0" w:color="C62C2A"/>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61A19"/>
      </w:tcPr>
    </w:tblStylePr>
    <w:tblStylePr w:type="firstCol">
      <w:rPr>
        <w:color w:val="FFFFFF"/>
      </w:rPr>
      <w:tblPr/>
      <w:tcPr>
        <w:tcBorders>
          <w:top w:val="nil"/>
          <w:left w:val="nil"/>
          <w:bottom w:val="nil"/>
          <w:right w:val="nil"/>
          <w:insideH w:val="single" w:sz="4" w:space="0" w:color="761A19"/>
          <w:insideV w:val="nil"/>
        </w:tcBorders>
        <w:shd w:val="clear" w:color="auto" w:fill="761A19"/>
      </w:tcPr>
    </w:tblStylePr>
    <w:tblStylePr w:type="lastCol">
      <w:rPr>
        <w:color w:val="FFFFFF"/>
      </w:rPr>
      <w:tblPr/>
      <w:tcPr>
        <w:tcBorders>
          <w:top w:val="nil"/>
          <w:left w:val="nil"/>
          <w:bottom w:val="nil"/>
          <w:right w:val="nil"/>
          <w:insideH w:val="nil"/>
          <w:insideV w:val="nil"/>
        </w:tcBorders>
        <w:shd w:val="clear" w:color="auto" w:fill="761A19"/>
      </w:tcPr>
    </w:tblStylePr>
    <w:tblStylePr w:type="band1Vert">
      <w:tblPr/>
      <w:tcPr>
        <w:shd w:val="clear" w:color="auto" w:fill="ECA6A5"/>
      </w:tcPr>
    </w:tblStylePr>
    <w:tblStylePr w:type="band1Horz">
      <w:tblPr/>
      <w:tcPr>
        <w:shd w:val="clear" w:color="auto" w:fill="E7908F"/>
      </w:tcPr>
    </w:tblStylePr>
    <w:tblStylePr w:type="neCell">
      <w:rPr>
        <w:color w:val="3F3F3F"/>
      </w:rPr>
    </w:tblStylePr>
    <w:tblStylePr w:type="nwCell">
      <w:rPr>
        <w:color w:val="3F3F3F"/>
      </w:rPr>
    </w:tblStylePr>
  </w:style>
  <w:style w:type="table" w:styleId="ColorfulShading-Accent3">
    <w:name w:val="Colorful Shading Accent 3"/>
    <w:basedOn w:val="TableNormal"/>
    <w:uiPriority w:val="99"/>
    <w:semiHidden/>
    <w:rsid w:val="00361DEB"/>
    <w:rPr>
      <w:color w:val="3F3F3F"/>
    </w:rPr>
    <w:tblPr>
      <w:tblStyleRowBandSize w:val="1"/>
      <w:tblStyleColBandSize w:val="1"/>
      <w:tblBorders>
        <w:top w:val="single" w:sz="24" w:space="0" w:color="F7931E"/>
        <w:left w:val="single" w:sz="4" w:space="0" w:color="E2349C"/>
        <w:bottom w:val="single" w:sz="4" w:space="0" w:color="E2349C"/>
        <w:right w:val="single" w:sz="4" w:space="0" w:color="E2349C"/>
        <w:insideH w:val="single" w:sz="4" w:space="0" w:color="FFFFFF"/>
        <w:insideV w:val="single" w:sz="4" w:space="0" w:color="FFFFFF"/>
      </w:tblBorders>
    </w:tblPr>
    <w:tcPr>
      <w:shd w:val="clear" w:color="auto" w:fill="FCEAF5"/>
    </w:tcPr>
    <w:tblStylePr w:type="firstRow">
      <w:rPr>
        <w:b/>
        <w:bCs/>
      </w:rPr>
      <w:tblPr/>
      <w:tcPr>
        <w:tcBorders>
          <w:top w:val="nil"/>
          <w:left w:val="nil"/>
          <w:bottom w:val="single" w:sz="24" w:space="0" w:color="F7931E"/>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1155F"/>
      </w:tcPr>
    </w:tblStylePr>
    <w:tblStylePr w:type="firstCol">
      <w:rPr>
        <w:color w:val="FFFFFF"/>
      </w:rPr>
      <w:tblPr/>
      <w:tcPr>
        <w:tcBorders>
          <w:top w:val="nil"/>
          <w:left w:val="nil"/>
          <w:bottom w:val="nil"/>
          <w:right w:val="nil"/>
          <w:insideH w:val="single" w:sz="4" w:space="0" w:color="91155F"/>
          <w:insideV w:val="nil"/>
        </w:tcBorders>
        <w:shd w:val="clear" w:color="auto" w:fill="91155F"/>
      </w:tcPr>
    </w:tblStylePr>
    <w:tblStylePr w:type="lastCol">
      <w:rPr>
        <w:color w:val="FFFFFF"/>
      </w:rPr>
      <w:tblPr/>
      <w:tcPr>
        <w:tcBorders>
          <w:top w:val="nil"/>
          <w:left w:val="nil"/>
          <w:bottom w:val="nil"/>
          <w:right w:val="nil"/>
          <w:insideH w:val="nil"/>
          <w:insideV w:val="nil"/>
        </w:tcBorders>
        <w:shd w:val="clear" w:color="auto" w:fill="91155F"/>
      </w:tcPr>
    </w:tblStylePr>
    <w:tblStylePr w:type="band1Vert">
      <w:tblPr/>
      <w:tcPr>
        <w:shd w:val="clear" w:color="auto" w:fill="F3ADD7"/>
      </w:tcPr>
    </w:tblStylePr>
    <w:tblStylePr w:type="band1Horz">
      <w:tblPr/>
      <w:tcPr>
        <w:shd w:val="clear" w:color="auto" w:fill="F099CD"/>
      </w:tcPr>
    </w:tblStylePr>
  </w:style>
  <w:style w:type="table" w:styleId="ColorfulShading-Accent4">
    <w:name w:val="Colorful Shading Accent 4"/>
    <w:basedOn w:val="TableNormal"/>
    <w:uiPriority w:val="99"/>
    <w:semiHidden/>
    <w:rsid w:val="00361DEB"/>
    <w:rPr>
      <w:color w:val="3F3F3F"/>
    </w:rPr>
    <w:tblPr>
      <w:tblStyleRowBandSize w:val="1"/>
      <w:tblStyleColBandSize w:val="1"/>
      <w:tblBorders>
        <w:top w:val="single" w:sz="24" w:space="0" w:color="E2349C"/>
        <w:left w:val="single" w:sz="4" w:space="0" w:color="F7931E"/>
        <w:bottom w:val="single" w:sz="4" w:space="0" w:color="F7931E"/>
        <w:right w:val="single" w:sz="4" w:space="0" w:color="F7931E"/>
        <w:insideH w:val="single" w:sz="4" w:space="0" w:color="FFFFFF"/>
        <w:insideV w:val="single" w:sz="4" w:space="0" w:color="FFFFFF"/>
      </w:tblBorders>
    </w:tblPr>
    <w:tcPr>
      <w:shd w:val="clear" w:color="auto" w:fill="FEF4E8"/>
    </w:tcPr>
    <w:tblStylePr w:type="firstRow">
      <w:rPr>
        <w:b/>
        <w:bCs/>
      </w:rPr>
      <w:tblPr/>
      <w:tcPr>
        <w:tcBorders>
          <w:top w:val="nil"/>
          <w:left w:val="nil"/>
          <w:bottom w:val="single" w:sz="24" w:space="0" w:color="E2349C"/>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A05805"/>
      </w:tcPr>
    </w:tblStylePr>
    <w:tblStylePr w:type="firstCol">
      <w:rPr>
        <w:color w:val="FFFFFF"/>
      </w:rPr>
      <w:tblPr/>
      <w:tcPr>
        <w:tcBorders>
          <w:top w:val="nil"/>
          <w:left w:val="nil"/>
          <w:bottom w:val="nil"/>
          <w:right w:val="nil"/>
          <w:insideH w:val="single" w:sz="4" w:space="0" w:color="A05805"/>
          <w:insideV w:val="nil"/>
        </w:tcBorders>
        <w:shd w:val="clear" w:color="auto" w:fill="A05805"/>
      </w:tcPr>
    </w:tblStylePr>
    <w:tblStylePr w:type="lastCol">
      <w:rPr>
        <w:color w:val="FFFFFF"/>
      </w:rPr>
      <w:tblPr/>
      <w:tcPr>
        <w:tcBorders>
          <w:top w:val="nil"/>
          <w:left w:val="nil"/>
          <w:bottom w:val="nil"/>
          <w:right w:val="nil"/>
          <w:insideH w:val="nil"/>
          <w:insideV w:val="nil"/>
        </w:tcBorders>
        <w:shd w:val="clear" w:color="auto" w:fill="A05805"/>
      </w:tcPr>
    </w:tblStylePr>
    <w:tblStylePr w:type="band1Vert">
      <w:tblPr/>
      <w:tcPr>
        <w:shd w:val="clear" w:color="auto" w:fill="FBD3A4"/>
      </w:tcPr>
    </w:tblStylePr>
    <w:tblStylePr w:type="band1Horz">
      <w:tblPr/>
      <w:tcPr>
        <w:shd w:val="clear" w:color="auto" w:fill="FBC88E"/>
      </w:tcPr>
    </w:tblStylePr>
    <w:tblStylePr w:type="neCell">
      <w:rPr>
        <w:color w:val="3F3F3F"/>
      </w:rPr>
    </w:tblStylePr>
    <w:tblStylePr w:type="nwCell">
      <w:rPr>
        <w:color w:val="3F3F3F"/>
      </w:rPr>
    </w:tblStylePr>
  </w:style>
  <w:style w:type="table" w:styleId="ColorfulShading-Accent5">
    <w:name w:val="Colorful Shading Accent 5"/>
    <w:basedOn w:val="TableNormal"/>
    <w:uiPriority w:val="99"/>
    <w:semiHidden/>
    <w:rsid w:val="00361DEB"/>
    <w:rPr>
      <w:color w:val="3F3F3F"/>
    </w:rPr>
    <w:tblPr>
      <w:tblStyleRowBandSize w:val="1"/>
      <w:tblStyleColBandSize w:val="1"/>
      <w:tblBorders>
        <w:top w:val="single" w:sz="24" w:space="0" w:color="61C6C6"/>
        <w:left w:val="single" w:sz="4" w:space="0" w:color="D9E021"/>
        <w:bottom w:val="single" w:sz="4" w:space="0" w:color="D9E021"/>
        <w:right w:val="single" w:sz="4" w:space="0" w:color="D9E021"/>
        <w:insideH w:val="single" w:sz="4" w:space="0" w:color="FFFFFF"/>
        <w:insideV w:val="single" w:sz="4" w:space="0" w:color="FFFFFF"/>
      </w:tblBorders>
    </w:tblPr>
    <w:tcPr>
      <w:shd w:val="clear" w:color="auto" w:fill="FBFCE9"/>
    </w:tcPr>
    <w:tblStylePr w:type="firstRow">
      <w:rPr>
        <w:b/>
        <w:bCs/>
      </w:rPr>
      <w:tblPr/>
      <w:tcPr>
        <w:tcBorders>
          <w:top w:val="nil"/>
          <w:left w:val="nil"/>
          <w:bottom w:val="single" w:sz="24" w:space="0" w:color="61C6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28713"/>
      </w:tcPr>
    </w:tblStylePr>
    <w:tblStylePr w:type="firstCol">
      <w:rPr>
        <w:color w:val="FFFFFF"/>
      </w:rPr>
      <w:tblPr/>
      <w:tcPr>
        <w:tcBorders>
          <w:top w:val="nil"/>
          <w:left w:val="nil"/>
          <w:bottom w:val="nil"/>
          <w:right w:val="nil"/>
          <w:insideH w:val="single" w:sz="4" w:space="0" w:color="828713"/>
          <w:insideV w:val="nil"/>
        </w:tcBorders>
        <w:shd w:val="clear" w:color="auto" w:fill="828713"/>
      </w:tcPr>
    </w:tblStylePr>
    <w:tblStylePr w:type="lastCol">
      <w:rPr>
        <w:color w:val="FFFFFF"/>
      </w:rPr>
      <w:tblPr/>
      <w:tcPr>
        <w:tcBorders>
          <w:top w:val="nil"/>
          <w:left w:val="nil"/>
          <w:bottom w:val="nil"/>
          <w:right w:val="nil"/>
          <w:insideH w:val="nil"/>
          <w:insideV w:val="nil"/>
        </w:tcBorders>
        <w:shd w:val="clear" w:color="auto" w:fill="828713"/>
      </w:tcPr>
    </w:tblStylePr>
    <w:tblStylePr w:type="band1Vert">
      <w:tblPr/>
      <w:tcPr>
        <w:shd w:val="clear" w:color="auto" w:fill="EFF2A6"/>
      </w:tcPr>
    </w:tblStylePr>
    <w:tblStylePr w:type="band1Horz">
      <w:tblPr/>
      <w:tcPr>
        <w:shd w:val="clear" w:color="auto" w:fill="EBEF90"/>
      </w:tcPr>
    </w:tblStylePr>
    <w:tblStylePr w:type="neCell">
      <w:rPr>
        <w:color w:val="3F3F3F"/>
      </w:rPr>
    </w:tblStylePr>
    <w:tblStylePr w:type="nwCell">
      <w:rPr>
        <w:color w:val="3F3F3F"/>
      </w:rPr>
    </w:tblStylePr>
  </w:style>
  <w:style w:type="table" w:styleId="ColorfulShading-Accent6">
    <w:name w:val="Colorful Shading Accent 6"/>
    <w:basedOn w:val="TableNormal"/>
    <w:uiPriority w:val="99"/>
    <w:semiHidden/>
    <w:rsid w:val="00361DEB"/>
    <w:rPr>
      <w:color w:val="3F3F3F"/>
    </w:rPr>
    <w:tblPr>
      <w:tblStyleRowBandSize w:val="1"/>
      <w:tblStyleColBandSize w:val="1"/>
      <w:tblBorders>
        <w:top w:val="single" w:sz="24" w:space="0" w:color="D9E021"/>
        <w:left w:val="single" w:sz="4" w:space="0" w:color="61C6C6"/>
        <w:bottom w:val="single" w:sz="4" w:space="0" w:color="61C6C6"/>
        <w:right w:val="single" w:sz="4" w:space="0" w:color="61C6C6"/>
        <w:insideH w:val="single" w:sz="4" w:space="0" w:color="FFFFFF"/>
        <w:insideV w:val="single" w:sz="4" w:space="0" w:color="FFFFFF"/>
      </w:tblBorders>
    </w:tblPr>
    <w:tcPr>
      <w:shd w:val="clear" w:color="auto" w:fill="EFF9F9"/>
    </w:tcPr>
    <w:tblStylePr w:type="firstRow">
      <w:rPr>
        <w:b/>
        <w:bCs/>
      </w:rPr>
      <w:tblPr/>
      <w:tcPr>
        <w:tcBorders>
          <w:top w:val="nil"/>
          <w:left w:val="nil"/>
          <w:bottom w:val="single" w:sz="24" w:space="0" w:color="D9E02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F8282"/>
      </w:tcPr>
    </w:tblStylePr>
    <w:tblStylePr w:type="firstCol">
      <w:rPr>
        <w:color w:val="FFFFFF"/>
      </w:rPr>
      <w:tblPr/>
      <w:tcPr>
        <w:tcBorders>
          <w:top w:val="nil"/>
          <w:left w:val="nil"/>
          <w:bottom w:val="nil"/>
          <w:right w:val="nil"/>
          <w:insideH w:val="single" w:sz="4" w:space="0" w:color="2F8282"/>
          <w:insideV w:val="nil"/>
        </w:tcBorders>
        <w:shd w:val="clear" w:color="auto" w:fill="2F8282"/>
      </w:tcPr>
    </w:tblStylePr>
    <w:tblStylePr w:type="lastCol">
      <w:rPr>
        <w:color w:val="FFFFFF"/>
      </w:rPr>
      <w:tblPr/>
      <w:tcPr>
        <w:tcBorders>
          <w:top w:val="nil"/>
          <w:left w:val="nil"/>
          <w:bottom w:val="nil"/>
          <w:right w:val="nil"/>
          <w:insideH w:val="nil"/>
          <w:insideV w:val="nil"/>
        </w:tcBorders>
        <w:shd w:val="clear" w:color="auto" w:fill="2F8282"/>
      </w:tcPr>
    </w:tblStylePr>
    <w:tblStylePr w:type="band1Vert">
      <w:tblPr/>
      <w:tcPr>
        <w:shd w:val="clear" w:color="auto" w:fill="BFE8E8"/>
      </w:tcPr>
    </w:tblStylePr>
    <w:tblStylePr w:type="band1Horz">
      <w:tblPr/>
      <w:tcPr>
        <w:shd w:val="clear" w:color="auto" w:fill="B0E2E2"/>
      </w:tcPr>
    </w:tblStylePr>
    <w:tblStylePr w:type="neCell">
      <w:rPr>
        <w:color w:val="3F3F3F"/>
      </w:rPr>
    </w:tblStylePr>
    <w:tblStylePr w:type="nwCell">
      <w:rPr>
        <w:color w:val="3F3F3F"/>
      </w:rPr>
    </w:tblStylePr>
  </w:style>
  <w:style w:type="table" w:customStyle="1" w:styleId="DarkList1">
    <w:name w:val="Dark List1"/>
    <w:basedOn w:val="TableNormal"/>
    <w:uiPriority w:val="99"/>
    <w:semiHidden/>
    <w:rsid w:val="00361DEB"/>
    <w:rPr>
      <w:color w:val="FFFFFF"/>
    </w:rPr>
    <w:tblPr>
      <w:tblStyleRowBandSize w:val="1"/>
      <w:tblStyleColBandSize w:val="1"/>
    </w:tblPr>
    <w:tcPr>
      <w:shd w:val="clear" w:color="auto" w:fill="3F3F3F"/>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1F1F1F"/>
      </w:tcPr>
    </w:tblStylePr>
    <w:tblStylePr w:type="firstCol">
      <w:tblPr/>
      <w:tcPr>
        <w:tcBorders>
          <w:top w:val="nil"/>
          <w:left w:val="nil"/>
          <w:bottom w:val="nil"/>
          <w:right w:val="single" w:sz="18" w:space="0" w:color="FFFFFF"/>
          <w:insideH w:val="nil"/>
          <w:insideV w:val="nil"/>
        </w:tcBorders>
        <w:shd w:val="clear" w:color="auto" w:fill="2F2F2F"/>
      </w:tcPr>
    </w:tblStylePr>
    <w:tblStylePr w:type="lastCol">
      <w:tblPr/>
      <w:tcPr>
        <w:tcBorders>
          <w:top w:val="nil"/>
          <w:left w:val="single" w:sz="18" w:space="0" w:color="FFFFFF"/>
          <w:bottom w:val="nil"/>
          <w:right w:val="nil"/>
          <w:insideH w:val="nil"/>
          <w:insideV w:val="nil"/>
        </w:tcBorders>
        <w:shd w:val="clear" w:color="auto" w:fill="2F2F2F"/>
      </w:tcPr>
    </w:tblStylePr>
    <w:tblStylePr w:type="band1Vert">
      <w:tblPr/>
      <w:tcPr>
        <w:tcBorders>
          <w:top w:val="nil"/>
          <w:left w:val="nil"/>
          <w:bottom w:val="nil"/>
          <w:right w:val="nil"/>
          <w:insideH w:val="nil"/>
          <w:insideV w:val="nil"/>
        </w:tcBorders>
        <w:shd w:val="clear" w:color="auto" w:fill="2F2F2F"/>
      </w:tcPr>
    </w:tblStylePr>
    <w:tblStylePr w:type="band1Horz">
      <w:tblPr/>
      <w:tcPr>
        <w:tcBorders>
          <w:top w:val="nil"/>
          <w:left w:val="nil"/>
          <w:bottom w:val="nil"/>
          <w:right w:val="nil"/>
          <w:insideH w:val="nil"/>
          <w:insideV w:val="nil"/>
        </w:tcBorders>
        <w:shd w:val="clear" w:color="auto" w:fill="2F2F2F"/>
      </w:tcPr>
    </w:tblStylePr>
  </w:style>
  <w:style w:type="table" w:styleId="DarkList-Accent1">
    <w:name w:val="Dark List Accent 1"/>
    <w:basedOn w:val="TableNormal"/>
    <w:uiPriority w:val="99"/>
    <w:semiHidden/>
    <w:rsid w:val="00361DEB"/>
    <w:rPr>
      <w:color w:val="FFFFFF"/>
    </w:rPr>
    <w:tblPr>
      <w:tblStyleRowBandSize w:val="1"/>
      <w:tblStyleColBandSize w:val="1"/>
    </w:tblPr>
    <w:tcPr>
      <w:shd w:val="clear" w:color="auto" w:fill="254F90"/>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122747"/>
      </w:tcPr>
    </w:tblStylePr>
    <w:tblStylePr w:type="firstCol">
      <w:tblPr/>
      <w:tcPr>
        <w:tcBorders>
          <w:top w:val="nil"/>
          <w:left w:val="nil"/>
          <w:bottom w:val="nil"/>
          <w:right w:val="single" w:sz="18" w:space="0" w:color="FFFFFF"/>
          <w:insideH w:val="nil"/>
          <w:insideV w:val="nil"/>
        </w:tcBorders>
        <w:shd w:val="clear" w:color="auto" w:fill="1B3B6B"/>
      </w:tcPr>
    </w:tblStylePr>
    <w:tblStylePr w:type="lastCol">
      <w:tblPr/>
      <w:tcPr>
        <w:tcBorders>
          <w:top w:val="nil"/>
          <w:left w:val="single" w:sz="18" w:space="0" w:color="FFFFFF"/>
          <w:bottom w:val="nil"/>
          <w:right w:val="nil"/>
          <w:insideH w:val="nil"/>
          <w:insideV w:val="nil"/>
        </w:tcBorders>
        <w:shd w:val="clear" w:color="auto" w:fill="1B3B6B"/>
      </w:tcPr>
    </w:tblStylePr>
    <w:tblStylePr w:type="band1Vert">
      <w:tblPr/>
      <w:tcPr>
        <w:tcBorders>
          <w:top w:val="nil"/>
          <w:left w:val="nil"/>
          <w:bottom w:val="nil"/>
          <w:right w:val="nil"/>
          <w:insideH w:val="nil"/>
          <w:insideV w:val="nil"/>
        </w:tcBorders>
        <w:shd w:val="clear" w:color="auto" w:fill="1B3B6B"/>
      </w:tcPr>
    </w:tblStylePr>
    <w:tblStylePr w:type="band1Horz">
      <w:tblPr/>
      <w:tcPr>
        <w:tcBorders>
          <w:top w:val="nil"/>
          <w:left w:val="nil"/>
          <w:bottom w:val="nil"/>
          <w:right w:val="nil"/>
          <w:insideH w:val="nil"/>
          <w:insideV w:val="nil"/>
        </w:tcBorders>
        <w:shd w:val="clear" w:color="auto" w:fill="1B3B6B"/>
      </w:tcPr>
    </w:tblStylePr>
  </w:style>
  <w:style w:type="table" w:styleId="DarkList-Accent2">
    <w:name w:val="Dark List Accent 2"/>
    <w:basedOn w:val="TableNormal"/>
    <w:uiPriority w:val="99"/>
    <w:semiHidden/>
    <w:rsid w:val="00361DEB"/>
    <w:rPr>
      <w:color w:val="FFFFFF"/>
    </w:rPr>
    <w:tblPr>
      <w:tblStyleRowBandSize w:val="1"/>
      <w:tblStyleColBandSize w:val="1"/>
    </w:tblPr>
    <w:tcPr>
      <w:shd w:val="clear" w:color="auto" w:fill="C62C2A"/>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621515"/>
      </w:tcPr>
    </w:tblStylePr>
    <w:tblStylePr w:type="firstCol">
      <w:tblPr/>
      <w:tcPr>
        <w:tcBorders>
          <w:top w:val="nil"/>
          <w:left w:val="nil"/>
          <w:bottom w:val="nil"/>
          <w:right w:val="single" w:sz="18" w:space="0" w:color="FFFFFF"/>
          <w:insideH w:val="nil"/>
          <w:insideV w:val="nil"/>
        </w:tcBorders>
        <w:shd w:val="clear" w:color="auto" w:fill="94201F"/>
      </w:tcPr>
    </w:tblStylePr>
    <w:tblStylePr w:type="lastCol">
      <w:tblPr/>
      <w:tcPr>
        <w:tcBorders>
          <w:top w:val="nil"/>
          <w:left w:val="single" w:sz="18" w:space="0" w:color="FFFFFF"/>
          <w:bottom w:val="nil"/>
          <w:right w:val="nil"/>
          <w:insideH w:val="nil"/>
          <w:insideV w:val="nil"/>
        </w:tcBorders>
        <w:shd w:val="clear" w:color="auto" w:fill="94201F"/>
      </w:tcPr>
    </w:tblStylePr>
    <w:tblStylePr w:type="band1Vert">
      <w:tblPr/>
      <w:tcPr>
        <w:tcBorders>
          <w:top w:val="nil"/>
          <w:left w:val="nil"/>
          <w:bottom w:val="nil"/>
          <w:right w:val="nil"/>
          <w:insideH w:val="nil"/>
          <w:insideV w:val="nil"/>
        </w:tcBorders>
        <w:shd w:val="clear" w:color="auto" w:fill="94201F"/>
      </w:tcPr>
    </w:tblStylePr>
    <w:tblStylePr w:type="band1Horz">
      <w:tblPr/>
      <w:tcPr>
        <w:tcBorders>
          <w:top w:val="nil"/>
          <w:left w:val="nil"/>
          <w:bottom w:val="nil"/>
          <w:right w:val="nil"/>
          <w:insideH w:val="nil"/>
          <w:insideV w:val="nil"/>
        </w:tcBorders>
        <w:shd w:val="clear" w:color="auto" w:fill="94201F"/>
      </w:tcPr>
    </w:tblStylePr>
  </w:style>
  <w:style w:type="table" w:styleId="DarkList-Accent3">
    <w:name w:val="Dark List Accent 3"/>
    <w:basedOn w:val="TableNormal"/>
    <w:uiPriority w:val="99"/>
    <w:semiHidden/>
    <w:rsid w:val="00361DEB"/>
    <w:rPr>
      <w:color w:val="FFFFFF"/>
    </w:rPr>
    <w:tblPr>
      <w:tblStyleRowBandSize w:val="1"/>
      <w:tblStyleColBandSize w:val="1"/>
    </w:tblPr>
    <w:tcPr>
      <w:shd w:val="clear" w:color="auto" w:fill="E2349C"/>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79114F"/>
      </w:tcPr>
    </w:tblStylePr>
    <w:tblStylePr w:type="firstCol">
      <w:tblPr/>
      <w:tcPr>
        <w:tcBorders>
          <w:top w:val="nil"/>
          <w:left w:val="nil"/>
          <w:bottom w:val="nil"/>
          <w:right w:val="single" w:sz="18" w:space="0" w:color="FFFFFF"/>
          <w:insideH w:val="nil"/>
          <w:insideV w:val="nil"/>
        </w:tcBorders>
        <w:shd w:val="clear" w:color="auto" w:fill="B51A76"/>
      </w:tcPr>
    </w:tblStylePr>
    <w:tblStylePr w:type="lastCol">
      <w:tblPr/>
      <w:tcPr>
        <w:tcBorders>
          <w:top w:val="nil"/>
          <w:left w:val="single" w:sz="18" w:space="0" w:color="FFFFFF"/>
          <w:bottom w:val="nil"/>
          <w:right w:val="nil"/>
          <w:insideH w:val="nil"/>
          <w:insideV w:val="nil"/>
        </w:tcBorders>
        <w:shd w:val="clear" w:color="auto" w:fill="B51A76"/>
      </w:tcPr>
    </w:tblStylePr>
    <w:tblStylePr w:type="band1Vert">
      <w:tblPr/>
      <w:tcPr>
        <w:tcBorders>
          <w:top w:val="nil"/>
          <w:left w:val="nil"/>
          <w:bottom w:val="nil"/>
          <w:right w:val="nil"/>
          <w:insideH w:val="nil"/>
          <w:insideV w:val="nil"/>
        </w:tcBorders>
        <w:shd w:val="clear" w:color="auto" w:fill="B51A76"/>
      </w:tcPr>
    </w:tblStylePr>
    <w:tblStylePr w:type="band1Horz">
      <w:tblPr/>
      <w:tcPr>
        <w:tcBorders>
          <w:top w:val="nil"/>
          <w:left w:val="nil"/>
          <w:bottom w:val="nil"/>
          <w:right w:val="nil"/>
          <w:insideH w:val="nil"/>
          <w:insideV w:val="nil"/>
        </w:tcBorders>
        <w:shd w:val="clear" w:color="auto" w:fill="B51A76"/>
      </w:tcPr>
    </w:tblStylePr>
  </w:style>
  <w:style w:type="table" w:styleId="DarkList-Accent4">
    <w:name w:val="Dark List Accent 4"/>
    <w:basedOn w:val="TableNormal"/>
    <w:uiPriority w:val="99"/>
    <w:semiHidden/>
    <w:rsid w:val="00361DEB"/>
    <w:rPr>
      <w:color w:val="FFFFFF"/>
    </w:rPr>
    <w:tblPr>
      <w:tblStyleRowBandSize w:val="1"/>
      <w:tblStyleColBandSize w:val="1"/>
    </w:tblPr>
    <w:tcPr>
      <w:shd w:val="clear" w:color="auto" w:fill="F7931E"/>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844904"/>
      </w:tcPr>
    </w:tblStylePr>
    <w:tblStylePr w:type="firstCol">
      <w:tblPr/>
      <w:tcPr>
        <w:tcBorders>
          <w:top w:val="nil"/>
          <w:left w:val="nil"/>
          <w:bottom w:val="nil"/>
          <w:right w:val="single" w:sz="18" w:space="0" w:color="FFFFFF"/>
          <w:insideH w:val="nil"/>
          <w:insideV w:val="nil"/>
        </w:tcBorders>
        <w:shd w:val="clear" w:color="auto" w:fill="C86E07"/>
      </w:tcPr>
    </w:tblStylePr>
    <w:tblStylePr w:type="lastCol">
      <w:tblPr/>
      <w:tcPr>
        <w:tcBorders>
          <w:top w:val="nil"/>
          <w:left w:val="single" w:sz="18" w:space="0" w:color="FFFFFF"/>
          <w:bottom w:val="nil"/>
          <w:right w:val="nil"/>
          <w:insideH w:val="nil"/>
          <w:insideV w:val="nil"/>
        </w:tcBorders>
        <w:shd w:val="clear" w:color="auto" w:fill="C86E07"/>
      </w:tcPr>
    </w:tblStylePr>
    <w:tblStylePr w:type="band1Vert">
      <w:tblPr/>
      <w:tcPr>
        <w:tcBorders>
          <w:top w:val="nil"/>
          <w:left w:val="nil"/>
          <w:bottom w:val="nil"/>
          <w:right w:val="nil"/>
          <w:insideH w:val="nil"/>
          <w:insideV w:val="nil"/>
        </w:tcBorders>
        <w:shd w:val="clear" w:color="auto" w:fill="C86E07"/>
      </w:tcPr>
    </w:tblStylePr>
    <w:tblStylePr w:type="band1Horz">
      <w:tblPr/>
      <w:tcPr>
        <w:tcBorders>
          <w:top w:val="nil"/>
          <w:left w:val="nil"/>
          <w:bottom w:val="nil"/>
          <w:right w:val="nil"/>
          <w:insideH w:val="nil"/>
          <w:insideV w:val="nil"/>
        </w:tcBorders>
        <w:shd w:val="clear" w:color="auto" w:fill="C86E07"/>
      </w:tcPr>
    </w:tblStylePr>
  </w:style>
  <w:style w:type="table" w:styleId="DarkList-Accent5">
    <w:name w:val="Dark List Accent 5"/>
    <w:basedOn w:val="TableNormal"/>
    <w:uiPriority w:val="99"/>
    <w:semiHidden/>
    <w:rsid w:val="00361DEB"/>
    <w:rPr>
      <w:color w:val="FFFFFF"/>
    </w:rPr>
    <w:tblPr>
      <w:tblStyleRowBandSize w:val="1"/>
      <w:tblStyleColBandSize w:val="1"/>
    </w:tblPr>
    <w:tcPr>
      <w:shd w:val="clear" w:color="auto" w:fill="D9E021"/>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6C700F"/>
      </w:tcPr>
    </w:tblStylePr>
    <w:tblStylePr w:type="firstCol">
      <w:tblPr/>
      <w:tcPr>
        <w:tcBorders>
          <w:top w:val="nil"/>
          <w:left w:val="nil"/>
          <w:bottom w:val="nil"/>
          <w:right w:val="single" w:sz="18" w:space="0" w:color="FFFFFF"/>
          <w:insideH w:val="nil"/>
          <w:insideV w:val="nil"/>
        </w:tcBorders>
        <w:shd w:val="clear" w:color="auto" w:fill="A2A817"/>
      </w:tcPr>
    </w:tblStylePr>
    <w:tblStylePr w:type="lastCol">
      <w:tblPr/>
      <w:tcPr>
        <w:tcBorders>
          <w:top w:val="nil"/>
          <w:left w:val="single" w:sz="18" w:space="0" w:color="FFFFFF"/>
          <w:bottom w:val="nil"/>
          <w:right w:val="nil"/>
          <w:insideH w:val="nil"/>
          <w:insideV w:val="nil"/>
        </w:tcBorders>
        <w:shd w:val="clear" w:color="auto" w:fill="A2A817"/>
      </w:tcPr>
    </w:tblStylePr>
    <w:tblStylePr w:type="band1Vert">
      <w:tblPr/>
      <w:tcPr>
        <w:tcBorders>
          <w:top w:val="nil"/>
          <w:left w:val="nil"/>
          <w:bottom w:val="nil"/>
          <w:right w:val="nil"/>
          <w:insideH w:val="nil"/>
          <w:insideV w:val="nil"/>
        </w:tcBorders>
        <w:shd w:val="clear" w:color="auto" w:fill="A2A817"/>
      </w:tcPr>
    </w:tblStylePr>
    <w:tblStylePr w:type="band1Horz">
      <w:tblPr/>
      <w:tcPr>
        <w:tcBorders>
          <w:top w:val="nil"/>
          <w:left w:val="nil"/>
          <w:bottom w:val="nil"/>
          <w:right w:val="nil"/>
          <w:insideH w:val="nil"/>
          <w:insideV w:val="nil"/>
        </w:tcBorders>
        <w:shd w:val="clear" w:color="auto" w:fill="A2A817"/>
      </w:tcPr>
    </w:tblStylePr>
  </w:style>
  <w:style w:type="table" w:styleId="DarkList-Accent6">
    <w:name w:val="Dark List Accent 6"/>
    <w:basedOn w:val="TableNormal"/>
    <w:uiPriority w:val="99"/>
    <w:semiHidden/>
    <w:rsid w:val="00361DEB"/>
    <w:rPr>
      <w:color w:val="FFFFFF"/>
    </w:rPr>
    <w:tblPr>
      <w:tblStyleRowBandSize w:val="1"/>
      <w:tblStyleColBandSize w:val="1"/>
    </w:tblPr>
    <w:tcPr>
      <w:shd w:val="clear" w:color="auto" w:fill="61C6C6"/>
    </w:tcPr>
    <w:tblStylePr w:type="firstRow">
      <w:rPr>
        <w:b/>
        <w:bCs/>
      </w:rPr>
      <w:tblPr/>
      <w:tcPr>
        <w:tcBorders>
          <w:top w:val="nil"/>
          <w:left w:val="nil"/>
          <w:bottom w:val="single" w:sz="18" w:space="0" w:color="FFFFFF"/>
          <w:right w:val="nil"/>
          <w:insideH w:val="nil"/>
          <w:insideV w:val="nil"/>
        </w:tcBorders>
        <w:shd w:val="clear" w:color="auto" w:fill="3F3F3F"/>
      </w:tcPr>
    </w:tblStylePr>
    <w:tblStylePr w:type="lastRow">
      <w:tblPr/>
      <w:tcPr>
        <w:tcBorders>
          <w:top w:val="single" w:sz="18" w:space="0" w:color="FFFFFF"/>
          <w:left w:val="nil"/>
          <w:bottom w:val="nil"/>
          <w:right w:val="nil"/>
          <w:insideH w:val="nil"/>
          <w:insideV w:val="nil"/>
        </w:tcBorders>
        <w:shd w:val="clear" w:color="auto" w:fill="276B6B"/>
      </w:tcPr>
    </w:tblStylePr>
    <w:tblStylePr w:type="firstCol">
      <w:tblPr/>
      <w:tcPr>
        <w:tcBorders>
          <w:top w:val="nil"/>
          <w:left w:val="nil"/>
          <w:bottom w:val="nil"/>
          <w:right w:val="single" w:sz="18" w:space="0" w:color="FFFFFF"/>
          <w:insideH w:val="nil"/>
          <w:insideV w:val="nil"/>
        </w:tcBorders>
        <w:shd w:val="clear" w:color="auto" w:fill="3AA2A2"/>
      </w:tcPr>
    </w:tblStylePr>
    <w:tblStylePr w:type="lastCol">
      <w:tblPr/>
      <w:tcPr>
        <w:tcBorders>
          <w:top w:val="nil"/>
          <w:left w:val="single" w:sz="18" w:space="0" w:color="FFFFFF"/>
          <w:bottom w:val="nil"/>
          <w:right w:val="nil"/>
          <w:insideH w:val="nil"/>
          <w:insideV w:val="nil"/>
        </w:tcBorders>
        <w:shd w:val="clear" w:color="auto" w:fill="3AA2A2"/>
      </w:tcPr>
    </w:tblStylePr>
    <w:tblStylePr w:type="band1Vert">
      <w:tblPr/>
      <w:tcPr>
        <w:tcBorders>
          <w:top w:val="nil"/>
          <w:left w:val="nil"/>
          <w:bottom w:val="nil"/>
          <w:right w:val="nil"/>
          <w:insideH w:val="nil"/>
          <w:insideV w:val="nil"/>
        </w:tcBorders>
        <w:shd w:val="clear" w:color="auto" w:fill="3AA2A2"/>
      </w:tcPr>
    </w:tblStylePr>
    <w:tblStylePr w:type="band1Horz">
      <w:tblPr/>
      <w:tcPr>
        <w:tcBorders>
          <w:top w:val="nil"/>
          <w:left w:val="nil"/>
          <w:bottom w:val="nil"/>
          <w:right w:val="nil"/>
          <w:insideH w:val="nil"/>
          <w:insideV w:val="nil"/>
        </w:tcBorders>
        <w:shd w:val="clear" w:color="auto" w:fill="3AA2A2"/>
      </w:tcPr>
    </w:tblStylePr>
  </w:style>
  <w:style w:type="table" w:customStyle="1" w:styleId="LightGrid1">
    <w:name w:val="Light Grid1"/>
    <w:basedOn w:val="TableNormal"/>
    <w:uiPriority w:val="99"/>
    <w:semiHidden/>
    <w:rsid w:val="00361DEB"/>
    <w:tblPr>
      <w:tblStyleRowBandSize w:val="1"/>
      <w:tblStyleColBandSize w:val="1"/>
      <w:tblBorders>
        <w:top w:val="single" w:sz="8" w:space="0" w:color="3F3F3F"/>
        <w:left w:val="single" w:sz="8" w:space="0" w:color="3F3F3F"/>
        <w:bottom w:val="single" w:sz="8" w:space="0" w:color="3F3F3F"/>
        <w:right w:val="single" w:sz="8" w:space="0" w:color="3F3F3F"/>
        <w:insideH w:val="single" w:sz="8" w:space="0" w:color="3F3F3F"/>
        <w:insideV w:val="single" w:sz="8" w:space="0" w:color="3F3F3F"/>
      </w:tblBorders>
    </w:tblPr>
    <w:tblStylePr w:type="firstRow">
      <w:pPr>
        <w:spacing w:before="0" w:after="0" w:line="240" w:lineRule="auto"/>
      </w:pPr>
      <w:rPr>
        <w:rFonts w:ascii="Arial" w:eastAsia="MS Gothic" w:hAnsi="Arial" w:cs="Times New Roman"/>
        <w:b/>
        <w:bCs/>
      </w:rPr>
      <w:tblPr/>
      <w:tcPr>
        <w:tcBorders>
          <w:top w:val="single" w:sz="8" w:space="0" w:color="3F3F3F"/>
          <w:left w:val="single" w:sz="8" w:space="0" w:color="3F3F3F"/>
          <w:bottom w:val="single" w:sz="18" w:space="0" w:color="3F3F3F"/>
          <w:right w:val="single" w:sz="8" w:space="0" w:color="3F3F3F"/>
          <w:insideH w:val="nil"/>
          <w:insideV w:val="single" w:sz="8" w:space="0" w:color="3F3F3F"/>
        </w:tcBorders>
      </w:tcPr>
    </w:tblStylePr>
    <w:tblStylePr w:type="lastRow">
      <w:pPr>
        <w:spacing w:before="0" w:after="0" w:line="240" w:lineRule="auto"/>
      </w:pPr>
      <w:rPr>
        <w:rFonts w:ascii="Arial" w:eastAsia="MS Gothic" w:hAnsi="Arial" w:cs="Times New Roman"/>
        <w:b/>
        <w:bCs/>
      </w:rPr>
      <w:tblPr/>
      <w:tcPr>
        <w:tcBorders>
          <w:top w:val="double" w:sz="6" w:space="0" w:color="3F3F3F"/>
          <w:left w:val="single" w:sz="8" w:space="0" w:color="3F3F3F"/>
          <w:bottom w:val="single" w:sz="8" w:space="0" w:color="3F3F3F"/>
          <w:right w:val="single" w:sz="8" w:space="0" w:color="3F3F3F"/>
          <w:insideH w:val="nil"/>
          <w:insideV w:val="single" w:sz="8" w:space="0" w:color="3F3F3F"/>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3F3F3F"/>
          <w:left w:val="single" w:sz="8" w:space="0" w:color="3F3F3F"/>
          <w:bottom w:val="single" w:sz="8" w:space="0" w:color="3F3F3F"/>
          <w:right w:val="single" w:sz="8" w:space="0" w:color="3F3F3F"/>
        </w:tcBorders>
      </w:tcPr>
    </w:tblStylePr>
    <w:tblStylePr w:type="band1Vert">
      <w:tblPr/>
      <w:tcPr>
        <w:tcBorders>
          <w:top w:val="single" w:sz="8" w:space="0" w:color="3F3F3F"/>
          <w:left w:val="single" w:sz="8" w:space="0" w:color="3F3F3F"/>
          <w:bottom w:val="single" w:sz="8" w:space="0" w:color="3F3F3F"/>
          <w:right w:val="single" w:sz="8" w:space="0" w:color="3F3F3F"/>
        </w:tcBorders>
        <w:shd w:val="clear" w:color="auto" w:fill="CFCFCF"/>
      </w:tcPr>
    </w:tblStylePr>
    <w:tblStylePr w:type="band1Horz">
      <w:tblPr/>
      <w:tcPr>
        <w:tcBorders>
          <w:top w:val="single" w:sz="8" w:space="0" w:color="3F3F3F"/>
          <w:left w:val="single" w:sz="8" w:space="0" w:color="3F3F3F"/>
          <w:bottom w:val="single" w:sz="8" w:space="0" w:color="3F3F3F"/>
          <w:right w:val="single" w:sz="8" w:space="0" w:color="3F3F3F"/>
          <w:insideV w:val="single" w:sz="8" w:space="0" w:color="3F3F3F"/>
        </w:tcBorders>
        <w:shd w:val="clear" w:color="auto" w:fill="CFCFCF"/>
      </w:tcPr>
    </w:tblStylePr>
    <w:tblStylePr w:type="band2Horz">
      <w:tblPr/>
      <w:tcPr>
        <w:tcBorders>
          <w:top w:val="single" w:sz="8" w:space="0" w:color="3F3F3F"/>
          <w:left w:val="single" w:sz="8" w:space="0" w:color="3F3F3F"/>
          <w:bottom w:val="single" w:sz="8" w:space="0" w:color="3F3F3F"/>
          <w:right w:val="single" w:sz="8" w:space="0" w:color="3F3F3F"/>
          <w:insideV w:val="single" w:sz="8" w:space="0" w:color="3F3F3F"/>
        </w:tcBorders>
      </w:tcPr>
    </w:tblStylePr>
  </w:style>
  <w:style w:type="table" w:customStyle="1" w:styleId="LightGrid-Accent11">
    <w:name w:val="Light Grid - Accent 11"/>
    <w:basedOn w:val="TableNormal"/>
    <w:uiPriority w:val="99"/>
    <w:semiHidden/>
    <w:rsid w:val="00361DEB"/>
    <w:tblPr>
      <w:tblStyleRowBandSize w:val="1"/>
      <w:tblStyleColBandSize w:val="1"/>
      <w:tblBorders>
        <w:top w:val="single" w:sz="8" w:space="0" w:color="254F90"/>
        <w:left w:val="single" w:sz="8" w:space="0" w:color="254F90"/>
        <w:bottom w:val="single" w:sz="8" w:space="0" w:color="254F90"/>
        <w:right w:val="single" w:sz="8" w:space="0" w:color="254F90"/>
        <w:insideH w:val="single" w:sz="8" w:space="0" w:color="254F90"/>
        <w:insideV w:val="single" w:sz="8" w:space="0" w:color="254F90"/>
      </w:tblBorders>
    </w:tblPr>
    <w:tblStylePr w:type="firstRow">
      <w:pPr>
        <w:spacing w:before="0" w:after="0" w:line="240" w:lineRule="auto"/>
      </w:pPr>
      <w:rPr>
        <w:rFonts w:ascii="Arial" w:eastAsia="MS Gothic" w:hAnsi="Arial" w:cs="Times New Roman"/>
        <w:b/>
        <w:bCs/>
      </w:rPr>
      <w:tblPr/>
      <w:tcPr>
        <w:tcBorders>
          <w:top w:val="single" w:sz="8" w:space="0" w:color="254F90"/>
          <w:left w:val="single" w:sz="8" w:space="0" w:color="254F90"/>
          <w:bottom w:val="single" w:sz="18" w:space="0" w:color="254F90"/>
          <w:right w:val="single" w:sz="8" w:space="0" w:color="254F90"/>
          <w:insideH w:val="nil"/>
          <w:insideV w:val="single" w:sz="8" w:space="0" w:color="254F90"/>
        </w:tcBorders>
      </w:tcPr>
    </w:tblStylePr>
    <w:tblStylePr w:type="lastRow">
      <w:pPr>
        <w:spacing w:before="0" w:after="0" w:line="240" w:lineRule="auto"/>
      </w:pPr>
      <w:rPr>
        <w:rFonts w:ascii="Arial" w:eastAsia="MS Gothic" w:hAnsi="Arial" w:cs="Times New Roman"/>
        <w:b/>
        <w:bCs/>
      </w:rPr>
      <w:tblPr/>
      <w:tcPr>
        <w:tcBorders>
          <w:top w:val="double" w:sz="6" w:space="0" w:color="254F90"/>
          <w:left w:val="single" w:sz="8" w:space="0" w:color="254F90"/>
          <w:bottom w:val="single" w:sz="8" w:space="0" w:color="254F90"/>
          <w:right w:val="single" w:sz="8" w:space="0" w:color="254F90"/>
          <w:insideH w:val="nil"/>
          <w:insideV w:val="single" w:sz="8" w:space="0" w:color="254F90"/>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254F90"/>
          <w:left w:val="single" w:sz="8" w:space="0" w:color="254F90"/>
          <w:bottom w:val="single" w:sz="8" w:space="0" w:color="254F90"/>
          <w:right w:val="single" w:sz="8" w:space="0" w:color="254F90"/>
        </w:tcBorders>
      </w:tcPr>
    </w:tblStylePr>
    <w:tblStylePr w:type="band1Vert">
      <w:tblPr/>
      <w:tcPr>
        <w:tcBorders>
          <w:top w:val="single" w:sz="8" w:space="0" w:color="254F90"/>
          <w:left w:val="single" w:sz="8" w:space="0" w:color="254F90"/>
          <w:bottom w:val="single" w:sz="8" w:space="0" w:color="254F90"/>
          <w:right w:val="single" w:sz="8" w:space="0" w:color="254F90"/>
        </w:tcBorders>
        <w:shd w:val="clear" w:color="auto" w:fill="BED1EE"/>
      </w:tcPr>
    </w:tblStylePr>
    <w:tblStylePr w:type="band1Horz">
      <w:tblPr/>
      <w:tcPr>
        <w:tcBorders>
          <w:top w:val="single" w:sz="8" w:space="0" w:color="254F90"/>
          <w:left w:val="single" w:sz="8" w:space="0" w:color="254F90"/>
          <w:bottom w:val="single" w:sz="8" w:space="0" w:color="254F90"/>
          <w:right w:val="single" w:sz="8" w:space="0" w:color="254F90"/>
          <w:insideV w:val="single" w:sz="8" w:space="0" w:color="254F90"/>
        </w:tcBorders>
        <w:shd w:val="clear" w:color="auto" w:fill="BED1EE"/>
      </w:tcPr>
    </w:tblStylePr>
    <w:tblStylePr w:type="band2Horz">
      <w:tblPr/>
      <w:tcPr>
        <w:tcBorders>
          <w:top w:val="single" w:sz="8" w:space="0" w:color="254F90"/>
          <w:left w:val="single" w:sz="8" w:space="0" w:color="254F90"/>
          <w:bottom w:val="single" w:sz="8" w:space="0" w:color="254F90"/>
          <w:right w:val="single" w:sz="8" w:space="0" w:color="254F90"/>
          <w:insideV w:val="single" w:sz="8" w:space="0" w:color="254F90"/>
        </w:tcBorders>
      </w:tcPr>
    </w:tblStylePr>
  </w:style>
  <w:style w:type="table" w:styleId="LightGrid-Accent2">
    <w:name w:val="Light Grid Accent 2"/>
    <w:basedOn w:val="TableNormal"/>
    <w:uiPriority w:val="99"/>
    <w:semiHidden/>
    <w:rsid w:val="00361DEB"/>
    <w:tblPr>
      <w:tblStyleRowBandSize w:val="1"/>
      <w:tblStyleColBandSize w:val="1"/>
      <w:tblBorders>
        <w:top w:val="single" w:sz="8" w:space="0" w:color="C62C2A"/>
        <w:left w:val="single" w:sz="8" w:space="0" w:color="C62C2A"/>
        <w:bottom w:val="single" w:sz="8" w:space="0" w:color="C62C2A"/>
        <w:right w:val="single" w:sz="8" w:space="0" w:color="C62C2A"/>
        <w:insideH w:val="single" w:sz="8" w:space="0" w:color="C62C2A"/>
        <w:insideV w:val="single" w:sz="8" w:space="0" w:color="C62C2A"/>
      </w:tblBorders>
    </w:tblPr>
    <w:tblStylePr w:type="firstRow">
      <w:pPr>
        <w:spacing w:before="0" w:after="0" w:line="240" w:lineRule="auto"/>
      </w:pPr>
      <w:rPr>
        <w:rFonts w:ascii="Arial" w:eastAsia="MS Gothic" w:hAnsi="Arial" w:cs="Times New Roman"/>
        <w:b/>
        <w:bCs/>
      </w:rPr>
      <w:tblPr/>
      <w:tcPr>
        <w:tcBorders>
          <w:top w:val="single" w:sz="8" w:space="0" w:color="C62C2A"/>
          <w:left w:val="single" w:sz="8" w:space="0" w:color="C62C2A"/>
          <w:bottom w:val="single" w:sz="18" w:space="0" w:color="C62C2A"/>
          <w:right w:val="single" w:sz="8" w:space="0" w:color="C62C2A"/>
          <w:insideH w:val="nil"/>
          <w:insideV w:val="single" w:sz="8" w:space="0" w:color="C62C2A"/>
        </w:tcBorders>
      </w:tcPr>
    </w:tblStylePr>
    <w:tblStylePr w:type="lastRow">
      <w:pPr>
        <w:spacing w:before="0" w:after="0" w:line="240" w:lineRule="auto"/>
      </w:pPr>
      <w:rPr>
        <w:rFonts w:ascii="Arial" w:eastAsia="MS Gothic" w:hAnsi="Arial" w:cs="Times New Roman"/>
        <w:b/>
        <w:bCs/>
      </w:rPr>
      <w:tblPr/>
      <w:tcPr>
        <w:tcBorders>
          <w:top w:val="double" w:sz="6" w:space="0" w:color="C62C2A"/>
          <w:left w:val="single" w:sz="8" w:space="0" w:color="C62C2A"/>
          <w:bottom w:val="single" w:sz="8" w:space="0" w:color="C62C2A"/>
          <w:right w:val="single" w:sz="8" w:space="0" w:color="C62C2A"/>
          <w:insideH w:val="nil"/>
          <w:insideV w:val="single" w:sz="8" w:space="0" w:color="C62C2A"/>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C62C2A"/>
          <w:left w:val="single" w:sz="8" w:space="0" w:color="C62C2A"/>
          <w:bottom w:val="single" w:sz="8" w:space="0" w:color="C62C2A"/>
          <w:right w:val="single" w:sz="8" w:space="0" w:color="C62C2A"/>
        </w:tcBorders>
      </w:tcPr>
    </w:tblStylePr>
    <w:tblStylePr w:type="band1Vert">
      <w:tblPr/>
      <w:tcPr>
        <w:tcBorders>
          <w:top w:val="single" w:sz="8" w:space="0" w:color="C62C2A"/>
          <w:left w:val="single" w:sz="8" w:space="0" w:color="C62C2A"/>
          <w:bottom w:val="single" w:sz="8" w:space="0" w:color="C62C2A"/>
          <w:right w:val="single" w:sz="8" w:space="0" w:color="C62C2A"/>
        </w:tcBorders>
        <w:shd w:val="clear" w:color="auto" w:fill="F3C8C7"/>
      </w:tcPr>
    </w:tblStylePr>
    <w:tblStylePr w:type="band1Horz">
      <w:tblPr/>
      <w:tcPr>
        <w:tcBorders>
          <w:top w:val="single" w:sz="8" w:space="0" w:color="C62C2A"/>
          <w:left w:val="single" w:sz="8" w:space="0" w:color="C62C2A"/>
          <w:bottom w:val="single" w:sz="8" w:space="0" w:color="C62C2A"/>
          <w:right w:val="single" w:sz="8" w:space="0" w:color="C62C2A"/>
          <w:insideV w:val="single" w:sz="8" w:space="0" w:color="C62C2A"/>
        </w:tcBorders>
        <w:shd w:val="clear" w:color="auto" w:fill="F3C8C7"/>
      </w:tcPr>
    </w:tblStylePr>
    <w:tblStylePr w:type="band2Horz">
      <w:tblPr/>
      <w:tcPr>
        <w:tcBorders>
          <w:top w:val="single" w:sz="8" w:space="0" w:color="C62C2A"/>
          <w:left w:val="single" w:sz="8" w:space="0" w:color="C62C2A"/>
          <w:bottom w:val="single" w:sz="8" w:space="0" w:color="C62C2A"/>
          <w:right w:val="single" w:sz="8" w:space="0" w:color="C62C2A"/>
          <w:insideV w:val="single" w:sz="8" w:space="0" w:color="C62C2A"/>
        </w:tcBorders>
      </w:tcPr>
    </w:tblStylePr>
  </w:style>
  <w:style w:type="table" w:styleId="LightGrid-Accent3">
    <w:name w:val="Light Grid Accent 3"/>
    <w:basedOn w:val="TableNormal"/>
    <w:uiPriority w:val="99"/>
    <w:semiHidden/>
    <w:rsid w:val="00361DEB"/>
    <w:tblPr>
      <w:tblStyleRowBandSize w:val="1"/>
      <w:tblStyleColBandSize w:val="1"/>
      <w:tblBorders>
        <w:top w:val="single" w:sz="8" w:space="0" w:color="E2349C"/>
        <w:left w:val="single" w:sz="8" w:space="0" w:color="E2349C"/>
        <w:bottom w:val="single" w:sz="8" w:space="0" w:color="E2349C"/>
        <w:right w:val="single" w:sz="8" w:space="0" w:color="E2349C"/>
        <w:insideH w:val="single" w:sz="8" w:space="0" w:color="E2349C"/>
        <w:insideV w:val="single" w:sz="8" w:space="0" w:color="E2349C"/>
      </w:tblBorders>
    </w:tblPr>
    <w:tblStylePr w:type="firstRow">
      <w:pPr>
        <w:spacing w:before="0" w:after="0" w:line="240" w:lineRule="auto"/>
      </w:pPr>
      <w:rPr>
        <w:rFonts w:ascii="Arial" w:eastAsia="MS Gothic" w:hAnsi="Arial" w:cs="Times New Roman"/>
        <w:b/>
        <w:bCs/>
      </w:rPr>
      <w:tblPr/>
      <w:tcPr>
        <w:tcBorders>
          <w:top w:val="single" w:sz="8" w:space="0" w:color="E2349C"/>
          <w:left w:val="single" w:sz="8" w:space="0" w:color="E2349C"/>
          <w:bottom w:val="single" w:sz="18" w:space="0" w:color="E2349C"/>
          <w:right w:val="single" w:sz="8" w:space="0" w:color="E2349C"/>
          <w:insideH w:val="nil"/>
          <w:insideV w:val="single" w:sz="8" w:space="0" w:color="E2349C"/>
        </w:tcBorders>
      </w:tcPr>
    </w:tblStylePr>
    <w:tblStylePr w:type="lastRow">
      <w:pPr>
        <w:spacing w:before="0" w:after="0" w:line="240" w:lineRule="auto"/>
      </w:pPr>
      <w:rPr>
        <w:rFonts w:ascii="Arial" w:eastAsia="MS Gothic" w:hAnsi="Arial" w:cs="Times New Roman"/>
        <w:b/>
        <w:bCs/>
      </w:rPr>
      <w:tblPr/>
      <w:tcPr>
        <w:tcBorders>
          <w:top w:val="double" w:sz="6" w:space="0" w:color="E2349C"/>
          <w:left w:val="single" w:sz="8" w:space="0" w:color="E2349C"/>
          <w:bottom w:val="single" w:sz="8" w:space="0" w:color="E2349C"/>
          <w:right w:val="single" w:sz="8" w:space="0" w:color="E2349C"/>
          <w:insideH w:val="nil"/>
          <w:insideV w:val="single" w:sz="8" w:space="0" w:color="E2349C"/>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E2349C"/>
          <w:left w:val="single" w:sz="8" w:space="0" w:color="E2349C"/>
          <w:bottom w:val="single" w:sz="8" w:space="0" w:color="E2349C"/>
          <w:right w:val="single" w:sz="8" w:space="0" w:color="E2349C"/>
        </w:tcBorders>
      </w:tcPr>
    </w:tblStylePr>
    <w:tblStylePr w:type="band1Vert">
      <w:tblPr/>
      <w:tcPr>
        <w:tcBorders>
          <w:top w:val="single" w:sz="8" w:space="0" w:color="E2349C"/>
          <w:left w:val="single" w:sz="8" w:space="0" w:color="E2349C"/>
          <w:bottom w:val="single" w:sz="8" w:space="0" w:color="E2349C"/>
          <w:right w:val="single" w:sz="8" w:space="0" w:color="E2349C"/>
        </w:tcBorders>
        <w:shd w:val="clear" w:color="auto" w:fill="F7CCE6"/>
      </w:tcPr>
    </w:tblStylePr>
    <w:tblStylePr w:type="band1Horz">
      <w:tblPr/>
      <w:tcPr>
        <w:tcBorders>
          <w:top w:val="single" w:sz="8" w:space="0" w:color="E2349C"/>
          <w:left w:val="single" w:sz="8" w:space="0" w:color="E2349C"/>
          <w:bottom w:val="single" w:sz="8" w:space="0" w:color="E2349C"/>
          <w:right w:val="single" w:sz="8" w:space="0" w:color="E2349C"/>
          <w:insideV w:val="single" w:sz="8" w:space="0" w:color="E2349C"/>
        </w:tcBorders>
        <w:shd w:val="clear" w:color="auto" w:fill="F7CCE6"/>
      </w:tcPr>
    </w:tblStylePr>
    <w:tblStylePr w:type="band2Horz">
      <w:tblPr/>
      <w:tcPr>
        <w:tcBorders>
          <w:top w:val="single" w:sz="8" w:space="0" w:color="E2349C"/>
          <w:left w:val="single" w:sz="8" w:space="0" w:color="E2349C"/>
          <w:bottom w:val="single" w:sz="8" w:space="0" w:color="E2349C"/>
          <w:right w:val="single" w:sz="8" w:space="0" w:color="E2349C"/>
          <w:insideV w:val="single" w:sz="8" w:space="0" w:color="E2349C"/>
        </w:tcBorders>
      </w:tcPr>
    </w:tblStylePr>
  </w:style>
  <w:style w:type="table" w:styleId="LightGrid-Accent4">
    <w:name w:val="Light Grid Accent 4"/>
    <w:basedOn w:val="TableNormal"/>
    <w:uiPriority w:val="99"/>
    <w:semiHidden/>
    <w:rsid w:val="00361DEB"/>
    <w:tblPr>
      <w:tblStyleRowBandSize w:val="1"/>
      <w:tblStyleColBandSize w:val="1"/>
      <w:tblBorders>
        <w:top w:val="single" w:sz="8" w:space="0" w:color="F7931E"/>
        <w:left w:val="single" w:sz="8" w:space="0" w:color="F7931E"/>
        <w:bottom w:val="single" w:sz="8" w:space="0" w:color="F7931E"/>
        <w:right w:val="single" w:sz="8" w:space="0" w:color="F7931E"/>
        <w:insideH w:val="single" w:sz="8" w:space="0" w:color="F7931E"/>
        <w:insideV w:val="single" w:sz="8" w:space="0" w:color="F7931E"/>
      </w:tblBorders>
    </w:tblPr>
    <w:tblStylePr w:type="firstRow">
      <w:pPr>
        <w:spacing w:before="0" w:after="0" w:line="240" w:lineRule="auto"/>
      </w:pPr>
      <w:rPr>
        <w:rFonts w:ascii="Arial" w:eastAsia="MS Gothic" w:hAnsi="Arial" w:cs="Times New Roman"/>
        <w:b/>
        <w:bCs/>
      </w:rPr>
      <w:tblPr/>
      <w:tcPr>
        <w:tcBorders>
          <w:top w:val="single" w:sz="8" w:space="0" w:color="F7931E"/>
          <w:left w:val="single" w:sz="8" w:space="0" w:color="F7931E"/>
          <w:bottom w:val="single" w:sz="18" w:space="0" w:color="F7931E"/>
          <w:right w:val="single" w:sz="8" w:space="0" w:color="F7931E"/>
          <w:insideH w:val="nil"/>
          <w:insideV w:val="single" w:sz="8" w:space="0" w:color="F7931E"/>
        </w:tcBorders>
      </w:tcPr>
    </w:tblStylePr>
    <w:tblStylePr w:type="lastRow">
      <w:pPr>
        <w:spacing w:before="0" w:after="0" w:line="240" w:lineRule="auto"/>
      </w:pPr>
      <w:rPr>
        <w:rFonts w:ascii="Arial" w:eastAsia="MS Gothic" w:hAnsi="Arial" w:cs="Times New Roman"/>
        <w:b/>
        <w:bCs/>
      </w:rPr>
      <w:tblPr/>
      <w:tcPr>
        <w:tcBorders>
          <w:top w:val="double" w:sz="6" w:space="0" w:color="F7931E"/>
          <w:left w:val="single" w:sz="8" w:space="0" w:color="F7931E"/>
          <w:bottom w:val="single" w:sz="8" w:space="0" w:color="F7931E"/>
          <w:right w:val="single" w:sz="8" w:space="0" w:color="F7931E"/>
          <w:insideH w:val="nil"/>
          <w:insideV w:val="single" w:sz="8" w:space="0" w:color="F7931E"/>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F7931E"/>
          <w:left w:val="single" w:sz="8" w:space="0" w:color="F7931E"/>
          <w:bottom w:val="single" w:sz="8" w:space="0" w:color="F7931E"/>
          <w:right w:val="single" w:sz="8" w:space="0" w:color="F7931E"/>
        </w:tcBorders>
      </w:tcPr>
    </w:tblStylePr>
    <w:tblStylePr w:type="band1Vert">
      <w:tblPr/>
      <w:tcPr>
        <w:tcBorders>
          <w:top w:val="single" w:sz="8" w:space="0" w:color="F7931E"/>
          <w:left w:val="single" w:sz="8" w:space="0" w:color="F7931E"/>
          <w:bottom w:val="single" w:sz="8" w:space="0" w:color="F7931E"/>
          <w:right w:val="single" w:sz="8" w:space="0" w:color="F7931E"/>
        </w:tcBorders>
        <w:shd w:val="clear" w:color="auto" w:fill="FDE4C7"/>
      </w:tcPr>
    </w:tblStylePr>
    <w:tblStylePr w:type="band1Horz">
      <w:tblPr/>
      <w:tcPr>
        <w:tcBorders>
          <w:top w:val="single" w:sz="8" w:space="0" w:color="F7931E"/>
          <w:left w:val="single" w:sz="8" w:space="0" w:color="F7931E"/>
          <w:bottom w:val="single" w:sz="8" w:space="0" w:color="F7931E"/>
          <w:right w:val="single" w:sz="8" w:space="0" w:color="F7931E"/>
          <w:insideV w:val="single" w:sz="8" w:space="0" w:color="F7931E"/>
        </w:tcBorders>
        <w:shd w:val="clear" w:color="auto" w:fill="FDE4C7"/>
      </w:tcPr>
    </w:tblStylePr>
    <w:tblStylePr w:type="band2Horz">
      <w:tblPr/>
      <w:tcPr>
        <w:tcBorders>
          <w:top w:val="single" w:sz="8" w:space="0" w:color="F7931E"/>
          <w:left w:val="single" w:sz="8" w:space="0" w:color="F7931E"/>
          <w:bottom w:val="single" w:sz="8" w:space="0" w:color="F7931E"/>
          <w:right w:val="single" w:sz="8" w:space="0" w:color="F7931E"/>
          <w:insideV w:val="single" w:sz="8" w:space="0" w:color="F7931E"/>
        </w:tcBorders>
      </w:tcPr>
    </w:tblStylePr>
  </w:style>
  <w:style w:type="table" w:styleId="LightGrid-Accent5">
    <w:name w:val="Light Grid Accent 5"/>
    <w:basedOn w:val="TableNormal"/>
    <w:uiPriority w:val="99"/>
    <w:semiHidden/>
    <w:rsid w:val="00361DEB"/>
    <w:tblPr>
      <w:tblStyleRowBandSize w:val="1"/>
      <w:tblStyleColBandSize w:val="1"/>
      <w:tblBorders>
        <w:top w:val="single" w:sz="8" w:space="0" w:color="D9E021"/>
        <w:left w:val="single" w:sz="8" w:space="0" w:color="D9E021"/>
        <w:bottom w:val="single" w:sz="8" w:space="0" w:color="D9E021"/>
        <w:right w:val="single" w:sz="8" w:space="0" w:color="D9E021"/>
        <w:insideH w:val="single" w:sz="8" w:space="0" w:color="D9E021"/>
        <w:insideV w:val="single" w:sz="8" w:space="0" w:color="D9E021"/>
      </w:tblBorders>
    </w:tblPr>
    <w:tblStylePr w:type="firstRow">
      <w:pPr>
        <w:spacing w:before="0" w:after="0" w:line="240" w:lineRule="auto"/>
      </w:pPr>
      <w:rPr>
        <w:rFonts w:ascii="Arial" w:eastAsia="MS Gothic" w:hAnsi="Arial" w:cs="Times New Roman"/>
        <w:b/>
        <w:bCs/>
      </w:rPr>
      <w:tblPr/>
      <w:tcPr>
        <w:tcBorders>
          <w:top w:val="single" w:sz="8" w:space="0" w:color="D9E021"/>
          <w:left w:val="single" w:sz="8" w:space="0" w:color="D9E021"/>
          <w:bottom w:val="single" w:sz="18" w:space="0" w:color="D9E021"/>
          <w:right w:val="single" w:sz="8" w:space="0" w:color="D9E021"/>
          <w:insideH w:val="nil"/>
          <w:insideV w:val="single" w:sz="8" w:space="0" w:color="D9E021"/>
        </w:tcBorders>
      </w:tcPr>
    </w:tblStylePr>
    <w:tblStylePr w:type="lastRow">
      <w:pPr>
        <w:spacing w:before="0" w:after="0" w:line="240" w:lineRule="auto"/>
      </w:pPr>
      <w:rPr>
        <w:rFonts w:ascii="Arial" w:eastAsia="MS Gothic" w:hAnsi="Arial" w:cs="Times New Roman"/>
        <w:b/>
        <w:bCs/>
      </w:rPr>
      <w:tblPr/>
      <w:tcPr>
        <w:tcBorders>
          <w:top w:val="double" w:sz="6" w:space="0" w:color="D9E021"/>
          <w:left w:val="single" w:sz="8" w:space="0" w:color="D9E021"/>
          <w:bottom w:val="single" w:sz="8" w:space="0" w:color="D9E021"/>
          <w:right w:val="single" w:sz="8" w:space="0" w:color="D9E021"/>
          <w:insideH w:val="nil"/>
          <w:insideV w:val="single" w:sz="8" w:space="0" w:color="D9E021"/>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D9E021"/>
          <w:left w:val="single" w:sz="8" w:space="0" w:color="D9E021"/>
          <w:bottom w:val="single" w:sz="8" w:space="0" w:color="D9E021"/>
          <w:right w:val="single" w:sz="8" w:space="0" w:color="D9E021"/>
        </w:tcBorders>
      </w:tcPr>
    </w:tblStylePr>
    <w:tblStylePr w:type="band1Vert">
      <w:tblPr/>
      <w:tcPr>
        <w:tcBorders>
          <w:top w:val="single" w:sz="8" w:space="0" w:color="D9E021"/>
          <w:left w:val="single" w:sz="8" w:space="0" w:color="D9E021"/>
          <w:bottom w:val="single" w:sz="8" w:space="0" w:color="D9E021"/>
          <w:right w:val="single" w:sz="8" w:space="0" w:color="D9E021"/>
        </w:tcBorders>
        <w:shd w:val="clear" w:color="auto" w:fill="F5F7C8"/>
      </w:tcPr>
    </w:tblStylePr>
    <w:tblStylePr w:type="band1Horz">
      <w:tblPr/>
      <w:tcPr>
        <w:tcBorders>
          <w:top w:val="single" w:sz="8" w:space="0" w:color="D9E021"/>
          <w:left w:val="single" w:sz="8" w:space="0" w:color="D9E021"/>
          <w:bottom w:val="single" w:sz="8" w:space="0" w:color="D9E021"/>
          <w:right w:val="single" w:sz="8" w:space="0" w:color="D9E021"/>
          <w:insideV w:val="single" w:sz="8" w:space="0" w:color="D9E021"/>
        </w:tcBorders>
        <w:shd w:val="clear" w:color="auto" w:fill="F5F7C8"/>
      </w:tcPr>
    </w:tblStylePr>
    <w:tblStylePr w:type="band2Horz">
      <w:tblPr/>
      <w:tcPr>
        <w:tcBorders>
          <w:top w:val="single" w:sz="8" w:space="0" w:color="D9E021"/>
          <w:left w:val="single" w:sz="8" w:space="0" w:color="D9E021"/>
          <w:bottom w:val="single" w:sz="8" w:space="0" w:color="D9E021"/>
          <w:right w:val="single" w:sz="8" w:space="0" w:color="D9E021"/>
          <w:insideV w:val="single" w:sz="8" w:space="0" w:color="D9E021"/>
        </w:tcBorders>
      </w:tcPr>
    </w:tblStylePr>
  </w:style>
  <w:style w:type="table" w:styleId="LightGrid-Accent6">
    <w:name w:val="Light Grid Accent 6"/>
    <w:basedOn w:val="TableNormal"/>
    <w:uiPriority w:val="99"/>
    <w:semiHidden/>
    <w:rsid w:val="00361DEB"/>
    <w:tblPr>
      <w:tblStyleRowBandSize w:val="1"/>
      <w:tblStyleColBandSize w:val="1"/>
      <w:tblBorders>
        <w:top w:val="single" w:sz="8" w:space="0" w:color="61C6C6"/>
        <w:left w:val="single" w:sz="8" w:space="0" w:color="61C6C6"/>
        <w:bottom w:val="single" w:sz="8" w:space="0" w:color="61C6C6"/>
        <w:right w:val="single" w:sz="8" w:space="0" w:color="61C6C6"/>
        <w:insideH w:val="single" w:sz="8" w:space="0" w:color="61C6C6"/>
        <w:insideV w:val="single" w:sz="8" w:space="0" w:color="61C6C6"/>
      </w:tblBorders>
    </w:tblPr>
    <w:tblStylePr w:type="firstRow">
      <w:pPr>
        <w:spacing w:before="0" w:after="0" w:line="240" w:lineRule="auto"/>
      </w:pPr>
      <w:rPr>
        <w:rFonts w:ascii="Arial" w:eastAsia="MS Gothic" w:hAnsi="Arial" w:cs="Times New Roman"/>
        <w:b/>
        <w:bCs/>
      </w:rPr>
      <w:tblPr/>
      <w:tcPr>
        <w:tcBorders>
          <w:top w:val="single" w:sz="8" w:space="0" w:color="61C6C6"/>
          <w:left w:val="single" w:sz="8" w:space="0" w:color="61C6C6"/>
          <w:bottom w:val="single" w:sz="18" w:space="0" w:color="61C6C6"/>
          <w:right w:val="single" w:sz="8" w:space="0" w:color="61C6C6"/>
          <w:insideH w:val="nil"/>
          <w:insideV w:val="single" w:sz="8" w:space="0" w:color="61C6C6"/>
        </w:tcBorders>
      </w:tcPr>
    </w:tblStylePr>
    <w:tblStylePr w:type="lastRow">
      <w:pPr>
        <w:spacing w:before="0" w:after="0" w:line="240" w:lineRule="auto"/>
      </w:pPr>
      <w:rPr>
        <w:rFonts w:ascii="Arial" w:eastAsia="MS Gothic" w:hAnsi="Arial" w:cs="Times New Roman"/>
        <w:b/>
        <w:bCs/>
      </w:rPr>
      <w:tblPr/>
      <w:tcPr>
        <w:tcBorders>
          <w:top w:val="double" w:sz="6" w:space="0" w:color="61C6C6"/>
          <w:left w:val="single" w:sz="8" w:space="0" w:color="61C6C6"/>
          <w:bottom w:val="single" w:sz="8" w:space="0" w:color="61C6C6"/>
          <w:right w:val="single" w:sz="8" w:space="0" w:color="61C6C6"/>
          <w:insideH w:val="nil"/>
          <w:insideV w:val="single" w:sz="8" w:space="0" w:color="61C6C6"/>
        </w:tcBorders>
      </w:tcPr>
    </w:tblStylePr>
    <w:tblStylePr w:type="firstCol">
      <w:rPr>
        <w:rFonts w:ascii="Arial" w:eastAsia="MS Gothic" w:hAnsi="Arial" w:cs="Times New Roman"/>
        <w:b/>
        <w:bCs/>
      </w:rPr>
    </w:tblStylePr>
    <w:tblStylePr w:type="lastCol">
      <w:rPr>
        <w:rFonts w:ascii="Arial" w:eastAsia="MS Gothic" w:hAnsi="Arial" w:cs="Times New Roman"/>
        <w:b/>
        <w:bCs/>
      </w:rPr>
      <w:tblPr/>
      <w:tcPr>
        <w:tcBorders>
          <w:top w:val="single" w:sz="8" w:space="0" w:color="61C6C6"/>
          <w:left w:val="single" w:sz="8" w:space="0" w:color="61C6C6"/>
          <w:bottom w:val="single" w:sz="8" w:space="0" w:color="61C6C6"/>
          <w:right w:val="single" w:sz="8" w:space="0" w:color="61C6C6"/>
        </w:tcBorders>
      </w:tcPr>
    </w:tblStylePr>
    <w:tblStylePr w:type="band1Vert">
      <w:tblPr/>
      <w:tcPr>
        <w:tcBorders>
          <w:top w:val="single" w:sz="8" w:space="0" w:color="61C6C6"/>
          <w:left w:val="single" w:sz="8" w:space="0" w:color="61C6C6"/>
          <w:bottom w:val="single" w:sz="8" w:space="0" w:color="61C6C6"/>
          <w:right w:val="single" w:sz="8" w:space="0" w:color="61C6C6"/>
        </w:tcBorders>
        <w:shd w:val="clear" w:color="auto" w:fill="D7F1F1"/>
      </w:tcPr>
    </w:tblStylePr>
    <w:tblStylePr w:type="band1Horz">
      <w:tblPr/>
      <w:tcPr>
        <w:tcBorders>
          <w:top w:val="single" w:sz="8" w:space="0" w:color="61C6C6"/>
          <w:left w:val="single" w:sz="8" w:space="0" w:color="61C6C6"/>
          <w:bottom w:val="single" w:sz="8" w:space="0" w:color="61C6C6"/>
          <w:right w:val="single" w:sz="8" w:space="0" w:color="61C6C6"/>
          <w:insideV w:val="single" w:sz="8" w:space="0" w:color="61C6C6"/>
        </w:tcBorders>
        <w:shd w:val="clear" w:color="auto" w:fill="D7F1F1"/>
      </w:tcPr>
    </w:tblStylePr>
    <w:tblStylePr w:type="band2Horz">
      <w:tblPr/>
      <w:tcPr>
        <w:tcBorders>
          <w:top w:val="single" w:sz="8" w:space="0" w:color="61C6C6"/>
          <w:left w:val="single" w:sz="8" w:space="0" w:color="61C6C6"/>
          <w:bottom w:val="single" w:sz="8" w:space="0" w:color="61C6C6"/>
          <w:right w:val="single" w:sz="8" w:space="0" w:color="61C6C6"/>
          <w:insideV w:val="single" w:sz="8" w:space="0" w:color="61C6C6"/>
        </w:tcBorders>
      </w:tcPr>
    </w:tblStylePr>
  </w:style>
  <w:style w:type="table" w:customStyle="1" w:styleId="LightList1">
    <w:name w:val="Light List1"/>
    <w:basedOn w:val="TableNormal"/>
    <w:uiPriority w:val="99"/>
    <w:semiHidden/>
    <w:rsid w:val="00361DEB"/>
    <w:tblPr>
      <w:tblStyleRowBandSize w:val="1"/>
      <w:tblStyleColBandSize w:val="1"/>
      <w:tblBorders>
        <w:top w:val="single" w:sz="8" w:space="0" w:color="3F3F3F"/>
        <w:left w:val="single" w:sz="8" w:space="0" w:color="3F3F3F"/>
        <w:bottom w:val="single" w:sz="8" w:space="0" w:color="3F3F3F"/>
        <w:right w:val="single" w:sz="8" w:space="0" w:color="3F3F3F"/>
      </w:tblBorders>
    </w:tblPr>
    <w:tblStylePr w:type="firstRow">
      <w:pPr>
        <w:spacing w:before="0" w:after="0" w:line="240" w:lineRule="auto"/>
      </w:pPr>
      <w:rPr>
        <w:b/>
        <w:bCs/>
        <w:color w:val="FFFFFF"/>
      </w:rPr>
      <w:tblPr/>
      <w:tcPr>
        <w:shd w:val="clear" w:color="auto" w:fill="3F3F3F"/>
      </w:tcPr>
    </w:tblStylePr>
    <w:tblStylePr w:type="lastRow">
      <w:pPr>
        <w:spacing w:before="0" w:after="0" w:line="240" w:lineRule="auto"/>
      </w:pPr>
      <w:rPr>
        <w:b/>
        <w:bCs/>
      </w:rPr>
      <w:tblPr/>
      <w:tcPr>
        <w:tcBorders>
          <w:top w:val="double" w:sz="6" w:space="0" w:color="3F3F3F"/>
          <w:left w:val="single" w:sz="8" w:space="0" w:color="3F3F3F"/>
          <w:bottom w:val="single" w:sz="8" w:space="0" w:color="3F3F3F"/>
          <w:right w:val="single" w:sz="8" w:space="0" w:color="3F3F3F"/>
        </w:tcBorders>
      </w:tcPr>
    </w:tblStylePr>
    <w:tblStylePr w:type="firstCol">
      <w:rPr>
        <w:b/>
        <w:bCs/>
      </w:rPr>
    </w:tblStylePr>
    <w:tblStylePr w:type="lastCol">
      <w:rPr>
        <w:b/>
        <w:bCs/>
      </w:rPr>
    </w:tblStylePr>
    <w:tblStylePr w:type="band1Vert">
      <w:tblPr/>
      <w:tcPr>
        <w:tcBorders>
          <w:top w:val="single" w:sz="8" w:space="0" w:color="3F3F3F"/>
          <w:left w:val="single" w:sz="8" w:space="0" w:color="3F3F3F"/>
          <w:bottom w:val="single" w:sz="8" w:space="0" w:color="3F3F3F"/>
          <w:right w:val="single" w:sz="8" w:space="0" w:color="3F3F3F"/>
        </w:tcBorders>
      </w:tcPr>
    </w:tblStylePr>
    <w:tblStylePr w:type="band1Horz">
      <w:tblPr/>
      <w:tcPr>
        <w:tcBorders>
          <w:top w:val="single" w:sz="8" w:space="0" w:color="3F3F3F"/>
          <w:left w:val="single" w:sz="8" w:space="0" w:color="3F3F3F"/>
          <w:bottom w:val="single" w:sz="8" w:space="0" w:color="3F3F3F"/>
          <w:right w:val="single" w:sz="8" w:space="0" w:color="3F3F3F"/>
        </w:tcBorders>
      </w:tcPr>
    </w:tblStylePr>
  </w:style>
  <w:style w:type="table" w:customStyle="1" w:styleId="LightList-Accent11">
    <w:name w:val="Light List - Accent 11"/>
    <w:basedOn w:val="TableNormal"/>
    <w:uiPriority w:val="99"/>
    <w:semiHidden/>
    <w:rsid w:val="00361DEB"/>
    <w:tblPr>
      <w:tblStyleRowBandSize w:val="1"/>
      <w:tblStyleColBandSize w:val="1"/>
      <w:tblBorders>
        <w:top w:val="single" w:sz="8" w:space="0" w:color="254F90"/>
        <w:left w:val="single" w:sz="8" w:space="0" w:color="254F90"/>
        <w:bottom w:val="single" w:sz="8" w:space="0" w:color="254F90"/>
        <w:right w:val="single" w:sz="8" w:space="0" w:color="254F90"/>
      </w:tblBorders>
    </w:tblPr>
    <w:tblStylePr w:type="firstRow">
      <w:pPr>
        <w:spacing w:before="0" w:after="0" w:line="240" w:lineRule="auto"/>
      </w:pPr>
      <w:rPr>
        <w:b/>
        <w:bCs/>
        <w:color w:val="FFFFFF"/>
      </w:rPr>
      <w:tblPr/>
      <w:tcPr>
        <w:shd w:val="clear" w:color="auto" w:fill="254F90"/>
      </w:tcPr>
    </w:tblStylePr>
    <w:tblStylePr w:type="lastRow">
      <w:pPr>
        <w:spacing w:before="0" w:after="0" w:line="240" w:lineRule="auto"/>
      </w:pPr>
      <w:rPr>
        <w:b/>
        <w:bCs/>
      </w:rPr>
      <w:tblPr/>
      <w:tcPr>
        <w:tcBorders>
          <w:top w:val="double" w:sz="6" w:space="0" w:color="254F90"/>
          <w:left w:val="single" w:sz="8" w:space="0" w:color="254F90"/>
          <w:bottom w:val="single" w:sz="8" w:space="0" w:color="254F90"/>
          <w:right w:val="single" w:sz="8" w:space="0" w:color="254F90"/>
        </w:tcBorders>
      </w:tcPr>
    </w:tblStylePr>
    <w:tblStylePr w:type="firstCol">
      <w:rPr>
        <w:b/>
        <w:bCs/>
      </w:rPr>
    </w:tblStylePr>
    <w:tblStylePr w:type="lastCol">
      <w:rPr>
        <w:b/>
        <w:bCs/>
      </w:rPr>
    </w:tblStylePr>
    <w:tblStylePr w:type="band1Vert">
      <w:tblPr/>
      <w:tcPr>
        <w:tcBorders>
          <w:top w:val="single" w:sz="8" w:space="0" w:color="254F90"/>
          <w:left w:val="single" w:sz="8" w:space="0" w:color="254F90"/>
          <w:bottom w:val="single" w:sz="8" w:space="0" w:color="254F90"/>
          <w:right w:val="single" w:sz="8" w:space="0" w:color="254F90"/>
        </w:tcBorders>
      </w:tcPr>
    </w:tblStylePr>
    <w:tblStylePr w:type="band1Horz">
      <w:tblPr/>
      <w:tcPr>
        <w:tcBorders>
          <w:top w:val="single" w:sz="8" w:space="0" w:color="254F90"/>
          <w:left w:val="single" w:sz="8" w:space="0" w:color="254F90"/>
          <w:bottom w:val="single" w:sz="8" w:space="0" w:color="254F90"/>
          <w:right w:val="single" w:sz="8" w:space="0" w:color="254F90"/>
        </w:tcBorders>
      </w:tcPr>
    </w:tblStylePr>
  </w:style>
  <w:style w:type="table" w:styleId="LightList-Accent2">
    <w:name w:val="Light List Accent 2"/>
    <w:basedOn w:val="TableNormal"/>
    <w:uiPriority w:val="99"/>
    <w:semiHidden/>
    <w:rsid w:val="00361DEB"/>
    <w:tblPr>
      <w:tblStyleRowBandSize w:val="1"/>
      <w:tblStyleColBandSize w:val="1"/>
      <w:tblBorders>
        <w:top w:val="single" w:sz="8" w:space="0" w:color="C62C2A"/>
        <w:left w:val="single" w:sz="8" w:space="0" w:color="C62C2A"/>
        <w:bottom w:val="single" w:sz="8" w:space="0" w:color="C62C2A"/>
        <w:right w:val="single" w:sz="8" w:space="0" w:color="C62C2A"/>
      </w:tblBorders>
    </w:tblPr>
    <w:tblStylePr w:type="firstRow">
      <w:pPr>
        <w:spacing w:before="0" w:after="0" w:line="240" w:lineRule="auto"/>
      </w:pPr>
      <w:rPr>
        <w:b/>
        <w:bCs/>
        <w:color w:val="FFFFFF"/>
      </w:rPr>
      <w:tblPr/>
      <w:tcPr>
        <w:shd w:val="clear" w:color="auto" w:fill="C62C2A"/>
      </w:tcPr>
    </w:tblStylePr>
    <w:tblStylePr w:type="lastRow">
      <w:pPr>
        <w:spacing w:before="0" w:after="0" w:line="240" w:lineRule="auto"/>
      </w:pPr>
      <w:rPr>
        <w:b/>
        <w:bCs/>
      </w:rPr>
      <w:tblPr/>
      <w:tcPr>
        <w:tcBorders>
          <w:top w:val="double" w:sz="6" w:space="0" w:color="C62C2A"/>
          <w:left w:val="single" w:sz="8" w:space="0" w:color="C62C2A"/>
          <w:bottom w:val="single" w:sz="8" w:space="0" w:color="C62C2A"/>
          <w:right w:val="single" w:sz="8" w:space="0" w:color="C62C2A"/>
        </w:tcBorders>
      </w:tcPr>
    </w:tblStylePr>
    <w:tblStylePr w:type="firstCol">
      <w:rPr>
        <w:b/>
        <w:bCs/>
      </w:rPr>
    </w:tblStylePr>
    <w:tblStylePr w:type="lastCol">
      <w:rPr>
        <w:b/>
        <w:bCs/>
      </w:rPr>
    </w:tblStylePr>
    <w:tblStylePr w:type="band1Vert">
      <w:tblPr/>
      <w:tcPr>
        <w:tcBorders>
          <w:top w:val="single" w:sz="8" w:space="0" w:color="C62C2A"/>
          <w:left w:val="single" w:sz="8" w:space="0" w:color="C62C2A"/>
          <w:bottom w:val="single" w:sz="8" w:space="0" w:color="C62C2A"/>
          <w:right w:val="single" w:sz="8" w:space="0" w:color="C62C2A"/>
        </w:tcBorders>
      </w:tcPr>
    </w:tblStylePr>
    <w:tblStylePr w:type="band1Horz">
      <w:tblPr/>
      <w:tcPr>
        <w:tcBorders>
          <w:top w:val="single" w:sz="8" w:space="0" w:color="C62C2A"/>
          <w:left w:val="single" w:sz="8" w:space="0" w:color="C62C2A"/>
          <w:bottom w:val="single" w:sz="8" w:space="0" w:color="C62C2A"/>
          <w:right w:val="single" w:sz="8" w:space="0" w:color="C62C2A"/>
        </w:tcBorders>
      </w:tcPr>
    </w:tblStylePr>
  </w:style>
  <w:style w:type="table" w:styleId="LightList-Accent3">
    <w:name w:val="Light List Accent 3"/>
    <w:basedOn w:val="TableNormal"/>
    <w:uiPriority w:val="99"/>
    <w:semiHidden/>
    <w:rsid w:val="00361DEB"/>
    <w:tblPr>
      <w:tblStyleRowBandSize w:val="1"/>
      <w:tblStyleColBandSize w:val="1"/>
      <w:tblBorders>
        <w:top w:val="single" w:sz="8" w:space="0" w:color="E2349C"/>
        <w:left w:val="single" w:sz="8" w:space="0" w:color="E2349C"/>
        <w:bottom w:val="single" w:sz="8" w:space="0" w:color="E2349C"/>
        <w:right w:val="single" w:sz="8" w:space="0" w:color="E2349C"/>
      </w:tblBorders>
    </w:tblPr>
    <w:tblStylePr w:type="firstRow">
      <w:pPr>
        <w:spacing w:before="0" w:after="0" w:line="240" w:lineRule="auto"/>
      </w:pPr>
      <w:rPr>
        <w:b/>
        <w:bCs/>
        <w:color w:val="FFFFFF"/>
      </w:rPr>
      <w:tblPr/>
      <w:tcPr>
        <w:shd w:val="clear" w:color="auto" w:fill="E2349C"/>
      </w:tcPr>
    </w:tblStylePr>
    <w:tblStylePr w:type="lastRow">
      <w:pPr>
        <w:spacing w:before="0" w:after="0" w:line="240" w:lineRule="auto"/>
      </w:pPr>
      <w:rPr>
        <w:b/>
        <w:bCs/>
      </w:rPr>
      <w:tblPr/>
      <w:tcPr>
        <w:tcBorders>
          <w:top w:val="double" w:sz="6" w:space="0" w:color="E2349C"/>
          <w:left w:val="single" w:sz="8" w:space="0" w:color="E2349C"/>
          <w:bottom w:val="single" w:sz="8" w:space="0" w:color="E2349C"/>
          <w:right w:val="single" w:sz="8" w:space="0" w:color="E2349C"/>
        </w:tcBorders>
      </w:tcPr>
    </w:tblStylePr>
    <w:tblStylePr w:type="firstCol">
      <w:rPr>
        <w:b/>
        <w:bCs/>
      </w:rPr>
    </w:tblStylePr>
    <w:tblStylePr w:type="lastCol">
      <w:rPr>
        <w:b/>
        <w:bCs/>
      </w:rPr>
    </w:tblStylePr>
    <w:tblStylePr w:type="band1Vert">
      <w:tblPr/>
      <w:tcPr>
        <w:tcBorders>
          <w:top w:val="single" w:sz="8" w:space="0" w:color="E2349C"/>
          <w:left w:val="single" w:sz="8" w:space="0" w:color="E2349C"/>
          <w:bottom w:val="single" w:sz="8" w:space="0" w:color="E2349C"/>
          <w:right w:val="single" w:sz="8" w:space="0" w:color="E2349C"/>
        </w:tcBorders>
      </w:tcPr>
    </w:tblStylePr>
    <w:tblStylePr w:type="band1Horz">
      <w:tblPr/>
      <w:tcPr>
        <w:tcBorders>
          <w:top w:val="single" w:sz="8" w:space="0" w:color="E2349C"/>
          <w:left w:val="single" w:sz="8" w:space="0" w:color="E2349C"/>
          <w:bottom w:val="single" w:sz="8" w:space="0" w:color="E2349C"/>
          <w:right w:val="single" w:sz="8" w:space="0" w:color="E2349C"/>
        </w:tcBorders>
      </w:tcPr>
    </w:tblStylePr>
  </w:style>
  <w:style w:type="table" w:styleId="LightList-Accent4">
    <w:name w:val="Light List Accent 4"/>
    <w:basedOn w:val="TableNormal"/>
    <w:uiPriority w:val="99"/>
    <w:semiHidden/>
    <w:rsid w:val="00361DEB"/>
    <w:tblPr>
      <w:tblStyleRowBandSize w:val="1"/>
      <w:tblStyleColBandSize w:val="1"/>
      <w:tblBorders>
        <w:top w:val="single" w:sz="8" w:space="0" w:color="F7931E"/>
        <w:left w:val="single" w:sz="8" w:space="0" w:color="F7931E"/>
        <w:bottom w:val="single" w:sz="8" w:space="0" w:color="F7931E"/>
        <w:right w:val="single" w:sz="8" w:space="0" w:color="F7931E"/>
      </w:tblBorders>
    </w:tblPr>
    <w:tblStylePr w:type="firstRow">
      <w:pPr>
        <w:spacing w:before="0" w:after="0" w:line="240" w:lineRule="auto"/>
      </w:pPr>
      <w:rPr>
        <w:b/>
        <w:bCs/>
        <w:color w:val="FFFFFF"/>
      </w:rPr>
      <w:tblPr/>
      <w:tcPr>
        <w:shd w:val="clear" w:color="auto" w:fill="F7931E"/>
      </w:tcPr>
    </w:tblStylePr>
    <w:tblStylePr w:type="lastRow">
      <w:pPr>
        <w:spacing w:before="0" w:after="0" w:line="240" w:lineRule="auto"/>
      </w:pPr>
      <w:rPr>
        <w:b/>
        <w:bCs/>
      </w:rPr>
      <w:tblPr/>
      <w:tcPr>
        <w:tcBorders>
          <w:top w:val="double" w:sz="6" w:space="0" w:color="F7931E"/>
          <w:left w:val="single" w:sz="8" w:space="0" w:color="F7931E"/>
          <w:bottom w:val="single" w:sz="8" w:space="0" w:color="F7931E"/>
          <w:right w:val="single" w:sz="8" w:space="0" w:color="F7931E"/>
        </w:tcBorders>
      </w:tcPr>
    </w:tblStylePr>
    <w:tblStylePr w:type="firstCol">
      <w:rPr>
        <w:b/>
        <w:bCs/>
      </w:rPr>
    </w:tblStylePr>
    <w:tblStylePr w:type="lastCol">
      <w:rPr>
        <w:b/>
        <w:bCs/>
      </w:rPr>
    </w:tblStylePr>
    <w:tblStylePr w:type="band1Vert">
      <w:tblPr/>
      <w:tcPr>
        <w:tcBorders>
          <w:top w:val="single" w:sz="8" w:space="0" w:color="F7931E"/>
          <w:left w:val="single" w:sz="8" w:space="0" w:color="F7931E"/>
          <w:bottom w:val="single" w:sz="8" w:space="0" w:color="F7931E"/>
          <w:right w:val="single" w:sz="8" w:space="0" w:color="F7931E"/>
        </w:tcBorders>
      </w:tcPr>
    </w:tblStylePr>
    <w:tblStylePr w:type="band1Horz">
      <w:tblPr/>
      <w:tcPr>
        <w:tcBorders>
          <w:top w:val="single" w:sz="8" w:space="0" w:color="F7931E"/>
          <w:left w:val="single" w:sz="8" w:space="0" w:color="F7931E"/>
          <w:bottom w:val="single" w:sz="8" w:space="0" w:color="F7931E"/>
          <w:right w:val="single" w:sz="8" w:space="0" w:color="F7931E"/>
        </w:tcBorders>
      </w:tcPr>
    </w:tblStylePr>
  </w:style>
  <w:style w:type="table" w:styleId="LightList-Accent5">
    <w:name w:val="Light List Accent 5"/>
    <w:basedOn w:val="TableNormal"/>
    <w:uiPriority w:val="99"/>
    <w:semiHidden/>
    <w:rsid w:val="00361DEB"/>
    <w:tblPr>
      <w:tblStyleRowBandSize w:val="1"/>
      <w:tblStyleColBandSize w:val="1"/>
      <w:tblBorders>
        <w:top w:val="single" w:sz="8" w:space="0" w:color="D9E021"/>
        <w:left w:val="single" w:sz="8" w:space="0" w:color="D9E021"/>
        <w:bottom w:val="single" w:sz="8" w:space="0" w:color="D9E021"/>
        <w:right w:val="single" w:sz="8" w:space="0" w:color="D9E021"/>
      </w:tblBorders>
    </w:tblPr>
    <w:tblStylePr w:type="firstRow">
      <w:pPr>
        <w:spacing w:before="0" w:after="0" w:line="240" w:lineRule="auto"/>
      </w:pPr>
      <w:rPr>
        <w:b/>
        <w:bCs/>
        <w:color w:val="FFFFFF"/>
      </w:rPr>
      <w:tblPr/>
      <w:tcPr>
        <w:shd w:val="clear" w:color="auto" w:fill="D9E021"/>
      </w:tcPr>
    </w:tblStylePr>
    <w:tblStylePr w:type="lastRow">
      <w:pPr>
        <w:spacing w:before="0" w:after="0" w:line="240" w:lineRule="auto"/>
      </w:pPr>
      <w:rPr>
        <w:b/>
        <w:bCs/>
      </w:rPr>
      <w:tblPr/>
      <w:tcPr>
        <w:tcBorders>
          <w:top w:val="double" w:sz="6" w:space="0" w:color="D9E021"/>
          <w:left w:val="single" w:sz="8" w:space="0" w:color="D9E021"/>
          <w:bottom w:val="single" w:sz="8" w:space="0" w:color="D9E021"/>
          <w:right w:val="single" w:sz="8" w:space="0" w:color="D9E021"/>
        </w:tcBorders>
      </w:tcPr>
    </w:tblStylePr>
    <w:tblStylePr w:type="firstCol">
      <w:rPr>
        <w:b/>
        <w:bCs/>
      </w:rPr>
    </w:tblStylePr>
    <w:tblStylePr w:type="lastCol">
      <w:rPr>
        <w:b/>
        <w:bCs/>
      </w:rPr>
    </w:tblStylePr>
    <w:tblStylePr w:type="band1Vert">
      <w:tblPr/>
      <w:tcPr>
        <w:tcBorders>
          <w:top w:val="single" w:sz="8" w:space="0" w:color="D9E021"/>
          <w:left w:val="single" w:sz="8" w:space="0" w:color="D9E021"/>
          <w:bottom w:val="single" w:sz="8" w:space="0" w:color="D9E021"/>
          <w:right w:val="single" w:sz="8" w:space="0" w:color="D9E021"/>
        </w:tcBorders>
      </w:tcPr>
    </w:tblStylePr>
    <w:tblStylePr w:type="band1Horz">
      <w:tblPr/>
      <w:tcPr>
        <w:tcBorders>
          <w:top w:val="single" w:sz="8" w:space="0" w:color="D9E021"/>
          <w:left w:val="single" w:sz="8" w:space="0" w:color="D9E021"/>
          <w:bottom w:val="single" w:sz="8" w:space="0" w:color="D9E021"/>
          <w:right w:val="single" w:sz="8" w:space="0" w:color="D9E021"/>
        </w:tcBorders>
      </w:tcPr>
    </w:tblStylePr>
  </w:style>
  <w:style w:type="table" w:styleId="LightList-Accent6">
    <w:name w:val="Light List Accent 6"/>
    <w:basedOn w:val="TableNormal"/>
    <w:uiPriority w:val="99"/>
    <w:semiHidden/>
    <w:rsid w:val="00361DEB"/>
    <w:tblPr>
      <w:tblStyleRowBandSize w:val="1"/>
      <w:tblStyleColBandSize w:val="1"/>
      <w:tblBorders>
        <w:top w:val="single" w:sz="8" w:space="0" w:color="61C6C6"/>
        <w:left w:val="single" w:sz="8" w:space="0" w:color="61C6C6"/>
        <w:bottom w:val="single" w:sz="8" w:space="0" w:color="61C6C6"/>
        <w:right w:val="single" w:sz="8" w:space="0" w:color="61C6C6"/>
      </w:tblBorders>
    </w:tblPr>
    <w:tblStylePr w:type="firstRow">
      <w:pPr>
        <w:spacing w:before="0" w:after="0" w:line="240" w:lineRule="auto"/>
      </w:pPr>
      <w:rPr>
        <w:b/>
        <w:bCs/>
        <w:color w:val="FFFFFF"/>
      </w:rPr>
      <w:tblPr/>
      <w:tcPr>
        <w:shd w:val="clear" w:color="auto" w:fill="61C6C6"/>
      </w:tcPr>
    </w:tblStylePr>
    <w:tblStylePr w:type="lastRow">
      <w:pPr>
        <w:spacing w:before="0" w:after="0" w:line="240" w:lineRule="auto"/>
      </w:pPr>
      <w:rPr>
        <w:b/>
        <w:bCs/>
      </w:rPr>
      <w:tblPr/>
      <w:tcPr>
        <w:tcBorders>
          <w:top w:val="double" w:sz="6" w:space="0" w:color="61C6C6"/>
          <w:left w:val="single" w:sz="8" w:space="0" w:color="61C6C6"/>
          <w:bottom w:val="single" w:sz="8" w:space="0" w:color="61C6C6"/>
          <w:right w:val="single" w:sz="8" w:space="0" w:color="61C6C6"/>
        </w:tcBorders>
      </w:tcPr>
    </w:tblStylePr>
    <w:tblStylePr w:type="firstCol">
      <w:rPr>
        <w:b/>
        <w:bCs/>
      </w:rPr>
    </w:tblStylePr>
    <w:tblStylePr w:type="lastCol">
      <w:rPr>
        <w:b/>
        <w:bCs/>
      </w:rPr>
    </w:tblStylePr>
    <w:tblStylePr w:type="band1Vert">
      <w:tblPr/>
      <w:tcPr>
        <w:tcBorders>
          <w:top w:val="single" w:sz="8" w:space="0" w:color="61C6C6"/>
          <w:left w:val="single" w:sz="8" w:space="0" w:color="61C6C6"/>
          <w:bottom w:val="single" w:sz="8" w:space="0" w:color="61C6C6"/>
          <w:right w:val="single" w:sz="8" w:space="0" w:color="61C6C6"/>
        </w:tcBorders>
      </w:tcPr>
    </w:tblStylePr>
    <w:tblStylePr w:type="band1Horz">
      <w:tblPr/>
      <w:tcPr>
        <w:tcBorders>
          <w:top w:val="single" w:sz="8" w:space="0" w:color="61C6C6"/>
          <w:left w:val="single" w:sz="8" w:space="0" w:color="61C6C6"/>
          <w:bottom w:val="single" w:sz="8" w:space="0" w:color="61C6C6"/>
          <w:right w:val="single" w:sz="8" w:space="0" w:color="61C6C6"/>
        </w:tcBorders>
      </w:tcPr>
    </w:tblStylePr>
  </w:style>
  <w:style w:type="table" w:customStyle="1" w:styleId="LightShading1">
    <w:name w:val="Light Shading1"/>
    <w:basedOn w:val="TableNormal"/>
    <w:uiPriority w:val="99"/>
    <w:semiHidden/>
    <w:rsid w:val="00361DEB"/>
    <w:rPr>
      <w:color w:val="2F2F2F"/>
    </w:rPr>
    <w:tblPr>
      <w:tblStyleRowBandSize w:val="1"/>
      <w:tblStyleColBandSize w:val="1"/>
      <w:tblBorders>
        <w:top w:val="single" w:sz="8" w:space="0" w:color="3F3F3F"/>
        <w:bottom w:val="single" w:sz="8" w:space="0" w:color="3F3F3F"/>
      </w:tblBorders>
    </w:tblPr>
    <w:tblStylePr w:type="firstRow">
      <w:pPr>
        <w:spacing w:before="0" w:after="0" w:line="240" w:lineRule="auto"/>
      </w:pPr>
      <w:rPr>
        <w:b/>
        <w:bCs/>
      </w:rPr>
      <w:tblPr/>
      <w:tcPr>
        <w:tcBorders>
          <w:top w:val="single" w:sz="8" w:space="0" w:color="3F3F3F"/>
          <w:left w:val="nil"/>
          <w:bottom w:val="single" w:sz="8" w:space="0" w:color="3F3F3F"/>
          <w:right w:val="nil"/>
          <w:insideH w:val="nil"/>
          <w:insideV w:val="nil"/>
        </w:tcBorders>
      </w:tcPr>
    </w:tblStylePr>
    <w:tblStylePr w:type="lastRow">
      <w:pPr>
        <w:spacing w:before="0" w:after="0" w:line="240" w:lineRule="auto"/>
      </w:pPr>
      <w:rPr>
        <w:b/>
        <w:bCs/>
      </w:rPr>
      <w:tblPr/>
      <w:tcPr>
        <w:tcBorders>
          <w:top w:val="single" w:sz="8" w:space="0" w:color="3F3F3F"/>
          <w:left w:val="nil"/>
          <w:bottom w:val="single" w:sz="8" w:space="0" w:color="3F3F3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CFCF"/>
      </w:tcPr>
    </w:tblStylePr>
    <w:tblStylePr w:type="band1Horz">
      <w:tblPr/>
      <w:tcPr>
        <w:tcBorders>
          <w:left w:val="nil"/>
          <w:right w:val="nil"/>
          <w:insideH w:val="nil"/>
          <w:insideV w:val="nil"/>
        </w:tcBorders>
        <w:shd w:val="clear" w:color="auto" w:fill="CFCFCF"/>
      </w:tcPr>
    </w:tblStylePr>
  </w:style>
  <w:style w:type="table" w:customStyle="1" w:styleId="LightShading-Accent11">
    <w:name w:val="Light Shading - Accent 11"/>
    <w:basedOn w:val="TableNormal"/>
    <w:uiPriority w:val="99"/>
    <w:semiHidden/>
    <w:rsid w:val="00361DEB"/>
    <w:rPr>
      <w:color w:val="1B3B6B"/>
    </w:rPr>
    <w:tblPr>
      <w:tblStyleRowBandSize w:val="1"/>
      <w:tblStyleColBandSize w:val="1"/>
      <w:tblBorders>
        <w:top w:val="single" w:sz="8" w:space="0" w:color="254F90"/>
        <w:bottom w:val="single" w:sz="8" w:space="0" w:color="254F90"/>
      </w:tblBorders>
    </w:tblPr>
    <w:tblStylePr w:type="firstRow">
      <w:pPr>
        <w:spacing w:before="0" w:after="0" w:line="240" w:lineRule="auto"/>
      </w:pPr>
      <w:rPr>
        <w:b/>
        <w:bCs/>
      </w:rPr>
      <w:tblPr/>
      <w:tcPr>
        <w:tcBorders>
          <w:top w:val="single" w:sz="8" w:space="0" w:color="254F90"/>
          <w:left w:val="nil"/>
          <w:bottom w:val="single" w:sz="8" w:space="0" w:color="254F90"/>
          <w:right w:val="nil"/>
          <w:insideH w:val="nil"/>
          <w:insideV w:val="nil"/>
        </w:tcBorders>
      </w:tcPr>
    </w:tblStylePr>
    <w:tblStylePr w:type="lastRow">
      <w:pPr>
        <w:spacing w:before="0" w:after="0" w:line="240" w:lineRule="auto"/>
      </w:pPr>
      <w:rPr>
        <w:b/>
        <w:bCs/>
      </w:rPr>
      <w:tblPr/>
      <w:tcPr>
        <w:tcBorders>
          <w:top w:val="single" w:sz="8" w:space="0" w:color="254F90"/>
          <w:left w:val="nil"/>
          <w:bottom w:val="single" w:sz="8" w:space="0" w:color="254F9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D1EE"/>
      </w:tcPr>
    </w:tblStylePr>
    <w:tblStylePr w:type="band1Horz">
      <w:tblPr/>
      <w:tcPr>
        <w:tcBorders>
          <w:left w:val="nil"/>
          <w:right w:val="nil"/>
          <w:insideH w:val="nil"/>
          <w:insideV w:val="nil"/>
        </w:tcBorders>
        <w:shd w:val="clear" w:color="auto" w:fill="BED1EE"/>
      </w:tcPr>
    </w:tblStylePr>
  </w:style>
  <w:style w:type="table" w:styleId="LightShading-Accent2">
    <w:name w:val="Light Shading Accent 2"/>
    <w:basedOn w:val="TableNormal"/>
    <w:uiPriority w:val="99"/>
    <w:semiHidden/>
    <w:rsid w:val="00361DEB"/>
    <w:rPr>
      <w:color w:val="94201F"/>
    </w:rPr>
    <w:tblPr>
      <w:tblStyleRowBandSize w:val="1"/>
      <w:tblStyleColBandSize w:val="1"/>
      <w:tblBorders>
        <w:top w:val="single" w:sz="8" w:space="0" w:color="C62C2A"/>
        <w:bottom w:val="single" w:sz="8" w:space="0" w:color="C62C2A"/>
      </w:tblBorders>
    </w:tblPr>
    <w:tblStylePr w:type="firstRow">
      <w:pPr>
        <w:spacing w:before="0" w:after="0" w:line="240" w:lineRule="auto"/>
      </w:pPr>
      <w:rPr>
        <w:b/>
        <w:bCs/>
      </w:rPr>
      <w:tblPr/>
      <w:tcPr>
        <w:tcBorders>
          <w:top w:val="single" w:sz="8" w:space="0" w:color="C62C2A"/>
          <w:left w:val="nil"/>
          <w:bottom w:val="single" w:sz="8" w:space="0" w:color="C62C2A"/>
          <w:right w:val="nil"/>
          <w:insideH w:val="nil"/>
          <w:insideV w:val="nil"/>
        </w:tcBorders>
      </w:tcPr>
    </w:tblStylePr>
    <w:tblStylePr w:type="lastRow">
      <w:pPr>
        <w:spacing w:before="0" w:after="0" w:line="240" w:lineRule="auto"/>
      </w:pPr>
      <w:rPr>
        <w:b/>
        <w:bCs/>
      </w:rPr>
      <w:tblPr/>
      <w:tcPr>
        <w:tcBorders>
          <w:top w:val="single" w:sz="8" w:space="0" w:color="C62C2A"/>
          <w:left w:val="nil"/>
          <w:bottom w:val="single" w:sz="8" w:space="0" w:color="C62C2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C8C7"/>
      </w:tcPr>
    </w:tblStylePr>
    <w:tblStylePr w:type="band1Horz">
      <w:tblPr/>
      <w:tcPr>
        <w:tcBorders>
          <w:left w:val="nil"/>
          <w:right w:val="nil"/>
          <w:insideH w:val="nil"/>
          <w:insideV w:val="nil"/>
        </w:tcBorders>
        <w:shd w:val="clear" w:color="auto" w:fill="F3C8C7"/>
      </w:tcPr>
    </w:tblStylePr>
  </w:style>
  <w:style w:type="table" w:styleId="LightShading-Accent3">
    <w:name w:val="Light Shading Accent 3"/>
    <w:basedOn w:val="TableNormal"/>
    <w:uiPriority w:val="99"/>
    <w:semiHidden/>
    <w:rsid w:val="00361DEB"/>
    <w:rPr>
      <w:color w:val="B51A76"/>
    </w:rPr>
    <w:tblPr>
      <w:tblStyleRowBandSize w:val="1"/>
      <w:tblStyleColBandSize w:val="1"/>
      <w:tblBorders>
        <w:top w:val="single" w:sz="8" w:space="0" w:color="E2349C"/>
        <w:bottom w:val="single" w:sz="8" w:space="0" w:color="E2349C"/>
      </w:tblBorders>
    </w:tblPr>
    <w:tblStylePr w:type="firstRow">
      <w:pPr>
        <w:spacing w:before="0" w:after="0" w:line="240" w:lineRule="auto"/>
      </w:pPr>
      <w:rPr>
        <w:b/>
        <w:bCs/>
      </w:rPr>
      <w:tblPr/>
      <w:tcPr>
        <w:tcBorders>
          <w:top w:val="single" w:sz="8" w:space="0" w:color="E2349C"/>
          <w:left w:val="nil"/>
          <w:bottom w:val="single" w:sz="8" w:space="0" w:color="E2349C"/>
          <w:right w:val="nil"/>
          <w:insideH w:val="nil"/>
          <w:insideV w:val="nil"/>
        </w:tcBorders>
      </w:tcPr>
    </w:tblStylePr>
    <w:tblStylePr w:type="lastRow">
      <w:pPr>
        <w:spacing w:before="0" w:after="0" w:line="240" w:lineRule="auto"/>
      </w:pPr>
      <w:rPr>
        <w:b/>
        <w:bCs/>
      </w:rPr>
      <w:tblPr/>
      <w:tcPr>
        <w:tcBorders>
          <w:top w:val="single" w:sz="8" w:space="0" w:color="E2349C"/>
          <w:left w:val="nil"/>
          <w:bottom w:val="single" w:sz="8" w:space="0" w:color="E2349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E6"/>
      </w:tcPr>
    </w:tblStylePr>
    <w:tblStylePr w:type="band1Horz">
      <w:tblPr/>
      <w:tcPr>
        <w:tcBorders>
          <w:left w:val="nil"/>
          <w:right w:val="nil"/>
          <w:insideH w:val="nil"/>
          <w:insideV w:val="nil"/>
        </w:tcBorders>
        <w:shd w:val="clear" w:color="auto" w:fill="F7CCE6"/>
      </w:tcPr>
    </w:tblStylePr>
  </w:style>
  <w:style w:type="table" w:styleId="LightShading-Accent4">
    <w:name w:val="Light Shading Accent 4"/>
    <w:basedOn w:val="TableNormal"/>
    <w:uiPriority w:val="99"/>
    <w:semiHidden/>
    <w:rsid w:val="00361DEB"/>
    <w:rPr>
      <w:color w:val="C86E07"/>
    </w:rPr>
    <w:tblPr>
      <w:tblStyleRowBandSize w:val="1"/>
      <w:tblStyleColBandSize w:val="1"/>
      <w:tblBorders>
        <w:top w:val="single" w:sz="8" w:space="0" w:color="F7931E"/>
        <w:bottom w:val="single" w:sz="8" w:space="0" w:color="F7931E"/>
      </w:tblBorders>
    </w:tblPr>
    <w:tblStylePr w:type="firstRow">
      <w:pPr>
        <w:spacing w:before="0" w:after="0" w:line="240" w:lineRule="auto"/>
      </w:pPr>
      <w:rPr>
        <w:b/>
        <w:bCs/>
      </w:rPr>
      <w:tblPr/>
      <w:tcPr>
        <w:tcBorders>
          <w:top w:val="single" w:sz="8" w:space="0" w:color="F7931E"/>
          <w:left w:val="nil"/>
          <w:bottom w:val="single" w:sz="8" w:space="0" w:color="F7931E"/>
          <w:right w:val="nil"/>
          <w:insideH w:val="nil"/>
          <w:insideV w:val="nil"/>
        </w:tcBorders>
      </w:tcPr>
    </w:tblStylePr>
    <w:tblStylePr w:type="lastRow">
      <w:pPr>
        <w:spacing w:before="0" w:after="0" w:line="240" w:lineRule="auto"/>
      </w:pPr>
      <w:rPr>
        <w:b/>
        <w:bCs/>
      </w:rPr>
      <w:tblPr/>
      <w:tcPr>
        <w:tcBorders>
          <w:top w:val="single" w:sz="8" w:space="0" w:color="F7931E"/>
          <w:left w:val="nil"/>
          <w:bottom w:val="single" w:sz="8" w:space="0" w:color="F7931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C7"/>
      </w:tcPr>
    </w:tblStylePr>
    <w:tblStylePr w:type="band1Horz">
      <w:tblPr/>
      <w:tcPr>
        <w:tcBorders>
          <w:left w:val="nil"/>
          <w:right w:val="nil"/>
          <w:insideH w:val="nil"/>
          <w:insideV w:val="nil"/>
        </w:tcBorders>
        <w:shd w:val="clear" w:color="auto" w:fill="FDE4C7"/>
      </w:tcPr>
    </w:tblStylePr>
  </w:style>
  <w:style w:type="table" w:styleId="LightShading-Accent5">
    <w:name w:val="Light Shading Accent 5"/>
    <w:basedOn w:val="TableNormal"/>
    <w:uiPriority w:val="99"/>
    <w:semiHidden/>
    <w:rsid w:val="00361DEB"/>
    <w:rPr>
      <w:color w:val="A2A817"/>
    </w:rPr>
    <w:tblPr>
      <w:tblStyleRowBandSize w:val="1"/>
      <w:tblStyleColBandSize w:val="1"/>
      <w:tblBorders>
        <w:top w:val="single" w:sz="8" w:space="0" w:color="D9E021"/>
        <w:bottom w:val="single" w:sz="8" w:space="0" w:color="D9E021"/>
      </w:tblBorders>
    </w:tblPr>
    <w:tblStylePr w:type="firstRow">
      <w:pPr>
        <w:spacing w:before="0" w:after="0" w:line="240" w:lineRule="auto"/>
      </w:pPr>
      <w:rPr>
        <w:b/>
        <w:bCs/>
      </w:rPr>
      <w:tblPr/>
      <w:tcPr>
        <w:tcBorders>
          <w:top w:val="single" w:sz="8" w:space="0" w:color="D9E021"/>
          <w:left w:val="nil"/>
          <w:bottom w:val="single" w:sz="8" w:space="0" w:color="D9E021"/>
          <w:right w:val="nil"/>
          <w:insideH w:val="nil"/>
          <w:insideV w:val="nil"/>
        </w:tcBorders>
      </w:tcPr>
    </w:tblStylePr>
    <w:tblStylePr w:type="lastRow">
      <w:pPr>
        <w:spacing w:before="0" w:after="0" w:line="240" w:lineRule="auto"/>
      </w:pPr>
      <w:rPr>
        <w:b/>
        <w:bCs/>
      </w:rPr>
      <w:tblPr/>
      <w:tcPr>
        <w:tcBorders>
          <w:top w:val="single" w:sz="8" w:space="0" w:color="D9E021"/>
          <w:left w:val="nil"/>
          <w:bottom w:val="single" w:sz="8" w:space="0" w:color="D9E02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7C8"/>
      </w:tcPr>
    </w:tblStylePr>
    <w:tblStylePr w:type="band1Horz">
      <w:tblPr/>
      <w:tcPr>
        <w:tcBorders>
          <w:left w:val="nil"/>
          <w:right w:val="nil"/>
          <w:insideH w:val="nil"/>
          <w:insideV w:val="nil"/>
        </w:tcBorders>
        <w:shd w:val="clear" w:color="auto" w:fill="F5F7C8"/>
      </w:tcPr>
    </w:tblStylePr>
  </w:style>
  <w:style w:type="table" w:styleId="LightShading-Accent6">
    <w:name w:val="Light Shading Accent 6"/>
    <w:basedOn w:val="TableNormal"/>
    <w:uiPriority w:val="99"/>
    <w:semiHidden/>
    <w:rsid w:val="00361DEB"/>
    <w:rPr>
      <w:color w:val="3AA2A2"/>
    </w:rPr>
    <w:tblPr>
      <w:tblStyleRowBandSize w:val="1"/>
      <w:tblStyleColBandSize w:val="1"/>
      <w:tblBorders>
        <w:top w:val="single" w:sz="8" w:space="0" w:color="61C6C6"/>
        <w:bottom w:val="single" w:sz="8" w:space="0" w:color="61C6C6"/>
      </w:tblBorders>
    </w:tblPr>
    <w:tblStylePr w:type="firstRow">
      <w:pPr>
        <w:spacing w:before="0" w:after="0" w:line="240" w:lineRule="auto"/>
      </w:pPr>
      <w:rPr>
        <w:b/>
        <w:bCs/>
      </w:rPr>
      <w:tblPr/>
      <w:tcPr>
        <w:tcBorders>
          <w:top w:val="single" w:sz="8" w:space="0" w:color="61C6C6"/>
          <w:left w:val="nil"/>
          <w:bottom w:val="single" w:sz="8" w:space="0" w:color="61C6C6"/>
          <w:right w:val="nil"/>
          <w:insideH w:val="nil"/>
          <w:insideV w:val="nil"/>
        </w:tcBorders>
      </w:tcPr>
    </w:tblStylePr>
    <w:tblStylePr w:type="lastRow">
      <w:pPr>
        <w:spacing w:before="0" w:after="0" w:line="240" w:lineRule="auto"/>
      </w:pPr>
      <w:rPr>
        <w:b/>
        <w:bCs/>
      </w:rPr>
      <w:tblPr/>
      <w:tcPr>
        <w:tcBorders>
          <w:top w:val="single" w:sz="8" w:space="0" w:color="61C6C6"/>
          <w:left w:val="nil"/>
          <w:bottom w:val="single" w:sz="8" w:space="0" w:color="61C6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F1F1"/>
      </w:tcPr>
    </w:tblStylePr>
    <w:tblStylePr w:type="band1Horz">
      <w:tblPr/>
      <w:tcPr>
        <w:tcBorders>
          <w:left w:val="nil"/>
          <w:right w:val="nil"/>
          <w:insideH w:val="nil"/>
          <w:insideV w:val="nil"/>
        </w:tcBorders>
        <w:shd w:val="clear" w:color="auto" w:fill="D7F1F1"/>
      </w:tcPr>
    </w:tblStylePr>
  </w:style>
  <w:style w:type="table" w:customStyle="1" w:styleId="MediumGrid11">
    <w:name w:val="Medium Grid 11"/>
    <w:basedOn w:val="TableNormal"/>
    <w:uiPriority w:val="99"/>
    <w:semiHidden/>
    <w:rsid w:val="00361DEB"/>
    <w:tblPr>
      <w:tblStyleRowBandSize w:val="1"/>
      <w:tblStyleColBandSize w:val="1"/>
      <w:tblBorders>
        <w:top w:val="single" w:sz="8" w:space="0" w:color="6F6F6F"/>
        <w:left w:val="single" w:sz="8" w:space="0" w:color="6F6F6F"/>
        <w:bottom w:val="single" w:sz="8" w:space="0" w:color="6F6F6F"/>
        <w:right w:val="single" w:sz="8" w:space="0" w:color="6F6F6F"/>
        <w:insideH w:val="single" w:sz="8" w:space="0" w:color="6F6F6F"/>
        <w:insideV w:val="single" w:sz="8" w:space="0" w:color="6F6F6F"/>
      </w:tblBorders>
    </w:tblPr>
    <w:tcPr>
      <w:shd w:val="clear" w:color="auto" w:fill="CFCFCF"/>
    </w:tcPr>
    <w:tblStylePr w:type="firstRow">
      <w:rPr>
        <w:b/>
        <w:bCs/>
      </w:rPr>
    </w:tblStylePr>
    <w:tblStylePr w:type="lastRow">
      <w:rPr>
        <w:b/>
        <w:bCs/>
      </w:rPr>
      <w:tblPr/>
      <w:tcPr>
        <w:tcBorders>
          <w:top w:val="single" w:sz="18" w:space="0" w:color="6F6F6F"/>
        </w:tcBorders>
      </w:tcPr>
    </w:tblStylePr>
    <w:tblStylePr w:type="firstCol">
      <w:rPr>
        <w:b/>
        <w:bCs/>
      </w:rPr>
    </w:tblStylePr>
    <w:tblStylePr w:type="lastCol">
      <w:rPr>
        <w:b/>
        <w:bCs/>
      </w:rPr>
    </w:tblStylePr>
    <w:tblStylePr w:type="band1Vert">
      <w:tblPr/>
      <w:tcPr>
        <w:shd w:val="clear" w:color="auto" w:fill="9F9F9F"/>
      </w:tcPr>
    </w:tblStylePr>
    <w:tblStylePr w:type="band1Horz">
      <w:tblPr/>
      <w:tcPr>
        <w:shd w:val="clear" w:color="auto" w:fill="9F9F9F"/>
      </w:tcPr>
    </w:tblStylePr>
  </w:style>
  <w:style w:type="table" w:styleId="MediumGrid1-Accent1">
    <w:name w:val="Medium Grid 1 Accent 1"/>
    <w:basedOn w:val="TableNormal"/>
    <w:uiPriority w:val="99"/>
    <w:semiHidden/>
    <w:rsid w:val="00361DEB"/>
    <w:tblPr>
      <w:tblStyleRowBandSize w:val="1"/>
      <w:tblStyleColBandSize w:val="1"/>
      <w:tblBorders>
        <w:top w:val="single" w:sz="8" w:space="0" w:color="3A73CC"/>
        <w:left w:val="single" w:sz="8" w:space="0" w:color="3A73CC"/>
        <w:bottom w:val="single" w:sz="8" w:space="0" w:color="3A73CC"/>
        <w:right w:val="single" w:sz="8" w:space="0" w:color="3A73CC"/>
        <w:insideH w:val="single" w:sz="8" w:space="0" w:color="3A73CC"/>
        <w:insideV w:val="single" w:sz="8" w:space="0" w:color="3A73CC"/>
      </w:tblBorders>
    </w:tblPr>
    <w:tcPr>
      <w:shd w:val="clear" w:color="auto" w:fill="BED1EE"/>
    </w:tcPr>
    <w:tblStylePr w:type="firstRow">
      <w:rPr>
        <w:b/>
        <w:bCs/>
      </w:rPr>
    </w:tblStylePr>
    <w:tblStylePr w:type="lastRow">
      <w:rPr>
        <w:b/>
        <w:bCs/>
      </w:rPr>
      <w:tblPr/>
      <w:tcPr>
        <w:tcBorders>
          <w:top w:val="single" w:sz="18" w:space="0" w:color="3A73CC"/>
        </w:tcBorders>
      </w:tcPr>
    </w:tblStylePr>
    <w:tblStylePr w:type="firstCol">
      <w:rPr>
        <w:b/>
        <w:bCs/>
      </w:rPr>
    </w:tblStylePr>
    <w:tblStylePr w:type="lastCol">
      <w:rPr>
        <w:b/>
        <w:bCs/>
      </w:rPr>
    </w:tblStylePr>
    <w:tblStylePr w:type="band1Vert">
      <w:tblPr/>
      <w:tcPr>
        <w:shd w:val="clear" w:color="auto" w:fill="7CA2DD"/>
      </w:tcPr>
    </w:tblStylePr>
    <w:tblStylePr w:type="band1Horz">
      <w:tblPr/>
      <w:tcPr>
        <w:shd w:val="clear" w:color="auto" w:fill="7CA2DD"/>
      </w:tcPr>
    </w:tblStylePr>
  </w:style>
  <w:style w:type="table" w:styleId="MediumGrid1-Accent2">
    <w:name w:val="Medium Grid 1 Accent 2"/>
    <w:basedOn w:val="TableNormal"/>
    <w:uiPriority w:val="99"/>
    <w:semiHidden/>
    <w:rsid w:val="00361DEB"/>
    <w:tblPr>
      <w:tblStyleRowBandSize w:val="1"/>
      <w:tblStyleColBandSize w:val="1"/>
      <w:tblBorders>
        <w:top w:val="single" w:sz="8" w:space="0" w:color="DB5958"/>
        <w:left w:val="single" w:sz="8" w:space="0" w:color="DB5958"/>
        <w:bottom w:val="single" w:sz="8" w:space="0" w:color="DB5958"/>
        <w:right w:val="single" w:sz="8" w:space="0" w:color="DB5958"/>
        <w:insideH w:val="single" w:sz="8" w:space="0" w:color="DB5958"/>
        <w:insideV w:val="single" w:sz="8" w:space="0" w:color="DB5958"/>
      </w:tblBorders>
    </w:tblPr>
    <w:tcPr>
      <w:shd w:val="clear" w:color="auto" w:fill="F3C8C7"/>
    </w:tcPr>
    <w:tblStylePr w:type="firstRow">
      <w:rPr>
        <w:b/>
        <w:bCs/>
      </w:rPr>
    </w:tblStylePr>
    <w:tblStylePr w:type="lastRow">
      <w:rPr>
        <w:b/>
        <w:bCs/>
      </w:rPr>
      <w:tblPr/>
      <w:tcPr>
        <w:tcBorders>
          <w:top w:val="single" w:sz="18" w:space="0" w:color="DB5958"/>
        </w:tcBorders>
      </w:tcPr>
    </w:tblStylePr>
    <w:tblStylePr w:type="firstCol">
      <w:rPr>
        <w:b/>
        <w:bCs/>
      </w:rPr>
    </w:tblStylePr>
    <w:tblStylePr w:type="lastCol">
      <w:rPr>
        <w:b/>
        <w:bCs/>
      </w:rPr>
    </w:tblStylePr>
    <w:tblStylePr w:type="band1Vert">
      <w:tblPr/>
      <w:tcPr>
        <w:shd w:val="clear" w:color="auto" w:fill="E7908F"/>
      </w:tcPr>
    </w:tblStylePr>
    <w:tblStylePr w:type="band1Horz">
      <w:tblPr/>
      <w:tcPr>
        <w:shd w:val="clear" w:color="auto" w:fill="E7908F"/>
      </w:tcPr>
    </w:tblStylePr>
  </w:style>
  <w:style w:type="table" w:styleId="MediumGrid1-Accent3">
    <w:name w:val="Medium Grid 1 Accent 3"/>
    <w:basedOn w:val="TableNormal"/>
    <w:uiPriority w:val="99"/>
    <w:semiHidden/>
    <w:rsid w:val="00361DEB"/>
    <w:tblPr>
      <w:tblStyleRowBandSize w:val="1"/>
      <w:tblStyleColBandSize w:val="1"/>
      <w:tblBorders>
        <w:top w:val="single" w:sz="8" w:space="0" w:color="E966B4"/>
        <w:left w:val="single" w:sz="8" w:space="0" w:color="E966B4"/>
        <w:bottom w:val="single" w:sz="8" w:space="0" w:color="E966B4"/>
        <w:right w:val="single" w:sz="8" w:space="0" w:color="E966B4"/>
        <w:insideH w:val="single" w:sz="8" w:space="0" w:color="E966B4"/>
        <w:insideV w:val="single" w:sz="8" w:space="0" w:color="E966B4"/>
      </w:tblBorders>
    </w:tblPr>
    <w:tcPr>
      <w:shd w:val="clear" w:color="auto" w:fill="F7CCE6"/>
    </w:tcPr>
    <w:tblStylePr w:type="firstRow">
      <w:rPr>
        <w:b/>
        <w:bCs/>
      </w:rPr>
    </w:tblStylePr>
    <w:tblStylePr w:type="lastRow">
      <w:rPr>
        <w:b/>
        <w:bCs/>
      </w:rPr>
      <w:tblPr/>
      <w:tcPr>
        <w:tcBorders>
          <w:top w:val="single" w:sz="18" w:space="0" w:color="E966B4"/>
        </w:tcBorders>
      </w:tcPr>
    </w:tblStylePr>
    <w:tblStylePr w:type="firstCol">
      <w:rPr>
        <w:b/>
        <w:bCs/>
      </w:rPr>
    </w:tblStylePr>
    <w:tblStylePr w:type="lastCol">
      <w:rPr>
        <w:b/>
        <w:bCs/>
      </w:rPr>
    </w:tblStylePr>
    <w:tblStylePr w:type="band1Vert">
      <w:tblPr/>
      <w:tcPr>
        <w:shd w:val="clear" w:color="auto" w:fill="F099CD"/>
      </w:tcPr>
    </w:tblStylePr>
    <w:tblStylePr w:type="band1Horz">
      <w:tblPr/>
      <w:tcPr>
        <w:shd w:val="clear" w:color="auto" w:fill="F099CD"/>
      </w:tcPr>
    </w:tblStylePr>
  </w:style>
  <w:style w:type="table" w:styleId="MediumGrid1-Accent4">
    <w:name w:val="Medium Grid 1 Accent 4"/>
    <w:basedOn w:val="TableNormal"/>
    <w:uiPriority w:val="99"/>
    <w:semiHidden/>
    <w:rsid w:val="00361DEB"/>
    <w:tblPr>
      <w:tblStyleRowBandSize w:val="1"/>
      <w:tblStyleColBandSize w:val="1"/>
      <w:tblBorders>
        <w:top w:val="single" w:sz="8" w:space="0" w:color="F9AD56"/>
        <w:left w:val="single" w:sz="8" w:space="0" w:color="F9AD56"/>
        <w:bottom w:val="single" w:sz="8" w:space="0" w:color="F9AD56"/>
        <w:right w:val="single" w:sz="8" w:space="0" w:color="F9AD56"/>
        <w:insideH w:val="single" w:sz="8" w:space="0" w:color="F9AD56"/>
        <w:insideV w:val="single" w:sz="8" w:space="0" w:color="F9AD56"/>
      </w:tblBorders>
    </w:tblPr>
    <w:tcPr>
      <w:shd w:val="clear" w:color="auto" w:fill="FDE4C7"/>
    </w:tcPr>
    <w:tblStylePr w:type="firstRow">
      <w:rPr>
        <w:b/>
        <w:bCs/>
      </w:rPr>
    </w:tblStylePr>
    <w:tblStylePr w:type="lastRow">
      <w:rPr>
        <w:b/>
        <w:bCs/>
      </w:rPr>
      <w:tblPr/>
      <w:tcPr>
        <w:tcBorders>
          <w:top w:val="single" w:sz="18" w:space="0" w:color="F9AD56"/>
        </w:tcBorders>
      </w:tcPr>
    </w:tblStylePr>
    <w:tblStylePr w:type="firstCol">
      <w:rPr>
        <w:b/>
        <w:bCs/>
      </w:rPr>
    </w:tblStylePr>
    <w:tblStylePr w:type="lastCol">
      <w:rPr>
        <w:b/>
        <w:bCs/>
      </w:rPr>
    </w:tblStylePr>
    <w:tblStylePr w:type="band1Vert">
      <w:tblPr/>
      <w:tcPr>
        <w:shd w:val="clear" w:color="auto" w:fill="FBC88E"/>
      </w:tcPr>
    </w:tblStylePr>
    <w:tblStylePr w:type="band1Horz">
      <w:tblPr/>
      <w:tcPr>
        <w:shd w:val="clear" w:color="auto" w:fill="FBC88E"/>
      </w:tcPr>
    </w:tblStylePr>
  </w:style>
  <w:style w:type="table" w:styleId="MediumGrid1-Accent5">
    <w:name w:val="Medium Grid 1 Accent 5"/>
    <w:basedOn w:val="TableNormal"/>
    <w:uiPriority w:val="99"/>
    <w:semiHidden/>
    <w:rsid w:val="00361DEB"/>
    <w:tblPr>
      <w:tblStyleRowBandSize w:val="1"/>
      <w:tblStyleColBandSize w:val="1"/>
      <w:tblBorders>
        <w:top w:val="single" w:sz="8" w:space="0" w:color="E2E758"/>
        <w:left w:val="single" w:sz="8" w:space="0" w:color="E2E758"/>
        <w:bottom w:val="single" w:sz="8" w:space="0" w:color="E2E758"/>
        <w:right w:val="single" w:sz="8" w:space="0" w:color="E2E758"/>
        <w:insideH w:val="single" w:sz="8" w:space="0" w:color="E2E758"/>
        <w:insideV w:val="single" w:sz="8" w:space="0" w:color="E2E758"/>
      </w:tblBorders>
    </w:tblPr>
    <w:tcPr>
      <w:shd w:val="clear" w:color="auto" w:fill="F5F7C8"/>
    </w:tcPr>
    <w:tblStylePr w:type="firstRow">
      <w:rPr>
        <w:b/>
        <w:bCs/>
      </w:rPr>
    </w:tblStylePr>
    <w:tblStylePr w:type="lastRow">
      <w:rPr>
        <w:b/>
        <w:bCs/>
      </w:rPr>
      <w:tblPr/>
      <w:tcPr>
        <w:tcBorders>
          <w:top w:val="single" w:sz="18" w:space="0" w:color="E2E758"/>
        </w:tcBorders>
      </w:tcPr>
    </w:tblStylePr>
    <w:tblStylePr w:type="firstCol">
      <w:rPr>
        <w:b/>
        <w:bCs/>
      </w:rPr>
    </w:tblStylePr>
    <w:tblStylePr w:type="lastCol">
      <w:rPr>
        <w:b/>
        <w:bCs/>
      </w:rPr>
    </w:tblStylePr>
    <w:tblStylePr w:type="band1Vert">
      <w:tblPr/>
      <w:tcPr>
        <w:shd w:val="clear" w:color="auto" w:fill="EBEF90"/>
      </w:tcPr>
    </w:tblStylePr>
    <w:tblStylePr w:type="band1Horz">
      <w:tblPr/>
      <w:tcPr>
        <w:shd w:val="clear" w:color="auto" w:fill="EBEF90"/>
      </w:tcPr>
    </w:tblStylePr>
  </w:style>
  <w:style w:type="table" w:styleId="MediumGrid1-Accent6">
    <w:name w:val="Medium Grid 1 Accent 6"/>
    <w:basedOn w:val="TableNormal"/>
    <w:uiPriority w:val="99"/>
    <w:semiHidden/>
    <w:rsid w:val="00361DEB"/>
    <w:tblPr>
      <w:tblStyleRowBandSize w:val="1"/>
      <w:tblStyleColBandSize w:val="1"/>
      <w:tblBorders>
        <w:top w:val="single" w:sz="8" w:space="0" w:color="88D4D4"/>
        <w:left w:val="single" w:sz="8" w:space="0" w:color="88D4D4"/>
        <w:bottom w:val="single" w:sz="8" w:space="0" w:color="88D4D4"/>
        <w:right w:val="single" w:sz="8" w:space="0" w:color="88D4D4"/>
        <w:insideH w:val="single" w:sz="8" w:space="0" w:color="88D4D4"/>
        <w:insideV w:val="single" w:sz="8" w:space="0" w:color="88D4D4"/>
      </w:tblBorders>
    </w:tblPr>
    <w:tcPr>
      <w:shd w:val="clear" w:color="auto" w:fill="D7F1F1"/>
    </w:tcPr>
    <w:tblStylePr w:type="firstRow">
      <w:rPr>
        <w:b/>
        <w:bCs/>
      </w:rPr>
    </w:tblStylePr>
    <w:tblStylePr w:type="lastRow">
      <w:rPr>
        <w:b/>
        <w:bCs/>
      </w:rPr>
      <w:tblPr/>
      <w:tcPr>
        <w:tcBorders>
          <w:top w:val="single" w:sz="18" w:space="0" w:color="88D4D4"/>
        </w:tcBorders>
      </w:tcPr>
    </w:tblStylePr>
    <w:tblStylePr w:type="firstCol">
      <w:rPr>
        <w:b/>
        <w:bCs/>
      </w:rPr>
    </w:tblStylePr>
    <w:tblStylePr w:type="lastCol">
      <w:rPr>
        <w:b/>
        <w:bCs/>
      </w:rPr>
    </w:tblStylePr>
    <w:tblStylePr w:type="band1Vert">
      <w:tblPr/>
      <w:tcPr>
        <w:shd w:val="clear" w:color="auto" w:fill="B0E2E2"/>
      </w:tcPr>
    </w:tblStylePr>
    <w:tblStylePr w:type="band1Horz">
      <w:tblPr/>
      <w:tcPr>
        <w:shd w:val="clear" w:color="auto" w:fill="B0E2E2"/>
      </w:tcPr>
    </w:tblStylePr>
  </w:style>
  <w:style w:type="table" w:customStyle="1" w:styleId="MediumGrid21">
    <w:name w:val="Medium Grid 21"/>
    <w:basedOn w:val="TableNormal"/>
    <w:uiPriority w:val="99"/>
    <w:semiHidden/>
    <w:rsid w:val="00361DEB"/>
    <w:rPr>
      <w:rFonts w:ascii="Arial" w:eastAsia="MS Gothic" w:hAnsi="Arial"/>
      <w:color w:val="3F3F3F"/>
    </w:rPr>
    <w:tblPr>
      <w:tblStyleRowBandSize w:val="1"/>
      <w:tblStyleColBandSize w:val="1"/>
      <w:tblBorders>
        <w:top w:val="single" w:sz="8" w:space="0" w:color="3F3F3F"/>
        <w:left w:val="single" w:sz="8" w:space="0" w:color="3F3F3F"/>
        <w:bottom w:val="single" w:sz="8" w:space="0" w:color="3F3F3F"/>
        <w:right w:val="single" w:sz="8" w:space="0" w:color="3F3F3F"/>
        <w:insideH w:val="single" w:sz="8" w:space="0" w:color="3F3F3F"/>
        <w:insideV w:val="single" w:sz="8" w:space="0" w:color="3F3F3F"/>
      </w:tblBorders>
    </w:tblPr>
    <w:tcPr>
      <w:shd w:val="clear" w:color="auto" w:fill="CFCFCF"/>
    </w:tcPr>
    <w:tblStylePr w:type="firstRow">
      <w:rPr>
        <w:b/>
        <w:bCs/>
        <w:color w:val="3F3F3F"/>
      </w:rPr>
      <w:tblPr/>
      <w:tcPr>
        <w:shd w:val="clear" w:color="auto" w:fill="ECECEC"/>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D8D8D8"/>
      </w:tcPr>
    </w:tblStylePr>
    <w:tblStylePr w:type="band1Vert">
      <w:tblPr/>
      <w:tcPr>
        <w:shd w:val="clear" w:color="auto" w:fill="9F9F9F"/>
      </w:tcPr>
    </w:tblStylePr>
    <w:tblStylePr w:type="band1Horz">
      <w:tblPr/>
      <w:tcPr>
        <w:tcBorders>
          <w:insideH w:val="single" w:sz="6" w:space="0" w:color="3F3F3F"/>
          <w:insideV w:val="single" w:sz="6" w:space="0" w:color="3F3F3F"/>
        </w:tcBorders>
        <w:shd w:val="clear" w:color="auto" w:fill="9F9F9F"/>
      </w:tcPr>
    </w:tblStylePr>
    <w:tblStylePr w:type="nwCell">
      <w:tblPr/>
      <w:tcPr>
        <w:shd w:val="clear" w:color="auto" w:fill="FFFFFF"/>
      </w:tcPr>
    </w:tblStylePr>
  </w:style>
  <w:style w:type="table" w:styleId="MediumGrid2-Accent1">
    <w:name w:val="Medium Grid 2 Accent 1"/>
    <w:basedOn w:val="TableNormal"/>
    <w:uiPriority w:val="99"/>
    <w:semiHidden/>
    <w:rsid w:val="00361DEB"/>
    <w:rPr>
      <w:rFonts w:ascii="Arial" w:eastAsia="MS Gothic" w:hAnsi="Arial"/>
      <w:color w:val="3F3F3F"/>
    </w:rPr>
    <w:tblPr>
      <w:tblStyleRowBandSize w:val="1"/>
      <w:tblStyleColBandSize w:val="1"/>
      <w:tblBorders>
        <w:top w:val="single" w:sz="8" w:space="0" w:color="254F90"/>
        <w:left w:val="single" w:sz="8" w:space="0" w:color="254F90"/>
        <w:bottom w:val="single" w:sz="8" w:space="0" w:color="254F90"/>
        <w:right w:val="single" w:sz="8" w:space="0" w:color="254F90"/>
        <w:insideH w:val="single" w:sz="8" w:space="0" w:color="254F90"/>
        <w:insideV w:val="single" w:sz="8" w:space="0" w:color="254F90"/>
      </w:tblBorders>
    </w:tblPr>
    <w:tcPr>
      <w:shd w:val="clear" w:color="auto" w:fill="BED1EE"/>
    </w:tcPr>
    <w:tblStylePr w:type="firstRow">
      <w:rPr>
        <w:b/>
        <w:bCs/>
        <w:color w:val="3F3F3F"/>
      </w:rPr>
      <w:tblPr/>
      <w:tcPr>
        <w:shd w:val="clear" w:color="auto" w:fill="E5ECF8"/>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CAD9F1"/>
      </w:tcPr>
    </w:tblStylePr>
    <w:tblStylePr w:type="band1Vert">
      <w:tblPr/>
      <w:tcPr>
        <w:shd w:val="clear" w:color="auto" w:fill="7CA2DD"/>
      </w:tcPr>
    </w:tblStylePr>
    <w:tblStylePr w:type="band1Horz">
      <w:tblPr/>
      <w:tcPr>
        <w:tcBorders>
          <w:insideH w:val="single" w:sz="6" w:space="0" w:color="254F90"/>
          <w:insideV w:val="single" w:sz="6" w:space="0" w:color="254F90"/>
        </w:tcBorders>
        <w:shd w:val="clear" w:color="auto" w:fill="7CA2DD"/>
      </w:tcPr>
    </w:tblStylePr>
    <w:tblStylePr w:type="nwCell">
      <w:tblPr/>
      <w:tcPr>
        <w:shd w:val="clear" w:color="auto" w:fill="FFFFFF"/>
      </w:tcPr>
    </w:tblStylePr>
  </w:style>
  <w:style w:type="table" w:styleId="MediumGrid2-Accent2">
    <w:name w:val="Medium Grid 2 Accent 2"/>
    <w:basedOn w:val="TableNormal"/>
    <w:uiPriority w:val="99"/>
    <w:semiHidden/>
    <w:rsid w:val="00361DEB"/>
    <w:rPr>
      <w:rFonts w:ascii="Arial" w:eastAsia="MS Gothic" w:hAnsi="Arial"/>
      <w:color w:val="3F3F3F"/>
    </w:rPr>
    <w:tblPr>
      <w:tblStyleRowBandSize w:val="1"/>
      <w:tblStyleColBandSize w:val="1"/>
      <w:tblBorders>
        <w:top w:val="single" w:sz="8" w:space="0" w:color="C62C2A"/>
        <w:left w:val="single" w:sz="8" w:space="0" w:color="C62C2A"/>
        <w:bottom w:val="single" w:sz="8" w:space="0" w:color="C62C2A"/>
        <w:right w:val="single" w:sz="8" w:space="0" w:color="C62C2A"/>
        <w:insideH w:val="single" w:sz="8" w:space="0" w:color="C62C2A"/>
        <w:insideV w:val="single" w:sz="8" w:space="0" w:color="C62C2A"/>
      </w:tblBorders>
    </w:tblPr>
    <w:tcPr>
      <w:shd w:val="clear" w:color="auto" w:fill="F3C8C7"/>
    </w:tcPr>
    <w:tblStylePr w:type="firstRow">
      <w:rPr>
        <w:b/>
        <w:bCs/>
        <w:color w:val="3F3F3F"/>
      </w:rPr>
      <w:tblPr/>
      <w:tcPr>
        <w:shd w:val="clear" w:color="auto" w:fill="FAE9E9"/>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F5D2D2"/>
      </w:tcPr>
    </w:tblStylePr>
    <w:tblStylePr w:type="band1Vert">
      <w:tblPr/>
      <w:tcPr>
        <w:shd w:val="clear" w:color="auto" w:fill="E7908F"/>
      </w:tcPr>
    </w:tblStylePr>
    <w:tblStylePr w:type="band1Horz">
      <w:tblPr/>
      <w:tcPr>
        <w:tcBorders>
          <w:insideH w:val="single" w:sz="6" w:space="0" w:color="C62C2A"/>
          <w:insideV w:val="single" w:sz="6" w:space="0" w:color="C62C2A"/>
        </w:tcBorders>
        <w:shd w:val="clear" w:color="auto" w:fill="E7908F"/>
      </w:tcPr>
    </w:tblStylePr>
    <w:tblStylePr w:type="nwCell">
      <w:tblPr/>
      <w:tcPr>
        <w:shd w:val="clear" w:color="auto" w:fill="FFFFFF"/>
      </w:tcPr>
    </w:tblStylePr>
  </w:style>
  <w:style w:type="table" w:styleId="MediumGrid2-Accent3">
    <w:name w:val="Medium Grid 2 Accent 3"/>
    <w:basedOn w:val="TableNormal"/>
    <w:uiPriority w:val="99"/>
    <w:semiHidden/>
    <w:rsid w:val="00361DEB"/>
    <w:rPr>
      <w:rFonts w:ascii="Arial" w:eastAsia="MS Gothic" w:hAnsi="Arial"/>
      <w:color w:val="3F3F3F"/>
    </w:rPr>
    <w:tblPr>
      <w:tblStyleRowBandSize w:val="1"/>
      <w:tblStyleColBandSize w:val="1"/>
      <w:tblBorders>
        <w:top w:val="single" w:sz="8" w:space="0" w:color="E2349C"/>
        <w:left w:val="single" w:sz="8" w:space="0" w:color="E2349C"/>
        <w:bottom w:val="single" w:sz="8" w:space="0" w:color="E2349C"/>
        <w:right w:val="single" w:sz="8" w:space="0" w:color="E2349C"/>
        <w:insideH w:val="single" w:sz="8" w:space="0" w:color="E2349C"/>
        <w:insideV w:val="single" w:sz="8" w:space="0" w:color="E2349C"/>
      </w:tblBorders>
    </w:tblPr>
    <w:tcPr>
      <w:shd w:val="clear" w:color="auto" w:fill="F7CCE6"/>
    </w:tcPr>
    <w:tblStylePr w:type="firstRow">
      <w:rPr>
        <w:b/>
        <w:bCs/>
        <w:color w:val="3F3F3F"/>
      </w:rPr>
      <w:tblPr/>
      <w:tcPr>
        <w:shd w:val="clear" w:color="auto" w:fill="FCEAF5"/>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F9D6EB"/>
      </w:tcPr>
    </w:tblStylePr>
    <w:tblStylePr w:type="band1Vert">
      <w:tblPr/>
      <w:tcPr>
        <w:shd w:val="clear" w:color="auto" w:fill="F099CD"/>
      </w:tcPr>
    </w:tblStylePr>
    <w:tblStylePr w:type="band1Horz">
      <w:tblPr/>
      <w:tcPr>
        <w:tcBorders>
          <w:insideH w:val="single" w:sz="6" w:space="0" w:color="E2349C"/>
          <w:insideV w:val="single" w:sz="6" w:space="0" w:color="E2349C"/>
        </w:tcBorders>
        <w:shd w:val="clear" w:color="auto" w:fill="F099CD"/>
      </w:tcPr>
    </w:tblStylePr>
    <w:tblStylePr w:type="nwCell">
      <w:tblPr/>
      <w:tcPr>
        <w:shd w:val="clear" w:color="auto" w:fill="FFFFFF"/>
      </w:tcPr>
    </w:tblStylePr>
  </w:style>
  <w:style w:type="table" w:styleId="MediumGrid2-Accent4">
    <w:name w:val="Medium Grid 2 Accent 4"/>
    <w:basedOn w:val="TableNormal"/>
    <w:uiPriority w:val="99"/>
    <w:semiHidden/>
    <w:rsid w:val="00361DEB"/>
    <w:rPr>
      <w:rFonts w:ascii="Arial" w:eastAsia="MS Gothic" w:hAnsi="Arial"/>
      <w:color w:val="3F3F3F"/>
    </w:rPr>
    <w:tblPr>
      <w:tblStyleRowBandSize w:val="1"/>
      <w:tblStyleColBandSize w:val="1"/>
      <w:tblBorders>
        <w:top w:val="single" w:sz="8" w:space="0" w:color="F7931E"/>
        <w:left w:val="single" w:sz="8" w:space="0" w:color="F7931E"/>
        <w:bottom w:val="single" w:sz="8" w:space="0" w:color="F7931E"/>
        <w:right w:val="single" w:sz="8" w:space="0" w:color="F7931E"/>
        <w:insideH w:val="single" w:sz="8" w:space="0" w:color="F7931E"/>
        <w:insideV w:val="single" w:sz="8" w:space="0" w:color="F7931E"/>
      </w:tblBorders>
    </w:tblPr>
    <w:tcPr>
      <w:shd w:val="clear" w:color="auto" w:fill="FDE4C7"/>
    </w:tcPr>
    <w:tblStylePr w:type="firstRow">
      <w:rPr>
        <w:b/>
        <w:bCs/>
        <w:color w:val="3F3F3F"/>
      </w:rPr>
      <w:tblPr/>
      <w:tcPr>
        <w:shd w:val="clear" w:color="auto" w:fill="FEF4E8"/>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FDE9D1"/>
      </w:tcPr>
    </w:tblStylePr>
    <w:tblStylePr w:type="band1Vert">
      <w:tblPr/>
      <w:tcPr>
        <w:shd w:val="clear" w:color="auto" w:fill="FBC88E"/>
      </w:tcPr>
    </w:tblStylePr>
    <w:tblStylePr w:type="band1Horz">
      <w:tblPr/>
      <w:tcPr>
        <w:tcBorders>
          <w:insideH w:val="single" w:sz="6" w:space="0" w:color="F7931E"/>
          <w:insideV w:val="single" w:sz="6" w:space="0" w:color="F7931E"/>
        </w:tcBorders>
        <w:shd w:val="clear" w:color="auto" w:fill="FBC88E"/>
      </w:tcPr>
    </w:tblStylePr>
    <w:tblStylePr w:type="nwCell">
      <w:tblPr/>
      <w:tcPr>
        <w:shd w:val="clear" w:color="auto" w:fill="FFFFFF"/>
      </w:tcPr>
    </w:tblStylePr>
  </w:style>
  <w:style w:type="table" w:styleId="MediumGrid2-Accent5">
    <w:name w:val="Medium Grid 2 Accent 5"/>
    <w:basedOn w:val="TableNormal"/>
    <w:uiPriority w:val="99"/>
    <w:semiHidden/>
    <w:rsid w:val="00361DEB"/>
    <w:rPr>
      <w:rFonts w:ascii="Arial" w:eastAsia="MS Gothic" w:hAnsi="Arial"/>
      <w:color w:val="3F3F3F"/>
    </w:rPr>
    <w:tblPr>
      <w:tblStyleRowBandSize w:val="1"/>
      <w:tblStyleColBandSize w:val="1"/>
      <w:tblBorders>
        <w:top w:val="single" w:sz="8" w:space="0" w:color="D9E021"/>
        <w:left w:val="single" w:sz="8" w:space="0" w:color="D9E021"/>
        <w:bottom w:val="single" w:sz="8" w:space="0" w:color="D9E021"/>
        <w:right w:val="single" w:sz="8" w:space="0" w:color="D9E021"/>
        <w:insideH w:val="single" w:sz="8" w:space="0" w:color="D9E021"/>
        <w:insideV w:val="single" w:sz="8" w:space="0" w:color="D9E021"/>
      </w:tblBorders>
    </w:tblPr>
    <w:tcPr>
      <w:shd w:val="clear" w:color="auto" w:fill="F5F7C8"/>
    </w:tcPr>
    <w:tblStylePr w:type="firstRow">
      <w:rPr>
        <w:b/>
        <w:bCs/>
        <w:color w:val="3F3F3F"/>
      </w:rPr>
      <w:tblPr/>
      <w:tcPr>
        <w:shd w:val="clear" w:color="auto" w:fill="FBFCE9"/>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F7F8D2"/>
      </w:tcPr>
    </w:tblStylePr>
    <w:tblStylePr w:type="band1Vert">
      <w:tblPr/>
      <w:tcPr>
        <w:shd w:val="clear" w:color="auto" w:fill="EBEF90"/>
      </w:tcPr>
    </w:tblStylePr>
    <w:tblStylePr w:type="band1Horz">
      <w:tblPr/>
      <w:tcPr>
        <w:tcBorders>
          <w:insideH w:val="single" w:sz="6" w:space="0" w:color="D9E021"/>
          <w:insideV w:val="single" w:sz="6" w:space="0" w:color="D9E021"/>
        </w:tcBorders>
        <w:shd w:val="clear" w:color="auto" w:fill="EBEF90"/>
      </w:tcPr>
    </w:tblStylePr>
    <w:tblStylePr w:type="nwCell">
      <w:tblPr/>
      <w:tcPr>
        <w:shd w:val="clear" w:color="auto" w:fill="FFFFFF"/>
      </w:tcPr>
    </w:tblStylePr>
  </w:style>
  <w:style w:type="table" w:styleId="MediumGrid2-Accent6">
    <w:name w:val="Medium Grid 2 Accent 6"/>
    <w:basedOn w:val="TableNormal"/>
    <w:uiPriority w:val="99"/>
    <w:semiHidden/>
    <w:rsid w:val="00361DEB"/>
    <w:rPr>
      <w:rFonts w:ascii="Arial" w:eastAsia="MS Gothic" w:hAnsi="Arial"/>
      <w:color w:val="3F3F3F"/>
    </w:rPr>
    <w:tblPr>
      <w:tblStyleRowBandSize w:val="1"/>
      <w:tblStyleColBandSize w:val="1"/>
      <w:tblBorders>
        <w:top w:val="single" w:sz="8" w:space="0" w:color="61C6C6"/>
        <w:left w:val="single" w:sz="8" w:space="0" w:color="61C6C6"/>
        <w:bottom w:val="single" w:sz="8" w:space="0" w:color="61C6C6"/>
        <w:right w:val="single" w:sz="8" w:space="0" w:color="61C6C6"/>
        <w:insideH w:val="single" w:sz="8" w:space="0" w:color="61C6C6"/>
        <w:insideV w:val="single" w:sz="8" w:space="0" w:color="61C6C6"/>
      </w:tblBorders>
    </w:tblPr>
    <w:tcPr>
      <w:shd w:val="clear" w:color="auto" w:fill="D7F1F1"/>
    </w:tcPr>
    <w:tblStylePr w:type="firstRow">
      <w:rPr>
        <w:b/>
        <w:bCs/>
        <w:color w:val="3F3F3F"/>
      </w:rPr>
      <w:tblPr/>
      <w:tcPr>
        <w:shd w:val="clear" w:color="auto" w:fill="EFF9F9"/>
      </w:tcPr>
    </w:tblStylePr>
    <w:tblStylePr w:type="lastRow">
      <w:rPr>
        <w:b/>
        <w:bCs/>
        <w:color w:val="3F3F3F"/>
      </w:rPr>
      <w:tblPr/>
      <w:tcPr>
        <w:tcBorders>
          <w:top w:val="single" w:sz="12" w:space="0" w:color="3F3F3F"/>
          <w:left w:val="nil"/>
          <w:bottom w:val="nil"/>
          <w:right w:val="nil"/>
          <w:insideH w:val="nil"/>
          <w:insideV w:val="nil"/>
        </w:tcBorders>
        <w:shd w:val="clear" w:color="auto" w:fill="FFFFFF"/>
      </w:tcPr>
    </w:tblStylePr>
    <w:tblStylePr w:type="firstCol">
      <w:rPr>
        <w:b/>
        <w:bCs/>
        <w:color w:val="3F3F3F"/>
      </w:rPr>
      <w:tblPr/>
      <w:tcPr>
        <w:tcBorders>
          <w:top w:val="nil"/>
          <w:left w:val="nil"/>
          <w:bottom w:val="nil"/>
          <w:right w:val="nil"/>
          <w:insideH w:val="nil"/>
          <w:insideV w:val="nil"/>
        </w:tcBorders>
        <w:shd w:val="clear" w:color="auto" w:fill="FFFFFF"/>
      </w:tcPr>
    </w:tblStylePr>
    <w:tblStylePr w:type="lastCol">
      <w:rPr>
        <w:b w:val="0"/>
        <w:bCs w:val="0"/>
        <w:color w:val="3F3F3F"/>
      </w:rPr>
      <w:tblPr/>
      <w:tcPr>
        <w:tcBorders>
          <w:top w:val="nil"/>
          <w:left w:val="nil"/>
          <w:bottom w:val="nil"/>
          <w:right w:val="nil"/>
          <w:insideH w:val="nil"/>
          <w:insideV w:val="nil"/>
        </w:tcBorders>
        <w:shd w:val="clear" w:color="auto" w:fill="DFF3F3"/>
      </w:tcPr>
    </w:tblStylePr>
    <w:tblStylePr w:type="band1Vert">
      <w:tblPr/>
      <w:tcPr>
        <w:shd w:val="clear" w:color="auto" w:fill="B0E2E2"/>
      </w:tcPr>
    </w:tblStylePr>
    <w:tblStylePr w:type="band1Horz">
      <w:tblPr/>
      <w:tcPr>
        <w:tcBorders>
          <w:insideH w:val="single" w:sz="6" w:space="0" w:color="61C6C6"/>
          <w:insideV w:val="single" w:sz="6" w:space="0" w:color="61C6C6"/>
        </w:tcBorders>
        <w:shd w:val="clear" w:color="auto" w:fill="B0E2E2"/>
      </w:tcPr>
    </w:tblStylePr>
    <w:tblStylePr w:type="nwCell">
      <w:tblPr/>
      <w:tcPr>
        <w:shd w:val="clear" w:color="auto" w:fill="FFFFFF"/>
      </w:tcPr>
    </w:tblStylePr>
  </w:style>
  <w:style w:type="table" w:customStyle="1" w:styleId="MediumGrid31">
    <w:name w:val="Medium Grid 31"/>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FCFC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3F3F3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3F3F3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3F3F3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3F3F3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9F9F9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F9F9F"/>
      </w:tcPr>
    </w:tblStylePr>
  </w:style>
  <w:style w:type="table" w:styleId="MediumGrid3-Accent1">
    <w:name w:val="Medium Grid 3 Accent 1"/>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ED1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54F9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54F9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254F9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254F9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CA2D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CA2DD"/>
      </w:tcPr>
    </w:tblStylePr>
  </w:style>
  <w:style w:type="table" w:styleId="MediumGrid3-Accent2">
    <w:name w:val="Medium Grid 3 Accent 2"/>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3C8C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62C2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62C2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62C2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62C2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7908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7908F"/>
      </w:tcPr>
    </w:tblStylePr>
  </w:style>
  <w:style w:type="table" w:styleId="MediumGrid3-Accent3">
    <w:name w:val="Medium Grid 3 Accent 3"/>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7CCE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2349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2349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2349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2349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099C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099CD"/>
      </w:tcPr>
    </w:tblStylePr>
  </w:style>
  <w:style w:type="table" w:styleId="MediumGrid3-Accent4">
    <w:name w:val="Medium Grid 3 Accent 4"/>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C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31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31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31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31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88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88E"/>
      </w:tcPr>
    </w:tblStylePr>
  </w:style>
  <w:style w:type="table" w:styleId="MediumGrid3-Accent5">
    <w:name w:val="Medium Grid 3 Accent 5"/>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5F7C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9E02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9E02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9E02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9E02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BEF9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BEF90"/>
      </w:tcPr>
    </w:tblStylePr>
  </w:style>
  <w:style w:type="table" w:styleId="MediumGrid3-Accent6">
    <w:name w:val="Medium Grid 3 Accent 6"/>
    <w:basedOn w:val="TableNormal"/>
    <w:uiPriority w:val="99"/>
    <w:semiHidden/>
    <w:rsid w:val="00361DE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F1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1C6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1C6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1C6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1C6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0E2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0E2E2"/>
      </w:tcPr>
    </w:tblStylePr>
  </w:style>
  <w:style w:type="table" w:customStyle="1" w:styleId="MediumList11">
    <w:name w:val="Medium List 11"/>
    <w:basedOn w:val="TableNormal"/>
    <w:uiPriority w:val="99"/>
    <w:semiHidden/>
    <w:rsid w:val="00361DEB"/>
    <w:rPr>
      <w:color w:val="3F3F3F"/>
    </w:rPr>
    <w:tblPr>
      <w:tblStyleRowBandSize w:val="1"/>
      <w:tblStyleColBandSize w:val="1"/>
      <w:tblBorders>
        <w:top w:val="single" w:sz="8" w:space="0" w:color="3F3F3F"/>
        <w:bottom w:val="single" w:sz="8" w:space="0" w:color="3F3F3F"/>
      </w:tblBorders>
    </w:tblPr>
    <w:tblStylePr w:type="firstRow">
      <w:rPr>
        <w:rFonts w:ascii="Arial" w:eastAsia="MS Gothic" w:hAnsi="Arial" w:cs="Times New Roman"/>
      </w:rPr>
      <w:tblPr/>
      <w:tcPr>
        <w:tcBorders>
          <w:top w:val="nil"/>
          <w:bottom w:val="single" w:sz="8" w:space="0" w:color="3F3F3F"/>
        </w:tcBorders>
      </w:tcPr>
    </w:tblStylePr>
    <w:tblStylePr w:type="lastRow">
      <w:rPr>
        <w:b/>
        <w:bCs/>
        <w:color w:val="212A4C"/>
      </w:rPr>
      <w:tblPr/>
      <w:tcPr>
        <w:tcBorders>
          <w:top w:val="single" w:sz="8" w:space="0" w:color="3F3F3F"/>
          <w:bottom w:val="single" w:sz="8" w:space="0" w:color="3F3F3F"/>
        </w:tcBorders>
      </w:tcPr>
    </w:tblStylePr>
    <w:tblStylePr w:type="firstCol">
      <w:rPr>
        <w:b/>
        <w:bCs/>
      </w:rPr>
    </w:tblStylePr>
    <w:tblStylePr w:type="lastCol">
      <w:rPr>
        <w:b/>
        <w:bCs/>
      </w:rPr>
      <w:tblPr/>
      <w:tcPr>
        <w:tcBorders>
          <w:top w:val="single" w:sz="8" w:space="0" w:color="3F3F3F"/>
          <w:bottom w:val="single" w:sz="8" w:space="0" w:color="3F3F3F"/>
        </w:tcBorders>
      </w:tcPr>
    </w:tblStylePr>
    <w:tblStylePr w:type="band1Vert">
      <w:tblPr/>
      <w:tcPr>
        <w:shd w:val="clear" w:color="auto" w:fill="CFCFCF"/>
      </w:tcPr>
    </w:tblStylePr>
    <w:tblStylePr w:type="band1Horz">
      <w:tblPr/>
      <w:tcPr>
        <w:shd w:val="clear" w:color="auto" w:fill="CFCFCF"/>
      </w:tcPr>
    </w:tblStylePr>
  </w:style>
  <w:style w:type="table" w:customStyle="1" w:styleId="MediumList1-Accent11">
    <w:name w:val="Medium List 1 - Accent 11"/>
    <w:basedOn w:val="TableNormal"/>
    <w:uiPriority w:val="99"/>
    <w:semiHidden/>
    <w:rsid w:val="00361DEB"/>
    <w:rPr>
      <w:color w:val="3F3F3F"/>
    </w:rPr>
    <w:tblPr>
      <w:tblStyleRowBandSize w:val="1"/>
      <w:tblStyleColBandSize w:val="1"/>
      <w:tblBorders>
        <w:top w:val="single" w:sz="8" w:space="0" w:color="254F90"/>
        <w:bottom w:val="single" w:sz="8" w:space="0" w:color="254F90"/>
      </w:tblBorders>
    </w:tblPr>
    <w:tblStylePr w:type="firstRow">
      <w:rPr>
        <w:rFonts w:ascii="Arial" w:eastAsia="MS Gothic" w:hAnsi="Arial" w:cs="Times New Roman"/>
      </w:rPr>
      <w:tblPr/>
      <w:tcPr>
        <w:tcBorders>
          <w:top w:val="nil"/>
          <w:bottom w:val="single" w:sz="8" w:space="0" w:color="254F90"/>
        </w:tcBorders>
      </w:tcPr>
    </w:tblStylePr>
    <w:tblStylePr w:type="lastRow">
      <w:rPr>
        <w:b/>
        <w:bCs/>
        <w:color w:val="212A4C"/>
      </w:rPr>
      <w:tblPr/>
      <w:tcPr>
        <w:tcBorders>
          <w:top w:val="single" w:sz="8" w:space="0" w:color="254F90"/>
          <w:bottom w:val="single" w:sz="8" w:space="0" w:color="254F90"/>
        </w:tcBorders>
      </w:tcPr>
    </w:tblStylePr>
    <w:tblStylePr w:type="firstCol">
      <w:rPr>
        <w:b/>
        <w:bCs/>
      </w:rPr>
    </w:tblStylePr>
    <w:tblStylePr w:type="lastCol">
      <w:rPr>
        <w:b/>
        <w:bCs/>
      </w:rPr>
      <w:tblPr/>
      <w:tcPr>
        <w:tcBorders>
          <w:top w:val="single" w:sz="8" w:space="0" w:color="254F90"/>
          <w:bottom w:val="single" w:sz="8" w:space="0" w:color="254F90"/>
        </w:tcBorders>
      </w:tcPr>
    </w:tblStylePr>
    <w:tblStylePr w:type="band1Vert">
      <w:tblPr/>
      <w:tcPr>
        <w:shd w:val="clear" w:color="auto" w:fill="BED1EE"/>
      </w:tcPr>
    </w:tblStylePr>
    <w:tblStylePr w:type="band1Horz">
      <w:tblPr/>
      <w:tcPr>
        <w:shd w:val="clear" w:color="auto" w:fill="BED1EE"/>
      </w:tcPr>
    </w:tblStylePr>
  </w:style>
  <w:style w:type="table" w:styleId="MediumList1-Accent2">
    <w:name w:val="Medium List 1 Accent 2"/>
    <w:basedOn w:val="TableNormal"/>
    <w:uiPriority w:val="99"/>
    <w:semiHidden/>
    <w:rsid w:val="00361DEB"/>
    <w:rPr>
      <w:color w:val="3F3F3F"/>
    </w:rPr>
    <w:tblPr>
      <w:tblStyleRowBandSize w:val="1"/>
      <w:tblStyleColBandSize w:val="1"/>
      <w:tblBorders>
        <w:top w:val="single" w:sz="8" w:space="0" w:color="C62C2A"/>
        <w:bottom w:val="single" w:sz="8" w:space="0" w:color="C62C2A"/>
      </w:tblBorders>
    </w:tblPr>
    <w:tblStylePr w:type="firstRow">
      <w:rPr>
        <w:rFonts w:ascii="Arial" w:eastAsia="MS Gothic" w:hAnsi="Arial" w:cs="Times New Roman"/>
      </w:rPr>
      <w:tblPr/>
      <w:tcPr>
        <w:tcBorders>
          <w:top w:val="nil"/>
          <w:bottom w:val="single" w:sz="8" w:space="0" w:color="C62C2A"/>
        </w:tcBorders>
      </w:tcPr>
    </w:tblStylePr>
    <w:tblStylePr w:type="lastRow">
      <w:rPr>
        <w:b/>
        <w:bCs/>
        <w:color w:val="212A4C"/>
      </w:rPr>
      <w:tblPr/>
      <w:tcPr>
        <w:tcBorders>
          <w:top w:val="single" w:sz="8" w:space="0" w:color="C62C2A"/>
          <w:bottom w:val="single" w:sz="8" w:space="0" w:color="C62C2A"/>
        </w:tcBorders>
      </w:tcPr>
    </w:tblStylePr>
    <w:tblStylePr w:type="firstCol">
      <w:rPr>
        <w:b/>
        <w:bCs/>
      </w:rPr>
    </w:tblStylePr>
    <w:tblStylePr w:type="lastCol">
      <w:rPr>
        <w:b/>
        <w:bCs/>
      </w:rPr>
      <w:tblPr/>
      <w:tcPr>
        <w:tcBorders>
          <w:top w:val="single" w:sz="8" w:space="0" w:color="C62C2A"/>
          <w:bottom w:val="single" w:sz="8" w:space="0" w:color="C62C2A"/>
        </w:tcBorders>
      </w:tcPr>
    </w:tblStylePr>
    <w:tblStylePr w:type="band1Vert">
      <w:tblPr/>
      <w:tcPr>
        <w:shd w:val="clear" w:color="auto" w:fill="F3C8C7"/>
      </w:tcPr>
    </w:tblStylePr>
    <w:tblStylePr w:type="band1Horz">
      <w:tblPr/>
      <w:tcPr>
        <w:shd w:val="clear" w:color="auto" w:fill="F3C8C7"/>
      </w:tcPr>
    </w:tblStylePr>
  </w:style>
  <w:style w:type="table" w:styleId="MediumList1-Accent3">
    <w:name w:val="Medium List 1 Accent 3"/>
    <w:basedOn w:val="TableNormal"/>
    <w:uiPriority w:val="99"/>
    <w:semiHidden/>
    <w:rsid w:val="00361DEB"/>
    <w:rPr>
      <w:color w:val="3F3F3F"/>
    </w:rPr>
    <w:tblPr>
      <w:tblStyleRowBandSize w:val="1"/>
      <w:tblStyleColBandSize w:val="1"/>
      <w:tblBorders>
        <w:top w:val="single" w:sz="8" w:space="0" w:color="E2349C"/>
        <w:bottom w:val="single" w:sz="8" w:space="0" w:color="E2349C"/>
      </w:tblBorders>
    </w:tblPr>
    <w:tblStylePr w:type="firstRow">
      <w:rPr>
        <w:rFonts w:ascii="Arial" w:eastAsia="MS Gothic" w:hAnsi="Arial" w:cs="Times New Roman"/>
      </w:rPr>
      <w:tblPr/>
      <w:tcPr>
        <w:tcBorders>
          <w:top w:val="nil"/>
          <w:bottom w:val="single" w:sz="8" w:space="0" w:color="E2349C"/>
        </w:tcBorders>
      </w:tcPr>
    </w:tblStylePr>
    <w:tblStylePr w:type="lastRow">
      <w:rPr>
        <w:b/>
        <w:bCs/>
        <w:color w:val="212A4C"/>
      </w:rPr>
      <w:tblPr/>
      <w:tcPr>
        <w:tcBorders>
          <w:top w:val="single" w:sz="8" w:space="0" w:color="E2349C"/>
          <w:bottom w:val="single" w:sz="8" w:space="0" w:color="E2349C"/>
        </w:tcBorders>
      </w:tcPr>
    </w:tblStylePr>
    <w:tblStylePr w:type="firstCol">
      <w:rPr>
        <w:b/>
        <w:bCs/>
      </w:rPr>
    </w:tblStylePr>
    <w:tblStylePr w:type="lastCol">
      <w:rPr>
        <w:b/>
        <w:bCs/>
      </w:rPr>
      <w:tblPr/>
      <w:tcPr>
        <w:tcBorders>
          <w:top w:val="single" w:sz="8" w:space="0" w:color="E2349C"/>
          <w:bottom w:val="single" w:sz="8" w:space="0" w:color="E2349C"/>
        </w:tcBorders>
      </w:tcPr>
    </w:tblStylePr>
    <w:tblStylePr w:type="band1Vert">
      <w:tblPr/>
      <w:tcPr>
        <w:shd w:val="clear" w:color="auto" w:fill="F7CCE6"/>
      </w:tcPr>
    </w:tblStylePr>
    <w:tblStylePr w:type="band1Horz">
      <w:tblPr/>
      <w:tcPr>
        <w:shd w:val="clear" w:color="auto" w:fill="F7CCE6"/>
      </w:tcPr>
    </w:tblStylePr>
  </w:style>
  <w:style w:type="table" w:styleId="MediumList1-Accent4">
    <w:name w:val="Medium List 1 Accent 4"/>
    <w:basedOn w:val="TableNormal"/>
    <w:uiPriority w:val="99"/>
    <w:semiHidden/>
    <w:rsid w:val="00361DEB"/>
    <w:rPr>
      <w:color w:val="3F3F3F"/>
    </w:rPr>
    <w:tblPr>
      <w:tblStyleRowBandSize w:val="1"/>
      <w:tblStyleColBandSize w:val="1"/>
      <w:tblBorders>
        <w:top w:val="single" w:sz="8" w:space="0" w:color="F7931E"/>
        <w:bottom w:val="single" w:sz="8" w:space="0" w:color="F7931E"/>
      </w:tblBorders>
    </w:tblPr>
    <w:tblStylePr w:type="firstRow">
      <w:rPr>
        <w:rFonts w:ascii="Arial" w:eastAsia="MS Gothic" w:hAnsi="Arial" w:cs="Times New Roman"/>
      </w:rPr>
      <w:tblPr/>
      <w:tcPr>
        <w:tcBorders>
          <w:top w:val="nil"/>
          <w:bottom w:val="single" w:sz="8" w:space="0" w:color="F7931E"/>
        </w:tcBorders>
      </w:tcPr>
    </w:tblStylePr>
    <w:tblStylePr w:type="lastRow">
      <w:rPr>
        <w:b/>
        <w:bCs/>
        <w:color w:val="212A4C"/>
      </w:rPr>
      <w:tblPr/>
      <w:tcPr>
        <w:tcBorders>
          <w:top w:val="single" w:sz="8" w:space="0" w:color="F7931E"/>
          <w:bottom w:val="single" w:sz="8" w:space="0" w:color="F7931E"/>
        </w:tcBorders>
      </w:tcPr>
    </w:tblStylePr>
    <w:tblStylePr w:type="firstCol">
      <w:rPr>
        <w:b/>
        <w:bCs/>
      </w:rPr>
    </w:tblStylePr>
    <w:tblStylePr w:type="lastCol">
      <w:rPr>
        <w:b/>
        <w:bCs/>
      </w:rPr>
      <w:tblPr/>
      <w:tcPr>
        <w:tcBorders>
          <w:top w:val="single" w:sz="8" w:space="0" w:color="F7931E"/>
          <w:bottom w:val="single" w:sz="8" w:space="0" w:color="F7931E"/>
        </w:tcBorders>
      </w:tcPr>
    </w:tblStylePr>
    <w:tblStylePr w:type="band1Vert">
      <w:tblPr/>
      <w:tcPr>
        <w:shd w:val="clear" w:color="auto" w:fill="FDE4C7"/>
      </w:tcPr>
    </w:tblStylePr>
    <w:tblStylePr w:type="band1Horz">
      <w:tblPr/>
      <w:tcPr>
        <w:shd w:val="clear" w:color="auto" w:fill="FDE4C7"/>
      </w:tcPr>
    </w:tblStylePr>
  </w:style>
  <w:style w:type="table" w:styleId="MediumList1-Accent5">
    <w:name w:val="Medium List 1 Accent 5"/>
    <w:basedOn w:val="TableNormal"/>
    <w:uiPriority w:val="99"/>
    <w:semiHidden/>
    <w:rsid w:val="00361DEB"/>
    <w:rPr>
      <w:color w:val="3F3F3F"/>
    </w:rPr>
    <w:tblPr>
      <w:tblStyleRowBandSize w:val="1"/>
      <w:tblStyleColBandSize w:val="1"/>
      <w:tblBorders>
        <w:top w:val="single" w:sz="8" w:space="0" w:color="D9E021"/>
        <w:bottom w:val="single" w:sz="8" w:space="0" w:color="D9E021"/>
      </w:tblBorders>
    </w:tblPr>
    <w:tblStylePr w:type="firstRow">
      <w:rPr>
        <w:rFonts w:ascii="Arial" w:eastAsia="MS Gothic" w:hAnsi="Arial" w:cs="Times New Roman"/>
      </w:rPr>
      <w:tblPr/>
      <w:tcPr>
        <w:tcBorders>
          <w:top w:val="nil"/>
          <w:bottom w:val="single" w:sz="8" w:space="0" w:color="D9E021"/>
        </w:tcBorders>
      </w:tcPr>
    </w:tblStylePr>
    <w:tblStylePr w:type="lastRow">
      <w:rPr>
        <w:b/>
        <w:bCs/>
        <w:color w:val="212A4C"/>
      </w:rPr>
      <w:tblPr/>
      <w:tcPr>
        <w:tcBorders>
          <w:top w:val="single" w:sz="8" w:space="0" w:color="D9E021"/>
          <w:bottom w:val="single" w:sz="8" w:space="0" w:color="D9E021"/>
        </w:tcBorders>
      </w:tcPr>
    </w:tblStylePr>
    <w:tblStylePr w:type="firstCol">
      <w:rPr>
        <w:b/>
        <w:bCs/>
      </w:rPr>
    </w:tblStylePr>
    <w:tblStylePr w:type="lastCol">
      <w:rPr>
        <w:b/>
        <w:bCs/>
      </w:rPr>
      <w:tblPr/>
      <w:tcPr>
        <w:tcBorders>
          <w:top w:val="single" w:sz="8" w:space="0" w:color="D9E021"/>
          <w:bottom w:val="single" w:sz="8" w:space="0" w:color="D9E021"/>
        </w:tcBorders>
      </w:tcPr>
    </w:tblStylePr>
    <w:tblStylePr w:type="band1Vert">
      <w:tblPr/>
      <w:tcPr>
        <w:shd w:val="clear" w:color="auto" w:fill="F5F7C8"/>
      </w:tcPr>
    </w:tblStylePr>
    <w:tblStylePr w:type="band1Horz">
      <w:tblPr/>
      <w:tcPr>
        <w:shd w:val="clear" w:color="auto" w:fill="F5F7C8"/>
      </w:tcPr>
    </w:tblStylePr>
  </w:style>
  <w:style w:type="table" w:styleId="MediumList1-Accent6">
    <w:name w:val="Medium List 1 Accent 6"/>
    <w:basedOn w:val="TableNormal"/>
    <w:uiPriority w:val="99"/>
    <w:semiHidden/>
    <w:rsid w:val="00361DEB"/>
    <w:rPr>
      <w:color w:val="3F3F3F"/>
    </w:rPr>
    <w:tblPr>
      <w:tblStyleRowBandSize w:val="1"/>
      <w:tblStyleColBandSize w:val="1"/>
      <w:tblBorders>
        <w:top w:val="single" w:sz="8" w:space="0" w:color="61C6C6"/>
        <w:bottom w:val="single" w:sz="8" w:space="0" w:color="61C6C6"/>
      </w:tblBorders>
    </w:tblPr>
    <w:tblStylePr w:type="firstRow">
      <w:rPr>
        <w:rFonts w:ascii="Arial" w:eastAsia="MS Gothic" w:hAnsi="Arial" w:cs="Times New Roman"/>
      </w:rPr>
      <w:tblPr/>
      <w:tcPr>
        <w:tcBorders>
          <w:top w:val="nil"/>
          <w:bottom w:val="single" w:sz="8" w:space="0" w:color="61C6C6"/>
        </w:tcBorders>
      </w:tcPr>
    </w:tblStylePr>
    <w:tblStylePr w:type="lastRow">
      <w:rPr>
        <w:b/>
        <w:bCs/>
        <w:color w:val="212A4C"/>
      </w:rPr>
      <w:tblPr/>
      <w:tcPr>
        <w:tcBorders>
          <w:top w:val="single" w:sz="8" w:space="0" w:color="61C6C6"/>
          <w:bottom w:val="single" w:sz="8" w:space="0" w:color="61C6C6"/>
        </w:tcBorders>
      </w:tcPr>
    </w:tblStylePr>
    <w:tblStylePr w:type="firstCol">
      <w:rPr>
        <w:b/>
        <w:bCs/>
      </w:rPr>
    </w:tblStylePr>
    <w:tblStylePr w:type="lastCol">
      <w:rPr>
        <w:b/>
        <w:bCs/>
      </w:rPr>
      <w:tblPr/>
      <w:tcPr>
        <w:tcBorders>
          <w:top w:val="single" w:sz="8" w:space="0" w:color="61C6C6"/>
          <w:bottom w:val="single" w:sz="8" w:space="0" w:color="61C6C6"/>
        </w:tcBorders>
      </w:tcPr>
    </w:tblStylePr>
    <w:tblStylePr w:type="band1Vert">
      <w:tblPr/>
      <w:tcPr>
        <w:shd w:val="clear" w:color="auto" w:fill="D7F1F1"/>
      </w:tcPr>
    </w:tblStylePr>
    <w:tblStylePr w:type="band1Horz">
      <w:tblPr/>
      <w:tcPr>
        <w:shd w:val="clear" w:color="auto" w:fill="D7F1F1"/>
      </w:tcPr>
    </w:tblStylePr>
  </w:style>
  <w:style w:type="table" w:customStyle="1" w:styleId="MediumList21">
    <w:name w:val="Medium List 21"/>
    <w:basedOn w:val="TableNormal"/>
    <w:uiPriority w:val="99"/>
    <w:semiHidden/>
    <w:rsid w:val="00361DEB"/>
    <w:rPr>
      <w:rFonts w:ascii="Arial" w:eastAsia="MS Gothic" w:hAnsi="Arial"/>
      <w:color w:val="3F3F3F"/>
    </w:rPr>
    <w:tblPr>
      <w:tblStyleRowBandSize w:val="1"/>
      <w:tblStyleColBandSize w:val="1"/>
      <w:tblBorders>
        <w:top w:val="single" w:sz="8" w:space="0" w:color="3F3F3F"/>
        <w:left w:val="single" w:sz="8" w:space="0" w:color="3F3F3F"/>
        <w:bottom w:val="single" w:sz="8" w:space="0" w:color="3F3F3F"/>
        <w:right w:val="single" w:sz="8" w:space="0" w:color="3F3F3F"/>
      </w:tblBorders>
    </w:tblPr>
    <w:tblStylePr w:type="firstRow">
      <w:rPr>
        <w:sz w:val="24"/>
        <w:szCs w:val="24"/>
      </w:rPr>
      <w:tblPr/>
      <w:tcPr>
        <w:tcBorders>
          <w:top w:val="nil"/>
          <w:left w:val="nil"/>
          <w:bottom w:val="single" w:sz="24" w:space="0" w:color="3F3F3F"/>
          <w:right w:val="nil"/>
          <w:insideH w:val="nil"/>
          <w:insideV w:val="nil"/>
        </w:tcBorders>
        <w:shd w:val="clear" w:color="auto" w:fill="FFFFFF"/>
      </w:tcPr>
    </w:tblStylePr>
    <w:tblStylePr w:type="lastRow">
      <w:tblPr/>
      <w:tcPr>
        <w:tcBorders>
          <w:top w:val="single" w:sz="8" w:space="0" w:color="3F3F3F"/>
          <w:left w:val="nil"/>
          <w:bottom w:val="nil"/>
          <w:right w:val="nil"/>
          <w:insideH w:val="nil"/>
          <w:insideV w:val="nil"/>
        </w:tcBorders>
        <w:shd w:val="clear" w:color="auto" w:fill="FFFFFF"/>
      </w:tcPr>
    </w:tblStylePr>
    <w:tblStylePr w:type="firstCol">
      <w:tblPr/>
      <w:tcPr>
        <w:tcBorders>
          <w:top w:val="nil"/>
          <w:left w:val="nil"/>
          <w:bottom w:val="nil"/>
          <w:right w:val="single" w:sz="8" w:space="0" w:color="3F3F3F"/>
          <w:insideH w:val="nil"/>
          <w:insideV w:val="nil"/>
        </w:tcBorders>
        <w:shd w:val="clear" w:color="auto" w:fill="FFFFFF"/>
      </w:tcPr>
    </w:tblStylePr>
    <w:tblStylePr w:type="lastCol">
      <w:tblPr/>
      <w:tcPr>
        <w:tcBorders>
          <w:top w:val="nil"/>
          <w:left w:val="single" w:sz="8" w:space="0" w:color="3F3F3F"/>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FCFCF"/>
      </w:tcPr>
    </w:tblStylePr>
    <w:tblStylePr w:type="band1Horz">
      <w:tblPr/>
      <w:tcPr>
        <w:tcBorders>
          <w:top w:val="nil"/>
          <w:bottom w:val="nil"/>
          <w:insideH w:val="nil"/>
          <w:insideV w:val="nil"/>
        </w:tcBorders>
        <w:shd w:val="clear" w:color="auto" w:fill="CFCFCF"/>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99"/>
    <w:semiHidden/>
    <w:rsid w:val="00361DEB"/>
    <w:rPr>
      <w:rFonts w:ascii="Arial" w:eastAsia="MS Gothic" w:hAnsi="Arial"/>
      <w:color w:val="3F3F3F"/>
    </w:rPr>
    <w:tblPr>
      <w:tblStyleRowBandSize w:val="1"/>
      <w:tblStyleColBandSize w:val="1"/>
      <w:tblBorders>
        <w:top w:val="single" w:sz="8" w:space="0" w:color="254F90"/>
        <w:left w:val="single" w:sz="8" w:space="0" w:color="254F90"/>
        <w:bottom w:val="single" w:sz="8" w:space="0" w:color="254F90"/>
        <w:right w:val="single" w:sz="8" w:space="0" w:color="254F90"/>
      </w:tblBorders>
    </w:tblPr>
    <w:tblStylePr w:type="firstRow">
      <w:rPr>
        <w:sz w:val="24"/>
        <w:szCs w:val="24"/>
      </w:rPr>
      <w:tblPr/>
      <w:tcPr>
        <w:tcBorders>
          <w:top w:val="nil"/>
          <w:left w:val="nil"/>
          <w:bottom w:val="single" w:sz="24" w:space="0" w:color="254F90"/>
          <w:right w:val="nil"/>
          <w:insideH w:val="nil"/>
          <w:insideV w:val="nil"/>
        </w:tcBorders>
        <w:shd w:val="clear" w:color="auto" w:fill="FFFFFF"/>
      </w:tcPr>
    </w:tblStylePr>
    <w:tblStylePr w:type="lastRow">
      <w:tblPr/>
      <w:tcPr>
        <w:tcBorders>
          <w:top w:val="single" w:sz="8" w:space="0" w:color="254F90"/>
          <w:left w:val="nil"/>
          <w:bottom w:val="nil"/>
          <w:right w:val="nil"/>
          <w:insideH w:val="nil"/>
          <w:insideV w:val="nil"/>
        </w:tcBorders>
        <w:shd w:val="clear" w:color="auto" w:fill="FFFFFF"/>
      </w:tcPr>
    </w:tblStylePr>
    <w:tblStylePr w:type="firstCol">
      <w:tblPr/>
      <w:tcPr>
        <w:tcBorders>
          <w:top w:val="nil"/>
          <w:left w:val="nil"/>
          <w:bottom w:val="nil"/>
          <w:right w:val="single" w:sz="8" w:space="0" w:color="254F90"/>
          <w:insideH w:val="nil"/>
          <w:insideV w:val="nil"/>
        </w:tcBorders>
        <w:shd w:val="clear" w:color="auto" w:fill="FFFFFF"/>
      </w:tcPr>
    </w:tblStylePr>
    <w:tblStylePr w:type="lastCol">
      <w:tblPr/>
      <w:tcPr>
        <w:tcBorders>
          <w:top w:val="nil"/>
          <w:left w:val="single" w:sz="8" w:space="0" w:color="254F9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ED1EE"/>
      </w:tcPr>
    </w:tblStylePr>
    <w:tblStylePr w:type="band1Horz">
      <w:tblPr/>
      <w:tcPr>
        <w:tcBorders>
          <w:top w:val="nil"/>
          <w:bottom w:val="nil"/>
          <w:insideH w:val="nil"/>
          <w:insideV w:val="nil"/>
        </w:tcBorders>
        <w:shd w:val="clear" w:color="auto" w:fill="BED1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99"/>
    <w:semiHidden/>
    <w:rsid w:val="00361DEB"/>
    <w:rPr>
      <w:rFonts w:ascii="Arial" w:eastAsia="MS Gothic" w:hAnsi="Arial"/>
      <w:color w:val="3F3F3F"/>
    </w:rPr>
    <w:tblPr>
      <w:tblStyleRowBandSize w:val="1"/>
      <w:tblStyleColBandSize w:val="1"/>
      <w:tblBorders>
        <w:top w:val="single" w:sz="8" w:space="0" w:color="C62C2A"/>
        <w:left w:val="single" w:sz="8" w:space="0" w:color="C62C2A"/>
        <w:bottom w:val="single" w:sz="8" w:space="0" w:color="C62C2A"/>
        <w:right w:val="single" w:sz="8" w:space="0" w:color="C62C2A"/>
      </w:tblBorders>
    </w:tblPr>
    <w:tblStylePr w:type="firstRow">
      <w:rPr>
        <w:sz w:val="24"/>
        <w:szCs w:val="24"/>
      </w:rPr>
      <w:tblPr/>
      <w:tcPr>
        <w:tcBorders>
          <w:top w:val="nil"/>
          <w:left w:val="nil"/>
          <w:bottom w:val="single" w:sz="24" w:space="0" w:color="C62C2A"/>
          <w:right w:val="nil"/>
          <w:insideH w:val="nil"/>
          <w:insideV w:val="nil"/>
        </w:tcBorders>
        <w:shd w:val="clear" w:color="auto" w:fill="FFFFFF"/>
      </w:tcPr>
    </w:tblStylePr>
    <w:tblStylePr w:type="lastRow">
      <w:tblPr/>
      <w:tcPr>
        <w:tcBorders>
          <w:top w:val="single" w:sz="8" w:space="0" w:color="C62C2A"/>
          <w:left w:val="nil"/>
          <w:bottom w:val="nil"/>
          <w:right w:val="nil"/>
          <w:insideH w:val="nil"/>
          <w:insideV w:val="nil"/>
        </w:tcBorders>
        <w:shd w:val="clear" w:color="auto" w:fill="FFFFFF"/>
      </w:tcPr>
    </w:tblStylePr>
    <w:tblStylePr w:type="firstCol">
      <w:tblPr/>
      <w:tcPr>
        <w:tcBorders>
          <w:top w:val="nil"/>
          <w:left w:val="nil"/>
          <w:bottom w:val="nil"/>
          <w:right w:val="single" w:sz="8" w:space="0" w:color="C62C2A"/>
          <w:insideH w:val="nil"/>
          <w:insideV w:val="nil"/>
        </w:tcBorders>
        <w:shd w:val="clear" w:color="auto" w:fill="FFFFFF"/>
      </w:tcPr>
    </w:tblStylePr>
    <w:tblStylePr w:type="lastCol">
      <w:tblPr/>
      <w:tcPr>
        <w:tcBorders>
          <w:top w:val="nil"/>
          <w:left w:val="single" w:sz="8" w:space="0" w:color="C62C2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3C8C7"/>
      </w:tcPr>
    </w:tblStylePr>
    <w:tblStylePr w:type="band1Horz">
      <w:tblPr/>
      <w:tcPr>
        <w:tcBorders>
          <w:top w:val="nil"/>
          <w:bottom w:val="nil"/>
          <w:insideH w:val="nil"/>
          <w:insideV w:val="nil"/>
        </w:tcBorders>
        <w:shd w:val="clear" w:color="auto" w:fill="F3C8C7"/>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99"/>
    <w:semiHidden/>
    <w:rsid w:val="00361DEB"/>
    <w:rPr>
      <w:rFonts w:ascii="Arial" w:eastAsia="MS Gothic" w:hAnsi="Arial"/>
      <w:color w:val="3F3F3F"/>
    </w:rPr>
    <w:tblPr>
      <w:tblStyleRowBandSize w:val="1"/>
      <w:tblStyleColBandSize w:val="1"/>
      <w:tblBorders>
        <w:top w:val="single" w:sz="8" w:space="0" w:color="E2349C"/>
        <w:left w:val="single" w:sz="8" w:space="0" w:color="E2349C"/>
        <w:bottom w:val="single" w:sz="8" w:space="0" w:color="E2349C"/>
        <w:right w:val="single" w:sz="8" w:space="0" w:color="E2349C"/>
      </w:tblBorders>
    </w:tblPr>
    <w:tblStylePr w:type="firstRow">
      <w:rPr>
        <w:sz w:val="24"/>
        <w:szCs w:val="24"/>
      </w:rPr>
      <w:tblPr/>
      <w:tcPr>
        <w:tcBorders>
          <w:top w:val="nil"/>
          <w:left w:val="nil"/>
          <w:bottom w:val="single" w:sz="24" w:space="0" w:color="E2349C"/>
          <w:right w:val="nil"/>
          <w:insideH w:val="nil"/>
          <w:insideV w:val="nil"/>
        </w:tcBorders>
        <w:shd w:val="clear" w:color="auto" w:fill="FFFFFF"/>
      </w:tcPr>
    </w:tblStylePr>
    <w:tblStylePr w:type="lastRow">
      <w:tblPr/>
      <w:tcPr>
        <w:tcBorders>
          <w:top w:val="single" w:sz="8" w:space="0" w:color="E2349C"/>
          <w:left w:val="nil"/>
          <w:bottom w:val="nil"/>
          <w:right w:val="nil"/>
          <w:insideH w:val="nil"/>
          <w:insideV w:val="nil"/>
        </w:tcBorders>
        <w:shd w:val="clear" w:color="auto" w:fill="FFFFFF"/>
      </w:tcPr>
    </w:tblStylePr>
    <w:tblStylePr w:type="firstCol">
      <w:tblPr/>
      <w:tcPr>
        <w:tcBorders>
          <w:top w:val="nil"/>
          <w:left w:val="nil"/>
          <w:bottom w:val="nil"/>
          <w:right w:val="single" w:sz="8" w:space="0" w:color="E2349C"/>
          <w:insideH w:val="nil"/>
          <w:insideV w:val="nil"/>
        </w:tcBorders>
        <w:shd w:val="clear" w:color="auto" w:fill="FFFFFF"/>
      </w:tcPr>
    </w:tblStylePr>
    <w:tblStylePr w:type="lastCol">
      <w:tblPr/>
      <w:tcPr>
        <w:tcBorders>
          <w:top w:val="nil"/>
          <w:left w:val="single" w:sz="8" w:space="0" w:color="E2349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7CCE6"/>
      </w:tcPr>
    </w:tblStylePr>
    <w:tblStylePr w:type="band1Horz">
      <w:tblPr/>
      <w:tcPr>
        <w:tcBorders>
          <w:top w:val="nil"/>
          <w:bottom w:val="nil"/>
          <w:insideH w:val="nil"/>
          <w:insideV w:val="nil"/>
        </w:tcBorders>
        <w:shd w:val="clear" w:color="auto" w:fill="F7CCE6"/>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99"/>
    <w:semiHidden/>
    <w:rsid w:val="00361DEB"/>
    <w:rPr>
      <w:rFonts w:ascii="Arial" w:eastAsia="MS Gothic" w:hAnsi="Arial"/>
      <w:color w:val="3F3F3F"/>
    </w:rPr>
    <w:tblPr>
      <w:tblStyleRowBandSize w:val="1"/>
      <w:tblStyleColBandSize w:val="1"/>
      <w:tblBorders>
        <w:top w:val="single" w:sz="8" w:space="0" w:color="F7931E"/>
        <w:left w:val="single" w:sz="8" w:space="0" w:color="F7931E"/>
        <w:bottom w:val="single" w:sz="8" w:space="0" w:color="F7931E"/>
        <w:right w:val="single" w:sz="8" w:space="0" w:color="F7931E"/>
      </w:tblBorders>
    </w:tblPr>
    <w:tblStylePr w:type="firstRow">
      <w:rPr>
        <w:sz w:val="24"/>
        <w:szCs w:val="24"/>
      </w:rPr>
      <w:tblPr/>
      <w:tcPr>
        <w:tcBorders>
          <w:top w:val="nil"/>
          <w:left w:val="nil"/>
          <w:bottom w:val="single" w:sz="24" w:space="0" w:color="F7931E"/>
          <w:right w:val="nil"/>
          <w:insideH w:val="nil"/>
          <w:insideV w:val="nil"/>
        </w:tcBorders>
        <w:shd w:val="clear" w:color="auto" w:fill="FFFFFF"/>
      </w:tcPr>
    </w:tblStylePr>
    <w:tblStylePr w:type="lastRow">
      <w:tblPr/>
      <w:tcPr>
        <w:tcBorders>
          <w:top w:val="single" w:sz="8" w:space="0" w:color="F7931E"/>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31E"/>
          <w:insideH w:val="nil"/>
          <w:insideV w:val="nil"/>
        </w:tcBorders>
        <w:shd w:val="clear" w:color="auto" w:fill="FFFFFF"/>
      </w:tcPr>
    </w:tblStylePr>
    <w:tblStylePr w:type="lastCol">
      <w:tblPr/>
      <w:tcPr>
        <w:tcBorders>
          <w:top w:val="nil"/>
          <w:left w:val="single" w:sz="8" w:space="0" w:color="F7931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C7"/>
      </w:tcPr>
    </w:tblStylePr>
    <w:tblStylePr w:type="band1Horz">
      <w:tblPr/>
      <w:tcPr>
        <w:tcBorders>
          <w:top w:val="nil"/>
          <w:bottom w:val="nil"/>
          <w:insideH w:val="nil"/>
          <w:insideV w:val="nil"/>
        </w:tcBorders>
        <w:shd w:val="clear" w:color="auto" w:fill="FDE4C7"/>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99"/>
    <w:semiHidden/>
    <w:rsid w:val="00361DEB"/>
    <w:rPr>
      <w:rFonts w:ascii="Arial" w:eastAsia="MS Gothic" w:hAnsi="Arial"/>
      <w:color w:val="3F3F3F"/>
    </w:rPr>
    <w:tblPr>
      <w:tblStyleRowBandSize w:val="1"/>
      <w:tblStyleColBandSize w:val="1"/>
      <w:tblBorders>
        <w:top w:val="single" w:sz="8" w:space="0" w:color="D9E021"/>
        <w:left w:val="single" w:sz="8" w:space="0" w:color="D9E021"/>
        <w:bottom w:val="single" w:sz="8" w:space="0" w:color="D9E021"/>
        <w:right w:val="single" w:sz="8" w:space="0" w:color="D9E021"/>
      </w:tblBorders>
    </w:tblPr>
    <w:tblStylePr w:type="firstRow">
      <w:rPr>
        <w:sz w:val="24"/>
        <w:szCs w:val="24"/>
      </w:rPr>
      <w:tblPr/>
      <w:tcPr>
        <w:tcBorders>
          <w:top w:val="nil"/>
          <w:left w:val="nil"/>
          <w:bottom w:val="single" w:sz="24" w:space="0" w:color="D9E021"/>
          <w:right w:val="nil"/>
          <w:insideH w:val="nil"/>
          <w:insideV w:val="nil"/>
        </w:tcBorders>
        <w:shd w:val="clear" w:color="auto" w:fill="FFFFFF"/>
      </w:tcPr>
    </w:tblStylePr>
    <w:tblStylePr w:type="lastRow">
      <w:tblPr/>
      <w:tcPr>
        <w:tcBorders>
          <w:top w:val="single" w:sz="8" w:space="0" w:color="D9E021"/>
          <w:left w:val="nil"/>
          <w:bottom w:val="nil"/>
          <w:right w:val="nil"/>
          <w:insideH w:val="nil"/>
          <w:insideV w:val="nil"/>
        </w:tcBorders>
        <w:shd w:val="clear" w:color="auto" w:fill="FFFFFF"/>
      </w:tcPr>
    </w:tblStylePr>
    <w:tblStylePr w:type="firstCol">
      <w:tblPr/>
      <w:tcPr>
        <w:tcBorders>
          <w:top w:val="nil"/>
          <w:left w:val="nil"/>
          <w:bottom w:val="nil"/>
          <w:right w:val="single" w:sz="8" w:space="0" w:color="D9E021"/>
          <w:insideH w:val="nil"/>
          <w:insideV w:val="nil"/>
        </w:tcBorders>
        <w:shd w:val="clear" w:color="auto" w:fill="FFFFFF"/>
      </w:tcPr>
    </w:tblStylePr>
    <w:tblStylePr w:type="lastCol">
      <w:tblPr/>
      <w:tcPr>
        <w:tcBorders>
          <w:top w:val="nil"/>
          <w:left w:val="single" w:sz="8" w:space="0" w:color="D9E02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5F7C8"/>
      </w:tcPr>
    </w:tblStylePr>
    <w:tblStylePr w:type="band1Horz">
      <w:tblPr/>
      <w:tcPr>
        <w:tcBorders>
          <w:top w:val="nil"/>
          <w:bottom w:val="nil"/>
          <w:insideH w:val="nil"/>
          <w:insideV w:val="nil"/>
        </w:tcBorders>
        <w:shd w:val="clear" w:color="auto" w:fill="F5F7C8"/>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99"/>
    <w:semiHidden/>
    <w:rsid w:val="00361DEB"/>
    <w:rPr>
      <w:rFonts w:ascii="Arial" w:eastAsia="MS Gothic" w:hAnsi="Arial"/>
      <w:color w:val="3F3F3F"/>
    </w:rPr>
    <w:tblPr>
      <w:tblStyleRowBandSize w:val="1"/>
      <w:tblStyleColBandSize w:val="1"/>
      <w:tblBorders>
        <w:top w:val="single" w:sz="8" w:space="0" w:color="61C6C6"/>
        <w:left w:val="single" w:sz="8" w:space="0" w:color="61C6C6"/>
        <w:bottom w:val="single" w:sz="8" w:space="0" w:color="61C6C6"/>
        <w:right w:val="single" w:sz="8" w:space="0" w:color="61C6C6"/>
      </w:tblBorders>
    </w:tblPr>
    <w:tblStylePr w:type="firstRow">
      <w:rPr>
        <w:sz w:val="24"/>
        <w:szCs w:val="24"/>
      </w:rPr>
      <w:tblPr/>
      <w:tcPr>
        <w:tcBorders>
          <w:top w:val="nil"/>
          <w:left w:val="nil"/>
          <w:bottom w:val="single" w:sz="24" w:space="0" w:color="61C6C6"/>
          <w:right w:val="nil"/>
          <w:insideH w:val="nil"/>
          <w:insideV w:val="nil"/>
        </w:tcBorders>
        <w:shd w:val="clear" w:color="auto" w:fill="FFFFFF"/>
      </w:tcPr>
    </w:tblStylePr>
    <w:tblStylePr w:type="lastRow">
      <w:tblPr/>
      <w:tcPr>
        <w:tcBorders>
          <w:top w:val="single" w:sz="8" w:space="0" w:color="61C6C6"/>
          <w:left w:val="nil"/>
          <w:bottom w:val="nil"/>
          <w:right w:val="nil"/>
          <w:insideH w:val="nil"/>
          <w:insideV w:val="nil"/>
        </w:tcBorders>
        <w:shd w:val="clear" w:color="auto" w:fill="FFFFFF"/>
      </w:tcPr>
    </w:tblStylePr>
    <w:tblStylePr w:type="firstCol">
      <w:tblPr/>
      <w:tcPr>
        <w:tcBorders>
          <w:top w:val="nil"/>
          <w:left w:val="nil"/>
          <w:bottom w:val="nil"/>
          <w:right w:val="single" w:sz="8" w:space="0" w:color="61C6C6"/>
          <w:insideH w:val="nil"/>
          <w:insideV w:val="nil"/>
        </w:tcBorders>
        <w:shd w:val="clear" w:color="auto" w:fill="FFFFFF"/>
      </w:tcPr>
    </w:tblStylePr>
    <w:tblStylePr w:type="lastCol">
      <w:tblPr/>
      <w:tcPr>
        <w:tcBorders>
          <w:top w:val="nil"/>
          <w:left w:val="single" w:sz="8" w:space="0" w:color="61C6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7F1F1"/>
      </w:tcPr>
    </w:tblStylePr>
    <w:tblStylePr w:type="band1Horz">
      <w:tblPr/>
      <w:tcPr>
        <w:tcBorders>
          <w:top w:val="nil"/>
          <w:bottom w:val="nil"/>
          <w:insideH w:val="nil"/>
          <w:insideV w:val="nil"/>
        </w:tcBorders>
        <w:shd w:val="clear" w:color="auto" w:fill="D7F1F1"/>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uiPriority w:val="99"/>
    <w:semiHidden/>
    <w:rsid w:val="00361DEB"/>
    <w:tblPr>
      <w:tblStyleRowBandSize w:val="1"/>
      <w:tblStyleColBandSize w:val="1"/>
      <w:tblBorders>
        <w:top w:val="single" w:sz="8" w:space="0" w:color="6F6F6F"/>
        <w:left w:val="single" w:sz="8" w:space="0" w:color="6F6F6F"/>
        <w:bottom w:val="single" w:sz="8" w:space="0" w:color="6F6F6F"/>
        <w:right w:val="single" w:sz="8" w:space="0" w:color="6F6F6F"/>
        <w:insideH w:val="single" w:sz="8" w:space="0" w:color="6F6F6F"/>
      </w:tblBorders>
    </w:tblPr>
    <w:tblStylePr w:type="firstRow">
      <w:pPr>
        <w:spacing w:before="0" w:after="0" w:line="240" w:lineRule="auto"/>
      </w:pPr>
      <w:rPr>
        <w:b/>
        <w:bCs/>
        <w:color w:val="FFFFFF"/>
      </w:rPr>
      <w:tblPr/>
      <w:tcPr>
        <w:tcBorders>
          <w:top w:val="single" w:sz="8" w:space="0" w:color="6F6F6F"/>
          <w:left w:val="single" w:sz="8" w:space="0" w:color="6F6F6F"/>
          <w:bottom w:val="single" w:sz="8" w:space="0" w:color="6F6F6F"/>
          <w:right w:val="single" w:sz="8" w:space="0" w:color="6F6F6F"/>
          <w:insideH w:val="nil"/>
          <w:insideV w:val="nil"/>
        </w:tcBorders>
        <w:shd w:val="clear" w:color="auto" w:fill="3F3F3F"/>
      </w:tcPr>
    </w:tblStylePr>
    <w:tblStylePr w:type="lastRow">
      <w:pPr>
        <w:spacing w:before="0" w:after="0" w:line="240" w:lineRule="auto"/>
      </w:pPr>
      <w:rPr>
        <w:b/>
        <w:bCs/>
      </w:rPr>
      <w:tblPr/>
      <w:tcPr>
        <w:tcBorders>
          <w:top w:val="double" w:sz="6" w:space="0" w:color="6F6F6F"/>
          <w:left w:val="single" w:sz="8" w:space="0" w:color="6F6F6F"/>
          <w:bottom w:val="single" w:sz="8" w:space="0" w:color="6F6F6F"/>
          <w:right w:val="single" w:sz="8" w:space="0" w:color="6F6F6F"/>
          <w:insideH w:val="nil"/>
          <w:insideV w:val="nil"/>
        </w:tcBorders>
      </w:tcPr>
    </w:tblStylePr>
    <w:tblStylePr w:type="firstCol">
      <w:rPr>
        <w:b/>
        <w:bCs/>
      </w:rPr>
    </w:tblStylePr>
    <w:tblStylePr w:type="lastCol">
      <w:rPr>
        <w:b/>
        <w:bCs/>
      </w:rPr>
    </w:tblStylePr>
    <w:tblStylePr w:type="band1Vert">
      <w:tblPr/>
      <w:tcPr>
        <w:shd w:val="clear" w:color="auto" w:fill="CFCFCF"/>
      </w:tcPr>
    </w:tblStylePr>
    <w:tblStylePr w:type="band1Horz">
      <w:tblPr/>
      <w:tcPr>
        <w:tcBorders>
          <w:insideH w:val="nil"/>
          <w:insideV w:val="nil"/>
        </w:tcBorders>
        <w:shd w:val="clear" w:color="auto" w:fill="CFCFC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99"/>
    <w:semiHidden/>
    <w:rsid w:val="00361DEB"/>
    <w:tblPr>
      <w:tblStyleRowBandSize w:val="1"/>
      <w:tblStyleColBandSize w:val="1"/>
      <w:tblBorders>
        <w:top w:val="single" w:sz="8" w:space="0" w:color="3A73CC"/>
        <w:left w:val="single" w:sz="8" w:space="0" w:color="3A73CC"/>
        <w:bottom w:val="single" w:sz="8" w:space="0" w:color="3A73CC"/>
        <w:right w:val="single" w:sz="8" w:space="0" w:color="3A73CC"/>
        <w:insideH w:val="single" w:sz="8" w:space="0" w:color="3A73CC"/>
      </w:tblBorders>
    </w:tblPr>
    <w:tblStylePr w:type="firstRow">
      <w:pPr>
        <w:spacing w:before="0" w:after="0" w:line="240" w:lineRule="auto"/>
      </w:pPr>
      <w:rPr>
        <w:b/>
        <w:bCs/>
        <w:color w:val="FFFFFF"/>
      </w:rPr>
      <w:tblPr/>
      <w:tcPr>
        <w:tcBorders>
          <w:top w:val="single" w:sz="8" w:space="0" w:color="3A73CC"/>
          <w:left w:val="single" w:sz="8" w:space="0" w:color="3A73CC"/>
          <w:bottom w:val="single" w:sz="8" w:space="0" w:color="3A73CC"/>
          <w:right w:val="single" w:sz="8" w:space="0" w:color="3A73CC"/>
          <w:insideH w:val="nil"/>
          <w:insideV w:val="nil"/>
        </w:tcBorders>
        <w:shd w:val="clear" w:color="auto" w:fill="254F90"/>
      </w:tcPr>
    </w:tblStylePr>
    <w:tblStylePr w:type="lastRow">
      <w:pPr>
        <w:spacing w:before="0" w:after="0" w:line="240" w:lineRule="auto"/>
      </w:pPr>
      <w:rPr>
        <w:b/>
        <w:bCs/>
      </w:rPr>
      <w:tblPr/>
      <w:tcPr>
        <w:tcBorders>
          <w:top w:val="double" w:sz="6" w:space="0" w:color="3A73CC"/>
          <w:left w:val="single" w:sz="8" w:space="0" w:color="3A73CC"/>
          <w:bottom w:val="single" w:sz="8" w:space="0" w:color="3A73CC"/>
          <w:right w:val="single" w:sz="8" w:space="0" w:color="3A73CC"/>
          <w:insideH w:val="nil"/>
          <w:insideV w:val="nil"/>
        </w:tcBorders>
      </w:tcPr>
    </w:tblStylePr>
    <w:tblStylePr w:type="firstCol">
      <w:rPr>
        <w:b/>
        <w:bCs/>
      </w:rPr>
    </w:tblStylePr>
    <w:tblStylePr w:type="lastCol">
      <w:rPr>
        <w:b/>
        <w:bCs/>
      </w:rPr>
    </w:tblStylePr>
    <w:tblStylePr w:type="band1Vert">
      <w:tblPr/>
      <w:tcPr>
        <w:shd w:val="clear" w:color="auto" w:fill="BED1EE"/>
      </w:tcPr>
    </w:tblStylePr>
    <w:tblStylePr w:type="band1Horz">
      <w:tblPr/>
      <w:tcPr>
        <w:tcBorders>
          <w:insideH w:val="nil"/>
          <w:insideV w:val="nil"/>
        </w:tcBorders>
        <w:shd w:val="clear" w:color="auto" w:fill="BED1EE"/>
      </w:tcPr>
    </w:tblStylePr>
    <w:tblStylePr w:type="band2Horz">
      <w:tblPr/>
      <w:tcPr>
        <w:tcBorders>
          <w:insideH w:val="nil"/>
          <w:insideV w:val="nil"/>
        </w:tcBorders>
      </w:tcPr>
    </w:tblStylePr>
  </w:style>
  <w:style w:type="table" w:styleId="MediumShading1-Accent2">
    <w:name w:val="Medium Shading 1 Accent 2"/>
    <w:basedOn w:val="TableNormal"/>
    <w:uiPriority w:val="99"/>
    <w:semiHidden/>
    <w:rsid w:val="00361DEB"/>
    <w:tblPr>
      <w:tblStyleRowBandSize w:val="1"/>
      <w:tblStyleColBandSize w:val="1"/>
      <w:tblBorders>
        <w:top w:val="single" w:sz="8" w:space="0" w:color="DB5958"/>
        <w:left w:val="single" w:sz="8" w:space="0" w:color="DB5958"/>
        <w:bottom w:val="single" w:sz="8" w:space="0" w:color="DB5958"/>
        <w:right w:val="single" w:sz="8" w:space="0" w:color="DB5958"/>
        <w:insideH w:val="single" w:sz="8" w:space="0" w:color="DB5958"/>
      </w:tblBorders>
    </w:tblPr>
    <w:tblStylePr w:type="firstRow">
      <w:pPr>
        <w:spacing w:before="0" w:after="0" w:line="240" w:lineRule="auto"/>
      </w:pPr>
      <w:rPr>
        <w:b/>
        <w:bCs/>
        <w:color w:val="FFFFFF"/>
      </w:rPr>
      <w:tblPr/>
      <w:tcPr>
        <w:tcBorders>
          <w:top w:val="single" w:sz="8" w:space="0" w:color="DB5958"/>
          <w:left w:val="single" w:sz="8" w:space="0" w:color="DB5958"/>
          <w:bottom w:val="single" w:sz="8" w:space="0" w:color="DB5958"/>
          <w:right w:val="single" w:sz="8" w:space="0" w:color="DB5958"/>
          <w:insideH w:val="nil"/>
          <w:insideV w:val="nil"/>
        </w:tcBorders>
        <w:shd w:val="clear" w:color="auto" w:fill="C62C2A"/>
      </w:tcPr>
    </w:tblStylePr>
    <w:tblStylePr w:type="lastRow">
      <w:pPr>
        <w:spacing w:before="0" w:after="0" w:line="240" w:lineRule="auto"/>
      </w:pPr>
      <w:rPr>
        <w:b/>
        <w:bCs/>
      </w:rPr>
      <w:tblPr/>
      <w:tcPr>
        <w:tcBorders>
          <w:top w:val="double" w:sz="6" w:space="0" w:color="DB5958"/>
          <w:left w:val="single" w:sz="8" w:space="0" w:color="DB5958"/>
          <w:bottom w:val="single" w:sz="8" w:space="0" w:color="DB5958"/>
          <w:right w:val="single" w:sz="8" w:space="0" w:color="DB5958"/>
          <w:insideH w:val="nil"/>
          <w:insideV w:val="nil"/>
        </w:tcBorders>
      </w:tcPr>
    </w:tblStylePr>
    <w:tblStylePr w:type="firstCol">
      <w:rPr>
        <w:b/>
        <w:bCs/>
      </w:rPr>
    </w:tblStylePr>
    <w:tblStylePr w:type="lastCol">
      <w:rPr>
        <w:b/>
        <w:bCs/>
      </w:rPr>
    </w:tblStylePr>
    <w:tblStylePr w:type="band1Vert">
      <w:tblPr/>
      <w:tcPr>
        <w:shd w:val="clear" w:color="auto" w:fill="F3C8C7"/>
      </w:tcPr>
    </w:tblStylePr>
    <w:tblStylePr w:type="band1Horz">
      <w:tblPr/>
      <w:tcPr>
        <w:tcBorders>
          <w:insideH w:val="nil"/>
          <w:insideV w:val="nil"/>
        </w:tcBorders>
        <w:shd w:val="clear" w:color="auto" w:fill="F3C8C7"/>
      </w:tcPr>
    </w:tblStylePr>
    <w:tblStylePr w:type="band2Horz">
      <w:tblPr/>
      <w:tcPr>
        <w:tcBorders>
          <w:insideH w:val="nil"/>
          <w:insideV w:val="nil"/>
        </w:tcBorders>
      </w:tcPr>
    </w:tblStylePr>
  </w:style>
  <w:style w:type="table" w:styleId="MediumShading1-Accent3">
    <w:name w:val="Medium Shading 1 Accent 3"/>
    <w:basedOn w:val="TableNormal"/>
    <w:uiPriority w:val="99"/>
    <w:semiHidden/>
    <w:rsid w:val="00361DEB"/>
    <w:tblPr>
      <w:tblStyleRowBandSize w:val="1"/>
      <w:tblStyleColBandSize w:val="1"/>
      <w:tblBorders>
        <w:top w:val="single" w:sz="8" w:space="0" w:color="E966B4"/>
        <w:left w:val="single" w:sz="8" w:space="0" w:color="E966B4"/>
        <w:bottom w:val="single" w:sz="8" w:space="0" w:color="E966B4"/>
        <w:right w:val="single" w:sz="8" w:space="0" w:color="E966B4"/>
        <w:insideH w:val="single" w:sz="8" w:space="0" w:color="E966B4"/>
      </w:tblBorders>
    </w:tblPr>
    <w:tblStylePr w:type="firstRow">
      <w:pPr>
        <w:spacing w:before="0" w:after="0" w:line="240" w:lineRule="auto"/>
      </w:pPr>
      <w:rPr>
        <w:b/>
        <w:bCs/>
        <w:color w:val="FFFFFF"/>
      </w:rPr>
      <w:tblPr/>
      <w:tcPr>
        <w:tcBorders>
          <w:top w:val="single" w:sz="8" w:space="0" w:color="E966B4"/>
          <w:left w:val="single" w:sz="8" w:space="0" w:color="E966B4"/>
          <w:bottom w:val="single" w:sz="8" w:space="0" w:color="E966B4"/>
          <w:right w:val="single" w:sz="8" w:space="0" w:color="E966B4"/>
          <w:insideH w:val="nil"/>
          <w:insideV w:val="nil"/>
        </w:tcBorders>
        <w:shd w:val="clear" w:color="auto" w:fill="E2349C"/>
      </w:tcPr>
    </w:tblStylePr>
    <w:tblStylePr w:type="lastRow">
      <w:pPr>
        <w:spacing w:before="0" w:after="0" w:line="240" w:lineRule="auto"/>
      </w:pPr>
      <w:rPr>
        <w:b/>
        <w:bCs/>
      </w:rPr>
      <w:tblPr/>
      <w:tcPr>
        <w:tcBorders>
          <w:top w:val="double" w:sz="6" w:space="0" w:color="E966B4"/>
          <w:left w:val="single" w:sz="8" w:space="0" w:color="E966B4"/>
          <w:bottom w:val="single" w:sz="8" w:space="0" w:color="E966B4"/>
          <w:right w:val="single" w:sz="8" w:space="0" w:color="E966B4"/>
          <w:insideH w:val="nil"/>
          <w:insideV w:val="nil"/>
        </w:tcBorders>
      </w:tcPr>
    </w:tblStylePr>
    <w:tblStylePr w:type="firstCol">
      <w:rPr>
        <w:b/>
        <w:bCs/>
      </w:rPr>
    </w:tblStylePr>
    <w:tblStylePr w:type="lastCol">
      <w:rPr>
        <w:b/>
        <w:bCs/>
      </w:rPr>
    </w:tblStylePr>
    <w:tblStylePr w:type="band1Vert">
      <w:tblPr/>
      <w:tcPr>
        <w:shd w:val="clear" w:color="auto" w:fill="F7CCE6"/>
      </w:tcPr>
    </w:tblStylePr>
    <w:tblStylePr w:type="band1Horz">
      <w:tblPr/>
      <w:tcPr>
        <w:tcBorders>
          <w:insideH w:val="nil"/>
          <w:insideV w:val="nil"/>
        </w:tcBorders>
        <w:shd w:val="clear" w:color="auto" w:fill="F7CCE6"/>
      </w:tcPr>
    </w:tblStylePr>
    <w:tblStylePr w:type="band2Horz">
      <w:tblPr/>
      <w:tcPr>
        <w:tcBorders>
          <w:insideH w:val="nil"/>
          <w:insideV w:val="nil"/>
        </w:tcBorders>
      </w:tcPr>
    </w:tblStylePr>
  </w:style>
  <w:style w:type="table" w:styleId="MediumShading1-Accent4">
    <w:name w:val="Medium Shading 1 Accent 4"/>
    <w:basedOn w:val="TableNormal"/>
    <w:uiPriority w:val="99"/>
    <w:semiHidden/>
    <w:rsid w:val="00361DEB"/>
    <w:tblPr>
      <w:tblStyleRowBandSize w:val="1"/>
      <w:tblStyleColBandSize w:val="1"/>
      <w:tblBorders>
        <w:top w:val="single" w:sz="8" w:space="0" w:color="F9AD56"/>
        <w:left w:val="single" w:sz="8" w:space="0" w:color="F9AD56"/>
        <w:bottom w:val="single" w:sz="8" w:space="0" w:color="F9AD56"/>
        <w:right w:val="single" w:sz="8" w:space="0" w:color="F9AD56"/>
        <w:insideH w:val="single" w:sz="8" w:space="0" w:color="F9AD56"/>
      </w:tblBorders>
    </w:tblPr>
    <w:tblStylePr w:type="firstRow">
      <w:pPr>
        <w:spacing w:before="0" w:after="0" w:line="240" w:lineRule="auto"/>
      </w:pPr>
      <w:rPr>
        <w:b/>
        <w:bCs/>
        <w:color w:val="FFFFFF"/>
      </w:rPr>
      <w:tblPr/>
      <w:tcPr>
        <w:tcBorders>
          <w:top w:val="single" w:sz="8" w:space="0" w:color="F9AD56"/>
          <w:left w:val="single" w:sz="8" w:space="0" w:color="F9AD56"/>
          <w:bottom w:val="single" w:sz="8" w:space="0" w:color="F9AD56"/>
          <w:right w:val="single" w:sz="8" w:space="0" w:color="F9AD56"/>
          <w:insideH w:val="nil"/>
          <w:insideV w:val="nil"/>
        </w:tcBorders>
        <w:shd w:val="clear" w:color="auto" w:fill="F7931E"/>
      </w:tcPr>
    </w:tblStylePr>
    <w:tblStylePr w:type="lastRow">
      <w:pPr>
        <w:spacing w:before="0" w:after="0" w:line="240" w:lineRule="auto"/>
      </w:pPr>
      <w:rPr>
        <w:b/>
        <w:bCs/>
      </w:rPr>
      <w:tblPr/>
      <w:tcPr>
        <w:tcBorders>
          <w:top w:val="double" w:sz="6" w:space="0" w:color="F9AD56"/>
          <w:left w:val="single" w:sz="8" w:space="0" w:color="F9AD56"/>
          <w:bottom w:val="single" w:sz="8" w:space="0" w:color="F9AD56"/>
          <w:right w:val="single" w:sz="8" w:space="0" w:color="F9AD56"/>
          <w:insideH w:val="nil"/>
          <w:insideV w:val="nil"/>
        </w:tcBorders>
      </w:tcPr>
    </w:tblStylePr>
    <w:tblStylePr w:type="firstCol">
      <w:rPr>
        <w:b/>
        <w:bCs/>
      </w:rPr>
    </w:tblStylePr>
    <w:tblStylePr w:type="lastCol">
      <w:rPr>
        <w:b/>
        <w:bCs/>
      </w:rPr>
    </w:tblStylePr>
    <w:tblStylePr w:type="band1Vert">
      <w:tblPr/>
      <w:tcPr>
        <w:shd w:val="clear" w:color="auto" w:fill="FDE4C7"/>
      </w:tcPr>
    </w:tblStylePr>
    <w:tblStylePr w:type="band1Horz">
      <w:tblPr/>
      <w:tcPr>
        <w:tcBorders>
          <w:insideH w:val="nil"/>
          <w:insideV w:val="nil"/>
        </w:tcBorders>
        <w:shd w:val="clear" w:color="auto" w:fill="FDE4C7"/>
      </w:tcPr>
    </w:tblStylePr>
    <w:tblStylePr w:type="band2Horz">
      <w:tblPr/>
      <w:tcPr>
        <w:tcBorders>
          <w:insideH w:val="nil"/>
          <w:insideV w:val="nil"/>
        </w:tcBorders>
      </w:tcPr>
    </w:tblStylePr>
  </w:style>
  <w:style w:type="table" w:styleId="MediumShading1-Accent5">
    <w:name w:val="Medium Shading 1 Accent 5"/>
    <w:basedOn w:val="TableNormal"/>
    <w:uiPriority w:val="99"/>
    <w:semiHidden/>
    <w:rsid w:val="00361DEB"/>
    <w:tblPr>
      <w:tblStyleRowBandSize w:val="1"/>
      <w:tblStyleColBandSize w:val="1"/>
      <w:tblBorders>
        <w:top w:val="single" w:sz="8" w:space="0" w:color="E2E758"/>
        <w:left w:val="single" w:sz="8" w:space="0" w:color="E2E758"/>
        <w:bottom w:val="single" w:sz="8" w:space="0" w:color="E2E758"/>
        <w:right w:val="single" w:sz="8" w:space="0" w:color="E2E758"/>
        <w:insideH w:val="single" w:sz="8" w:space="0" w:color="E2E758"/>
      </w:tblBorders>
    </w:tblPr>
    <w:tblStylePr w:type="firstRow">
      <w:pPr>
        <w:spacing w:before="0" w:after="0" w:line="240" w:lineRule="auto"/>
      </w:pPr>
      <w:rPr>
        <w:b/>
        <w:bCs/>
        <w:color w:val="FFFFFF"/>
      </w:rPr>
      <w:tblPr/>
      <w:tcPr>
        <w:tcBorders>
          <w:top w:val="single" w:sz="8" w:space="0" w:color="E2E758"/>
          <w:left w:val="single" w:sz="8" w:space="0" w:color="E2E758"/>
          <w:bottom w:val="single" w:sz="8" w:space="0" w:color="E2E758"/>
          <w:right w:val="single" w:sz="8" w:space="0" w:color="E2E758"/>
          <w:insideH w:val="nil"/>
          <w:insideV w:val="nil"/>
        </w:tcBorders>
        <w:shd w:val="clear" w:color="auto" w:fill="D9E021"/>
      </w:tcPr>
    </w:tblStylePr>
    <w:tblStylePr w:type="lastRow">
      <w:pPr>
        <w:spacing w:before="0" w:after="0" w:line="240" w:lineRule="auto"/>
      </w:pPr>
      <w:rPr>
        <w:b/>
        <w:bCs/>
      </w:rPr>
      <w:tblPr/>
      <w:tcPr>
        <w:tcBorders>
          <w:top w:val="double" w:sz="6" w:space="0" w:color="E2E758"/>
          <w:left w:val="single" w:sz="8" w:space="0" w:color="E2E758"/>
          <w:bottom w:val="single" w:sz="8" w:space="0" w:color="E2E758"/>
          <w:right w:val="single" w:sz="8" w:space="0" w:color="E2E758"/>
          <w:insideH w:val="nil"/>
          <w:insideV w:val="nil"/>
        </w:tcBorders>
      </w:tcPr>
    </w:tblStylePr>
    <w:tblStylePr w:type="firstCol">
      <w:rPr>
        <w:b/>
        <w:bCs/>
      </w:rPr>
    </w:tblStylePr>
    <w:tblStylePr w:type="lastCol">
      <w:rPr>
        <w:b/>
        <w:bCs/>
      </w:rPr>
    </w:tblStylePr>
    <w:tblStylePr w:type="band1Vert">
      <w:tblPr/>
      <w:tcPr>
        <w:shd w:val="clear" w:color="auto" w:fill="F5F7C8"/>
      </w:tcPr>
    </w:tblStylePr>
    <w:tblStylePr w:type="band1Horz">
      <w:tblPr/>
      <w:tcPr>
        <w:tcBorders>
          <w:insideH w:val="nil"/>
          <w:insideV w:val="nil"/>
        </w:tcBorders>
        <w:shd w:val="clear" w:color="auto" w:fill="F5F7C8"/>
      </w:tcPr>
    </w:tblStylePr>
    <w:tblStylePr w:type="band2Horz">
      <w:tblPr/>
      <w:tcPr>
        <w:tcBorders>
          <w:insideH w:val="nil"/>
          <w:insideV w:val="nil"/>
        </w:tcBorders>
      </w:tcPr>
    </w:tblStylePr>
  </w:style>
  <w:style w:type="table" w:styleId="MediumShading1-Accent6">
    <w:name w:val="Medium Shading 1 Accent 6"/>
    <w:basedOn w:val="TableNormal"/>
    <w:uiPriority w:val="99"/>
    <w:semiHidden/>
    <w:rsid w:val="00361DEB"/>
    <w:tblPr>
      <w:tblStyleRowBandSize w:val="1"/>
      <w:tblStyleColBandSize w:val="1"/>
      <w:tblBorders>
        <w:top w:val="single" w:sz="8" w:space="0" w:color="88D4D4"/>
        <w:left w:val="single" w:sz="8" w:space="0" w:color="88D4D4"/>
        <w:bottom w:val="single" w:sz="8" w:space="0" w:color="88D4D4"/>
        <w:right w:val="single" w:sz="8" w:space="0" w:color="88D4D4"/>
        <w:insideH w:val="single" w:sz="8" w:space="0" w:color="88D4D4"/>
      </w:tblBorders>
    </w:tblPr>
    <w:tblStylePr w:type="firstRow">
      <w:pPr>
        <w:spacing w:before="0" w:after="0" w:line="240" w:lineRule="auto"/>
      </w:pPr>
      <w:rPr>
        <w:b/>
        <w:bCs/>
        <w:color w:val="FFFFFF"/>
      </w:rPr>
      <w:tblPr/>
      <w:tcPr>
        <w:tcBorders>
          <w:top w:val="single" w:sz="8" w:space="0" w:color="88D4D4"/>
          <w:left w:val="single" w:sz="8" w:space="0" w:color="88D4D4"/>
          <w:bottom w:val="single" w:sz="8" w:space="0" w:color="88D4D4"/>
          <w:right w:val="single" w:sz="8" w:space="0" w:color="88D4D4"/>
          <w:insideH w:val="nil"/>
          <w:insideV w:val="nil"/>
        </w:tcBorders>
        <w:shd w:val="clear" w:color="auto" w:fill="61C6C6"/>
      </w:tcPr>
    </w:tblStylePr>
    <w:tblStylePr w:type="lastRow">
      <w:pPr>
        <w:spacing w:before="0" w:after="0" w:line="240" w:lineRule="auto"/>
      </w:pPr>
      <w:rPr>
        <w:b/>
        <w:bCs/>
      </w:rPr>
      <w:tblPr/>
      <w:tcPr>
        <w:tcBorders>
          <w:top w:val="double" w:sz="6" w:space="0" w:color="88D4D4"/>
          <w:left w:val="single" w:sz="8" w:space="0" w:color="88D4D4"/>
          <w:bottom w:val="single" w:sz="8" w:space="0" w:color="88D4D4"/>
          <w:right w:val="single" w:sz="8" w:space="0" w:color="88D4D4"/>
          <w:insideH w:val="nil"/>
          <w:insideV w:val="nil"/>
        </w:tcBorders>
      </w:tcPr>
    </w:tblStylePr>
    <w:tblStylePr w:type="firstCol">
      <w:rPr>
        <w:b/>
        <w:bCs/>
      </w:rPr>
    </w:tblStylePr>
    <w:tblStylePr w:type="lastCol">
      <w:rPr>
        <w:b/>
        <w:bCs/>
      </w:rPr>
    </w:tblStylePr>
    <w:tblStylePr w:type="band1Vert">
      <w:tblPr/>
      <w:tcPr>
        <w:shd w:val="clear" w:color="auto" w:fill="D7F1F1"/>
      </w:tcPr>
    </w:tblStylePr>
    <w:tblStylePr w:type="band1Horz">
      <w:tblPr/>
      <w:tcPr>
        <w:tcBorders>
          <w:insideH w:val="nil"/>
          <w:insideV w:val="nil"/>
        </w:tcBorders>
        <w:shd w:val="clear" w:color="auto" w:fill="D7F1F1"/>
      </w:tcPr>
    </w:tblStylePr>
    <w:tblStylePr w:type="band2Horz">
      <w:tblPr/>
      <w:tcPr>
        <w:tcBorders>
          <w:insideH w:val="nil"/>
          <w:insideV w:val="nil"/>
        </w:tcBorders>
      </w:tcPr>
    </w:tblStylePr>
  </w:style>
  <w:style w:type="table" w:customStyle="1" w:styleId="MediumShading21">
    <w:name w:val="Medium Shading 21"/>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3F3F3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3F3F3F"/>
      </w:tcPr>
    </w:tblStylePr>
    <w:tblStylePr w:type="lastCol">
      <w:rPr>
        <w:b/>
        <w:bCs/>
        <w:color w:val="FFFFFF"/>
      </w:rPr>
      <w:tblPr/>
      <w:tcPr>
        <w:tcBorders>
          <w:left w:val="nil"/>
          <w:right w:val="nil"/>
          <w:insideH w:val="nil"/>
          <w:insideV w:val="nil"/>
        </w:tcBorders>
        <w:shd w:val="clear" w:color="auto" w:fill="3F3F3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54F9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254F90"/>
      </w:tcPr>
    </w:tblStylePr>
    <w:tblStylePr w:type="lastCol">
      <w:rPr>
        <w:b/>
        <w:bCs/>
        <w:color w:val="FFFFFF"/>
      </w:rPr>
      <w:tblPr/>
      <w:tcPr>
        <w:tcBorders>
          <w:left w:val="nil"/>
          <w:right w:val="nil"/>
          <w:insideH w:val="nil"/>
          <w:insideV w:val="nil"/>
        </w:tcBorders>
        <w:shd w:val="clear" w:color="auto" w:fill="254F9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62C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62C2A"/>
      </w:tcPr>
    </w:tblStylePr>
    <w:tblStylePr w:type="lastCol">
      <w:rPr>
        <w:b/>
        <w:bCs/>
        <w:color w:val="FFFFFF"/>
      </w:rPr>
      <w:tblPr/>
      <w:tcPr>
        <w:tcBorders>
          <w:left w:val="nil"/>
          <w:right w:val="nil"/>
          <w:insideH w:val="nil"/>
          <w:insideV w:val="nil"/>
        </w:tcBorders>
        <w:shd w:val="clear" w:color="auto" w:fill="C62C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2349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2349C"/>
      </w:tcPr>
    </w:tblStylePr>
    <w:tblStylePr w:type="lastCol">
      <w:rPr>
        <w:b/>
        <w:bCs/>
        <w:color w:val="FFFFFF"/>
      </w:rPr>
      <w:tblPr/>
      <w:tcPr>
        <w:tcBorders>
          <w:left w:val="nil"/>
          <w:right w:val="nil"/>
          <w:insideH w:val="nil"/>
          <w:insideV w:val="nil"/>
        </w:tcBorders>
        <w:shd w:val="clear" w:color="auto" w:fill="E2349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31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31E"/>
      </w:tcPr>
    </w:tblStylePr>
    <w:tblStylePr w:type="lastCol">
      <w:rPr>
        <w:b/>
        <w:bCs/>
        <w:color w:val="FFFFFF"/>
      </w:rPr>
      <w:tblPr/>
      <w:tcPr>
        <w:tcBorders>
          <w:left w:val="nil"/>
          <w:right w:val="nil"/>
          <w:insideH w:val="nil"/>
          <w:insideV w:val="nil"/>
        </w:tcBorders>
        <w:shd w:val="clear" w:color="auto" w:fill="F7931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9E02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D9E021"/>
      </w:tcPr>
    </w:tblStylePr>
    <w:tblStylePr w:type="lastCol">
      <w:rPr>
        <w:b/>
        <w:bCs/>
        <w:color w:val="FFFFFF"/>
      </w:rPr>
      <w:tblPr/>
      <w:tcPr>
        <w:tcBorders>
          <w:left w:val="nil"/>
          <w:right w:val="nil"/>
          <w:insideH w:val="nil"/>
          <w:insideV w:val="nil"/>
        </w:tcBorders>
        <w:shd w:val="clear" w:color="auto" w:fill="D9E02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9"/>
    <w:semiHidden/>
    <w:rsid w:val="00361DE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1C6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61C6C6"/>
      </w:tcPr>
    </w:tblStylePr>
    <w:tblStylePr w:type="lastCol">
      <w:rPr>
        <w:b/>
        <w:bCs/>
        <w:color w:val="FFFFFF"/>
      </w:rPr>
      <w:tblPr/>
      <w:tcPr>
        <w:tcBorders>
          <w:left w:val="nil"/>
          <w:right w:val="nil"/>
          <w:insideH w:val="nil"/>
          <w:insideV w:val="nil"/>
        </w:tcBorders>
        <w:shd w:val="clear" w:color="auto" w:fill="61C6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Colorful1">
    <w:name w:val="Table Colorful 1"/>
    <w:basedOn w:val="TableNormal"/>
    <w:uiPriority w:val="99"/>
    <w:semiHidden/>
    <w:rsid w:val="00361DE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61DE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61DE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Grid">
    <w:name w:val="Table Grid"/>
    <w:basedOn w:val="TableNormal"/>
    <w:uiPriority w:val="39"/>
    <w:rsid w:val="00361D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361DE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61DE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61DE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61DE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61DE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361DE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361DE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361DE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5"/>
    <w:semiHidden/>
    <w:qFormat/>
    <w:rsid w:val="00361DEB"/>
    <w:pPr>
      <w:pBdr>
        <w:bottom w:val="single" w:sz="8" w:space="4" w:color="254F90"/>
      </w:pBdr>
      <w:spacing w:after="300"/>
      <w:contextualSpacing/>
    </w:pPr>
    <w:rPr>
      <w:rFonts w:ascii="Arial" w:eastAsia="MS Gothic" w:hAnsi="Arial"/>
      <w:color w:val="181F38"/>
      <w:spacing w:val="5"/>
      <w:kern w:val="28"/>
      <w:sz w:val="52"/>
      <w:szCs w:val="52"/>
    </w:rPr>
  </w:style>
  <w:style w:type="character" w:customStyle="1" w:styleId="TitleChar">
    <w:name w:val="Title Char"/>
    <w:link w:val="Title"/>
    <w:uiPriority w:val="15"/>
    <w:semiHidden/>
    <w:rsid w:val="00361DEB"/>
    <w:rPr>
      <w:rFonts w:ascii="Arial" w:eastAsia="MS Gothic" w:hAnsi="Arial" w:cs="Times New Roman"/>
      <w:color w:val="181F38"/>
      <w:spacing w:val="5"/>
      <w:kern w:val="28"/>
      <w:sz w:val="52"/>
      <w:szCs w:val="52"/>
    </w:rPr>
  </w:style>
  <w:style w:type="character" w:customStyle="1" w:styleId="FigurecaptionCharChar">
    <w:name w:val="Figure caption Char Char"/>
    <w:link w:val="Figurecaption"/>
    <w:uiPriority w:val="10"/>
    <w:locked/>
    <w:rsid w:val="00EB5D5E"/>
    <w:rPr>
      <w:rFonts w:ascii="Calibri" w:hAnsi="Calibri"/>
      <w:b/>
      <w:bCs/>
      <w:color w:val="3F3F3F"/>
      <w:sz w:val="18"/>
      <w:szCs w:val="18"/>
    </w:rPr>
  </w:style>
  <w:style w:type="paragraph" w:customStyle="1" w:styleId="Reference">
    <w:name w:val="Reference"/>
    <w:basedOn w:val="BodyText"/>
    <w:uiPriority w:val="20"/>
    <w:qFormat/>
    <w:rsid w:val="00D24D34"/>
    <w:pPr>
      <w:spacing w:before="360" w:after="360"/>
    </w:pPr>
    <w:rPr>
      <w:noProof/>
    </w:rPr>
  </w:style>
  <w:style w:type="character" w:customStyle="1" w:styleId="BodyTextChar">
    <w:name w:val="Body Text Char"/>
    <w:link w:val="BodyText"/>
    <w:rsid w:val="0052682D"/>
    <w:rPr>
      <w:rFonts w:ascii="Calibri" w:hAnsi="Calibri"/>
      <w:color w:val="2F2F2F"/>
      <w:sz w:val="22"/>
      <w:szCs w:val="22"/>
      <w:lang w:eastAsia="en-US"/>
    </w:rPr>
  </w:style>
  <w:style w:type="paragraph" w:customStyle="1" w:styleId="Bodytext-Quote">
    <w:name w:val="Body text - Quote"/>
    <w:basedOn w:val="BodyText"/>
    <w:next w:val="BodyText"/>
    <w:qFormat/>
    <w:rsid w:val="00DF7C5F"/>
    <w:pPr>
      <w:ind w:left="567" w:right="567"/>
    </w:pPr>
  </w:style>
  <w:style w:type="character" w:customStyle="1" w:styleId="ChartandfiguresheadingChar">
    <w:name w:val="Chart and figures heading Char"/>
    <w:link w:val="Chartandfiguresheading"/>
    <w:rsid w:val="00F9544C"/>
    <w:rPr>
      <w:rFonts w:ascii="Cambria" w:eastAsia="MS Gothic" w:hAnsi="Cambria" w:cs="Times New Roman"/>
      <w:b/>
      <w:bCs/>
      <w:color w:val="122748"/>
      <w:sz w:val="26"/>
      <w:szCs w:val="26"/>
    </w:rPr>
  </w:style>
  <w:style w:type="paragraph" w:customStyle="1" w:styleId="DBCDElogo">
    <w:name w:val="DBCDE logo"/>
    <w:basedOn w:val="Normal"/>
    <w:next w:val="BodyText"/>
    <w:semiHidden/>
    <w:qFormat/>
    <w:rsid w:val="00665016"/>
    <w:pPr>
      <w:jc w:val="center"/>
    </w:pPr>
    <w:rPr>
      <w:noProof/>
      <w:lang w:eastAsia="en-AU"/>
    </w:rPr>
  </w:style>
  <w:style w:type="character" w:customStyle="1" w:styleId="Instructionaltext">
    <w:name w:val="Instructional text"/>
    <w:uiPriority w:val="59"/>
    <w:qFormat/>
    <w:rsid w:val="00B152D2"/>
    <w:rPr>
      <w:i/>
      <w:color w:val="D9E021"/>
    </w:rPr>
  </w:style>
  <w:style w:type="paragraph" w:customStyle="1" w:styleId="Instructionaltext-Numberedlist">
    <w:name w:val="Instructional text - Numbered list"/>
    <w:basedOn w:val="Normal"/>
    <w:uiPriority w:val="59"/>
    <w:qFormat/>
    <w:rsid w:val="00EB5D5E"/>
    <w:pPr>
      <w:numPr>
        <w:numId w:val="19"/>
      </w:numPr>
      <w:spacing w:after="240"/>
    </w:pPr>
    <w:rPr>
      <w:i/>
      <w:color w:val="D9E021"/>
    </w:rPr>
  </w:style>
  <w:style w:type="character" w:customStyle="1" w:styleId="Exampletext">
    <w:name w:val="Example text"/>
    <w:uiPriority w:val="60"/>
    <w:qFormat/>
    <w:rsid w:val="00F9544C"/>
    <w:rPr>
      <w:color w:val="122748"/>
    </w:rPr>
  </w:style>
  <w:style w:type="character" w:customStyle="1" w:styleId="Heading2Char">
    <w:name w:val="Heading 2 Char"/>
    <w:aliases w:val="Numbered H2 Char"/>
    <w:link w:val="Heading2"/>
    <w:uiPriority w:val="9"/>
    <w:rsid w:val="002B1ADE"/>
    <w:rPr>
      <w:rFonts w:ascii="Calibri Light" w:eastAsia="MS Gothic" w:hAnsi="Calibri Light"/>
      <w:bCs/>
      <w:color w:val="3AA2A2"/>
      <w:sz w:val="32"/>
      <w:szCs w:val="26"/>
      <w:lang w:eastAsia="en-US"/>
    </w:rPr>
  </w:style>
  <w:style w:type="character" w:customStyle="1" w:styleId="FooterChar">
    <w:name w:val="Footer Char"/>
    <w:link w:val="Footer"/>
    <w:uiPriority w:val="99"/>
    <w:rsid w:val="00570FCE"/>
    <w:rPr>
      <w:color w:val="212A4C"/>
      <w:sz w:val="20"/>
    </w:rPr>
  </w:style>
  <w:style w:type="paragraph" w:customStyle="1" w:styleId="Documenttype">
    <w:name w:val="Document type"/>
    <w:basedOn w:val="Normal"/>
    <w:uiPriority w:val="17"/>
    <w:qFormat/>
    <w:rsid w:val="00874602"/>
    <w:pPr>
      <w:spacing w:before="120"/>
      <w:jc w:val="right"/>
    </w:pPr>
    <w:rPr>
      <w:rFonts w:ascii="Cambria" w:eastAsia="Times New Roman" w:hAnsi="Cambria"/>
      <w:b/>
      <w:color w:val="212A4C"/>
      <w:kern w:val="28"/>
      <w:sz w:val="24"/>
      <w:szCs w:val="52"/>
    </w:rPr>
  </w:style>
  <w:style w:type="character" w:customStyle="1" w:styleId="HeaderChar">
    <w:name w:val="Header Char"/>
    <w:link w:val="Header"/>
    <w:rsid w:val="002B1ADE"/>
    <w:rPr>
      <w:rFonts w:ascii="Calibri Light" w:hAnsi="Calibri Light"/>
      <w:caps/>
      <w:color w:val="4472C4"/>
      <w:sz w:val="18"/>
      <w:szCs w:val="22"/>
      <w:lang w:eastAsia="en-US"/>
    </w:rPr>
  </w:style>
  <w:style w:type="paragraph" w:customStyle="1" w:styleId="DotPoint2">
    <w:name w:val="Dot Point 2"/>
    <w:basedOn w:val="ListParagraph"/>
    <w:link w:val="DotPoint2Char"/>
    <w:qFormat/>
    <w:rsid w:val="00C1340F"/>
    <w:pPr>
      <w:spacing w:before="0" w:after="120"/>
      <w:ind w:left="1080" w:hanging="360"/>
      <w:contextualSpacing w:val="0"/>
    </w:pPr>
  </w:style>
  <w:style w:type="paragraph" w:customStyle="1" w:styleId="DotPoint3">
    <w:name w:val="Dot Point 3"/>
    <w:basedOn w:val="ListParagraph"/>
    <w:qFormat/>
    <w:rsid w:val="00C1340F"/>
    <w:pPr>
      <w:tabs>
        <w:tab w:val="num" w:pos="360"/>
      </w:tabs>
      <w:spacing w:after="120"/>
      <w:ind w:left="1800" w:hanging="180"/>
      <w:contextualSpacing w:val="0"/>
    </w:pPr>
    <w:rPr>
      <w:rFonts w:ascii="Microsoft New Tai Lue" w:eastAsia="Times New Roman" w:hAnsi="Microsoft New Tai Lue" w:cs="Microsoft New Tai Lue"/>
    </w:rPr>
  </w:style>
  <w:style w:type="character" w:customStyle="1" w:styleId="ListParagraphChar">
    <w:name w:val="List Paragraph Char"/>
    <w:aliases w:val="List Paragraph1 Char,Recommendation Char,List Paragraph11 Char,L Char,bullet point list Char,1 heading Char,Bullet point Char,Dot point 1.5 line spacing Char,List Paragraph - bullets Char,NFP GP Bulleted List Char,Bullet OSM Char"/>
    <w:link w:val="ListParagraph"/>
    <w:uiPriority w:val="34"/>
    <w:rsid w:val="00C1340F"/>
    <w:rPr>
      <w:rFonts w:ascii="Calibri" w:hAnsi="Calibri"/>
    </w:rPr>
  </w:style>
  <w:style w:type="character" w:customStyle="1" w:styleId="DotPoint2Char">
    <w:name w:val="Dot Point 2 Char"/>
    <w:link w:val="DotPoint2"/>
    <w:rsid w:val="00C1340F"/>
    <w:rPr>
      <w:rFonts w:ascii="Calibri" w:hAnsi="Calibri"/>
    </w:rPr>
  </w:style>
  <w:style w:type="character" w:customStyle="1" w:styleId="CommentTextChar">
    <w:name w:val="Comment Text Char"/>
    <w:link w:val="CommentText"/>
    <w:uiPriority w:val="99"/>
    <w:rsid w:val="00B50A1B"/>
    <w:rPr>
      <w:rFonts w:ascii="Calibri" w:hAnsi="Calibri"/>
      <w:sz w:val="20"/>
      <w:szCs w:val="20"/>
    </w:rPr>
  </w:style>
  <w:style w:type="character" w:customStyle="1" w:styleId="FootnoteTextChar">
    <w:name w:val="Footnote Text Char"/>
    <w:link w:val="FootnoteText"/>
    <w:uiPriority w:val="99"/>
    <w:rsid w:val="001F4F16"/>
    <w:rPr>
      <w:sz w:val="16"/>
      <w:szCs w:val="20"/>
    </w:rPr>
  </w:style>
  <w:style w:type="paragraph" w:styleId="Revision">
    <w:name w:val="Revision"/>
    <w:hidden/>
    <w:uiPriority w:val="99"/>
    <w:semiHidden/>
    <w:rsid w:val="002424AB"/>
    <w:rPr>
      <w:rFonts w:ascii="Calibri" w:hAnsi="Calibri"/>
      <w:sz w:val="22"/>
      <w:szCs w:val="22"/>
      <w:lang w:eastAsia="en-US"/>
    </w:rPr>
  </w:style>
  <w:style w:type="paragraph" w:customStyle="1" w:styleId="copyrighttextStyles">
    <w:name w:val="copyright text (Styles)"/>
    <w:basedOn w:val="Normal"/>
    <w:next w:val="Normal"/>
    <w:uiPriority w:val="99"/>
    <w:rsid w:val="002B1ADE"/>
    <w:pPr>
      <w:widowControl w:val="0"/>
      <w:suppressAutoHyphens/>
      <w:autoSpaceDE w:val="0"/>
      <w:autoSpaceDN w:val="0"/>
      <w:adjustRightInd w:val="0"/>
      <w:spacing w:before="120" w:after="100" w:afterAutospacing="1" w:line="220" w:lineRule="atLeast"/>
      <w:textAlignment w:val="center"/>
    </w:pPr>
    <w:rPr>
      <w:rFonts w:eastAsia="Times New Roman" w:cs="TradeGothicLTStd-Light"/>
      <w:color w:val="000000"/>
      <w:sz w:val="16"/>
      <w:szCs w:val="16"/>
    </w:rPr>
  </w:style>
  <w:style w:type="paragraph" w:customStyle="1" w:styleId="copyrightHeading2Styles">
    <w:name w:val="copyrightHeading 2 (Styles)"/>
    <w:basedOn w:val="Normal"/>
    <w:next w:val="Normal"/>
    <w:uiPriority w:val="99"/>
    <w:rsid w:val="002B1ADE"/>
    <w:pPr>
      <w:keepNext/>
      <w:widowControl w:val="0"/>
      <w:suppressAutoHyphens/>
      <w:autoSpaceDE w:val="0"/>
      <w:autoSpaceDN w:val="0"/>
      <w:adjustRightInd w:val="0"/>
      <w:spacing w:before="454" w:line="320" w:lineRule="atLeast"/>
      <w:textAlignment w:val="center"/>
    </w:pPr>
    <w:rPr>
      <w:rFonts w:ascii="Calibri Light" w:eastAsia="Times New Roman" w:hAnsi="Calibri Light" w:cs="Geogrotesque-Light"/>
      <w:caps/>
      <w:color w:val="3F3F3F"/>
      <w:sz w:val="33"/>
      <w:szCs w:val="33"/>
    </w:rPr>
  </w:style>
  <w:style w:type="character" w:customStyle="1" w:styleId="Heading4Char">
    <w:name w:val="Heading 4 Char"/>
    <w:link w:val="Heading4"/>
    <w:uiPriority w:val="9"/>
    <w:rsid w:val="002B1ADE"/>
    <w:rPr>
      <w:rFonts w:ascii="Calibri Light" w:eastAsia="MS Gothic" w:hAnsi="Calibri Light"/>
      <w:bCs/>
      <w:iCs/>
      <w:color w:val="276C6C"/>
      <w:sz w:val="24"/>
      <w:szCs w:val="22"/>
      <w:lang w:eastAsia="en-US"/>
    </w:rPr>
  </w:style>
  <w:style w:type="paragraph" w:customStyle="1" w:styleId="Boxsub-headingQUESTION">
    <w:name w:val="Box sub-heading QUESTION"/>
    <w:basedOn w:val="Boxsub-heading"/>
    <w:next w:val="BoxtextQUESTION"/>
    <w:qFormat/>
    <w:rsid w:val="001F4F16"/>
    <w:pPr>
      <w:pBdr>
        <w:top w:val="single" w:sz="8" w:space="8" w:color="276C6C"/>
        <w:left w:val="single" w:sz="8" w:space="8" w:color="276C6C"/>
        <w:bottom w:val="single" w:sz="8" w:space="8" w:color="276C6C"/>
        <w:right w:val="single" w:sz="8" w:space="0" w:color="276C6C"/>
      </w:pBdr>
      <w:shd w:val="clear" w:color="auto" w:fill="DFF3F3"/>
    </w:pPr>
    <w:rPr>
      <w:color w:val="101526"/>
    </w:rPr>
  </w:style>
  <w:style w:type="paragraph" w:customStyle="1" w:styleId="BoxtextQUESTION">
    <w:name w:val="Box text QUESTION"/>
    <w:basedOn w:val="Boxtext"/>
    <w:qFormat/>
    <w:rsid w:val="00BC25FD"/>
    <w:pPr>
      <w:pBdr>
        <w:top w:val="single" w:sz="4" w:space="8" w:color="808080"/>
        <w:left w:val="single" w:sz="4" w:space="8" w:color="808080"/>
        <w:bottom w:val="single" w:sz="4" w:space="8" w:color="808080"/>
        <w:right w:val="single" w:sz="4" w:space="0" w:color="808080"/>
      </w:pBdr>
      <w:shd w:val="clear" w:color="auto" w:fill="F3F5F4"/>
    </w:pPr>
    <w:rPr>
      <w:b/>
    </w:rPr>
  </w:style>
  <w:style w:type="paragraph" w:customStyle="1" w:styleId="BoxtextQUESTIONITALICS">
    <w:name w:val="Box text QUESTION ITALICS"/>
    <w:basedOn w:val="BoxtextQUESTION"/>
    <w:qFormat/>
    <w:rsid w:val="001F4F16"/>
    <w:rPr>
      <w:b w:val="0"/>
      <w:i/>
    </w:rPr>
  </w:style>
  <w:style w:type="character" w:customStyle="1" w:styleId="TitleheadingChar">
    <w:name w:val="Title heading Char"/>
    <w:link w:val="Titleheading"/>
    <w:uiPriority w:val="15"/>
    <w:rsid w:val="002B1ADE"/>
    <w:rPr>
      <w:rFonts w:ascii="Calibri Light" w:hAnsi="Calibri Light"/>
      <w:caps/>
      <w:color w:val="212A4C"/>
      <w:sz w:val="96"/>
      <w:szCs w:val="22"/>
      <w:lang w:eastAsia="en-US"/>
    </w:rPr>
  </w:style>
  <w:style w:type="character" w:customStyle="1" w:styleId="NoSpacingChar">
    <w:name w:val="No Spacing Char"/>
    <w:link w:val="NoSpacing"/>
    <w:uiPriority w:val="1"/>
    <w:rsid w:val="00EE5560"/>
    <w:rPr>
      <w:rFonts w:ascii="Calibri" w:hAnsi="Calibri"/>
    </w:rPr>
  </w:style>
  <w:style w:type="paragraph" w:customStyle="1" w:styleId="HeaderTitle">
    <w:name w:val="Header Title"/>
    <w:basedOn w:val="Bodytext-Indent"/>
    <w:autoRedefine/>
    <w:qFormat/>
    <w:rsid w:val="00874602"/>
    <w:pPr>
      <w:jc w:val="right"/>
    </w:pPr>
  </w:style>
  <w:style w:type="table" w:customStyle="1" w:styleId="GridTable4-Accent51">
    <w:name w:val="Grid Table 4 - Accent 51"/>
    <w:basedOn w:val="TableNormal"/>
    <w:uiPriority w:val="49"/>
    <w:rsid w:val="00BC25FD"/>
    <w:tblPr>
      <w:tblStyleRowBandSize w:val="1"/>
      <w:tblStyleColBandSize w:val="1"/>
      <w:tblBorders>
        <w:top w:val="single" w:sz="4" w:space="0" w:color="E7EC79"/>
        <w:left w:val="single" w:sz="4" w:space="0" w:color="E7EC79"/>
        <w:bottom w:val="single" w:sz="4" w:space="0" w:color="E7EC79"/>
        <w:right w:val="single" w:sz="4" w:space="0" w:color="E7EC79"/>
        <w:insideH w:val="single" w:sz="4" w:space="0" w:color="E7EC79"/>
        <w:insideV w:val="single" w:sz="4" w:space="0" w:color="E7EC79"/>
      </w:tblBorders>
    </w:tblPr>
    <w:tblStylePr w:type="firstRow">
      <w:rPr>
        <w:b/>
        <w:bCs/>
        <w:color w:val="FFFFFF"/>
      </w:rPr>
      <w:tblPr/>
      <w:tcPr>
        <w:tcBorders>
          <w:top w:val="single" w:sz="4" w:space="0" w:color="D9E021"/>
          <w:left w:val="single" w:sz="4" w:space="0" w:color="D9E021"/>
          <w:bottom w:val="single" w:sz="4" w:space="0" w:color="D9E021"/>
          <w:right w:val="single" w:sz="4" w:space="0" w:color="D9E021"/>
          <w:insideH w:val="nil"/>
          <w:insideV w:val="nil"/>
        </w:tcBorders>
        <w:shd w:val="clear" w:color="auto" w:fill="D9E021"/>
      </w:tcPr>
    </w:tblStylePr>
    <w:tblStylePr w:type="lastRow">
      <w:rPr>
        <w:b/>
        <w:bCs/>
      </w:rPr>
      <w:tblPr/>
      <w:tcPr>
        <w:tcBorders>
          <w:top w:val="double" w:sz="4" w:space="0" w:color="D9E021"/>
        </w:tcBorders>
      </w:tcPr>
    </w:tblStylePr>
    <w:tblStylePr w:type="firstCol">
      <w:rPr>
        <w:b/>
        <w:bCs/>
      </w:rPr>
    </w:tblStylePr>
    <w:tblStylePr w:type="lastCol">
      <w:rPr>
        <w:b/>
        <w:bCs/>
      </w:rPr>
    </w:tblStylePr>
    <w:tblStylePr w:type="band1Vert">
      <w:tblPr/>
      <w:tcPr>
        <w:shd w:val="clear" w:color="auto" w:fill="F7F8D2"/>
      </w:tcPr>
    </w:tblStylePr>
    <w:tblStylePr w:type="band1Horz">
      <w:tblPr/>
      <w:tcPr>
        <w:shd w:val="clear" w:color="auto" w:fill="F7F8D2"/>
      </w:tcPr>
    </w:tblStylePr>
  </w:style>
  <w:style w:type="table" w:customStyle="1" w:styleId="GridTable5Dark1">
    <w:name w:val="Grid Table 5 Dark1"/>
    <w:basedOn w:val="TableNormal"/>
    <w:uiPriority w:val="50"/>
    <w:rsid w:val="00BC25F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8D8D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F3F3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F3F3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F3F3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F3F3F"/>
      </w:tcPr>
    </w:tblStylePr>
    <w:tblStylePr w:type="band1Vert">
      <w:tblPr/>
      <w:tcPr>
        <w:shd w:val="clear" w:color="auto" w:fill="B2B2B2"/>
      </w:tcPr>
    </w:tblStylePr>
    <w:tblStylePr w:type="band1Horz">
      <w:tblPr/>
      <w:tcPr>
        <w:shd w:val="clear" w:color="auto" w:fill="B2B2B2"/>
      </w:tcPr>
    </w:tblStylePr>
  </w:style>
  <w:style w:type="table" w:customStyle="1" w:styleId="GridTable5Dark-Accent21">
    <w:name w:val="Grid Table 5 Dark - Accent 21"/>
    <w:basedOn w:val="TableNormal"/>
    <w:uiPriority w:val="50"/>
    <w:rsid w:val="00387F77"/>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5D2D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62C2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62C2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62C2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62C2A"/>
      </w:tcPr>
    </w:tblStylePr>
    <w:tblStylePr w:type="band1Vert">
      <w:tblPr/>
      <w:tcPr>
        <w:shd w:val="clear" w:color="auto" w:fill="ECA6A5"/>
      </w:tcPr>
    </w:tblStylePr>
    <w:tblStylePr w:type="band1Horz">
      <w:tblPr/>
      <w:tcPr>
        <w:shd w:val="clear" w:color="auto" w:fill="ECA6A5"/>
      </w:tcPr>
    </w:tblStylePr>
  </w:style>
  <w:style w:type="table" w:customStyle="1" w:styleId="GridTable4-Accent41">
    <w:name w:val="Grid Table 4 - Accent 41"/>
    <w:basedOn w:val="TableNormal"/>
    <w:uiPriority w:val="49"/>
    <w:rsid w:val="00387F77"/>
    <w:tblPr>
      <w:tblStyleRowBandSize w:val="1"/>
      <w:tblStyleColBandSize w:val="1"/>
      <w:tblBorders>
        <w:top w:val="single" w:sz="4" w:space="0" w:color="FABD77"/>
        <w:left w:val="single" w:sz="4" w:space="0" w:color="FABD77"/>
        <w:bottom w:val="single" w:sz="4" w:space="0" w:color="FABD77"/>
        <w:right w:val="single" w:sz="4" w:space="0" w:color="FABD77"/>
        <w:insideH w:val="single" w:sz="4" w:space="0" w:color="FABD77"/>
        <w:insideV w:val="single" w:sz="4" w:space="0" w:color="FABD77"/>
      </w:tblBorders>
    </w:tblPr>
    <w:tblStylePr w:type="firstRow">
      <w:rPr>
        <w:b/>
        <w:bCs/>
        <w:color w:val="FFFFFF"/>
      </w:rPr>
      <w:tblPr/>
      <w:tcPr>
        <w:tcBorders>
          <w:top w:val="single" w:sz="4" w:space="0" w:color="F7931E"/>
          <w:left w:val="single" w:sz="4" w:space="0" w:color="F7931E"/>
          <w:bottom w:val="single" w:sz="4" w:space="0" w:color="F7931E"/>
          <w:right w:val="single" w:sz="4" w:space="0" w:color="F7931E"/>
          <w:insideH w:val="nil"/>
          <w:insideV w:val="nil"/>
        </w:tcBorders>
        <w:shd w:val="clear" w:color="auto" w:fill="F7931E"/>
      </w:tcPr>
    </w:tblStylePr>
    <w:tblStylePr w:type="lastRow">
      <w:rPr>
        <w:b/>
        <w:bCs/>
      </w:rPr>
      <w:tblPr/>
      <w:tcPr>
        <w:tcBorders>
          <w:top w:val="double" w:sz="4" w:space="0" w:color="F7931E"/>
        </w:tcBorders>
      </w:tcPr>
    </w:tblStylePr>
    <w:tblStylePr w:type="firstCol">
      <w:rPr>
        <w:b/>
        <w:bCs/>
      </w:rPr>
    </w:tblStylePr>
    <w:tblStylePr w:type="lastCol">
      <w:rPr>
        <w:b/>
        <w:bCs/>
      </w:rPr>
    </w:tblStylePr>
    <w:tblStylePr w:type="band1Vert">
      <w:tblPr/>
      <w:tcPr>
        <w:shd w:val="clear" w:color="auto" w:fill="FDE9D1"/>
      </w:tcPr>
    </w:tblStylePr>
    <w:tblStylePr w:type="band1Horz">
      <w:tblPr/>
      <w:tcPr>
        <w:shd w:val="clear" w:color="auto" w:fill="FDE9D1"/>
      </w:tcPr>
    </w:tblStylePr>
  </w:style>
  <w:style w:type="table" w:customStyle="1" w:styleId="GridTable41">
    <w:name w:val="Grid Table 41"/>
    <w:basedOn w:val="TableNormal"/>
    <w:uiPriority w:val="49"/>
    <w:rsid w:val="00387F77"/>
    <w:tblPr>
      <w:tblStyleRowBandSize w:val="1"/>
      <w:tblStyleColBandSize w:val="1"/>
      <w:tblBorders>
        <w:top w:val="single" w:sz="4" w:space="0" w:color="8B8B8B"/>
        <w:left w:val="single" w:sz="4" w:space="0" w:color="8B8B8B"/>
        <w:bottom w:val="single" w:sz="4" w:space="0" w:color="8B8B8B"/>
        <w:right w:val="single" w:sz="4" w:space="0" w:color="8B8B8B"/>
        <w:insideH w:val="single" w:sz="4" w:space="0" w:color="8B8B8B"/>
        <w:insideV w:val="single" w:sz="4" w:space="0" w:color="8B8B8B"/>
      </w:tblBorders>
    </w:tblPr>
    <w:tblStylePr w:type="firstRow">
      <w:rPr>
        <w:b/>
        <w:bCs/>
        <w:color w:val="FFFFFF"/>
      </w:rPr>
      <w:tblPr/>
      <w:tcPr>
        <w:tcBorders>
          <w:top w:val="single" w:sz="4" w:space="0" w:color="3F3F3F"/>
          <w:left w:val="single" w:sz="4" w:space="0" w:color="3F3F3F"/>
          <w:bottom w:val="single" w:sz="4" w:space="0" w:color="3F3F3F"/>
          <w:right w:val="single" w:sz="4" w:space="0" w:color="3F3F3F"/>
          <w:insideH w:val="nil"/>
          <w:insideV w:val="nil"/>
        </w:tcBorders>
        <w:shd w:val="clear" w:color="auto" w:fill="3F3F3F"/>
      </w:tcPr>
    </w:tblStylePr>
    <w:tblStylePr w:type="lastRow">
      <w:rPr>
        <w:b/>
        <w:bCs/>
      </w:rPr>
      <w:tblPr/>
      <w:tcPr>
        <w:tcBorders>
          <w:top w:val="double" w:sz="4" w:space="0" w:color="3F3F3F"/>
        </w:tcBorders>
      </w:tcPr>
    </w:tblStylePr>
    <w:tblStylePr w:type="firstCol">
      <w:rPr>
        <w:b/>
        <w:bCs/>
      </w:rPr>
    </w:tblStylePr>
    <w:tblStylePr w:type="lastCol">
      <w:rPr>
        <w:b/>
        <w:bCs/>
      </w:rPr>
    </w:tblStylePr>
    <w:tblStylePr w:type="band1Vert">
      <w:tblPr/>
      <w:tcPr>
        <w:shd w:val="clear" w:color="auto" w:fill="D8D8D8"/>
      </w:tcPr>
    </w:tblStylePr>
    <w:tblStylePr w:type="band1Horz">
      <w:tblPr/>
      <w:tcPr>
        <w:shd w:val="clear" w:color="auto" w:fill="D8D8D8"/>
      </w:tcPr>
    </w:tblStylePr>
  </w:style>
  <w:style w:type="paragraph" w:customStyle="1" w:styleId="H1">
    <w:name w:val="H1"/>
    <w:basedOn w:val="Heading1"/>
    <w:next w:val="BodyText"/>
    <w:qFormat/>
    <w:rsid w:val="00522BA0"/>
    <w:rPr>
      <w:caps w:val="0"/>
    </w:rPr>
  </w:style>
  <w:style w:type="paragraph" w:customStyle="1" w:styleId="H2">
    <w:name w:val="H2"/>
    <w:basedOn w:val="Heading2"/>
    <w:link w:val="H2Char"/>
    <w:qFormat/>
    <w:rsid w:val="00CA41C7"/>
    <w:pPr>
      <w:numPr>
        <w:ilvl w:val="0"/>
        <w:numId w:val="0"/>
      </w:numPr>
    </w:pPr>
  </w:style>
  <w:style w:type="character" w:customStyle="1" w:styleId="H2Char">
    <w:name w:val="H2 Char"/>
    <w:link w:val="H2"/>
    <w:rsid w:val="00CA41C7"/>
    <w:rPr>
      <w:rFonts w:ascii="Arial" w:eastAsia="MS Gothic" w:hAnsi="Arial" w:cs="Times New Roman"/>
      <w:b/>
      <w:bCs/>
      <w:color w:val="3AA2A2"/>
      <w:sz w:val="28"/>
      <w:szCs w:val="26"/>
    </w:rPr>
  </w:style>
  <w:style w:type="paragraph" w:customStyle="1" w:styleId="H3">
    <w:name w:val="H3"/>
    <w:basedOn w:val="Heading3"/>
    <w:qFormat/>
    <w:rsid w:val="00CA41C7"/>
    <w:pPr>
      <w:numPr>
        <w:ilvl w:val="0"/>
        <w:numId w:val="0"/>
      </w:numPr>
    </w:pPr>
  </w:style>
  <w:style w:type="table" w:styleId="ListTable4-Accent6">
    <w:name w:val="List Table 4 Accent 6"/>
    <w:basedOn w:val="TableNormal"/>
    <w:uiPriority w:val="49"/>
    <w:rsid w:val="001F4F16"/>
    <w:tblPr>
      <w:tblStyleRowBandSize w:val="1"/>
      <w:tblStyleColBandSize w:val="1"/>
      <w:tblBorders>
        <w:top w:val="single" w:sz="4" w:space="0" w:color="A0DCDC"/>
        <w:left w:val="single" w:sz="4" w:space="0" w:color="A0DCDC"/>
        <w:bottom w:val="single" w:sz="4" w:space="0" w:color="A0DCDC"/>
        <w:right w:val="single" w:sz="4" w:space="0" w:color="A0DCDC"/>
        <w:insideH w:val="single" w:sz="4" w:space="0" w:color="A0DCDC"/>
      </w:tblBorders>
    </w:tblPr>
    <w:tblStylePr w:type="firstRow">
      <w:rPr>
        <w:b/>
        <w:bCs/>
        <w:color w:val="FFFFFF"/>
      </w:rPr>
      <w:tblPr/>
      <w:tcPr>
        <w:tcBorders>
          <w:top w:val="single" w:sz="4" w:space="0" w:color="61C6C6"/>
          <w:left w:val="single" w:sz="4" w:space="0" w:color="61C6C6"/>
          <w:bottom w:val="single" w:sz="4" w:space="0" w:color="61C6C6"/>
          <w:right w:val="single" w:sz="4" w:space="0" w:color="61C6C6"/>
          <w:insideH w:val="nil"/>
        </w:tcBorders>
        <w:shd w:val="clear" w:color="auto" w:fill="61C6C6"/>
      </w:tcPr>
    </w:tblStylePr>
    <w:tblStylePr w:type="lastRow">
      <w:rPr>
        <w:b/>
        <w:bCs/>
      </w:rPr>
      <w:tblPr/>
      <w:tcPr>
        <w:tcBorders>
          <w:top w:val="double" w:sz="4" w:space="0" w:color="A0DCDC"/>
        </w:tcBorders>
      </w:tcPr>
    </w:tblStylePr>
    <w:tblStylePr w:type="firstCol">
      <w:rPr>
        <w:b/>
        <w:bCs/>
      </w:rPr>
    </w:tblStylePr>
    <w:tblStylePr w:type="lastCol">
      <w:rPr>
        <w:b/>
        <w:bCs/>
      </w:rPr>
    </w:tblStylePr>
    <w:tblStylePr w:type="band1Vert">
      <w:tblPr/>
      <w:tcPr>
        <w:shd w:val="clear" w:color="auto" w:fill="DFF3F3"/>
      </w:tcPr>
    </w:tblStylePr>
    <w:tblStylePr w:type="band1Horz">
      <w:tblPr/>
      <w:tcPr>
        <w:shd w:val="clear" w:color="auto" w:fill="DFF3F3"/>
      </w:tcPr>
    </w:tblStylePr>
  </w:style>
  <w:style w:type="character" w:customStyle="1" w:styleId="larger">
    <w:name w:val="larger"/>
    <w:basedOn w:val="DefaultParagraphFont"/>
    <w:rsid w:val="00646DB2"/>
  </w:style>
  <w:style w:type="paragraph" w:customStyle="1" w:styleId="TableParagraph">
    <w:name w:val="Table Paragraph"/>
    <w:basedOn w:val="Normal"/>
    <w:uiPriority w:val="1"/>
    <w:qFormat/>
    <w:rsid w:val="004818FE"/>
    <w:pPr>
      <w:autoSpaceDE w:val="0"/>
      <w:autoSpaceDN w:val="0"/>
      <w:adjustRightInd w:val="0"/>
      <w:spacing w:before="90"/>
      <w:ind w:left="354" w:hanging="180"/>
    </w:pPr>
    <w:rPr>
      <w:rFonts w:ascii="Lucida Sans" w:hAnsi="Lucida Sans" w:cs="Lucida Sans"/>
      <w:sz w:val="24"/>
      <w:szCs w:val="24"/>
      <w:lang w:eastAsia="en-AU"/>
    </w:rPr>
  </w:style>
  <w:style w:type="paragraph" w:customStyle="1" w:styleId="Pa2">
    <w:name w:val="Pa2"/>
    <w:basedOn w:val="Normal"/>
    <w:next w:val="Normal"/>
    <w:uiPriority w:val="99"/>
    <w:rsid w:val="001812A3"/>
    <w:pPr>
      <w:autoSpaceDE w:val="0"/>
      <w:autoSpaceDN w:val="0"/>
      <w:adjustRightInd w:val="0"/>
      <w:spacing w:before="0" w:line="241" w:lineRule="atLeast"/>
    </w:pPr>
    <w:rPr>
      <w:rFonts w:ascii="Dax" w:hAnsi="Dax"/>
      <w:sz w:val="24"/>
      <w:szCs w:val="24"/>
      <w:lang w:eastAsia="en-AU"/>
    </w:rPr>
  </w:style>
  <w:style w:type="character" w:customStyle="1" w:styleId="A5">
    <w:name w:val="A5"/>
    <w:uiPriority w:val="99"/>
    <w:rsid w:val="001812A3"/>
    <w:rPr>
      <w:rFonts w:cs="Dax"/>
      <w:color w:val="211D1E"/>
      <w:sz w:val="20"/>
      <w:szCs w:val="20"/>
    </w:rPr>
  </w:style>
  <w:style w:type="character" w:customStyle="1" w:styleId="Heading1Char">
    <w:name w:val="Heading 1 Char"/>
    <w:aliases w:val="Numbered H1 Char"/>
    <w:basedOn w:val="DefaultParagraphFont"/>
    <w:link w:val="Heading1"/>
    <w:uiPriority w:val="9"/>
    <w:rsid w:val="00C561D8"/>
    <w:rPr>
      <w:rFonts w:ascii="Calibri Light" w:eastAsia="MS Gothic" w:hAnsi="Calibri Light"/>
      <w:bCs/>
      <w:caps/>
      <w:color w:val="276C6C"/>
      <w:sz w:val="40"/>
      <w:szCs w:val="28"/>
      <w:lang w:eastAsia="en-US"/>
    </w:rPr>
  </w:style>
  <w:style w:type="paragraph" w:customStyle="1" w:styleId="Default">
    <w:name w:val="Default"/>
    <w:rsid w:val="008C19EF"/>
    <w:pPr>
      <w:autoSpaceDE w:val="0"/>
      <w:autoSpaceDN w:val="0"/>
      <w:adjustRightInd w:val="0"/>
    </w:pPr>
    <w:rPr>
      <w:rFonts w:ascii="Calibri" w:eastAsiaTheme="minorHAnsi" w:hAnsi="Calibri"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05590">
      <w:bodyDiv w:val="1"/>
      <w:marLeft w:val="0"/>
      <w:marRight w:val="0"/>
      <w:marTop w:val="0"/>
      <w:marBottom w:val="0"/>
      <w:divBdr>
        <w:top w:val="none" w:sz="0" w:space="0" w:color="auto"/>
        <w:left w:val="none" w:sz="0" w:space="0" w:color="auto"/>
        <w:bottom w:val="none" w:sz="0" w:space="0" w:color="auto"/>
        <w:right w:val="none" w:sz="0" w:space="0" w:color="auto"/>
      </w:divBdr>
    </w:div>
    <w:div w:id="33887940">
      <w:bodyDiv w:val="1"/>
      <w:marLeft w:val="0"/>
      <w:marRight w:val="0"/>
      <w:marTop w:val="0"/>
      <w:marBottom w:val="0"/>
      <w:divBdr>
        <w:top w:val="none" w:sz="0" w:space="0" w:color="auto"/>
        <w:left w:val="none" w:sz="0" w:space="0" w:color="auto"/>
        <w:bottom w:val="none" w:sz="0" w:space="0" w:color="auto"/>
        <w:right w:val="none" w:sz="0" w:space="0" w:color="auto"/>
      </w:divBdr>
    </w:div>
    <w:div w:id="89594517">
      <w:bodyDiv w:val="1"/>
      <w:marLeft w:val="0"/>
      <w:marRight w:val="0"/>
      <w:marTop w:val="0"/>
      <w:marBottom w:val="0"/>
      <w:divBdr>
        <w:top w:val="none" w:sz="0" w:space="0" w:color="auto"/>
        <w:left w:val="none" w:sz="0" w:space="0" w:color="auto"/>
        <w:bottom w:val="none" w:sz="0" w:space="0" w:color="auto"/>
        <w:right w:val="none" w:sz="0" w:space="0" w:color="auto"/>
      </w:divBdr>
      <w:divsChild>
        <w:div w:id="1187869197">
          <w:marLeft w:val="0"/>
          <w:marRight w:val="0"/>
          <w:marTop w:val="0"/>
          <w:marBottom w:val="0"/>
          <w:divBdr>
            <w:top w:val="none" w:sz="0" w:space="0" w:color="auto"/>
            <w:left w:val="none" w:sz="0" w:space="0" w:color="auto"/>
            <w:bottom w:val="none" w:sz="0" w:space="0" w:color="auto"/>
            <w:right w:val="none" w:sz="0" w:space="0" w:color="auto"/>
          </w:divBdr>
          <w:divsChild>
            <w:div w:id="302151897">
              <w:marLeft w:val="0"/>
              <w:marRight w:val="0"/>
              <w:marTop w:val="0"/>
              <w:marBottom w:val="0"/>
              <w:divBdr>
                <w:top w:val="none" w:sz="0" w:space="0" w:color="auto"/>
                <w:left w:val="none" w:sz="0" w:space="0" w:color="auto"/>
                <w:bottom w:val="none" w:sz="0" w:space="0" w:color="auto"/>
                <w:right w:val="none" w:sz="0" w:space="0" w:color="auto"/>
              </w:divBdr>
              <w:divsChild>
                <w:div w:id="1881475353">
                  <w:marLeft w:val="0"/>
                  <w:marRight w:val="0"/>
                  <w:marTop w:val="0"/>
                  <w:marBottom w:val="0"/>
                  <w:divBdr>
                    <w:top w:val="none" w:sz="0" w:space="0" w:color="auto"/>
                    <w:left w:val="none" w:sz="0" w:space="0" w:color="auto"/>
                    <w:bottom w:val="none" w:sz="0" w:space="0" w:color="auto"/>
                    <w:right w:val="none" w:sz="0" w:space="0" w:color="auto"/>
                  </w:divBdr>
                  <w:divsChild>
                    <w:div w:id="113498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71614">
      <w:bodyDiv w:val="1"/>
      <w:marLeft w:val="0"/>
      <w:marRight w:val="0"/>
      <w:marTop w:val="0"/>
      <w:marBottom w:val="0"/>
      <w:divBdr>
        <w:top w:val="none" w:sz="0" w:space="0" w:color="auto"/>
        <w:left w:val="none" w:sz="0" w:space="0" w:color="auto"/>
        <w:bottom w:val="none" w:sz="0" w:space="0" w:color="auto"/>
        <w:right w:val="none" w:sz="0" w:space="0" w:color="auto"/>
      </w:divBdr>
    </w:div>
    <w:div w:id="248009810">
      <w:bodyDiv w:val="1"/>
      <w:marLeft w:val="0"/>
      <w:marRight w:val="0"/>
      <w:marTop w:val="0"/>
      <w:marBottom w:val="0"/>
      <w:divBdr>
        <w:top w:val="none" w:sz="0" w:space="0" w:color="auto"/>
        <w:left w:val="none" w:sz="0" w:space="0" w:color="auto"/>
        <w:bottom w:val="none" w:sz="0" w:space="0" w:color="auto"/>
        <w:right w:val="none" w:sz="0" w:space="0" w:color="auto"/>
      </w:divBdr>
      <w:divsChild>
        <w:div w:id="1622567920">
          <w:marLeft w:val="0"/>
          <w:marRight w:val="0"/>
          <w:marTop w:val="0"/>
          <w:marBottom w:val="0"/>
          <w:divBdr>
            <w:top w:val="none" w:sz="0" w:space="0" w:color="auto"/>
            <w:left w:val="none" w:sz="0" w:space="0" w:color="auto"/>
            <w:bottom w:val="none" w:sz="0" w:space="0" w:color="auto"/>
            <w:right w:val="none" w:sz="0" w:space="0" w:color="auto"/>
          </w:divBdr>
          <w:divsChild>
            <w:div w:id="44718219">
              <w:marLeft w:val="0"/>
              <w:marRight w:val="0"/>
              <w:marTop w:val="0"/>
              <w:marBottom w:val="0"/>
              <w:divBdr>
                <w:top w:val="none" w:sz="0" w:space="0" w:color="auto"/>
                <w:left w:val="none" w:sz="0" w:space="0" w:color="auto"/>
                <w:bottom w:val="none" w:sz="0" w:space="0" w:color="auto"/>
                <w:right w:val="none" w:sz="0" w:space="0" w:color="auto"/>
              </w:divBdr>
              <w:divsChild>
                <w:div w:id="345522771">
                  <w:marLeft w:val="0"/>
                  <w:marRight w:val="0"/>
                  <w:marTop w:val="0"/>
                  <w:marBottom w:val="0"/>
                  <w:divBdr>
                    <w:top w:val="none" w:sz="0" w:space="0" w:color="auto"/>
                    <w:left w:val="none" w:sz="0" w:space="0" w:color="auto"/>
                    <w:bottom w:val="none" w:sz="0" w:space="0" w:color="auto"/>
                    <w:right w:val="none" w:sz="0" w:space="0" w:color="auto"/>
                  </w:divBdr>
                  <w:divsChild>
                    <w:div w:id="1816606651">
                      <w:marLeft w:val="0"/>
                      <w:marRight w:val="0"/>
                      <w:marTop w:val="0"/>
                      <w:marBottom w:val="0"/>
                      <w:divBdr>
                        <w:top w:val="none" w:sz="0" w:space="0" w:color="auto"/>
                        <w:left w:val="none" w:sz="0" w:space="0" w:color="auto"/>
                        <w:bottom w:val="none" w:sz="0" w:space="0" w:color="auto"/>
                        <w:right w:val="none" w:sz="0" w:space="0" w:color="auto"/>
                      </w:divBdr>
                      <w:divsChild>
                        <w:div w:id="1052190632">
                          <w:marLeft w:val="0"/>
                          <w:marRight w:val="0"/>
                          <w:marTop w:val="0"/>
                          <w:marBottom w:val="0"/>
                          <w:divBdr>
                            <w:top w:val="none" w:sz="0" w:space="0" w:color="auto"/>
                            <w:left w:val="none" w:sz="0" w:space="0" w:color="auto"/>
                            <w:bottom w:val="none" w:sz="0" w:space="0" w:color="auto"/>
                            <w:right w:val="none" w:sz="0" w:space="0" w:color="auto"/>
                          </w:divBdr>
                          <w:divsChild>
                            <w:div w:id="4374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6380444">
      <w:bodyDiv w:val="1"/>
      <w:marLeft w:val="0"/>
      <w:marRight w:val="0"/>
      <w:marTop w:val="0"/>
      <w:marBottom w:val="0"/>
      <w:divBdr>
        <w:top w:val="none" w:sz="0" w:space="0" w:color="auto"/>
        <w:left w:val="none" w:sz="0" w:space="0" w:color="auto"/>
        <w:bottom w:val="none" w:sz="0" w:space="0" w:color="auto"/>
        <w:right w:val="none" w:sz="0" w:space="0" w:color="auto"/>
      </w:divBdr>
      <w:divsChild>
        <w:div w:id="1448770476">
          <w:marLeft w:val="0"/>
          <w:marRight w:val="0"/>
          <w:marTop w:val="0"/>
          <w:marBottom w:val="0"/>
          <w:divBdr>
            <w:top w:val="none" w:sz="0" w:space="0" w:color="auto"/>
            <w:left w:val="none" w:sz="0" w:space="0" w:color="auto"/>
            <w:bottom w:val="none" w:sz="0" w:space="0" w:color="auto"/>
            <w:right w:val="none" w:sz="0" w:space="0" w:color="auto"/>
          </w:divBdr>
          <w:divsChild>
            <w:div w:id="25640826">
              <w:marLeft w:val="0"/>
              <w:marRight w:val="0"/>
              <w:marTop w:val="0"/>
              <w:marBottom w:val="0"/>
              <w:divBdr>
                <w:top w:val="none" w:sz="0" w:space="0" w:color="auto"/>
                <w:left w:val="none" w:sz="0" w:space="0" w:color="auto"/>
                <w:bottom w:val="none" w:sz="0" w:space="0" w:color="auto"/>
                <w:right w:val="none" w:sz="0" w:space="0" w:color="auto"/>
              </w:divBdr>
              <w:divsChild>
                <w:div w:id="1442602391">
                  <w:marLeft w:val="0"/>
                  <w:marRight w:val="0"/>
                  <w:marTop w:val="0"/>
                  <w:marBottom w:val="0"/>
                  <w:divBdr>
                    <w:top w:val="none" w:sz="0" w:space="0" w:color="auto"/>
                    <w:left w:val="none" w:sz="0" w:space="0" w:color="auto"/>
                    <w:bottom w:val="none" w:sz="0" w:space="0" w:color="auto"/>
                    <w:right w:val="none" w:sz="0" w:space="0" w:color="auto"/>
                  </w:divBdr>
                  <w:divsChild>
                    <w:div w:id="202249586">
                      <w:marLeft w:val="0"/>
                      <w:marRight w:val="0"/>
                      <w:marTop w:val="0"/>
                      <w:marBottom w:val="0"/>
                      <w:divBdr>
                        <w:top w:val="none" w:sz="0" w:space="0" w:color="auto"/>
                        <w:left w:val="none" w:sz="0" w:space="0" w:color="auto"/>
                        <w:bottom w:val="none" w:sz="0" w:space="0" w:color="auto"/>
                        <w:right w:val="none" w:sz="0" w:space="0" w:color="auto"/>
                      </w:divBdr>
                      <w:divsChild>
                        <w:div w:id="1417821272">
                          <w:marLeft w:val="0"/>
                          <w:marRight w:val="0"/>
                          <w:marTop w:val="0"/>
                          <w:marBottom w:val="0"/>
                          <w:divBdr>
                            <w:top w:val="none" w:sz="0" w:space="0" w:color="auto"/>
                            <w:left w:val="none" w:sz="0" w:space="0" w:color="auto"/>
                            <w:bottom w:val="none" w:sz="0" w:space="0" w:color="auto"/>
                            <w:right w:val="none" w:sz="0" w:space="0" w:color="auto"/>
                          </w:divBdr>
                          <w:divsChild>
                            <w:div w:id="11154598">
                              <w:marLeft w:val="0"/>
                              <w:marRight w:val="0"/>
                              <w:marTop w:val="0"/>
                              <w:marBottom w:val="0"/>
                              <w:divBdr>
                                <w:top w:val="none" w:sz="0" w:space="0" w:color="auto"/>
                                <w:left w:val="none" w:sz="0" w:space="0" w:color="auto"/>
                                <w:bottom w:val="none" w:sz="0" w:space="0" w:color="auto"/>
                                <w:right w:val="none" w:sz="0" w:space="0" w:color="auto"/>
                              </w:divBdr>
                              <w:divsChild>
                                <w:div w:id="6056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8444262">
      <w:bodyDiv w:val="1"/>
      <w:marLeft w:val="0"/>
      <w:marRight w:val="0"/>
      <w:marTop w:val="0"/>
      <w:marBottom w:val="0"/>
      <w:divBdr>
        <w:top w:val="none" w:sz="0" w:space="0" w:color="auto"/>
        <w:left w:val="none" w:sz="0" w:space="0" w:color="auto"/>
        <w:bottom w:val="none" w:sz="0" w:space="0" w:color="auto"/>
        <w:right w:val="none" w:sz="0" w:space="0" w:color="auto"/>
      </w:divBdr>
      <w:divsChild>
        <w:div w:id="754010101">
          <w:marLeft w:val="0"/>
          <w:marRight w:val="0"/>
          <w:marTop w:val="0"/>
          <w:marBottom w:val="0"/>
          <w:divBdr>
            <w:top w:val="none" w:sz="0" w:space="0" w:color="auto"/>
            <w:left w:val="none" w:sz="0" w:space="0" w:color="auto"/>
            <w:bottom w:val="none" w:sz="0" w:space="0" w:color="auto"/>
            <w:right w:val="none" w:sz="0" w:space="0" w:color="auto"/>
          </w:divBdr>
        </w:div>
      </w:divsChild>
    </w:div>
    <w:div w:id="309559165">
      <w:bodyDiv w:val="1"/>
      <w:marLeft w:val="0"/>
      <w:marRight w:val="0"/>
      <w:marTop w:val="0"/>
      <w:marBottom w:val="0"/>
      <w:divBdr>
        <w:top w:val="none" w:sz="0" w:space="0" w:color="auto"/>
        <w:left w:val="none" w:sz="0" w:space="0" w:color="auto"/>
        <w:bottom w:val="none" w:sz="0" w:space="0" w:color="auto"/>
        <w:right w:val="none" w:sz="0" w:space="0" w:color="auto"/>
      </w:divBdr>
      <w:divsChild>
        <w:div w:id="1336225022">
          <w:marLeft w:val="0"/>
          <w:marRight w:val="0"/>
          <w:marTop w:val="0"/>
          <w:marBottom w:val="0"/>
          <w:divBdr>
            <w:top w:val="none" w:sz="0" w:space="0" w:color="auto"/>
            <w:left w:val="none" w:sz="0" w:space="0" w:color="auto"/>
            <w:bottom w:val="none" w:sz="0" w:space="0" w:color="auto"/>
            <w:right w:val="none" w:sz="0" w:space="0" w:color="auto"/>
          </w:divBdr>
          <w:divsChild>
            <w:div w:id="1008555873">
              <w:marLeft w:val="0"/>
              <w:marRight w:val="0"/>
              <w:marTop w:val="0"/>
              <w:marBottom w:val="0"/>
              <w:divBdr>
                <w:top w:val="none" w:sz="0" w:space="0" w:color="auto"/>
                <w:left w:val="none" w:sz="0" w:space="0" w:color="auto"/>
                <w:bottom w:val="none" w:sz="0" w:space="0" w:color="auto"/>
                <w:right w:val="none" w:sz="0" w:space="0" w:color="auto"/>
              </w:divBdr>
              <w:divsChild>
                <w:div w:id="474178281">
                  <w:marLeft w:val="0"/>
                  <w:marRight w:val="0"/>
                  <w:marTop w:val="0"/>
                  <w:marBottom w:val="0"/>
                  <w:divBdr>
                    <w:top w:val="none" w:sz="0" w:space="0" w:color="auto"/>
                    <w:left w:val="none" w:sz="0" w:space="0" w:color="auto"/>
                    <w:bottom w:val="none" w:sz="0" w:space="0" w:color="auto"/>
                    <w:right w:val="none" w:sz="0" w:space="0" w:color="auto"/>
                  </w:divBdr>
                  <w:divsChild>
                    <w:div w:id="1725837289">
                      <w:marLeft w:val="0"/>
                      <w:marRight w:val="0"/>
                      <w:marTop w:val="0"/>
                      <w:marBottom w:val="0"/>
                      <w:divBdr>
                        <w:top w:val="none" w:sz="0" w:space="0" w:color="auto"/>
                        <w:left w:val="none" w:sz="0" w:space="0" w:color="auto"/>
                        <w:bottom w:val="none" w:sz="0" w:space="0" w:color="auto"/>
                        <w:right w:val="none" w:sz="0" w:space="0" w:color="auto"/>
                      </w:divBdr>
                      <w:divsChild>
                        <w:div w:id="1165823743">
                          <w:marLeft w:val="0"/>
                          <w:marRight w:val="0"/>
                          <w:marTop w:val="0"/>
                          <w:marBottom w:val="0"/>
                          <w:divBdr>
                            <w:top w:val="none" w:sz="0" w:space="0" w:color="auto"/>
                            <w:left w:val="none" w:sz="0" w:space="0" w:color="auto"/>
                            <w:bottom w:val="none" w:sz="0" w:space="0" w:color="auto"/>
                            <w:right w:val="none" w:sz="0" w:space="0" w:color="auto"/>
                          </w:divBdr>
                          <w:divsChild>
                            <w:div w:id="1411387869">
                              <w:marLeft w:val="0"/>
                              <w:marRight w:val="0"/>
                              <w:marTop w:val="0"/>
                              <w:marBottom w:val="0"/>
                              <w:divBdr>
                                <w:top w:val="none" w:sz="0" w:space="0" w:color="auto"/>
                                <w:left w:val="none" w:sz="0" w:space="0" w:color="auto"/>
                                <w:bottom w:val="none" w:sz="0" w:space="0" w:color="auto"/>
                                <w:right w:val="none" w:sz="0" w:space="0" w:color="auto"/>
                              </w:divBdr>
                              <w:divsChild>
                                <w:div w:id="2629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492928">
      <w:bodyDiv w:val="1"/>
      <w:marLeft w:val="0"/>
      <w:marRight w:val="0"/>
      <w:marTop w:val="0"/>
      <w:marBottom w:val="0"/>
      <w:divBdr>
        <w:top w:val="none" w:sz="0" w:space="0" w:color="auto"/>
        <w:left w:val="none" w:sz="0" w:space="0" w:color="auto"/>
        <w:bottom w:val="none" w:sz="0" w:space="0" w:color="auto"/>
        <w:right w:val="none" w:sz="0" w:space="0" w:color="auto"/>
      </w:divBdr>
    </w:div>
    <w:div w:id="319889920">
      <w:bodyDiv w:val="1"/>
      <w:marLeft w:val="0"/>
      <w:marRight w:val="0"/>
      <w:marTop w:val="0"/>
      <w:marBottom w:val="0"/>
      <w:divBdr>
        <w:top w:val="none" w:sz="0" w:space="0" w:color="auto"/>
        <w:left w:val="none" w:sz="0" w:space="0" w:color="auto"/>
        <w:bottom w:val="none" w:sz="0" w:space="0" w:color="auto"/>
        <w:right w:val="none" w:sz="0" w:space="0" w:color="auto"/>
      </w:divBdr>
    </w:div>
    <w:div w:id="350111207">
      <w:bodyDiv w:val="1"/>
      <w:marLeft w:val="0"/>
      <w:marRight w:val="0"/>
      <w:marTop w:val="0"/>
      <w:marBottom w:val="0"/>
      <w:divBdr>
        <w:top w:val="none" w:sz="0" w:space="0" w:color="auto"/>
        <w:left w:val="none" w:sz="0" w:space="0" w:color="auto"/>
        <w:bottom w:val="none" w:sz="0" w:space="0" w:color="auto"/>
        <w:right w:val="none" w:sz="0" w:space="0" w:color="auto"/>
      </w:divBdr>
    </w:div>
    <w:div w:id="452601384">
      <w:bodyDiv w:val="1"/>
      <w:marLeft w:val="0"/>
      <w:marRight w:val="0"/>
      <w:marTop w:val="0"/>
      <w:marBottom w:val="0"/>
      <w:divBdr>
        <w:top w:val="none" w:sz="0" w:space="0" w:color="auto"/>
        <w:left w:val="none" w:sz="0" w:space="0" w:color="auto"/>
        <w:bottom w:val="none" w:sz="0" w:space="0" w:color="auto"/>
        <w:right w:val="none" w:sz="0" w:space="0" w:color="auto"/>
      </w:divBdr>
    </w:div>
    <w:div w:id="456989528">
      <w:bodyDiv w:val="1"/>
      <w:marLeft w:val="0"/>
      <w:marRight w:val="0"/>
      <w:marTop w:val="0"/>
      <w:marBottom w:val="0"/>
      <w:divBdr>
        <w:top w:val="none" w:sz="0" w:space="0" w:color="auto"/>
        <w:left w:val="none" w:sz="0" w:space="0" w:color="auto"/>
        <w:bottom w:val="none" w:sz="0" w:space="0" w:color="auto"/>
        <w:right w:val="none" w:sz="0" w:space="0" w:color="auto"/>
      </w:divBdr>
    </w:div>
    <w:div w:id="473182892">
      <w:bodyDiv w:val="1"/>
      <w:marLeft w:val="0"/>
      <w:marRight w:val="0"/>
      <w:marTop w:val="0"/>
      <w:marBottom w:val="0"/>
      <w:divBdr>
        <w:top w:val="none" w:sz="0" w:space="0" w:color="auto"/>
        <w:left w:val="none" w:sz="0" w:space="0" w:color="auto"/>
        <w:bottom w:val="none" w:sz="0" w:space="0" w:color="auto"/>
        <w:right w:val="none" w:sz="0" w:space="0" w:color="auto"/>
      </w:divBdr>
    </w:div>
    <w:div w:id="494495504">
      <w:bodyDiv w:val="1"/>
      <w:marLeft w:val="0"/>
      <w:marRight w:val="0"/>
      <w:marTop w:val="0"/>
      <w:marBottom w:val="0"/>
      <w:divBdr>
        <w:top w:val="none" w:sz="0" w:space="0" w:color="auto"/>
        <w:left w:val="none" w:sz="0" w:space="0" w:color="auto"/>
        <w:bottom w:val="none" w:sz="0" w:space="0" w:color="auto"/>
        <w:right w:val="none" w:sz="0" w:space="0" w:color="auto"/>
      </w:divBdr>
    </w:div>
    <w:div w:id="548110304">
      <w:bodyDiv w:val="1"/>
      <w:marLeft w:val="0"/>
      <w:marRight w:val="0"/>
      <w:marTop w:val="0"/>
      <w:marBottom w:val="0"/>
      <w:divBdr>
        <w:top w:val="none" w:sz="0" w:space="0" w:color="auto"/>
        <w:left w:val="none" w:sz="0" w:space="0" w:color="auto"/>
        <w:bottom w:val="none" w:sz="0" w:space="0" w:color="auto"/>
        <w:right w:val="none" w:sz="0" w:space="0" w:color="auto"/>
      </w:divBdr>
      <w:divsChild>
        <w:div w:id="14311038">
          <w:marLeft w:val="0"/>
          <w:marRight w:val="0"/>
          <w:marTop w:val="0"/>
          <w:marBottom w:val="0"/>
          <w:divBdr>
            <w:top w:val="none" w:sz="0" w:space="0" w:color="auto"/>
            <w:left w:val="none" w:sz="0" w:space="0" w:color="auto"/>
            <w:bottom w:val="none" w:sz="0" w:space="0" w:color="auto"/>
            <w:right w:val="none" w:sz="0" w:space="0" w:color="auto"/>
          </w:divBdr>
          <w:divsChild>
            <w:div w:id="1451436225">
              <w:marLeft w:val="0"/>
              <w:marRight w:val="0"/>
              <w:marTop w:val="0"/>
              <w:marBottom w:val="0"/>
              <w:divBdr>
                <w:top w:val="none" w:sz="0" w:space="0" w:color="auto"/>
                <w:left w:val="none" w:sz="0" w:space="0" w:color="auto"/>
                <w:bottom w:val="none" w:sz="0" w:space="0" w:color="auto"/>
                <w:right w:val="none" w:sz="0" w:space="0" w:color="auto"/>
              </w:divBdr>
              <w:divsChild>
                <w:div w:id="526673042">
                  <w:marLeft w:val="0"/>
                  <w:marRight w:val="0"/>
                  <w:marTop w:val="0"/>
                  <w:marBottom w:val="0"/>
                  <w:divBdr>
                    <w:top w:val="none" w:sz="0" w:space="0" w:color="auto"/>
                    <w:left w:val="none" w:sz="0" w:space="0" w:color="auto"/>
                    <w:bottom w:val="none" w:sz="0" w:space="0" w:color="auto"/>
                    <w:right w:val="none" w:sz="0" w:space="0" w:color="auto"/>
                  </w:divBdr>
                  <w:divsChild>
                    <w:div w:id="777721752">
                      <w:marLeft w:val="0"/>
                      <w:marRight w:val="0"/>
                      <w:marTop w:val="0"/>
                      <w:marBottom w:val="0"/>
                      <w:divBdr>
                        <w:top w:val="none" w:sz="0" w:space="0" w:color="auto"/>
                        <w:left w:val="none" w:sz="0" w:space="0" w:color="auto"/>
                        <w:bottom w:val="none" w:sz="0" w:space="0" w:color="auto"/>
                        <w:right w:val="none" w:sz="0" w:space="0" w:color="auto"/>
                      </w:divBdr>
                      <w:divsChild>
                        <w:div w:id="1351882228">
                          <w:marLeft w:val="0"/>
                          <w:marRight w:val="0"/>
                          <w:marTop w:val="0"/>
                          <w:marBottom w:val="0"/>
                          <w:divBdr>
                            <w:top w:val="none" w:sz="0" w:space="0" w:color="auto"/>
                            <w:left w:val="none" w:sz="0" w:space="0" w:color="auto"/>
                            <w:bottom w:val="none" w:sz="0" w:space="0" w:color="auto"/>
                            <w:right w:val="none" w:sz="0" w:space="0" w:color="auto"/>
                          </w:divBdr>
                          <w:divsChild>
                            <w:div w:id="96161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234253">
      <w:bodyDiv w:val="1"/>
      <w:marLeft w:val="0"/>
      <w:marRight w:val="0"/>
      <w:marTop w:val="0"/>
      <w:marBottom w:val="0"/>
      <w:divBdr>
        <w:top w:val="none" w:sz="0" w:space="0" w:color="auto"/>
        <w:left w:val="none" w:sz="0" w:space="0" w:color="auto"/>
        <w:bottom w:val="none" w:sz="0" w:space="0" w:color="auto"/>
        <w:right w:val="none" w:sz="0" w:space="0" w:color="auto"/>
      </w:divBdr>
      <w:divsChild>
        <w:div w:id="364596904">
          <w:marLeft w:val="0"/>
          <w:marRight w:val="0"/>
          <w:marTop w:val="0"/>
          <w:marBottom w:val="0"/>
          <w:divBdr>
            <w:top w:val="none" w:sz="0" w:space="0" w:color="auto"/>
            <w:left w:val="none" w:sz="0" w:space="0" w:color="auto"/>
            <w:bottom w:val="none" w:sz="0" w:space="0" w:color="auto"/>
            <w:right w:val="none" w:sz="0" w:space="0" w:color="auto"/>
          </w:divBdr>
          <w:divsChild>
            <w:div w:id="816069793">
              <w:marLeft w:val="0"/>
              <w:marRight w:val="0"/>
              <w:marTop w:val="0"/>
              <w:marBottom w:val="0"/>
              <w:divBdr>
                <w:top w:val="none" w:sz="0" w:space="0" w:color="auto"/>
                <w:left w:val="none" w:sz="0" w:space="0" w:color="auto"/>
                <w:bottom w:val="none" w:sz="0" w:space="0" w:color="auto"/>
                <w:right w:val="none" w:sz="0" w:space="0" w:color="auto"/>
              </w:divBdr>
              <w:divsChild>
                <w:div w:id="1463839256">
                  <w:marLeft w:val="0"/>
                  <w:marRight w:val="0"/>
                  <w:marTop w:val="0"/>
                  <w:marBottom w:val="0"/>
                  <w:divBdr>
                    <w:top w:val="none" w:sz="0" w:space="0" w:color="auto"/>
                    <w:left w:val="none" w:sz="0" w:space="0" w:color="auto"/>
                    <w:bottom w:val="none" w:sz="0" w:space="0" w:color="auto"/>
                    <w:right w:val="none" w:sz="0" w:space="0" w:color="auto"/>
                  </w:divBdr>
                  <w:divsChild>
                    <w:div w:id="615714459">
                      <w:marLeft w:val="0"/>
                      <w:marRight w:val="0"/>
                      <w:marTop w:val="0"/>
                      <w:marBottom w:val="0"/>
                      <w:divBdr>
                        <w:top w:val="none" w:sz="0" w:space="0" w:color="auto"/>
                        <w:left w:val="none" w:sz="0" w:space="0" w:color="auto"/>
                        <w:bottom w:val="none" w:sz="0" w:space="0" w:color="auto"/>
                        <w:right w:val="none" w:sz="0" w:space="0" w:color="auto"/>
                      </w:divBdr>
                      <w:divsChild>
                        <w:div w:id="1877505974">
                          <w:marLeft w:val="0"/>
                          <w:marRight w:val="0"/>
                          <w:marTop w:val="0"/>
                          <w:marBottom w:val="0"/>
                          <w:divBdr>
                            <w:top w:val="none" w:sz="0" w:space="0" w:color="auto"/>
                            <w:left w:val="none" w:sz="0" w:space="0" w:color="auto"/>
                            <w:bottom w:val="none" w:sz="0" w:space="0" w:color="auto"/>
                            <w:right w:val="none" w:sz="0" w:space="0" w:color="auto"/>
                          </w:divBdr>
                          <w:divsChild>
                            <w:div w:id="738359898">
                              <w:marLeft w:val="0"/>
                              <w:marRight w:val="0"/>
                              <w:marTop w:val="0"/>
                              <w:marBottom w:val="0"/>
                              <w:divBdr>
                                <w:top w:val="none" w:sz="0" w:space="0" w:color="auto"/>
                                <w:left w:val="none" w:sz="0" w:space="0" w:color="auto"/>
                                <w:bottom w:val="none" w:sz="0" w:space="0" w:color="auto"/>
                                <w:right w:val="none" w:sz="0" w:space="0" w:color="auto"/>
                              </w:divBdr>
                              <w:divsChild>
                                <w:div w:id="1264610866">
                                  <w:marLeft w:val="0"/>
                                  <w:marRight w:val="0"/>
                                  <w:marTop w:val="0"/>
                                  <w:marBottom w:val="0"/>
                                  <w:divBdr>
                                    <w:top w:val="none" w:sz="0" w:space="0" w:color="auto"/>
                                    <w:left w:val="none" w:sz="0" w:space="0" w:color="auto"/>
                                    <w:bottom w:val="none" w:sz="0" w:space="0" w:color="auto"/>
                                    <w:right w:val="none" w:sz="0" w:space="0" w:color="auto"/>
                                  </w:divBdr>
                                  <w:divsChild>
                                    <w:div w:id="1349524594">
                                      <w:marLeft w:val="0"/>
                                      <w:marRight w:val="0"/>
                                      <w:marTop w:val="0"/>
                                      <w:marBottom w:val="0"/>
                                      <w:divBdr>
                                        <w:top w:val="none" w:sz="0" w:space="0" w:color="auto"/>
                                        <w:left w:val="none" w:sz="0" w:space="0" w:color="auto"/>
                                        <w:bottom w:val="none" w:sz="0" w:space="0" w:color="auto"/>
                                        <w:right w:val="none" w:sz="0" w:space="0" w:color="auto"/>
                                      </w:divBdr>
                                      <w:divsChild>
                                        <w:div w:id="1492139051">
                                          <w:marLeft w:val="0"/>
                                          <w:marRight w:val="0"/>
                                          <w:marTop w:val="75"/>
                                          <w:marBottom w:val="0"/>
                                          <w:divBdr>
                                            <w:top w:val="none" w:sz="0" w:space="0" w:color="auto"/>
                                            <w:left w:val="none" w:sz="0" w:space="0" w:color="auto"/>
                                            <w:bottom w:val="none" w:sz="0" w:space="0" w:color="auto"/>
                                            <w:right w:val="none" w:sz="0" w:space="0" w:color="auto"/>
                                          </w:divBdr>
                                          <w:divsChild>
                                            <w:div w:id="8566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0286324">
      <w:bodyDiv w:val="1"/>
      <w:marLeft w:val="0"/>
      <w:marRight w:val="0"/>
      <w:marTop w:val="0"/>
      <w:marBottom w:val="0"/>
      <w:divBdr>
        <w:top w:val="none" w:sz="0" w:space="0" w:color="auto"/>
        <w:left w:val="none" w:sz="0" w:space="0" w:color="auto"/>
        <w:bottom w:val="none" w:sz="0" w:space="0" w:color="auto"/>
        <w:right w:val="none" w:sz="0" w:space="0" w:color="auto"/>
      </w:divBdr>
    </w:div>
    <w:div w:id="594217486">
      <w:bodyDiv w:val="1"/>
      <w:marLeft w:val="0"/>
      <w:marRight w:val="0"/>
      <w:marTop w:val="0"/>
      <w:marBottom w:val="0"/>
      <w:divBdr>
        <w:top w:val="none" w:sz="0" w:space="0" w:color="auto"/>
        <w:left w:val="none" w:sz="0" w:space="0" w:color="auto"/>
        <w:bottom w:val="none" w:sz="0" w:space="0" w:color="auto"/>
        <w:right w:val="none" w:sz="0" w:space="0" w:color="auto"/>
      </w:divBdr>
      <w:divsChild>
        <w:div w:id="249046062">
          <w:marLeft w:val="274"/>
          <w:marRight w:val="0"/>
          <w:marTop w:val="0"/>
          <w:marBottom w:val="0"/>
          <w:divBdr>
            <w:top w:val="none" w:sz="0" w:space="0" w:color="auto"/>
            <w:left w:val="none" w:sz="0" w:space="0" w:color="auto"/>
            <w:bottom w:val="none" w:sz="0" w:space="0" w:color="auto"/>
            <w:right w:val="none" w:sz="0" w:space="0" w:color="auto"/>
          </w:divBdr>
        </w:div>
        <w:div w:id="454956796">
          <w:marLeft w:val="274"/>
          <w:marRight w:val="0"/>
          <w:marTop w:val="0"/>
          <w:marBottom w:val="0"/>
          <w:divBdr>
            <w:top w:val="none" w:sz="0" w:space="0" w:color="auto"/>
            <w:left w:val="none" w:sz="0" w:space="0" w:color="auto"/>
            <w:bottom w:val="none" w:sz="0" w:space="0" w:color="auto"/>
            <w:right w:val="none" w:sz="0" w:space="0" w:color="auto"/>
          </w:divBdr>
        </w:div>
        <w:div w:id="579214230">
          <w:marLeft w:val="274"/>
          <w:marRight w:val="0"/>
          <w:marTop w:val="0"/>
          <w:marBottom w:val="0"/>
          <w:divBdr>
            <w:top w:val="none" w:sz="0" w:space="0" w:color="auto"/>
            <w:left w:val="none" w:sz="0" w:space="0" w:color="auto"/>
            <w:bottom w:val="none" w:sz="0" w:space="0" w:color="auto"/>
            <w:right w:val="none" w:sz="0" w:space="0" w:color="auto"/>
          </w:divBdr>
        </w:div>
        <w:div w:id="592008426">
          <w:marLeft w:val="274"/>
          <w:marRight w:val="0"/>
          <w:marTop w:val="0"/>
          <w:marBottom w:val="0"/>
          <w:divBdr>
            <w:top w:val="none" w:sz="0" w:space="0" w:color="auto"/>
            <w:left w:val="none" w:sz="0" w:space="0" w:color="auto"/>
            <w:bottom w:val="none" w:sz="0" w:space="0" w:color="auto"/>
            <w:right w:val="none" w:sz="0" w:space="0" w:color="auto"/>
          </w:divBdr>
        </w:div>
        <w:div w:id="628127139">
          <w:marLeft w:val="274"/>
          <w:marRight w:val="0"/>
          <w:marTop w:val="0"/>
          <w:marBottom w:val="0"/>
          <w:divBdr>
            <w:top w:val="none" w:sz="0" w:space="0" w:color="auto"/>
            <w:left w:val="none" w:sz="0" w:space="0" w:color="auto"/>
            <w:bottom w:val="none" w:sz="0" w:space="0" w:color="auto"/>
            <w:right w:val="none" w:sz="0" w:space="0" w:color="auto"/>
          </w:divBdr>
        </w:div>
        <w:div w:id="1013923831">
          <w:marLeft w:val="274"/>
          <w:marRight w:val="0"/>
          <w:marTop w:val="0"/>
          <w:marBottom w:val="0"/>
          <w:divBdr>
            <w:top w:val="none" w:sz="0" w:space="0" w:color="auto"/>
            <w:left w:val="none" w:sz="0" w:space="0" w:color="auto"/>
            <w:bottom w:val="none" w:sz="0" w:space="0" w:color="auto"/>
            <w:right w:val="none" w:sz="0" w:space="0" w:color="auto"/>
          </w:divBdr>
        </w:div>
      </w:divsChild>
    </w:div>
    <w:div w:id="600723721">
      <w:bodyDiv w:val="1"/>
      <w:marLeft w:val="0"/>
      <w:marRight w:val="0"/>
      <w:marTop w:val="0"/>
      <w:marBottom w:val="0"/>
      <w:divBdr>
        <w:top w:val="none" w:sz="0" w:space="0" w:color="auto"/>
        <w:left w:val="none" w:sz="0" w:space="0" w:color="auto"/>
        <w:bottom w:val="none" w:sz="0" w:space="0" w:color="auto"/>
        <w:right w:val="none" w:sz="0" w:space="0" w:color="auto"/>
      </w:divBdr>
    </w:div>
    <w:div w:id="602493358">
      <w:bodyDiv w:val="1"/>
      <w:marLeft w:val="0"/>
      <w:marRight w:val="0"/>
      <w:marTop w:val="0"/>
      <w:marBottom w:val="0"/>
      <w:divBdr>
        <w:top w:val="none" w:sz="0" w:space="0" w:color="auto"/>
        <w:left w:val="none" w:sz="0" w:space="0" w:color="auto"/>
        <w:bottom w:val="none" w:sz="0" w:space="0" w:color="auto"/>
        <w:right w:val="none" w:sz="0" w:space="0" w:color="auto"/>
      </w:divBdr>
    </w:div>
    <w:div w:id="644623898">
      <w:bodyDiv w:val="1"/>
      <w:marLeft w:val="0"/>
      <w:marRight w:val="0"/>
      <w:marTop w:val="0"/>
      <w:marBottom w:val="0"/>
      <w:divBdr>
        <w:top w:val="none" w:sz="0" w:space="0" w:color="auto"/>
        <w:left w:val="none" w:sz="0" w:space="0" w:color="auto"/>
        <w:bottom w:val="none" w:sz="0" w:space="0" w:color="auto"/>
        <w:right w:val="none" w:sz="0" w:space="0" w:color="auto"/>
      </w:divBdr>
    </w:div>
    <w:div w:id="648827939">
      <w:bodyDiv w:val="1"/>
      <w:marLeft w:val="0"/>
      <w:marRight w:val="0"/>
      <w:marTop w:val="0"/>
      <w:marBottom w:val="0"/>
      <w:divBdr>
        <w:top w:val="none" w:sz="0" w:space="0" w:color="auto"/>
        <w:left w:val="none" w:sz="0" w:space="0" w:color="auto"/>
        <w:bottom w:val="none" w:sz="0" w:space="0" w:color="auto"/>
        <w:right w:val="none" w:sz="0" w:space="0" w:color="auto"/>
      </w:divBdr>
    </w:div>
    <w:div w:id="673218478">
      <w:bodyDiv w:val="1"/>
      <w:marLeft w:val="0"/>
      <w:marRight w:val="0"/>
      <w:marTop w:val="0"/>
      <w:marBottom w:val="0"/>
      <w:divBdr>
        <w:top w:val="none" w:sz="0" w:space="0" w:color="auto"/>
        <w:left w:val="none" w:sz="0" w:space="0" w:color="auto"/>
        <w:bottom w:val="none" w:sz="0" w:space="0" w:color="auto"/>
        <w:right w:val="none" w:sz="0" w:space="0" w:color="auto"/>
      </w:divBdr>
    </w:div>
    <w:div w:id="679744597">
      <w:bodyDiv w:val="1"/>
      <w:marLeft w:val="0"/>
      <w:marRight w:val="0"/>
      <w:marTop w:val="0"/>
      <w:marBottom w:val="0"/>
      <w:divBdr>
        <w:top w:val="none" w:sz="0" w:space="0" w:color="auto"/>
        <w:left w:val="none" w:sz="0" w:space="0" w:color="auto"/>
        <w:bottom w:val="none" w:sz="0" w:space="0" w:color="auto"/>
        <w:right w:val="none" w:sz="0" w:space="0" w:color="auto"/>
      </w:divBdr>
    </w:div>
    <w:div w:id="683827897">
      <w:bodyDiv w:val="1"/>
      <w:marLeft w:val="0"/>
      <w:marRight w:val="0"/>
      <w:marTop w:val="0"/>
      <w:marBottom w:val="0"/>
      <w:divBdr>
        <w:top w:val="none" w:sz="0" w:space="0" w:color="auto"/>
        <w:left w:val="none" w:sz="0" w:space="0" w:color="auto"/>
        <w:bottom w:val="none" w:sz="0" w:space="0" w:color="auto"/>
        <w:right w:val="none" w:sz="0" w:space="0" w:color="auto"/>
      </w:divBdr>
    </w:div>
    <w:div w:id="699862380">
      <w:bodyDiv w:val="1"/>
      <w:marLeft w:val="0"/>
      <w:marRight w:val="0"/>
      <w:marTop w:val="0"/>
      <w:marBottom w:val="0"/>
      <w:divBdr>
        <w:top w:val="none" w:sz="0" w:space="0" w:color="auto"/>
        <w:left w:val="none" w:sz="0" w:space="0" w:color="auto"/>
        <w:bottom w:val="none" w:sz="0" w:space="0" w:color="auto"/>
        <w:right w:val="none" w:sz="0" w:space="0" w:color="auto"/>
      </w:divBdr>
      <w:divsChild>
        <w:div w:id="1141776224">
          <w:marLeft w:val="0"/>
          <w:marRight w:val="0"/>
          <w:marTop w:val="0"/>
          <w:marBottom w:val="0"/>
          <w:divBdr>
            <w:top w:val="none" w:sz="0" w:space="0" w:color="auto"/>
            <w:left w:val="none" w:sz="0" w:space="0" w:color="auto"/>
            <w:bottom w:val="none" w:sz="0" w:space="0" w:color="auto"/>
            <w:right w:val="none" w:sz="0" w:space="0" w:color="auto"/>
          </w:divBdr>
          <w:divsChild>
            <w:div w:id="213927279">
              <w:marLeft w:val="0"/>
              <w:marRight w:val="0"/>
              <w:marTop w:val="0"/>
              <w:marBottom w:val="0"/>
              <w:divBdr>
                <w:top w:val="none" w:sz="0" w:space="0" w:color="auto"/>
                <w:left w:val="none" w:sz="0" w:space="0" w:color="auto"/>
                <w:bottom w:val="none" w:sz="0" w:space="0" w:color="auto"/>
                <w:right w:val="none" w:sz="0" w:space="0" w:color="auto"/>
              </w:divBdr>
              <w:divsChild>
                <w:div w:id="11347651">
                  <w:marLeft w:val="0"/>
                  <w:marRight w:val="0"/>
                  <w:marTop w:val="0"/>
                  <w:marBottom w:val="0"/>
                  <w:divBdr>
                    <w:top w:val="none" w:sz="0" w:space="0" w:color="auto"/>
                    <w:left w:val="none" w:sz="0" w:space="0" w:color="auto"/>
                    <w:bottom w:val="none" w:sz="0" w:space="0" w:color="auto"/>
                    <w:right w:val="none" w:sz="0" w:space="0" w:color="auto"/>
                  </w:divBdr>
                  <w:divsChild>
                    <w:div w:id="1558467339">
                      <w:marLeft w:val="0"/>
                      <w:marRight w:val="0"/>
                      <w:marTop w:val="0"/>
                      <w:marBottom w:val="0"/>
                      <w:divBdr>
                        <w:top w:val="none" w:sz="0" w:space="0" w:color="auto"/>
                        <w:left w:val="none" w:sz="0" w:space="0" w:color="auto"/>
                        <w:bottom w:val="none" w:sz="0" w:space="0" w:color="auto"/>
                        <w:right w:val="none" w:sz="0" w:space="0" w:color="auto"/>
                      </w:divBdr>
                      <w:divsChild>
                        <w:div w:id="1342970264">
                          <w:marLeft w:val="0"/>
                          <w:marRight w:val="120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345708">
      <w:bodyDiv w:val="1"/>
      <w:marLeft w:val="0"/>
      <w:marRight w:val="0"/>
      <w:marTop w:val="0"/>
      <w:marBottom w:val="0"/>
      <w:divBdr>
        <w:top w:val="none" w:sz="0" w:space="0" w:color="auto"/>
        <w:left w:val="none" w:sz="0" w:space="0" w:color="auto"/>
        <w:bottom w:val="none" w:sz="0" w:space="0" w:color="auto"/>
        <w:right w:val="none" w:sz="0" w:space="0" w:color="auto"/>
      </w:divBdr>
    </w:div>
    <w:div w:id="720402061">
      <w:bodyDiv w:val="1"/>
      <w:marLeft w:val="0"/>
      <w:marRight w:val="0"/>
      <w:marTop w:val="0"/>
      <w:marBottom w:val="0"/>
      <w:divBdr>
        <w:top w:val="none" w:sz="0" w:space="0" w:color="auto"/>
        <w:left w:val="none" w:sz="0" w:space="0" w:color="auto"/>
        <w:bottom w:val="none" w:sz="0" w:space="0" w:color="auto"/>
        <w:right w:val="none" w:sz="0" w:space="0" w:color="auto"/>
      </w:divBdr>
    </w:div>
    <w:div w:id="778910763">
      <w:bodyDiv w:val="1"/>
      <w:marLeft w:val="0"/>
      <w:marRight w:val="0"/>
      <w:marTop w:val="0"/>
      <w:marBottom w:val="0"/>
      <w:divBdr>
        <w:top w:val="none" w:sz="0" w:space="0" w:color="auto"/>
        <w:left w:val="none" w:sz="0" w:space="0" w:color="auto"/>
        <w:bottom w:val="none" w:sz="0" w:space="0" w:color="auto"/>
        <w:right w:val="none" w:sz="0" w:space="0" w:color="auto"/>
      </w:divBdr>
    </w:div>
    <w:div w:id="818495393">
      <w:bodyDiv w:val="1"/>
      <w:marLeft w:val="0"/>
      <w:marRight w:val="0"/>
      <w:marTop w:val="0"/>
      <w:marBottom w:val="0"/>
      <w:divBdr>
        <w:top w:val="none" w:sz="0" w:space="0" w:color="auto"/>
        <w:left w:val="none" w:sz="0" w:space="0" w:color="auto"/>
        <w:bottom w:val="none" w:sz="0" w:space="0" w:color="auto"/>
        <w:right w:val="none" w:sz="0" w:space="0" w:color="auto"/>
      </w:divBdr>
      <w:divsChild>
        <w:div w:id="239682759">
          <w:marLeft w:val="274"/>
          <w:marRight w:val="0"/>
          <w:marTop w:val="0"/>
          <w:marBottom w:val="0"/>
          <w:divBdr>
            <w:top w:val="none" w:sz="0" w:space="0" w:color="auto"/>
            <w:left w:val="none" w:sz="0" w:space="0" w:color="auto"/>
            <w:bottom w:val="none" w:sz="0" w:space="0" w:color="auto"/>
            <w:right w:val="none" w:sz="0" w:space="0" w:color="auto"/>
          </w:divBdr>
        </w:div>
        <w:div w:id="380712792">
          <w:marLeft w:val="274"/>
          <w:marRight w:val="0"/>
          <w:marTop w:val="0"/>
          <w:marBottom w:val="0"/>
          <w:divBdr>
            <w:top w:val="none" w:sz="0" w:space="0" w:color="auto"/>
            <w:left w:val="none" w:sz="0" w:space="0" w:color="auto"/>
            <w:bottom w:val="none" w:sz="0" w:space="0" w:color="auto"/>
            <w:right w:val="none" w:sz="0" w:space="0" w:color="auto"/>
          </w:divBdr>
        </w:div>
        <w:div w:id="1206136780">
          <w:marLeft w:val="274"/>
          <w:marRight w:val="0"/>
          <w:marTop w:val="0"/>
          <w:marBottom w:val="0"/>
          <w:divBdr>
            <w:top w:val="none" w:sz="0" w:space="0" w:color="auto"/>
            <w:left w:val="none" w:sz="0" w:space="0" w:color="auto"/>
            <w:bottom w:val="none" w:sz="0" w:space="0" w:color="auto"/>
            <w:right w:val="none" w:sz="0" w:space="0" w:color="auto"/>
          </w:divBdr>
        </w:div>
        <w:div w:id="1441727262">
          <w:marLeft w:val="274"/>
          <w:marRight w:val="0"/>
          <w:marTop w:val="0"/>
          <w:marBottom w:val="0"/>
          <w:divBdr>
            <w:top w:val="none" w:sz="0" w:space="0" w:color="auto"/>
            <w:left w:val="none" w:sz="0" w:space="0" w:color="auto"/>
            <w:bottom w:val="none" w:sz="0" w:space="0" w:color="auto"/>
            <w:right w:val="none" w:sz="0" w:space="0" w:color="auto"/>
          </w:divBdr>
        </w:div>
        <w:div w:id="1572109605">
          <w:marLeft w:val="274"/>
          <w:marRight w:val="0"/>
          <w:marTop w:val="0"/>
          <w:marBottom w:val="0"/>
          <w:divBdr>
            <w:top w:val="none" w:sz="0" w:space="0" w:color="auto"/>
            <w:left w:val="none" w:sz="0" w:space="0" w:color="auto"/>
            <w:bottom w:val="none" w:sz="0" w:space="0" w:color="auto"/>
            <w:right w:val="none" w:sz="0" w:space="0" w:color="auto"/>
          </w:divBdr>
        </w:div>
      </w:divsChild>
    </w:div>
    <w:div w:id="824318141">
      <w:bodyDiv w:val="1"/>
      <w:marLeft w:val="0"/>
      <w:marRight w:val="0"/>
      <w:marTop w:val="0"/>
      <w:marBottom w:val="0"/>
      <w:divBdr>
        <w:top w:val="none" w:sz="0" w:space="0" w:color="auto"/>
        <w:left w:val="none" w:sz="0" w:space="0" w:color="auto"/>
        <w:bottom w:val="none" w:sz="0" w:space="0" w:color="auto"/>
        <w:right w:val="none" w:sz="0" w:space="0" w:color="auto"/>
      </w:divBdr>
    </w:div>
    <w:div w:id="827524107">
      <w:bodyDiv w:val="1"/>
      <w:marLeft w:val="0"/>
      <w:marRight w:val="0"/>
      <w:marTop w:val="0"/>
      <w:marBottom w:val="0"/>
      <w:divBdr>
        <w:top w:val="none" w:sz="0" w:space="0" w:color="auto"/>
        <w:left w:val="none" w:sz="0" w:space="0" w:color="auto"/>
        <w:bottom w:val="none" w:sz="0" w:space="0" w:color="auto"/>
        <w:right w:val="none" w:sz="0" w:space="0" w:color="auto"/>
      </w:divBdr>
      <w:divsChild>
        <w:div w:id="838736492">
          <w:marLeft w:val="0"/>
          <w:marRight w:val="0"/>
          <w:marTop w:val="0"/>
          <w:marBottom w:val="0"/>
          <w:divBdr>
            <w:top w:val="none" w:sz="0" w:space="0" w:color="auto"/>
            <w:left w:val="none" w:sz="0" w:space="0" w:color="auto"/>
            <w:bottom w:val="none" w:sz="0" w:space="0" w:color="auto"/>
            <w:right w:val="none" w:sz="0" w:space="0" w:color="auto"/>
          </w:divBdr>
          <w:divsChild>
            <w:div w:id="693652630">
              <w:marLeft w:val="0"/>
              <w:marRight w:val="0"/>
              <w:marTop w:val="0"/>
              <w:marBottom w:val="0"/>
              <w:divBdr>
                <w:top w:val="none" w:sz="0" w:space="0" w:color="auto"/>
                <w:left w:val="none" w:sz="0" w:space="0" w:color="auto"/>
                <w:bottom w:val="none" w:sz="0" w:space="0" w:color="auto"/>
                <w:right w:val="none" w:sz="0" w:space="0" w:color="auto"/>
              </w:divBdr>
              <w:divsChild>
                <w:div w:id="507064688">
                  <w:marLeft w:val="0"/>
                  <w:marRight w:val="0"/>
                  <w:marTop w:val="0"/>
                  <w:marBottom w:val="0"/>
                  <w:divBdr>
                    <w:top w:val="none" w:sz="0" w:space="0" w:color="auto"/>
                    <w:left w:val="none" w:sz="0" w:space="0" w:color="auto"/>
                    <w:bottom w:val="none" w:sz="0" w:space="0" w:color="auto"/>
                    <w:right w:val="none" w:sz="0" w:space="0" w:color="auto"/>
                  </w:divBdr>
                  <w:divsChild>
                    <w:div w:id="167600973">
                      <w:marLeft w:val="0"/>
                      <w:marRight w:val="0"/>
                      <w:marTop w:val="45"/>
                      <w:marBottom w:val="0"/>
                      <w:divBdr>
                        <w:top w:val="none" w:sz="0" w:space="0" w:color="auto"/>
                        <w:left w:val="none" w:sz="0" w:space="0" w:color="auto"/>
                        <w:bottom w:val="none" w:sz="0" w:space="0" w:color="auto"/>
                        <w:right w:val="none" w:sz="0" w:space="0" w:color="auto"/>
                      </w:divBdr>
                      <w:divsChild>
                        <w:div w:id="1436441587">
                          <w:marLeft w:val="0"/>
                          <w:marRight w:val="0"/>
                          <w:marTop w:val="0"/>
                          <w:marBottom w:val="0"/>
                          <w:divBdr>
                            <w:top w:val="none" w:sz="0" w:space="0" w:color="auto"/>
                            <w:left w:val="none" w:sz="0" w:space="0" w:color="auto"/>
                            <w:bottom w:val="none" w:sz="0" w:space="0" w:color="auto"/>
                            <w:right w:val="none" w:sz="0" w:space="0" w:color="auto"/>
                          </w:divBdr>
                          <w:divsChild>
                            <w:div w:id="495267385">
                              <w:marLeft w:val="2070"/>
                              <w:marRight w:val="3810"/>
                              <w:marTop w:val="0"/>
                              <w:marBottom w:val="0"/>
                              <w:divBdr>
                                <w:top w:val="none" w:sz="0" w:space="0" w:color="auto"/>
                                <w:left w:val="none" w:sz="0" w:space="0" w:color="auto"/>
                                <w:bottom w:val="none" w:sz="0" w:space="0" w:color="auto"/>
                                <w:right w:val="none" w:sz="0" w:space="0" w:color="auto"/>
                              </w:divBdr>
                              <w:divsChild>
                                <w:div w:id="1260916424">
                                  <w:marLeft w:val="0"/>
                                  <w:marRight w:val="0"/>
                                  <w:marTop w:val="0"/>
                                  <w:marBottom w:val="0"/>
                                  <w:divBdr>
                                    <w:top w:val="none" w:sz="0" w:space="0" w:color="auto"/>
                                    <w:left w:val="none" w:sz="0" w:space="0" w:color="auto"/>
                                    <w:bottom w:val="none" w:sz="0" w:space="0" w:color="auto"/>
                                    <w:right w:val="none" w:sz="0" w:space="0" w:color="auto"/>
                                  </w:divBdr>
                                  <w:divsChild>
                                    <w:div w:id="808790551">
                                      <w:marLeft w:val="0"/>
                                      <w:marRight w:val="0"/>
                                      <w:marTop w:val="0"/>
                                      <w:marBottom w:val="0"/>
                                      <w:divBdr>
                                        <w:top w:val="none" w:sz="0" w:space="0" w:color="auto"/>
                                        <w:left w:val="none" w:sz="0" w:space="0" w:color="auto"/>
                                        <w:bottom w:val="none" w:sz="0" w:space="0" w:color="auto"/>
                                        <w:right w:val="none" w:sz="0" w:space="0" w:color="auto"/>
                                      </w:divBdr>
                                      <w:divsChild>
                                        <w:div w:id="1401051070">
                                          <w:marLeft w:val="0"/>
                                          <w:marRight w:val="0"/>
                                          <w:marTop w:val="0"/>
                                          <w:marBottom w:val="0"/>
                                          <w:divBdr>
                                            <w:top w:val="none" w:sz="0" w:space="0" w:color="auto"/>
                                            <w:left w:val="none" w:sz="0" w:space="0" w:color="auto"/>
                                            <w:bottom w:val="none" w:sz="0" w:space="0" w:color="auto"/>
                                            <w:right w:val="none" w:sz="0" w:space="0" w:color="auto"/>
                                          </w:divBdr>
                                          <w:divsChild>
                                            <w:div w:id="15161285">
                                              <w:marLeft w:val="0"/>
                                              <w:marRight w:val="0"/>
                                              <w:marTop w:val="0"/>
                                              <w:marBottom w:val="0"/>
                                              <w:divBdr>
                                                <w:top w:val="none" w:sz="0" w:space="0" w:color="auto"/>
                                                <w:left w:val="none" w:sz="0" w:space="0" w:color="auto"/>
                                                <w:bottom w:val="none" w:sz="0" w:space="0" w:color="auto"/>
                                                <w:right w:val="none" w:sz="0" w:space="0" w:color="auto"/>
                                              </w:divBdr>
                                              <w:divsChild>
                                                <w:div w:id="364524701">
                                                  <w:marLeft w:val="0"/>
                                                  <w:marRight w:val="0"/>
                                                  <w:marTop w:val="0"/>
                                                  <w:marBottom w:val="0"/>
                                                  <w:divBdr>
                                                    <w:top w:val="none" w:sz="0" w:space="0" w:color="auto"/>
                                                    <w:left w:val="none" w:sz="0" w:space="0" w:color="auto"/>
                                                    <w:bottom w:val="none" w:sz="0" w:space="0" w:color="auto"/>
                                                    <w:right w:val="none" w:sz="0" w:space="0" w:color="auto"/>
                                                  </w:divBdr>
                                                  <w:divsChild>
                                                    <w:div w:id="1299070540">
                                                      <w:marLeft w:val="0"/>
                                                      <w:marRight w:val="0"/>
                                                      <w:marTop w:val="0"/>
                                                      <w:marBottom w:val="0"/>
                                                      <w:divBdr>
                                                        <w:top w:val="none" w:sz="0" w:space="0" w:color="auto"/>
                                                        <w:left w:val="none" w:sz="0" w:space="0" w:color="auto"/>
                                                        <w:bottom w:val="none" w:sz="0" w:space="0" w:color="auto"/>
                                                        <w:right w:val="none" w:sz="0" w:space="0" w:color="auto"/>
                                                      </w:divBdr>
                                                      <w:divsChild>
                                                        <w:div w:id="18953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37621802">
      <w:bodyDiv w:val="1"/>
      <w:marLeft w:val="0"/>
      <w:marRight w:val="0"/>
      <w:marTop w:val="0"/>
      <w:marBottom w:val="0"/>
      <w:divBdr>
        <w:top w:val="none" w:sz="0" w:space="0" w:color="auto"/>
        <w:left w:val="none" w:sz="0" w:space="0" w:color="auto"/>
        <w:bottom w:val="none" w:sz="0" w:space="0" w:color="auto"/>
        <w:right w:val="none" w:sz="0" w:space="0" w:color="auto"/>
      </w:divBdr>
    </w:div>
    <w:div w:id="854879358">
      <w:bodyDiv w:val="1"/>
      <w:marLeft w:val="0"/>
      <w:marRight w:val="0"/>
      <w:marTop w:val="0"/>
      <w:marBottom w:val="0"/>
      <w:divBdr>
        <w:top w:val="none" w:sz="0" w:space="0" w:color="auto"/>
        <w:left w:val="none" w:sz="0" w:space="0" w:color="auto"/>
        <w:bottom w:val="none" w:sz="0" w:space="0" w:color="auto"/>
        <w:right w:val="none" w:sz="0" w:space="0" w:color="auto"/>
      </w:divBdr>
    </w:div>
    <w:div w:id="873158909">
      <w:bodyDiv w:val="1"/>
      <w:marLeft w:val="0"/>
      <w:marRight w:val="0"/>
      <w:marTop w:val="0"/>
      <w:marBottom w:val="0"/>
      <w:divBdr>
        <w:top w:val="none" w:sz="0" w:space="0" w:color="auto"/>
        <w:left w:val="none" w:sz="0" w:space="0" w:color="auto"/>
        <w:bottom w:val="none" w:sz="0" w:space="0" w:color="auto"/>
        <w:right w:val="none" w:sz="0" w:space="0" w:color="auto"/>
      </w:divBdr>
    </w:div>
    <w:div w:id="913508887">
      <w:bodyDiv w:val="1"/>
      <w:marLeft w:val="0"/>
      <w:marRight w:val="0"/>
      <w:marTop w:val="0"/>
      <w:marBottom w:val="0"/>
      <w:divBdr>
        <w:top w:val="none" w:sz="0" w:space="0" w:color="auto"/>
        <w:left w:val="none" w:sz="0" w:space="0" w:color="auto"/>
        <w:bottom w:val="none" w:sz="0" w:space="0" w:color="auto"/>
        <w:right w:val="none" w:sz="0" w:space="0" w:color="auto"/>
      </w:divBdr>
    </w:div>
    <w:div w:id="915629134">
      <w:bodyDiv w:val="1"/>
      <w:marLeft w:val="0"/>
      <w:marRight w:val="0"/>
      <w:marTop w:val="0"/>
      <w:marBottom w:val="0"/>
      <w:divBdr>
        <w:top w:val="none" w:sz="0" w:space="0" w:color="auto"/>
        <w:left w:val="none" w:sz="0" w:space="0" w:color="auto"/>
        <w:bottom w:val="none" w:sz="0" w:space="0" w:color="auto"/>
        <w:right w:val="none" w:sz="0" w:space="0" w:color="auto"/>
      </w:divBdr>
      <w:divsChild>
        <w:div w:id="73627811">
          <w:marLeft w:val="0"/>
          <w:marRight w:val="0"/>
          <w:marTop w:val="0"/>
          <w:marBottom w:val="0"/>
          <w:divBdr>
            <w:top w:val="none" w:sz="0" w:space="0" w:color="auto"/>
            <w:left w:val="none" w:sz="0" w:space="0" w:color="auto"/>
            <w:bottom w:val="none" w:sz="0" w:space="0" w:color="auto"/>
            <w:right w:val="none" w:sz="0" w:space="0" w:color="auto"/>
          </w:divBdr>
          <w:divsChild>
            <w:div w:id="1238831155">
              <w:marLeft w:val="0"/>
              <w:marRight w:val="0"/>
              <w:marTop w:val="0"/>
              <w:marBottom w:val="0"/>
              <w:divBdr>
                <w:top w:val="none" w:sz="0" w:space="0" w:color="auto"/>
                <w:left w:val="none" w:sz="0" w:space="0" w:color="auto"/>
                <w:bottom w:val="none" w:sz="0" w:space="0" w:color="auto"/>
                <w:right w:val="none" w:sz="0" w:space="0" w:color="auto"/>
              </w:divBdr>
              <w:divsChild>
                <w:div w:id="346566488">
                  <w:marLeft w:val="0"/>
                  <w:marRight w:val="0"/>
                  <w:marTop w:val="0"/>
                  <w:marBottom w:val="0"/>
                  <w:divBdr>
                    <w:top w:val="none" w:sz="0" w:space="0" w:color="auto"/>
                    <w:left w:val="none" w:sz="0" w:space="0" w:color="auto"/>
                    <w:bottom w:val="none" w:sz="0" w:space="0" w:color="auto"/>
                    <w:right w:val="none" w:sz="0" w:space="0" w:color="auto"/>
                  </w:divBdr>
                  <w:divsChild>
                    <w:div w:id="1998418249">
                      <w:marLeft w:val="0"/>
                      <w:marRight w:val="0"/>
                      <w:marTop w:val="0"/>
                      <w:marBottom w:val="0"/>
                      <w:divBdr>
                        <w:top w:val="none" w:sz="0" w:space="0" w:color="auto"/>
                        <w:left w:val="none" w:sz="0" w:space="0" w:color="auto"/>
                        <w:bottom w:val="none" w:sz="0" w:space="0" w:color="auto"/>
                        <w:right w:val="none" w:sz="0" w:space="0" w:color="auto"/>
                      </w:divBdr>
                      <w:divsChild>
                        <w:div w:id="470514940">
                          <w:marLeft w:val="0"/>
                          <w:marRight w:val="1200"/>
                          <w:marTop w:val="300"/>
                          <w:marBottom w:val="0"/>
                          <w:divBdr>
                            <w:top w:val="none" w:sz="0" w:space="0" w:color="auto"/>
                            <w:left w:val="none" w:sz="0" w:space="0" w:color="auto"/>
                            <w:bottom w:val="none" w:sz="0" w:space="0" w:color="auto"/>
                            <w:right w:val="none" w:sz="0" w:space="0" w:color="auto"/>
                          </w:divBdr>
                          <w:divsChild>
                            <w:div w:id="126341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9431751">
      <w:bodyDiv w:val="1"/>
      <w:marLeft w:val="0"/>
      <w:marRight w:val="0"/>
      <w:marTop w:val="0"/>
      <w:marBottom w:val="0"/>
      <w:divBdr>
        <w:top w:val="none" w:sz="0" w:space="0" w:color="auto"/>
        <w:left w:val="none" w:sz="0" w:space="0" w:color="auto"/>
        <w:bottom w:val="none" w:sz="0" w:space="0" w:color="auto"/>
        <w:right w:val="none" w:sz="0" w:space="0" w:color="auto"/>
      </w:divBdr>
    </w:div>
    <w:div w:id="958341099">
      <w:bodyDiv w:val="1"/>
      <w:marLeft w:val="0"/>
      <w:marRight w:val="0"/>
      <w:marTop w:val="0"/>
      <w:marBottom w:val="0"/>
      <w:divBdr>
        <w:top w:val="none" w:sz="0" w:space="0" w:color="auto"/>
        <w:left w:val="none" w:sz="0" w:space="0" w:color="auto"/>
        <w:bottom w:val="none" w:sz="0" w:space="0" w:color="auto"/>
        <w:right w:val="none" w:sz="0" w:space="0" w:color="auto"/>
      </w:divBdr>
    </w:div>
    <w:div w:id="965544421">
      <w:bodyDiv w:val="1"/>
      <w:marLeft w:val="0"/>
      <w:marRight w:val="0"/>
      <w:marTop w:val="0"/>
      <w:marBottom w:val="0"/>
      <w:divBdr>
        <w:top w:val="none" w:sz="0" w:space="0" w:color="auto"/>
        <w:left w:val="none" w:sz="0" w:space="0" w:color="auto"/>
        <w:bottom w:val="none" w:sz="0" w:space="0" w:color="auto"/>
        <w:right w:val="none" w:sz="0" w:space="0" w:color="auto"/>
      </w:divBdr>
    </w:div>
    <w:div w:id="984430661">
      <w:bodyDiv w:val="1"/>
      <w:marLeft w:val="0"/>
      <w:marRight w:val="0"/>
      <w:marTop w:val="0"/>
      <w:marBottom w:val="0"/>
      <w:divBdr>
        <w:top w:val="none" w:sz="0" w:space="0" w:color="auto"/>
        <w:left w:val="none" w:sz="0" w:space="0" w:color="auto"/>
        <w:bottom w:val="none" w:sz="0" w:space="0" w:color="auto"/>
        <w:right w:val="none" w:sz="0" w:space="0" w:color="auto"/>
      </w:divBdr>
      <w:divsChild>
        <w:div w:id="697780247">
          <w:marLeft w:val="274"/>
          <w:marRight w:val="0"/>
          <w:marTop w:val="0"/>
          <w:marBottom w:val="0"/>
          <w:divBdr>
            <w:top w:val="none" w:sz="0" w:space="0" w:color="auto"/>
            <w:left w:val="none" w:sz="0" w:space="0" w:color="auto"/>
            <w:bottom w:val="none" w:sz="0" w:space="0" w:color="auto"/>
            <w:right w:val="none" w:sz="0" w:space="0" w:color="auto"/>
          </w:divBdr>
        </w:div>
        <w:div w:id="1180973344">
          <w:marLeft w:val="274"/>
          <w:marRight w:val="0"/>
          <w:marTop w:val="0"/>
          <w:marBottom w:val="0"/>
          <w:divBdr>
            <w:top w:val="none" w:sz="0" w:space="0" w:color="auto"/>
            <w:left w:val="none" w:sz="0" w:space="0" w:color="auto"/>
            <w:bottom w:val="none" w:sz="0" w:space="0" w:color="auto"/>
            <w:right w:val="none" w:sz="0" w:space="0" w:color="auto"/>
          </w:divBdr>
        </w:div>
        <w:div w:id="1549299310">
          <w:marLeft w:val="274"/>
          <w:marRight w:val="0"/>
          <w:marTop w:val="0"/>
          <w:marBottom w:val="0"/>
          <w:divBdr>
            <w:top w:val="none" w:sz="0" w:space="0" w:color="auto"/>
            <w:left w:val="none" w:sz="0" w:space="0" w:color="auto"/>
            <w:bottom w:val="none" w:sz="0" w:space="0" w:color="auto"/>
            <w:right w:val="none" w:sz="0" w:space="0" w:color="auto"/>
          </w:divBdr>
        </w:div>
      </w:divsChild>
    </w:div>
    <w:div w:id="989361017">
      <w:bodyDiv w:val="1"/>
      <w:marLeft w:val="0"/>
      <w:marRight w:val="0"/>
      <w:marTop w:val="0"/>
      <w:marBottom w:val="0"/>
      <w:divBdr>
        <w:top w:val="none" w:sz="0" w:space="0" w:color="auto"/>
        <w:left w:val="none" w:sz="0" w:space="0" w:color="auto"/>
        <w:bottom w:val="none" w:sz="0" w:space="0" w:color="auto"/>
        <w:right w:val="none" w:sz="0" w:space="0" w:color="auto"/>
      </w:divBdr>
      <w:divsChild>
        <w:div w:id="301616231">
          <w:marLeft w:val="274"/>
          <w:marRight w:val="0"/>
          <w:marTop w:val="0"/>
          <w:marBottom w:val="0"/>
          <w:divBdr>
            <w:top w:val="none" w:sz="0" w:space="0" w:color="auto"/>
            <w:left w:val="none" w:sz="0" w:space="0" w:color="auto"/>
            <w:bottom w:val="none" w:sz="0" w:space="0" w:color="auto"/>
            <w:right w:val="none" w:sz="0" w:space="0" w:color="auto"/>
          </w:divBdr>
        </w:div>
        <w:div w:id="964193087">
          <w:marLeft w:val="274"/>
          <w:marRight w:val="0"/>
          <w:marTop w:val="0"/>
          <w:marBottom w:val="0"/>
          <w:divBdr>
            <w:top w:val="none" w:sz="0" w:space="0" w:color="auto"/>
            <w:left w:val="none" w:sz="0" w:space="0" w:color="auto"/>
            <w:bottom w:val="none" w:sz="0" w:space="0" w:color="auto"/>
            <w:right w:val="none" w:sz="0" w:space="0" w:color="auto"/>
          </w:divBdr>
        </w:div>
        <w:div w:id="1733890514">
          <w:marLeft w:val="274"/>
          <w:marRight w:val="0"/>
          <w:marTop w:val="0"/>
          <w:marBottom w:val="0"/>
          <w:divBdr>
            <w:top w:val="none" w:sz="0" w:space="0" w:color="auto"/>
            <w:left w:val="none" w:sz="0" w:space="0" w:color="auto"/>
            <w:bottom w:val="none" w:sz="0" w:space="0" w:color="auto"/>
            <w:right w:val="none" w:sz="0" w:space="0" w:color="auto"/>
          </w:divBdr>
        </w:div>
        <w:div w:id="1806041343">
          <w:marLeft w:val="274"/>
          <w:marRight w:val="0"/>
          <w:marTop w:val="0"/>
          <w:marBottom w:val="0"/>
          <w:divBdr>
            <w:top w:val="none" w:sz="0" w:space="0" w:color="auto"/>
            <w:left w:val="none" w:sz="0" w:space="0" w:color="auto"/>
            <w:bottom w:val="none" w:sz="0" w:space="0" w:color="auto"/>
            <w:right w:val="none" w:sz="0" w:space="0" w:color="auto"/>
          </w:divBdr>
        </w:div>
        <w:div w:id="1917282695">
          <w:marLeft w:val="274"/>
          <w:marRight w:val="0"/>
          <w:marTop w:val="0"/>
          <w:marBottom w:val="0"/>
          <w:divBdr>
            <w:top w:val="none" w:sz="0" w:space="0" w:color="auto"/>
            <w:left w:val="none" w:sz="0" w:space="0" w:color="auto"/>
            <w:bottom w:val="none" w:sz="0" w:space="0" w:color="auto"/>
            <w:right w:val="none" w:sz="0" w:space="0" w:color="auto"/>
          </w:divBdr>
        </w:div>
        <w:div w:id="2078898279">
          <w:marLeft w:val="274"/>
          <w:marRight w:val="0"/>
          <w:marTop w:val="0"/>
          <w:marBottom w:val="0"/>
          <w:divBdr>
            <w:top w:val="none" w:sz="0" w:space="0" w:color="auto"/>
            <w:left w:val="none" w:sz="0" w:space="0" w:color="auto"/>
            <w:bottom w:val="none" w:sz="0" w:space="0" w:color="auto"/>
            <w:right w:val="none" w:sz="0" w:space="0" w:color="auto"/>
          </w:divBdr>
        </w:div>
      </w:divsChild>
    </w:div>
    <w:div w:id="1012147845">
      <w:bodyDiv w:val="1"/>
      <w:marLeft w:val="0"/>
      <w:marRight w:val="0"/>
      <w:marTop w:val="0"/>
      <w:marBottom w:val="0"/>
      <w:divBdr>
        <w:top w:val="none" w:sz="0" w:space="0" w:color="auto"/>
        <w:left w:val="none" w:sz="0" w:space="0" w:color="auto"/>
        <w:bottom w:val="none" w:sz="0" w:space="0" w:color="auto"/>
        <w:right w:val="none" w:sz="0" w:space="0" w:color="auto"/>
      </w:divBdr>
    </w:div>
    <w:div w:id="1024404542">
      <w:bodyDiv w:val="1"/>
      <w:marLeft w:val="0"/>
      <w:marRight w:val="0"/>
      <w:marTop w:val="0"/>
      <w:marBottom w:val="0"/>
      <w:divBdr>
        <w:top w:val="none" w:sz="0" w:space="0" w:color="auto"/>
        <w:left w:val="none" w:sz="0" w:space="0" w:color="auto"/>
        <w:bottom w:val="none" w:sz="0" w:space="0" w:color="auto"/>
        <w:right w:val="none" w:sz="0" w:space="0" w:color="auto"/>
      </w:divBdr>
      <w:divsChild>
        <w:div w:id="478033158">
          <w:marLeft w:val="0"/>
          <w:marRight w:val="0"/>
          <w:marTop w:val="0"/>
          <w:marBottom w:val="0"/>
          <w:divBdr>
            <w:top w:val="none" w:sz="0" w:space="0" w:color="auto"/>
            <w:left w:val="none" w:sz="0" w:space="0" w:color="auto"/>
            <w:bottom w:val="none" w:sz="0" w:space="0" w:color="auto"/>
            <w:right w:val="none" w:sz="0" w:space="0" w:color="auto"/>
          </w:divBdr>
          <w:divsChild>
            <w:div w:id="1707633385">
              <w:marLeft w:val="0"/>
              <w:marRight w:val="0"/>
              <w:marTop w:val="0"/>
              <w:marBottom w:val="0"/>
              <w:divBdr>
                <w:top w:val="none" w:sz="0" w:space="0" w:color="auto"/>
                <w:left w:val="none" w:sz="0" w:space="0" w:color="auto"/>
                <w:bottom w:val="none" w:sz="0" w:space="0" w:color="auto"/>
                <w:right w:val="none" w:sz="0" w:space="0" w:color="auto"/>
              </w:divBdr>
              <w:divsChild>
                <w:div w:id="1583831306">
                  <w:marLeft w:val="0"/>
                  <w:marRight w:val="0"/>
                  <w:marTop w:val="0"/>
                  <w:marBottom w:val="0"/>
                  <w:divBdr>
                    <w:top w:val="none" w:sz="0" w:space="0" w:color="auto"/>
                    <w:left w:val="none" w:sz="0" w:space="0" w:color="auto"/>
                    <w:bottom w:val="none" w:sz="0" w:space="0" w:color="auto"/>
                    <w:right w:val="none" w:sz="0" w:space="0" w:color="auto"/>
                  </w:divBdr>
                  <w:divsChild>
                    <w:div w:id="1094401828">
                      <w:marLeft w:val="0"/>
                      <w:marRight w:val="0"/>
                      <w:marTop w:val="0"/>
                      <w:marBottom w:val="0"/>
                      <w:divBdr>
                        <w:top w:val="none" w:sz="0" w:space="0" w:color="auto"/>
                        <w:left w:val="none" w:sz="0" w:space="0" w:color="auto"/>
                        <w:bottom w:val="none" w:sz="0" w:space="0" w:color="auto"/>
                        <w:right w:val="none" w:sz="0" w:space="0" w:color="auto"/>
                      </w:divBdr>
                      <w:divsChild>
                        <w:div w:id="277223684">
                          <w:marLeft w:val="0"/>
                          <w:marRight w:val="120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1832161">
      <w:bodyDiv w:val="1"/>
      <w:marLeft w:val="0"/>
      <w:marRight w:val="0"/>
      <w:marTop w:val="0"/>
      <w:marBottom w:val="0"/>
      <w:divBdr>
        <w:top w:val="none" w:sz="0" w:space="0" w:color="auto"/>
        <w:left w:val="none" w:sz="0" w:space="0" w:color="auto"/>
        <w:bottom w:val="none" w:sz="0" w:space="0" w:color="auto"/>
        <w:right w:val="none" w:sz="0" w:space="0" w:color="auto"/>
      </w:divBdr>
      <w:divsChild>
        <w:div w:id="321664893">
          <w:marLeft w:val="0"/>
          <w:marRight w:val="0"/>
          <w:marTop w:val="0"/>
          <w:marBottom w:val="0"/>
          <w:divBdr>
            <w:top w:val="none" w:sz="0" w:space="0" w:color="auto"/>
            <w:left w:val="none" w:sz="0" w:space="0" w:color="auto"/>
            <w:bottom w:val="none" w:sz="0" w:space="0" w:color="auto"/>
            <w:right w:val="none" w:sz="0" w:space="0" w:color="auto"/>
          </w:divBdr>
          <w:divsChild>
            <w:div w:id="641349543">
              <w:marLeft w:val="0"/>
              <w:marRight w:val="0"/>
              <w:marTop w:val="0"/>
              <w:marBottom w:val="0"/>
              <w:divBdr>
                <w:top w:val="none" w:sz="0" w:space="0" w:color="auto"/>
                <w:left w:val="none" w:sz="0" w:space="0" w:color="auto"/>
                <w:bottom w:val="none" w:sz="0" w:space="0" w:color="auto"/>
                <w:right w:val="none" w:sz="0" w:space="0" w:color="auto"/>
              </w:divBdr>
              <w:divsChild>
                <w:div w:id="1081873984">
                  <w:marLeft w:val="0"/>
                  <w:marRight w:val="0"/>
                  <w:marTop w:val="0"/>
                  <w:marBottom w:val="0"/>
                  <w:divBdr>
                    <w:top w:val="none" w:sz="0" w:space="0" w:color="auto"/>
                    <w:left w:val="none" w:sz="0" w:space="0" w:color="auto"/>
                    <w:bottom w:val="none" w:sz="0" w:space="0" w:color="auto"/>
                    <w:right w:val="none" w:sz="0" w:space="0" w:color="auto"/>
                  </w:divBdr>
                  <w:divsChild>
                    <w:div w:id="1343554852">
                      <w:marLeft w:val="0"/>
                      <w:marRight w:val="0"/>
                      <w:marTop w:val="0"/>
                      <w:marBottom w:val="0"/>
                      <w:divBdr>
                        <w:top w:val="none" w:sz="0" w:space="0" w:color="auto"/>
                        <w:left w:val="none" w:sz="0" w:space="0" w:color="auto"/>
                        <w:bottom w:val="none" w:sz="0" w:space="0" w:color="auto"/>
                        <w:right w:val="none" w:sz="0" w:space="0" w:color="auto"/>
                      </w:divBdr>
                      <w:divsChild>
                        <w:div w:id="1439565800">
                          <w:marLeft w:val="0"/>
                          <w:marRight w:val="0"/>
                          <w:marTop w:val="0"/>
                          <w:marBottom w:val="0"/>
                          <w:divBdr>
                            <w:top w:val="none" w:sz="0" w:space="0" w:color="auto"/>
                            <w:left w:val="none" w:sz="0" w:space="0" w:color="auto"/>
                            <w:bottom w:val="none" w:sz="0" w:space="0" w:color="auto"/>
                            <w:right w:val="none" w:sz="0" w:space="0" w:color="auto"/>
                          </w:divBdr>
                          <w:divsChild>
                            <w:div w:id="1869873424">
                              <w:marLeft w:val="0"/>
                              <w:marRight w:val="0"/>
                              <w:marTop w:val="0"/>
                              <w:marBottom w:val="100"/>
                              <w:divBdr>
                                <w:top w:val="none" w:sz="0" w:space="0" w:color="auto"/>
                                <w:left w:val="none" w:sz="0" w:space="0" w:color="auto"/>
                                <w:bottom w:val="none" w:sz="0" w:space="0" w:color="auto"/>
                                <w:right w:val="none" w:sz="0" w:space="0" w:color="auto"/>
                              </w:divBdr>
                              <w:divsChild>
                                <w:div w:id="144050783">
                                  <w:marLeft w:val="0"/>
                                  <w:marRight w:val="0"/>
                                  <w:marTop w:val="0"/>
                                  <w:marBottom w:val="0"/>
                                  <w:divBdr>
                                    <w:top w:val="none" w:sz="0" w:space="0" w:color="auto"/>
                                    <w:left w:val="none" w:sz="0" w:space="0" w:color="auto"/>
                                    <w:bottom w:val="none" w:sz="0" w:space="0" w:color="auto"/>
                                    <w:right w:val="none" w:sz="0" w:space="0" w:color="auto"/>
                                  </w:divBdr>
                                  <w:divsChild>
                                    <w:div w:id="961420250">
                                      <w:marLeft w:val="0"/>
                                      <w:marRight w:val="0"/>
                                      <w:marTop w:val="0"/>
                                      <w:marBottom w:val="0"/>
                                      <w:divBdr>
                                        <w:top w:val="none" w:sz="0" w:space="0" w:color="auto"/>
                                        <w:left w:val="none" w:sz="0" w:space="0" w:color="auto"/>
                                        <w:bottom w:val="none" w:sz="0" w:space="0" w:color="auto"/>
                                        <w:right w:val="none" w:sz="0" w:space="0" w:color="auto"/>
                                      </w:divBdr>
                                      <w:divsChild>
                                        <w:div w:id="2031444456">
                                          <w:marLeft w:val="0"/>
                                          <w:marRight w:val="0"/>
                                          <w:marTop w:val="0"/>
                                          <w:marBottom w:val="0"/>
                                          <w:divBdr>
                                            <w:top w:val="none" w:sz="0" w:space="0" w:color="auto"/>
                                            <w:left w:val="none" w:sz="0" w:space="0" w:color="auto"/>
                                            <w:bottom w:val="none" w:sz="0" w:space="0" w:color="auto"/>
                                            <w:right w:val="none" w:sz="0" w:space="0" w:color="auto"/>
                                          </w:divBdr>
                                          <w:divsChild>
                                            <w:div w:id="2047751004">
                                              <w:marLeft w:val="0"/>
                                              <w:marRight w:val="0"/>
                                              <w:marTop w:val="0"/>
                                              <w:marBottom w:val="0"/>
                                              <w:divBdr>
                                                <w:top w:val="none" w:sz="0" w:space="0" w:color="auto"/>
                                                <w:left w:val="none" w:sz="0" w:space="0" w:color="auto"/>
                                                <w:bottom w:val="none" w:sz="0" w:space="0" w:color="auto"/>
                                                <w:right w:val="none" w:sz="0" w:space="0" w:color="auto"/>
                                              </w:divBdr>
                                              <w:divsChild>
                                                <w:div w:id="1437016553">
                                                  <w:marLeft w:val="0"/>
                                                  <w:marRight w:val="0"/>
                                                  <w:marTop w:val="0"/>
                                                  <w:marBottom w:val="0"/>
                                                  <w:divBdr>
                                                    <w:top w:val="none" w:sz="0" w:space="0" w:color="auto"/>
                                                    <w:left w:val="none" w:sz="0" w:space="0" w:color="auto"/>
                                                    <w:bottom w:val="none" w:sz="0" w:space="0" w:color="auto"/>
                                                    <w:right w:val="none" w:sz="0" w:space="0" w:color="auto"/>
                                                  </w:divBdr>
                                                  <w:divsChild>
                                                    <w:div w:id="7604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53039154">
      <w:bodyDiv w:val="1"/>
      <w:marLeft w:val="0"/>
      <w:marRight w:val="0"/>
      <w:marTop w:val="0"/>
      <w:marBottom w:val="0"/>
      <w:divBdr>
        <w:top w:val="none" w:sz="0" w:space="0" w:color="auto"/>
        <w:left w:val="none" w:sz="0" w:space="0" w:color="auto"/>
        <w:bottom w:val="none" w:sz="0" w:space="0" w:color="auto"/>
        <w:right w:val="none" w:sz="0" w:space="0" w:color="auto"/>
      </w:divBdr>
      <w:divsChild>
        <w:div w:id="1251235011">
          <w:marLeft w:val="274"/>
          <w:marRight w:val="0"/>
          <w:marTop w:val="0"/>
          <w:marBottom w:val="0"/>
          <w:divBdr>
            <w:top w:val="none" w:sz="0" w:space="0" w:color="auto"/>
            <w:left w:val="none" w:sz="0" w:space="0" w:color="auto"/>
            <w:bottom w:val="none" w:sz="0" w:space="0" w:color="auto"/>
            <w:right w:val="none" w:sz="0" w:space="0" w:color="auto"/>
          </w:divBdr>
        </w:div>
        <w:div w:id="1383286020">
          <w:marLeft w:val="274"/>
          <w:marRight w:val="0"/>
          <w:marTop w:val="0"/>
          <w:marBottom w:val="0"/>
          <w:divBdr>
            <w:top w:val="none" w:sz="0" w:space="0" w:color="auto"/>
            <w:left w:val="none" w:sz="0" w:space="0" w:color="auto"/>
            <w:bottom w:val="none" w:sz="0" w:space="0" w:color="auto"/>
            <w:right w:val="none" w:sz="0" w:space="0" w:color="auto"/>
          </w:divBdr>
        </w:div>
        <w:div w:id="2118059679">
          <w:marLeft w:val="274"/>
          <w:marRight w:val="0"/>
          <w:marTop w:val="0"/>
          <w:marBottom w:val="0"/>
          <w:divBdr>
            <w:top w:val="none" w:sz="0" w:space="0" w:color="auto"/>
            <w:left w:val="none" w:sz="0" w:space="0" w:color="auto"/>
            <w:bottom w:val="none" w:sz="0" w:space="0" w:color="auto"/>
            <w:right w:val="none" w:sz="0" w:space="0" w:color="auto"/>
          </w:divBdr>
        </w:div>
      </w:divsChild>
    </w:div>
    <w:div w:id="1094671970">
      <w:bodyDiv w:val="1"/>
      <w:marLeft w:val="0"/>
      <w:marRight w:val="0"/>
      <w:marTop w:val="0"/>
      <w:marBottom w:val="0"/>
      <w:divBdr>
        <w:top w:val="none" w:sz="0" w:space="0" w:color="auto"/>
        <w:left w:val="none" w:sz="0" w:space="0" w:color="auto"/>
        <w:bottom w:val="none" w:sz="0" w:space="0" w:color="auto"/>
        <w:right w:val="none" w:sz="0" w:space="0" w:color="auto"/>
      </w:divBdr>
    </w:div>
    <w:div w:id="1105542875">
      <w:bodyDiv w:val="1"/>
      <w:marLeft w:val="0"/>
      <w:marRight w:val="0"/>
      <w:marTop w:val="0"/>
      <w:marBottom w:val="0"/>
      <w:divBdr>
        <w:top w:val="none" w:sz="0" w:space="0" w:color="auto"/>
        <w:left w:val="none" w:sz="0" w:space="0" w:color="auto"/>
        <w:bottom w:val="none" w:sz="0" w:space="0" w:color="auto"/>
        <w:right w:val="none" w:sz="0" w:space="0" w:color="auto"/>
      </w:divBdr>
    </w:div>
    <w:div w:id="1112016117">
      <w:bodyDiv w:val="1"/>
      <w:marLeft w:val="0"/>
      <w:marRight w:val="0"/>
      <w:marTop w:val="0"/>
      <w:marBottom w:val="0"/>
      <w:divBdr>
        <w:top w:val="none" w:sz="0" w:space="0" w:color="auto"/>
        <w:left w:val="none" w:sz="0" w:space="0" w:color="auto"/>
        <w:bottom w:val="none" w:sz="0" w:space="0" w:color="auto"/>
        <w:right w:val="none" w:sz="0" w:space="0" w:color="auto"/>
      </w:divBdr>
    </w:div>
    <w:div w:id="1117798214">
      <w:bodyDiv w:val="1"/>
      <w:marLeft w:val="0"/>
      <w:marRight w:val="0"/>
      <w:marTop w:val="0"/>
      <w:marBottom w:val="0"/>
      <w:divBdr>
        <w:top w:val="none" w:sz="0" w:space="0" w:color="auto"/>
        <w:left w:val="none" w:sz="0" w:space="0" w:color="auto"/>
        <w:bottom w:val="none" w:sz="0" w:space="0" w:color="auto"/>
        <w:right w:val="none" w:sz="0" w:space="0" w:color="auto"/>
      </w:divBdr>
    </w:div>
    <w:div w:id="1143623593">
      <w:bodyDiv w:val="1"/>
      <w:marLeft w:val="0"/>
      <w:marRight w:val="0"/>
      <w:marTop w:val="0"/>
      <w:marBottom w:val="0"/>
      <w:divBdr>
        <w:top w:val="none" w:sz="0" w:space="0" w:color="auto"/>
        <w:left w:val="none" w:sz="0" w:space="0" w:color="auto"/>
        <w:bottom w:val="none" w:sz="0" w:space="0" w:color="auto"/>
        <w:right w:val="none" w:sz="0" w:space="0" w:color="auto"/>
      </w:divBdr>
    </w:div>
    <w:div w:id="1151292025">
      <w:bodyDiv w:val="1"/>
      <w:marLeft w:val="0"/>
      <w:marRight w:val="0"/>
      <w:marTop w:val="0"/>
      <w:marBottom w:val="0"/>
      <w:divBdr>
        <w:top w:val="none" w:sz="0" w:space="0" w:color="auto"/>
        <w:left w:val="none" w:sz="0" w:space="0" w:color="auto"/>
        <w:bottom w:val="none" w:sz="0" w:space="0" w:color="auto"/>
        <w:right w:val="none" w:sz="0" w:space="0" w:color="auto"/>
      </w:divBdr>
    </w:div>
    <w:div w:id="1163164907">
      <w:bodyDiv w:val="1"/>
      <w:marLeft w:val="0"/>
      <w:marRight w:val="0"/>
      <w:marTop w:val="0"/>
      <w:marBottom w:val="0"/>
      <w:divBdr>
        <w:top w:val="none" w:sz="0" w:space="0" w:color="auto"/>
        <w:left w:val="none" w:sz="0" w:space="0" w:color="auto"/>
        <w:bottom w:val="none" w:sz="0" w:space="0" w:color="auto"/>
        <w:right w:val="none" w:sz="0" w:space="0" w:color="auto"/>
      </w:divBdr>
    </w:div>
    <w:div w:id="1165902111">
      <w:bodyDiv w:val="1"/>
      <w:marLeft w:val="0"/>
      <w:marRight w:val="0"/>
      <w:marTop w:val="0"/>
      <w:marBottom w:val="0"/>
      <w:divBdr>
        <w:top w:val="none" w:sz="0" w:space="0" w:color="auto"/>
        <w:left w:val="none" w:sz="0" w:space="0" w:color="auto"/>
        <w:bottom w:val="none" w:sz="0" w:space="0" w:color="auto"/>
        <w:right w:val="none" w:sz="0" w:space="0" w:color="auto"/>
      </w:divBdr>
    </w:div>
    <w:div w:id="1169637340">
      <w:bodyDiv w:val="1"/>
      <w:marLeft w:val="0"/>
      <w:marRight w:val="0"/>
      <w:marTop w:val="0"/>
      <w:marBottom w:val="0"/>
      <w:divBdr>
        <w:top w:val="none" w:sz="0" w:space="0" w:color="auto"/>
        <w:left w:val="none" w:sz="0" w:space="0" w:color="auto"/>
        <w:bottom w:val="none" w:sz="0" w:space="0" w:color="auto"/>
        <w:right w:val="none" w:sz="0" w:space="0" w:color="auto"/>
      </w:divBdr>
    </w:div>
    <w:div w:id="1202205695">
      <w:bodyDiv w:val="1"/>
      <w:marLeft w:val="0"/>
      <w:marRight w:val="0"/>
      <w:marTop w:val="0"/>
      <w:marBottom w:val="0"/>
      <w:divBdr>
        <w:top w:val="none" w:sz="0" w:space="0" w:color="auto"/>
        <w:left w:val="none" w:sz="0" w:space="0" w:color="auto"/>
        <w:bottom w:val="none" w:sz="0" w:space="0" w:color="auto"/>
        <w:right w:val="none" w:sz="0" w:space="0" w:color="auto"/>
      </w:divBdr>
      <w:divsChild>
        <w:div w:id="203907237">
          <w:marLeft w:val="0"/>
          <w:marRight w:val="0"/>
          <w:marTop w:val="0"/>
          <w:marBottom w:val="0"/>
          <w:divBdr>
            <w:top w:val="none" w:sz="0" w:space="0" w:color="auto"/>
            <w:left w:val="none" w:sz="0" w:space="0" w:color="auto"/>
            <w:bottom w:val="none" w:sz="0" w:space="0" w:color="auto"/>
            <w:right w:val="none" w:sz="0" w:space="0" w:color="auto"/>
          </w:divBdr>
          <w:divsChild>
            <w:div w:id="942109858">
              <w:marLeft w:val="0"/>
              <w:marRight w:val="0"/>
              <w:marTop w:val="0"/>
              <w:marBottom w:val="0"/>
              <w:divBdr>
                <w:top w:val="none" w:sz="0" w:space="0" w:color="auto"/>
                <w:left w:val="none" w:sz="0" w:space="0" w:color="auto"/>
                <w:bottom w:val="none" w:sz="0" w:space="0" w:color="auto"/>
                <w:right w:val="none" w:sz="0" w:space="0" w:color="auto"/>
              </w:divBdr>
              <w:divsChild>
                <w:div w:id="1714305446">
                  <w:marLeft w:val="0"/>
                  <w:marRight w:val="0"/>
                  <w:marTop w:val="0"/>
                  <w:marBottom w:val="0"/>
                  <w:divBdr>
                    <w:top w:val="none" w:sz="0" w:space="0" w:color="auto"/>
                    <w:left w:val="none" w:sz="0" w:space="0" w:color="auto"/>
                    <w:bottom w:val="none" w:sz="0" w:space="0" w:color="auto"/>
                    <w:right w:val="none" w:sz="0" w:space="0" w:color="auto"/>
                  </w:divBdr>
                  <w:divsChild>
                    <w:div w:id="1697387531">
                      <w:marLeft w:val="0"/>
                      <w:marRight w:val="0"/>
                      <w:marTop w:val="0"/>
                      <w:marBottom w:val="0"/>
                      <w:divBdr>
                        <w:top w:val="none" w:sz="0" w:space="0" w:color="auto"/>
                        <w:left w:val="none" w:sz="0" w:space="0" w:color="auto"/>
                        <w:bottom w:val="none" w:sz="0" w:space="0" w:color="auto"/>
                        <w:right w:val="none" w:sz="0" w:space="0" w:color="auto"/>
                      </w:divBdr>
                      <w:divsChild>
                        <w:div w:id="428818893">
                          <w:marLeft w:val="0"/>
                          <w:marRight w:val="0"/>
                          <w:marTop w:val="0"/>
                          <w:marBottom w:val="0"/>
                          <w:divBdr>
                            <w:top w:val="none" w:sz="0" w:space="0" w:color="auto"/>
                            <w:left w:val="none" w:sz="0" w:space="0" w:color="auto"/>
                            <w:bottom w:val="none" w:sz="0" w:space="0" w:color="auto"/>
                            <w:right w:val="none" w:sz="0" w:space="0" w:color="auto"/>
                          </w:divBdr>
                          <w:divsChild>
                            <w:div w:id="1504054757">
                              <w:marLeft w:val="0"/>
                              <w:marRight w:val="0"/>
                              <w:marTop w:val="0"/>
                              <w:marBottom w:val="0"/>
                              <w:divBdr>
                                <w:top w:val="none" w:sz="0" w:space="0" w:color="auto"/>
                                <w:left w:val="none" w:sz="0" w:space="0" w:color="auto"/>
                                <w:bottom w:val="none" w:sz="0" w:space="0" w:color="auto"/>
                                <w:right w:val="none" w:sz="0" w:space="0" w:color="auto"/>
                              </w:divBdr>
                              <w:divsChild>
                                <w:div w:id="2056153161">
                                  <w:marLeft w:val="0"/>
                                  <w:marRight w:val="0"/>
                                  <w:marTop w:val="0"/>
                                  <w:marBottom w:val="0"/>
                                  <w:divBdr>
                                    <w:top w:val="none" w:sz="0" w:space="0" w:color="auto"/>
                                    <w:left w:val="none" w:sz="0" w:space="0" w:color="auto"/>
                                    <w:bottom w:val="none" w:sz="0" w:space="0" w:color="auto"/>
                                    <w:right w:val="none" w:sz="0" w:space="0" w:color="auto"/>
                                  </w:divBdr>
                                  <w:divsChild>
                                    <w:div w:id="1814905644">
                                      <w:marLeft w:val="0"/>
                                      <w:marRight w:val="0"/>
                                      <w:marTop w:val="0"/>
                                      <w:marBottom w:val="0"/>
                                      <w:divBdr>
                                        <w:top w:val="none" w:sz="0" w:space="0" w:color="auto"/>
                                        <w:left w:val="none" w:sz="0" w:space="0" w:color="auto"/>
                                        <w:bottom w:val="none" w:sz="0" w:space="0" w:color="auto"/>
                                        <w:right w:val="none" w:sz="0" w:space="0" w:color="auto"/>
                                      </w:divBdr>
                                      <w:divsChild>
                                        <w:div w:id="81529593">
                                          <w:marLeft w:val="0"/>
                                          <w:marRight w:val="0"/>
                                          <w:marTop w:val="75"/>
                                          <w:marBottom w:val="0"/>
                                          <w:divBdr>
                                            <w:top w:val="none" w:sz="0" w:space="0" w:color="auto"/>
                                            <w:left w:val="none" w:sz="0" w:space="0" w:color="auto"/>
                                            <w:bottom w:val="none" w:sz="0" w:space="0" w:color="auto"/>
                                            <w:right w:val="none" w:sz="0" w:space="0" w:color="auto"/>
                                          </w:divBdr>
                                          <w:divsChild>
                                            <w:div w:id="78573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6165501">
      <w:bodyDiv w:val="1"/>
      <w:marLeft w:val="0"/>
      <w:marRight w:val="0"/>
      <w:marTop w:val="0"/>
      <w:marBottom w:val="0"/>
      <w:divBdr>
        <w:top w:val="none" w:sz="0" w:space="0" w:color="auto"/>
        <w:left w:val="none" w:sz="0" w:space="0" w:color="auto"/>
        <w:bottom w:val="none" w:sz="0" w:space="0" w:color="auto"/>
        <w:right w:val="none" w:sz="0" w:space="0" w:color="auto"/>
      </w:divBdr>
    </w:div>
    <w:div w:id="1229027933">
      <w:bodyDiv w:val="1"/>
      <w:marLeft w:val="0"/>
      <w:marRight w:val="0"/>
      <w:marTop w:val="0"/>
      <w:marBottom w:val="0"/>
      <w:divBdr>
        <w:top w:val="none" w:sz="0" w:space="0" w:color="auto"/>
        <w:left w:val="none" w:sz="0" w:space="0" w:color="auto"/>
        <w:bottom w:val="none" w:sz="0" w:space="0" w:color="auto"/>
        <w:right w:val="none" w:sz="0" w:space="0" w:color="auto"/>
      </w:divBdr>
    </w:div>
    <w:div w:id="1286735471">
      <w:bodyDiv w:val="1"/>
      <w:marLeft w:val="0"/>
      <w:marRight w:val="0"/>
      <w:marTop w:val="0"/>
      <w:marBottom w:val="0"/>
      <w:divBdr>
        <w:top w:val="none" w:sz="0" w:space="0" w:color="auto"/>
        <w:left w:val="none" w:sz="0" w:space="0" w:color="auto"/>
        <w:bottom w:val="none" w:sz="0" w:space="0" w:color="auto"/>
        <w:right w:val="none" w:sz="0" w:space="0" w:color="auto"/>
      </w:divBdr>
    </w:div>
    <w:div w:id="1339885651">
      <w:bodyDiv w:val="1"/>
      <w:marLeft w:val="0"/>
      <w:marRight w:val="0"/>
      <w:marTop w:val="0"/>
      <w:marBottom w:val="0"/>
      <w:divBdr>
        <w:top w:val="none" w:sz="0" w:space="0" w:color="auto"/>
        <w:left w:val="none" w:sz="0" w:space="0" w:color="auto"/>
        <w:bottom w:val="none" w:sz="0" w:space="0" w:color="auto"/>
        <w:right w:val="none" w:sz="0" w:space="0" w:color="auto"/>
      </w:divBdr>
      <w:divsChild>
        <w:div w:id="1653682418">
          <w:marLeft w:val="0"/>
          <w:marRight w:val="0"/>
          <w:marTop w:val="0"/>
          <w:marBottom w:val="0"/>
          <w:divBdr>
            <w:top w:val="none" w:sz="0" w:space="0" w:color="auto"/>
            <w:left w:val="none" w:sz="0" w:space="0" w:color="auto"/>
            <w:bottom w:val="none" w:sz="0" w:space="0" w:color="auto"/>
            <w:right w:val="none" w:sz="0" w:space="0" w:color="auto"/>
          </w:divBdr>
          <w:divsChild>
            <w:div w:id="312225474">
              <w:marLeft w:val="0"/>
              <w:marRight w:val="0"/>
              <w:marTop w:val="0"/>
              <w:marBottom w:val="0"/>
              <w:divBdr>
                <w:top w:val="none" w:sz="0" w:space="0" w:color="auto"/>
                <w:left w:val="none" w:sz="0" w:space="0" w:color="auto"/>
                <w:bottom w:val="none" w:sz="0" w:space="0" w:color="auto"/>
                <w:right w:val="none" w:sz="0" w:space="0" w:color="auto"/>
              </w:divBdr>
              <w:divsChild>
                <w:div w:id="1974210478">
                  <w:marLeft w:val="0"/>
                  <w:marRight w:val="0"/>
                  <w:marTop w:val="0"/>
                  <w:marBottom w:val="0"/>
                  <w:divBdr>
                    <w:top w:val="none" w:sz="0" w:space="0" w:color="auto"/>
                    <w:left w:val="none" w:sz="0" w:space="0" w:color="auto"/>
                    <w:bottom w:val="none" w:sz="0" w:space="0" w:color="auto"/>
                    <w:right w:val="none" w:sz="0" w:space="0" w:color="auto"/>
                  </w:divBdr>
                  <w:divsChild>
                    <w:div w:id="1835998143">
                      <w:marLeft w:val="0"/>
                      <w:marRight w:val="0"/>
                      <w:marTop w:val="0"/>
                      <w:marBottom w:val="0"/>
                      <w:divBdr>
                        <w:top w:val="none" w:sz="0" w:space="0" w:color="auto"/>
                        <w:left w:val="none" w:sz="0" w:space="0" w:color="auto"/>
                        <w:bottom w:val="none" w:sz="0" w:space="0" w:color="auto"/>
                        <w:right w:val="none" w:sz="0" w:space="0" w:color="auto"/>
                      </w:divBdr>
                      <w:divsChild>
                        <w:div w:id="1967273614">
                          <w:marLeft w:val="0"/>
                          <w:marRight w:val="0"/>
                          <w:marTop w:val="0"/>
                          <w:marBottom w:val="0"/>
                          <w:divBdr>
                            <w:top w:val="none" w:sz="0" w:space="0" w:color="auto"/>
                            <w:left w:val="none" w:sz="0" w:space="0" w:color="auto"/>
                            <w:bottom w:val="none" w:sz="0" w:space="0" w:color="auto"/>
                            <w:right w:val="none" w:sz="0" w:space="0" w:color="auto"/>
                          </w:divBdr>
                          <w:divsChild>
                            <w:div w:id="31925867">
                              <w:marLeft w:val="0"/>
                              <w:marRight w:val="0"/>
                              <w:marTop w:val="0"/>
                              <w:marBottom w:val="0"/>
                              <w:divBdr>
                                <w:top w:val="none" w:sz="0" w:space="0" w:color="auto"/>
                                <w:left w:val="none" w:sz="0" w:space="0" w:color="auto"/>
                                <w:bottom w:val="none" w:sz="0" w:space="0" w:color="auto"/>
                                <w:right w:val="none" w:sz="0" w:space="0" w:color="auto"/>
                              </w:divBdr>
                              <w:divsChild>
                                <w:div w:id="1576015436">
                                  <w:marLeft w:val="0"/>
                                  <w:marRight w:val="0"/>
                                  <w:marTop w:val="0"/>
                                  <w:marBottom w:val="0"/>
                                  <w:divBdr>
                                    <w:top w:val="none" w:sz="0" w:space="0" w:color="auto"/>
                                    <w:left w:val="none" w:sz="0" w:space="0" w:color="auto"/>
                                    <w:bottom w:val="none" w:sz="0" w:space="0" w:color="auto"/>
                                    <w:right w:val="none" w:sz="0" w:space="0" w:color="auto"/>
                                  </w:divBdr>
                                  <w:divsChild>
                                    <w:div w:id="777716852">
                                      <w:marLeft w:val="0"/>
                                      <w:marRight w:val="0"/>
                                      <w:marTop w:val="0"/>
                                      <w:marBottom w:val="0"/>
                                      <w:divBdr>
                                        <w:top w:val="none" w:sz="0" w:space="0" w:color="auto"/>
                                        <w:left w:val="none" w:sz="0" w:space="0" w:color="auto"/>
                                        <w:bottom w:val="none" w:sz="0" w:space="0" w:color="auto"/>
                                        <w:right w:val="none" w:sz="0" w:space="0" w:color="auto"/>
                                      </w:divBdr>
                                      <w:divsChild>
                                        <w:div w:id="1093817971">
                                          <w:marLeft w:val="0"/>
                                          <w:marRight w:val="0"/>
                                          <w:marTop w:val="75"/>
                                          <w:marBottom w:val="0"/>
                                          <w:divBdr>
                                            <w:top w:val="none" w:sz="0" w:space="0" w:color="auto"/>
                                            <w:left w:val="none" w:sz="0" w:space="0" w:color="auto"/>
                                            <w:bottom w:val="none" w:sz="0" w:space="0" w:color="auto"/>
                                            <w:right w:val="none" w:sz="0" w:space="0" w:color="auto"/>
                                          </w:divBdr>
                                          <w:divsChild>
                                            <w:div w:id="209551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5225660">
      <w:bodyDiv w:val="1"/>
      <w:marLeft w:val="0"/>
      <w:marRight w:val="0"/>
      <w:marTop w:val="0"/>
      <w:marBottom w:val="0"/>
      <w:divBdr>
        <w:top w:val="none" w:sz="0" w:space="0" w:color="auto"/>
        <w:left w:val="none" w:sz="0" w:space="0" w:color="auto"/>
        <w:bottom w:val="none" w:sz="0" w:space="0" w:color="auto"/>
        <w:right w:val="none" w:sz="0" w:space="0" w:color="auto"/>
      </w:divBdr>
    </w:div>
    <w:div w:id="1369404929">
      <w:bodyDiv w:val="1"/>
      <w:marLeft w:val="0"/>
      <w:marRight w:val="0"/>
      <w:marTop w:val="0"/>
      <w:marBottom w:val="0"/>
      <w:divBdr>
        <w:top w:val="none" w:sz="0" w:space="0" w:color="auto"/>
        <w:left w:val="none" w:sz="0" w:space="0" w:color="auto"/>
        <w:bottom w:val="none" w:sz="0" w:space="0" w:color="auto"/>
        <w:right w:val="none" w:sz="0" w:space="0" w:color="auto"/>
      </w:divBdr>
    </w:div>
    <w:div w:id="1392194003">
      <w:bodyDiv w:val="1"/>
      <w:marLeft w:val="0"/>
      <w:marRight w:val="0"/>
      <w:marTop w:val="0"/>
      <w:marBottom w:val="0"/>
      <w:divBdr>
        <w:top w:val="none" w:sz="0" w:space="0" w:color="auto"/>
        <w:left w:val="none" w:sz="0" w:space="0" w:color="auto"/>
        <w:bottom w:val="none" w:sz="0" w:space="0" w:color="auto"/>
        <w:right w:val="none" w:sz="0" w:space="0" w:color="auto"/>
      </w:divBdr>
    </w:div>
    <w:div w:id="1419207265">
      <w:bodyDiv w:val="1"/>
      <w:marLeft w:val="0"/>
      <w:marRight w:val="0"/>
      <w:marTop w:val="0"/>
      <w:marBottom w:val="0"/>
      <w:divBdr>
        <w:top w:val="none" w:sz="0" w:space="0" w:color="auto"/>
        <w:left w:val="none" w:sz="0" w:space="0" w:color="auto"/>
        <w:bottom w:val="none" w:sz="0" w:space="0" w:color="auto"/>
        <w:right w:val="none" w:sz="0" w:space="0" w:color="auto"/>
      </w:divBdr>
      <w:divsChild>
        <w:div w:id="591666837">
          <w:marLeft w:val="0"/>
          <w:marRight w:val="0"/>
          <w:marTop w:val="0"/>
          <w:marBottom w:val="0"/>
          <w:divBdr>
            <w:top w:val="none" w:sz="0" w:space="0" w:color="auto"/>
            <w:left w:val="none" w:sz="0" w:space="0" w:color="auto"/>
            <w:bottom w:val="none" w:sz="0" w:space="0" w:color="auto"/>
            <w:right w:val="none" w:sz="0" w:space="0" w:color="auto"/>
          </w:divBdr>
          <w:divsChild>
            <w:div w:id="841431625">
              <w:marLeft w:val="0"/>
              <w:marRight w:val="0"/>
              <w:marTop w:val="0"/>
              <w:marBottom w:val="0"/>
              <w:divBdr>
                <w:top w:val="none" w:sz="0" w:space="0" w:color="auto"/>
                <w:left w:val="none" w:sz="0" w:space="0" w:color="auto"/>
                <w:bottom w:val="none" w:sz="0" w:space="0" w:color="auto"/>
                <w:right w:val="none" w:sz="0" w:space="0" w:color="auto"/>
              </w:divBdr>
              <w:divsChild>
                <w:div w:id="594435877">
                  <w:marLeft w:val="0"/>
                  <w:marRight w:val="0"/>
                  <w:marTop w:val="0"/>
                  <w:marBottom w:val="0"/>
                  <w:divBdr>
                    <w:top w:val="none" w:sz="0" w:space="0" w:color="auto"/>
                    <w:left w:val="none" w:sz="0" w:space="0" w:color="auto"/>
                    <w:bottom w:val="none" w:sz="0" w:space="0" w:color="auto"/>
                    <w:right w:val="none" w:sz="0" w:space="0" w:color="auto"/>
                  </w:divBdr>
                  <w:divsChild>
                    <w:div w:id="717245052">
                      <w:marLeft w:val="150"/>
                      <w:marRight w:val="150"/>
                      <w:marTop w:val="0"/>
                      <w:marBottom w:val="0"/>
                      <w:divBdr>
                        <w:top w:val="none" w:sz="0" w:space="0" w:color="auto"/>
                        <w:left w:val="none" w:sz="0" w:space="0" w:color="auto"/>
                        <w:bottom w:val="none" w:sz="0" w:space="0" w:color="auto"/>
                        <w:right w:val="none" w:sz="0" w:space="0" w:color="auto"/>
                      </w:divBdr>
                      <w:divsChild>
                        <w:div w:id="1233925705">
                          <w:marLeft w:val="0"/>
                          <w:marRight w:val="0"/>
                          <w:marTop w:val="0"/>
                          <w:marBottom w:val="0"/>
                          <w:divBdr>
                            <w:top w:val="none" w:sz="0" w:space="0" w:color="auto"/>
                            <w:left w:val="none" w:sz="0" w:space="0" w:color="auto"/>
                            <w:bottom w:val="none" w:sz="0" w:space="0" w:color="auto"/>
                            <w:right w:val="none" w:sz="0" w:space="0" w:color="auto"/>
                          </w:divBdr>
                          <w:divsChild>
                            <w:div w:id="494035957">
                              <w:marLeft w:val="0"/>
                              <w:marRight w:val="0"/>
                              <w:marTop w:val="0"/>
                              <w:marBottom w:val="0"/>
                              <w:divBdr>
                                <w:top w:val="none" w:sz="0" w:space="0" w:color="auto"/>
                                <w:left w:val="none" w:sz="0" w:space="0" w:color="auto"/>
                                <w:bottom w:val="none" w:sz="0" w:space="0" w:color="auto"/>
                                <w:right w:val="none" w:sz="0" w:space="0" w:color="auto"/>
                              </w:divBdr>
                              <w:divsChild>
                                <w:div w:id="191578004">
                                  <w:marLeft w:val="0"/>
                                  <w:marRight w:val="0"/>
                                  <w:marTop w:val="0"/>
                                  <w:marBottom w:val="0"/>
                                  <w:divBdr>
                                    <w:top w:val="none" w:sz="0" w:space="0" w:color="auto"/>
                                    <w:left w:val="none" w:sz="0" w:space="0" w:color="auto"/>
                                    <w:bottom w:val="none" w:sz="0" w:space="0" w:color="auto"/>
                                    <w:right w:val="none" w:sz="0" w:space="0" w:color="auto"/>
                                  </w:divBdr>
                                  <w:divsChild>
                                    <w:div w:id="306277757">
                                      <w:marLeft w:val="0"/>
                                      <w:marRight w:val="0"/>
                                      <w:marTop w:val="0"/>
                                      <w:marBottom w:val="0"/>
                                      <w:divBdr>
                                        <w:top w:val="none" w:sz="0" w:space="0" w:color="auto"/>
                                        <w:left w:val="none" w:sz="0" w:space="0" w:color="auto"/>
                                        <w:bottom w:val="none" w:sz="0" w:space="0" w:color="auto"/>
                                        <w:right w:val="none" w:sz="0" w:space="0" w:color="auto"/>
                                      </w:divBdr>
                                      <w:divsChild>
                                        <w:div w:id="1308314846">
                                          <w:marLeft w:val="0"/>
                                          <w:marRight w:val="0"/>
                                          <w:marTop w:val="0"/>
                                          <w:marBottom w:val="0"/>
                                          <w:divBdr>
                                            <w:top w:val="none" w:sz="0" w:space="0" w:color="auto"/>
                                            <w:left w:val="none" w:sz="0" w:space="0" w:color="auto"/>
                                            <w:bottom w:val="none" w:sz="0" w:space="0" w:color="auto"/>
                                            <w:right w:val="none" w:sz="0" w:space="0" w:color="auto"/>
                                          </w:divBdr>
                                          <w:divsChild>
                                            <w:div w:id="2098016655">
                                              <w:marLeft w:val="0"/>
                                              <w:marRight w:val="0"/>
                                              <w:marTop w:val="0"/>
                                              <w:marBottom w:val="0"/>
                                              <w:divBdr>
                                                <w:top w:val="none" w:sz="0" w:space="0" w:color="auto"/>
                                                <w:left w:val="none" w:sz="0" w:space="0" w:color="auto"/>
                                                <w:bottom w:val="none" w:sz="0" w:space="0" w:color="auto"/>
                                                <w:right w:val="none" w:sz="0" w:space="0" w:color="auto"/>
                                              </w:divBdr>
                                              <w:divsChild>
                                                <w:div w:id="1186823173">
                                                  <w:marLeft w:val="0"/>
                                                  <w:marRight w:val="0"/>
                                                  <w:marTop w:val="0"/>
                                                  <w:marBottom w:val="0"/>
                                                  <w:divBdr>
                                                    <w:top w:val="none" w:sz="0" w:space="0" w:color="auto"/>
                                                    <w:left w:val="none" w:sz="0" w:space="0" w:color="auto"/>
                                                    <w:bottom w:val="none" w:sz="0" w:space="0" w:color="auto"/>
                                                    <w:right w:val="none" w:sz="0" w:space="0" w:color="auto"/>
                                                  </w:divBdr>
                                                  <w:divsChild>
                                                    <w:div w:id="2067607364">
                                                      <w:marLeft w:val="0"/>
                                                      <w:marRight w:val="0"/>
                                                      <w:marTop w:val="0"/>
                                                      <w:marBottom w:val="0"/>
                                                      <w:divBdr>
                                                        <w:top w:val="none" w:sz="0" w:space="0" w:color="auto"/>
                                                        <w:left w:val="none" w:sz="0" w:space="0" w:color="auto"/>
                                                        <w:bottom w:val="none" w:sz="0" w:space="0" w:color="auto"/>
                                                        <w:right w:val="none" w:sz="0" w:space="0" w:color="auto"/>
                                                      </w:divBdr>
                                                      <w:divsChild>
                                                        <w:div w:id="30647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78498235">
      <w:bodyDiv w:val="1"/>
      <w:marLeft w:val="0"/>
      <w:marRight w:val="0"/>
      <w:marTop w:val="0"/>
      <w:marBottom w:val="0"/>
      <w:divBdr>
        <w:top w:val="none" w:sz="0" w:space="0" w:color="auto"/>
        <w:left w:val="none" w:sz="0" w:space="0" w:color="auto"/>
        <w:bottom w:val="none" w:sz="0" w:space="0" w:color="auto"/>
        <w:right w:val="none" w:sz="0" w:space="0" w:color="auto"/>
      </w:divBdr>
      <w:divsChild>
        <w:div w:id="359817120">
          <w:marLeft w:val="274"/>
          <w:marRight w:val="0"/>
          <w:marTop w:val="0"/>
          <w:marBottom w:val="0"/>
          <w:divBdr>
            <w:top w:val="none" w:sz="0" w:space="0" w:color="auto"/>
            <w:left w:val="none" w:sz="0" w:space="0" w:color="auto"/>
            <w:bottom w:val="none" w:sz="0" w:space="0" w:color="auto"/>
            <w:right w:val="none" w:sz="0" w:space="0" w:color="auto"/>
          </w:divBdr>
        </w:div>
        <w:div w:id="577784595">
          <w:marLeft w:val="274"/>
          <w:marRight w:val="0"/>
          <w:marTop w:val="0"/>
          <w:marBottom w:val="0"/>
          <w:divBdr>
            <w:top w:val="none" w:sz="0" w:space="0" w:color="auto"/>
            <w:left w:val="none" w:sz="0" w:space="0" w:color="auto"/>
            <w:bottom w:val="none" w:sz="0" w:space="0" w:color="auto"/>
            <w:right w:val="none" w:sz="0" w:space="0" w:color="auto"/>
          </w:divBdr>
        </w:div>
        <w:div w:id="604002685">
          <w:marLeft w:val="274"/>
          <w:marRight w:val="0"/>
          <w:marTop w:val="0"/>
          <w:marBottom w:val="0"/>
          <w:divBdr>
            <w:top w:val="none" w:sz="0" w:space="0" w:color="auto"/>
            <w:left w:val="none" w:sz="0" w:space="0" w:color="auto"/>
            <w:bottom w:val="none" w:sz="0" w:space="0" w:color="auto"/>
            <w:right w:val="none" w:sz="0" w:space="0" w:color="auto"/>
          </w:divBdr>
        </w:div>
        <w:div w:id="779373509">
          <w:marLeft w:val="274"/>
          <w:marRight w:val="0"/>
          <w:marTop w:val="0"/>
          <w:marBottom w:val="0"/>
          <w:divBdr>
            <w:top w:val="none" w:sz="0" w:space="0" w:color="auto"/>
            <w:left w:val="none" w:sz="0" w:space="0" w:color="auto"/>
            <w:bottom w:val="none" w:sz="0" w:space="0" w:color="auto"/>
            <w:right w:val="none" w:sz="0" w:space="0" w:color="auto"/>
          </w:divBdr>
        </w:div>
        <w:div w:id="1840191139">
          <w:marLeft w:val="274"/>
          <w:marRight w:val="0"/>
          <w:marTop w:val="0"/>
          <w:marBottom w:val="0"/>
          <w:divBdr>
            <w:top w:val="none" w:sz="0" w:space="0" w:color="auto"/>
            <w:left w:val="none" w:sz="0" w:space="0" w:color="auto"/>
            <w:bottom w:val="none" w:sz="0" w:space="0" w:color="auto"/>
            <w:right w:val="none" w:sz="0" w:space="0" w:color="auto"/>
          </w:divBdr>
        </w:div>
      </w:divsChild>
    </w:div>
    <w:div w:id="1500005967">
      <w:bodyDiv w:val="1"/>
      <w:marLeft w:val="0"/>
      <w:marRight w:val="0"/>
      <w:marTop w:val="0"/>
      <w:marBottom w:val="0"/>
      <w:divBdr>
        <w:top w:val="none" w:sz="0" w:space="0" w:color="auto"/>
        <w:left w:val="none" w:sz="0" w:space="0" w:color="auto"/>
        <w:bottom w:val="none" w:sz="0" w:space="0" w:color="auto"/>
        <w:right w:val="none" w:sz="0" w:space="0" w:color="auto"/>
      </w:divBdr>
      <w:divsChild>
        <w:div w:id="1031496099">
          <w:marLeft w:val="0"/>
          <w:marRight w:val="0"/>
          <w:marTop w:val="0"/>
          <w:marBottom w:val="0"/>
          <w:divBdr>
            <w:top w:val="none" w:sz="0" w:space="0" w:color="auto"/>
            <w:left w:val="none" w:sz="0" w:space="0" w:color="auto"/>
            <w:bottom w:val="none" w:sz="0" w:space="0" w:color="auto"/>
            <w:right w:val="none" w:sz="0" w:space="0" w:color="auto"/>
          </w:divBdr>
          <w:divsChild>
            <w:div w:id="82189896">
              <w:marLeft w:val="0"/>
              <w:marRight w:val="0"/>
              <w:marTop w:val="0"/>
              <w:marBottom w:val="0"/>
              <w:divBdr>
                <w:top w:val="none" w:sz="0" w:space="0" w:color="auto"/>
                <w:left w:val="none" w:sz="0" w:space="0" w:color="auto"/>
                <w:bottom w:val="none" w:sz="0" w:space="0" w:color="auto"/>
                <w:right w:val="none" w:sz="0" w:space="0" w:color="auto"/>
              </w:divBdr>
              <w:divsChild>
                <w:div w:id="1992520368">
                  <w:marLeft w:val="0"/>
                  <w:marRight w:val="0"/>
                  <w:marTop w:val="0"/>
                  <w:marBottom w:val="0"/>
                  <w:divBdr>
                    <w:top w:val="none" w:sz="0" w:space="0" w:color="auto"/>
                    <w:left w:val="none" w:sz="0" w:space="0" w:color="auto"/>
                    <w:bottom w:val="none" w:sz="0" w:space="0" w:color="auto"/>
                    <w:right w:val="none" w:sz="0" w:space="0" w:color="auto"/>
                  </w:divBdr>
                  <w:divsChild>
                    <w:div w:id="995305224">
                      <w:marLeft w:val="0"/>
                      <w:marRight w:val="0"/>
                      <w:marTop w:val="0"/>
                      <w:marBottom w:val="0"/>
                      <w:divBdr>
                        <w:top w:val="none" w:sz="0" w:space="0" w:color="auto"/>
                        <w:left w:val="none" w:sz="0" w:space="0" w:color="auto"/>
                        <w:bottom w:val="none" w:sz="0" w:space="0" w:color="auto"/>
                        <w:right w:val="none" w:sz="0" w:space="0" w:color="auto"/>
                      </w:divBdr>
                      <w:divsChild>
                        <w:div w:id="394399890">
                          <w:marLeft w:val="0"/>
                          <w:marRight w:val="0"/>
                          <w:marTop w:val="0"/>
                          <w:marBottom w:val="0"/>
                          <w:divBdr>
                            <w:top w:val="none" w:sz="0" w:space="0" w:color="auto"/>
                            <w:left w:val="none" w:sz="0" w:space="0" w:color="auto"/>
                            <w:bottom w:val="none" w:sz="0" w:space="0" w:color="auto"/>
                            <w:right w:val="none" w:sz="0" w:space="0" w:color="auto"/>
                          </w:divBdr>
                          <w:divsChild>
                            <w:div w:id="34238219">
                              <w:marLeft w:val="0"/>
                              <w:marRight w:val="0"/>
                              <w:marTop w:val="0"/>
                              <w:marBottom w:val="0"/>
                              <w:divBdr>
                                <w:top w:val="none" w:sz="0" w:space="0" w:color="auto"/>
                                <w:left w:val="none" w:sz="0" w:space="0" w:color="auto"/>
                                <w:bottom w:val="none" w:sz="0" w:space="0" w:color="auto"/>
                                <w:right w:val="none" w:sz="0" w:space="0" w:color="auto"/>
                              </w:divBdr>
                              <w:divsChild>
                                <w:div w:id="124198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0925441">
      <w:bodyDiv w:val="1"/>
      <w:marLeft w:val="0"/>
      <w:marRight w:val="0"/>
      <w:marTop w:val="0"/>
      <w:marBottom w:val="0"/>
      <w:divBdr>
        <w:top w:val="none" w:sz="0" w:space="0" w:color="auto"/>
        <w:left w:val="none" w:sz="0" w:space="0" w:color="auto"/>
        <w:bottom w:val="none" w:sz="0" w:space="0" w:color="auto"/>
        <w:right w:val="none" w:sz="0" w:space="0" w:color="auto"/>
      </w:divBdr>
    </w:div>
    <w:div w:id="1583102308">
      <w:bodyDiv w:val="1"/>
      <w:marLeft w:val="0"/>
      <w:marRight w:val="0"/>
      <w:marTop w:val="0"/>
      <w:marBottom w:val="0"/>
      <w:divBdr>
        <w:top w:val="none" w:sz="0" w:space="0" w:color="auto"/>
        <w:left w:val="none" w:sz="0" w:space="0" w:color="auto"/>
        <w:bottom w:val="none" w:sz="0" w:space="0" w:color="auto"/>
        <w:right w:val="none" w:sz="0" w:space="0" w:color="auto"/>
      </w:divBdr>
    </w:div>
    <w:div w:id="1583182622">
      <w:bodyDiv w:val="1"/>
      <w:marLeft w:val="0"/>
      <w:marRight w:val="0"/>
      <w:marTop w:val="0"/>
      <w:marBottom w:val="0"/>
      <w:divBdr>
        <w:top w:val="none" w:sz="0" w:space="0" w:color="auto"/>
        <w:left w:val="none" w:sz="0" w:space="0" w:color="auto"/>
        <w:bottom w:val="none" w:sz="0" w:space="0" w:color="auto"/>
        <w:right w:val="none" w:sz="0" w:space="0" w:color="auto"/>
      </w:divBdr>
    </w:div>
    <w:div w:id="1607926102">
      <w:bodyDiv w:val="1"/>
      <w:marLeft w:val="0"/>
      <w:marRight w:val="0"/>
      <w:marTop w:val="0"/>
      <w:marBottom w:val="0"/>
      <w:divBdr>
        <w:top w:val="none" w:sz="0" w:space="0" w:color="auto"/>
        <w:left w:val="none" w:sz="0" w:space="0" w:color="auto"/>
        <w:bottom w:val="none" w:sz="0" w:space="0" w:color="auto"/>
        <w:right w:val="none" w:sz="0" w:space="0" w:color="auto"/>
      </w:divBdr>
    </w:div>
    <w:div w:id="1641381816">
      <w:bodyDiv w:val="1"/>
      <w:marLeft w:val="0"/>
      <w:marRight w:val="0"/>
      <w:marTop w:val="0"/>
      <w:marBottom w:val="0"/>
      <w:divBdr>
        <w:top w:val="none" w:sz="0" w:space="0" w:color="auto"/>
        <w:left w:val="none" w:sz="0" w:space="0" w:color="auto"/>
        <w:bottom w:val="none" w:sz="0" w:space="0" w:color="auto"/>
        <w:right w:val="none" w:sz="0" w:space="0" w:color="auto"/>
      </w:divBdr>
      <w:divsChild>
        <w:div w:id="1697848811">
          <w:marLeft w:val="0"/>
          <w:marRight w:val="0"/>
          <w:marTop w:val="0"/>
          <w:marBottom w:val="0"/>
          <w:divBdr>
            <w:top w:val="none" w:sz="0" w:space="0" w:color="auto"/>
            <w:left w:val="none" w:sz="0" w:space="0" w:color="auto"/>
            <w:bottom w:val="none" w:sz="0" w:space="0" w:color="auto"/>
            <w:right w:val="none" w:sz="0" w:space="0" w:color="auto"/>
          </w:divBdr>
          <w:divsChild>
            <w:div w:id="1745031122">
              <w:marLeft w:val="0"/>
              <w:marRight w:val="0"/>
              <w:marTop w:val="0"/>
              <w:marBottom w:val="0"/>
              <w:divBdr>
                <w:top w:val="none" w:sz="0" w:space="0" w:color="auto"/>
                <w:left w:val="none" w:sz="0" w:space="0" w:color="auto"/>
                <w:bottom w:val="none" w:sz="0" w:space="0" w:color="auto"/>
                <w:right w:val="none" w:sz="0" w:space="0" w:color="auto"/>
              </w:divBdr>
              <w:divsChild>
                <w:div w:id="584070581">
                  <w:marLeft w:val="0"/>
                  <w:marRight w:val="0"/>
                  <w:marTop w:val="0"/>
                  <w:marBottom w:val="0"/>
                  <w:divBdr>
                    <w:top w:val="none" w:sz="0" w:space="0" w:color="auto"/>
                    <w:left w:val="none" w:sz="0" w:space="0" w:color="auto"/>
                    <w:bottom w:val="none" w:sz="0" w:space="0" w:color="auto"/>
                    <w:right w:val="none" w:sz="0" w:space="0" w:color="auto"/>
                  </w:divBdr>
                  <w:divsChild>
                    <w:div w:id="234246708">
                      <w:marLeft w:val="0"/>
                      <w:marRight w:val="0"/>
                      <w:marTop w:val="0"/>
                      <w:marBottom w:val="0"/>
                      <w:divBdr>
                        <w:top w:val="none" w:sz="0" w:space="0" w:color="auto"/>
                        <w:left w:val="none" w:sz="0" w:space="0" w:color="auto"/>
                        <w:bottom w:val="none" w:sz="0" w:space="0" w:color="auto"/>
                        <w:right w:val="none" w:sz="0" w:space="0" w:color="auto"/>
                      </w:divBdr>
                      <w:divsChild>
                        <w:div w:id="1959140374">
                          <w:marLeft w:val="0"/>
                          <w:marRight w:val="0"/>
                          <w:marTop w:val="0"/>
                          <w:marBottom w:val="0"/>
                          <w:divBdr>
                            <w:top w:val="none" w:sz="0" w:space="0" w:color="auto"/>
                            <w:left w:val="none" w:sz="0" w:space="0" w:color="auto"/>
                            <w:bottom w:val="none" w:sz="0" w:space="0" w:color="auto"/>
                            <w:right w:val="none" w:sz="0" w:space="0" w:color="auto"/>
                          </w:divBdr>
                          <w:divsChild>
                            <w:div w:id="69935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019084">
      <w:bodyDiv w:val="1"/>
      <w:marLeft w:val="0"/>
      <w:marRight w:val="0"/>
      <w:marTop w:val="0"/>
      <w:marBottom w:val="0"/>
      <w:divBdr>
        <w:top w:val="none" w:sz="0" w:space="0" w:color="auto"/>
        <w:left w:val="none" w:sz="0" w:space="0" w:color="auto"/>
        <w:bottom w:val="none" w:sz="0" w:space="0" w:color="auto"/>
        <w:right w:val="none" w:sz="0" w:space="0" w:color="auto"/>
      </w:divBdr>
    </w:div>
    <w:div w:id="1727487526">
      <w:bodyDiv w:val="1"/>
      <w:marLeft w:val="0"/>
      <w:marRight w:val="0"/>
      <w:marTop w:val="0"/>
      <w:marBottom w:val="0"/>
      <w:divBdr>
        <w:top w:val="none" w:sz="0" w:space="0" w:color="auto"/>
        <w:left w:val="none" w:sz="0" w:space="0" w:color="auto"/>
        <w:bottom w:val="none" w:sz="0" w:space="0" w:color="auto"/>
        <w:right w:val="none" w:sz="0" w:space="0" w:color="auto"/>
      </w:divBdr>
    </w:div>
    <w:div w:id="1768303322">
      <w:bodyDiv w:val="1"/>
      <w:marLeft w:val="0"/>
      <w:marRight w:val="0"/>
      <w:marTop w:val="0"/>
      <w:marBottom w:val="0"/>
      <w:divBdr>
        <w:top w:val="none" w:sz="0" w:space="0" w:color="auto"/>
        <w:left w:val="none" w:sz="0" w:space="0" w:color="auto"/>
        <w:bottom w:val="none" w:sz="0" w:space="0" w:color="auto"/>
        <w:right w:val="none" w:sz="0" w:space="0" w:color="auto"/>
      </w:divBdr>
    </w:div>
    <w:div w:id="1769695677">
      <w:bodyDiv w:val="1"/>
      <w:marLeft w:val="0"/>
      <w:marRight w:val="0"/>
      <w:marTop w:val="0"/>
      <w:marBottom w:val="0"/>
      <w:divBdr>
        <w:top w:val="none" w:sz="0" w:space="0" w:color="auto"/>
        <w:left w:val="none" w:sz="0" w:space="0" w:color="auto"/>
        <w:bottom w:val="none" w:sz="0" w:space="0" w:color="auto"/>
        <w:right w:val="none" w:sz="0" w:space="0" w:color="auto"/>
      </w:divBdr>
    </w:div>
    <w:div w:id="1770003967">
      <w:bodyDiv w:val="1"/>
      <w:marLeft w:val="0"/>
      <w:marRight w:val="0"/>
      <w:marTop w:val="0"/>
      <w:marBottom w:val="0"/>
      <w:divBdr>
        <w:top w:val="none" w:sz="0" w:space="0" w:color="auto"/>
        <w:left w:val="none" w:sz="0" w:space="0" w:color="auto"/>
        <w:bottom w:val="none" w:sz="0" w:space="0" w:color="auto"/>
        <w:right w:val="none" w:sz="0" w:space="0" w:color="auto"/>
      </w:divBdr>
    </w:div>
    <w:div w:id="1770737125">
      <w:bodyDiv w:val="1"/>
      <w:marLeft w:val="0"/>
      <w:marRight w:val="0"/>
      <w:marTop w:val="0"/>
      <w:marBottom w:val="0"/>
      <w:divBdr>
        <w:top w:val="none" w:sz="0" w:space="0" w:color="auto"/>
        <w:left w:val="none" w:sz="0" w:space="0" w:color="auto"/>
        <w:bottom w:val="none" w:sz="0" w:space="0" w:color="auto"/>
        <w:right w:val="none" w:sz="0" w:space="0" w:color="auto"/>
      </w:divBdr>
    </w:div>
    <w:div w:id="1816488618">
      <w:bodyDiv w:val="1"/>
      <w:marLeft w:val="0"/>
      <w:marRight w:val="0"/>
      <w:marTop w:val="0"/>
      <w:marBottom w:val="0"/>
      <w:divBdr>
        <w:top w:val="none" w:sz="0" w:space="0" w:color="auto"/>
        <w:left w:val="none" w:sz="0" w:space="0" w:color="auto"/>
        <w:bottom w:val="none" w:sz="0" w:space="0" w:color="auto"/>
        <w:right w:val="none" w:sz="0" w:space="0" w:color="auto"/>
      </w:divBdr>
      <w:divsChild>
        <w:div w:id="1275287397">
          <w:marLeft w:val="0"/>
          <w:marRight w:val="0"/>
          <w:marTop w:val="0"/>
          <w:marBottom w:val="0"/>
          <w:divBdr>
            <w:top w:val="none" w:sz="0" w:space="0" w:color="auto"/>
            <w:left w:val="none" w:sz="0" w:space="0" w:color="auto"/>
            <w:bottom w:val="none" w:sz="0" w:space="0" w:color="auto"/>
            <w:right w:val="none" w:sz="0" w:space="0" w:color="auto"/>
          </w:divBdr>
          <w:divsChild>
            <w:div w:id="546529986">
              <w:marLeft w:val="0"/>
              <w:marRight w:val="0"/>
              <w:marTop w:val="0"/>
              <w:marBottom w:val="0"/>
              <w:divBdr>
                <w:top w:val="none" w:sz="0" w:space="0" w:color="auto"/>
                <w:left w:val="none" w:sz="0" w:space="0" w:color="auto"/>
                <w:bottom w:val="none" w:sz="0" w:space="0" w:color="auto"/>
                <w:right w:val="none" w:sz="0" w:space="0" w:color="auto"/>
              </w:divBdr>
              <w:divsChild>
                <w:div w:id="196743694">
                  <w:marLeft w:val="0"/>
                  <w:marRight w:val="0"/>
                  <w:marTop w:val="100"/>
                  <w:marBottom w:val="100"/>
                  <w:divBdr>
                    <w:top w:val="none" w:sz="0" w:space="0" w:color="auto"/>
                    <w:left w:val="none" w:sz="0" w:space="0" w:color="auto"/>
                    <w:bottom w:val="none" w:sz="0" w:space="0" w:color="auto"/>
                    <w:right w:val="none" w:sz="0" w:space="0" w:color="auto"/>
                  </w:divBdr>
                  <w:divsChild>
                    <w:div w:id="729116186">
                      <w:marLeft w:val="0"/>
                      <w:marRight w:val="0"/>
                      <w:marTop w:val="0"/>
                      <w:marBottom w:val="0"/>
                      <w:divBdr>
                        <w:top w:val="none" w:sz="0" w:space="0" w:color="auto"/>
                        <w:left w:val="none" w:sz="0" w:space="0" w:color="auto"/>
                        <w:bottom w:val="none" w:sz="0" w:space="0" w:color="auto"/>
                        <w:right w:val="none" w:sz="0" w:space="0" w:color="auto"/>
                      </w:divBdr>
                      <w:divsChild>
                        <w:div w:id="1633904044">
                          <w:marLeft w:val="0"/>
                          <w:marRight w:val="0"/>
                          <w:marTop w:val="0"/>
                          <w:marBottom w:val="0"/>
                          <w:divBdr>
                            <w:top w:val="none" w:sz="0" w:space="0" w:color="auto"/>
                            <w:left w:val="none" w:sz="0" w:space="0" w:color="auto"/>
                            <w:bottom w:val="none" w:sz="0" w:space="0" w:color="auto"/>
                            <w:right w:val="none" w:sz="0" w:space="0" w:color="auto"/>
                          </w:divBdr>
                          <w:divsChild>
                            <w:div w:id="292565755">
                              <w:marLeft w:val="0"/>
                              <w:marRight w:val="0"/>
                              <w:marTop w:val="0"/>
                              <w:marBottom w:val="0"/>
                              <w:divBdr>
                                <w:top w:val="none" w:sz="0" w:space="0" w:color="auto"/>
                                <w:left w:val="none" w:sz="0" w:space="0" w:color="auto"/>
                                <w:bottom w:val="none" w:sz="0" w:space="0" w:color="auto"/>
                                <w:right w:val="none" w:sz="0" w:space="0" w:color="auto"/>
                              </w:divBdr>
                              <w:divsChild>
                                <w:div w:id="203710985">
                                  <w:marLeft w:val="0"/>
                                  <w:marRight w:val="0"/>
                                  <w:marTop w:val="0"/>
                                  <w:marBottom w:val="0"/>
                                  <w:divBdr>
                                    <w:top w:val="none" w:sz="0" w:space="0" w:color="auto"/>
                                    <w:left w:val="none" w:sz="0" w:space="0" w:color="auto"/>
                                    <w:bottom w:val="none" w:sz="0" w:space="0" w:color="auto"/>
                                    <w:right w:val="none" w:sz="0" w:space="0" w:color="auto"/>
                                  </w:divBdr>
                                  <w:divsChild>
                                    <w:div w:id="2067990982">
                                      <w:marLeft w:val="0"/>
                                      <w:marRight w:val="0"/>
                                      <w:marTop w:val="0"/>
                                      <w:marBottom w:val="0"/>
                                      <w:divBdr>
                                        <w:top w:val="none" w:sz="0" w:space="0" w:color="auto"/>
                                        <w:left w:val="none" w:sz="0" w:space="0" w:color="auto"/>
                                        <w:bottom w:val="none" w:sz="0" w:space="0" w:color="auto"/>
                                        <w:right w:val="none" w:sz="0" w:space="0" w:color="auto"/>
                                      </w:divBdr>
                                      <w:divsChild>
                                        <w:div w:id="1461804338">
                                          <w:marLeft w:val="0"/>
                                          <w:marRight w:val="0"/>
                                          <w:marTop w:val="0"/>
                                          <w:marBottom w:val="360"/>
                                          <w:divBdr>
                                            <w:top w:val="none" w:sz="0" w:space="0" w:color="auto"/>
                                            <w:left w:val="none" w:sz="0" w:space="0" w:color="auto"/>
                                            <w:bottom w:val="none" w:sz="0" w:space="0" w:color="auto"/>
                                            <w:right w:val="none" w:sz="0" w:space="0" w:color="auto"/>
                                          </w:divBdr>
                                          <w:divsChild>
                                            <w:div w:id="1411123793">
                                              <w:marLeft w:val="0"/>
                                              <w:marRight w:val="0"/>
                                              <w:marTop w:val="0"/>
                                              <w:marBottom w:val="0"/>
                                              <w:divBdr>
                                                <w:top w:val="none" w:sz="0" w:space="0" w:color="auto"/>
                                                <w:left w:val="none" w:sz="0" w:space="0" w:color="auto"/>
                                                <w:bottom w:val="none" w:sz="0" w:space="0" w:color="auto"/>
                                                <w:right w:val="none" w:sz="0" w:space="0" w:color="auto"/>
                                              </w:divBdr>
                                              <w:divsChild>
                                                <w:div w:id="921720376">
                                                  <w:marLeft w:val="0"/>
                                                  <w:marRight w:val="0"/>
                                                  <w:marTop w:val="0"/>
                                                  <w:marBottom w:val="0"/>
                                                  <w:divBdr>
                                                    <w:top w:val="none" w:sz="0" w:space="0" w:color="auto"/>
                                                    <w:left w:val="none" w:sz="0" w:space="0" w:color="auto"/>
                                                    <w:bottom w:val="none" w:sz="0" w:space="0" w:color="auto"/>
                                                    <w:right w:val="none" w:sz="0" w:space="0" w:color="auto"/>
                                                  </w:divBdr>
                                                  <w:divsChild>
                                                    <w:div w:id="545487255">
                                                      <w:marLeft w:val="5370"/>
                                                      <w:marRight w:val="0"/>
                                                      <w:marTop w:val="120"/>
                                                      <w:marBottom w:val="0"/>
                                                      <w:divBdr>
                                                        <w:top w:val="none" w:sz="0" w:space="0" w:color="auto"/>
                                                        <w:left w:val="none" w:sz="0" w:space="0" w:color="auto"/>
                                                        <w:bottom w:val="none" w:sz="0" w:space="0" w:color="auto"/>
                                                        <w:right w:val="none" w:sz="0" w:space="0" w:color="auto"/>
                                                      </w:divBdr>
                                                      <w:divsChild>
                                                        <w:div w:id="35959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20149091">
      <w:bodyDiv w:val="1"/>
      <w:marLeft w:val="0"/>
      <w:marRight w:val="0"/>
      <w:marTop w:val="0"/>
      <w:marBottom w:val="0"/>
      <w:divBdr>
        <w:top w:val="none" w:sz="0" w:space="0" w:color="auto"/>
        <w:left w:val="none" w:sz="0" w:space="0" w:color="auto"/>
        <w:bottom w:val="none" w:sz="0" w:space="0" w:color="auto"/>
        <w:right w:val="none" w:sz="0" w:space="0" w:color="auto"/>
      </w:divBdr>
      <w:divsChild>
        <w:div w:id="380716328">
          <w:marLeft w:val="274"/>
          <w:marRight w:val="0"/>
          <w:marTop w:val="0"/>
          <w:marBottom w:val="0"/>
          <w:divBdr>
            <w:top w:val="none" w:sz="0" w:space="0" w:color="auto"/>
            <w:left w:val="none" w:sz="0" w:space="0" w:color="auto"/>
            <w:bottom w:val="none" w:sz="0" w:space="0" w:color="auto"/>
            <w:right w:val="none" w:sz="0" w:space="0" w:color="auto"/>
          </w:divBdr>
        </w:div>
        <w:div w:id="1106123436">
          <w:marLeft w:val="274"/>
          <w:marRight w:val="0"/>
          <w:marTop w:val="0"/>
          <w:marBottom w:val="0"/>
          <w:divBdr>
            <w:top w:val="none" w:sz="0" w:space="0" w:color="auto"/>
            <w:left w:val="none" w:sz="0" w:space="0" w:color="auto"/>
            <w:bottom w:val="none" w:sz="0" w:space="0" w:color="auto"/>
            <w:right w:val="none" w:sz="0" w:space="0" w:color="auto"/>
          </w:divBdr>
        </w:div>
        <w:div w:id="1209297892">
          <w:marLeft w:val="274"/>
          <w:marRight w:val="0"/>
          <w:marTop w:val="0"/>
          <w:marBottom w:val="0"/>
          <w:divBdr>
            <w:top w:val="none" w:sz="0" w:space="0" w:color="auto"/>
            <w:left w:val="none" w:sz="0" w:space="0" w:color="auto"/>
            <w:bottom w:val="none" w:sz="0" w:space="0" w:color="auto"/>
            <w:right w:val="none" w:sz="0" w:space="0" w:color="auto"/>
          </w:divBdr>
        </w:div>
        <w:div w:id="1231233258">
          <w:marLeft w:val="274"/>
          <w:marRight w:val="0"/>
          <w:marTop w:val="0"/>
          <w:marBottom w:val="0"/>
          <w:divBdr>
            <w:top w:val="none" w:sz="0" w:space="0" w:color="auto"/>
            <w:left w:val="none" w:sz="0" w:space="0" w:color="auto"/>
            <w:bottom w:val="none" w:sz="0" w:space="0" w:color="auto"/>
            <w:right w:val="none" w:sz="0" w:space="0" w:color="auto"/>
          </w:divBdr>
        </w:div>
        <w:div w:id="1270821934">
          <w:marLeft w:val="274"/>
          <w:marRight w:val="0"/>
          <w:marTop w:val="0"/>
          <w:marBottom w:val="0"/>
          <w:divBdr>
            <w:top w:val="none" w:sz="0" w:space="0" w:color="auto"/>
            <w:left w:val="none" w:sz="0" w:space="0" w:color="auto"/>
            <w:bottom w:val="none" w:sz="0" w:space="0" w:color="auto"/>
            <w:right w:val="none" w:sz="0" w:space="0" w:color="auto"/>
          </w:divBdr>
        </w:div>
        <w:div w:id="2031224533">
          <w:marLeft w:val="274"/>
          <w:marRight w:val="0"/>
          <w:marTop w:val="0"/>
          <w:marBottom w:val="0"/>
          <w:divBdr>
            <w:top w:val="none" w:sz="0" w:space="0" w:color="auto"/>
            <w:left w:val="none" w:sz="0" w:space="0" w:color="auto"/>
            <w:bottom w:val="none" w:sz="0" w:space="0" w:color="auto"/>
            <w:right w:val="none" w:sz="0" w:space="0" w:color="auto"/>
          </w:divBdr>
        </w:div>
      </w:divsChild>
    </w:div>
    <w:div w:id="1834560799">
      <w:bodyDiv w:val="1"/>
      <w:marLeft w:val="0"/>
      <w:marRight w:val="0"/>
      <w:marTop w:val="0"/>
      <w:marBottom w:val="0"/>
      <w:divBdr>
        <w:top w:val="none" w:sz="0" w:space="0" w:color="auto"/>
        <w:left w:val="none" w:sz="0" w:space="0" w:color="auto"/>
        <w:bottom w:val="none" w:sz="0" w:space="0" w:color="auto"/>
        <w:right w:val="none" w:sz="0" w:space="0" w:color="auto"/>
      </w:divBdr>
    </w:div>
    <w:div w:id="1848474190">
      <w:bodyDiv w:val="1"/>
      <w:marLeft w:val="0"/>
      <w:marRight w:val="0"/>
      <w:marTop w:val="0"/>
      <w:marBottom w:val="0"/>
      <w:divBdr>
        <w:top w:val="none" w:sz="0" w:space="0" w:color="auto"/>
        <w:left w:val="none" w:sz="0" w:space="0" w:color="auto"/>
        <w:bottom w:val="none" w:sz="0" w:space="0" w:color="auto"/>
        <w:right w:val="none" w:sz="0" w:space="0" w:color="auto"/>
      </w:divBdr>
    </w:div>
    <w:div w:id="1861699548">
      <w:bodyDiv w:val="1"/>
      <w:marLeft w:val="379"/>
      <w:marRight w:val="120"/>
      <w:marTop w:val="379"/>
      <w:marBottom w:val="379"/>
      <w:divBdr>
        <w:top w:val="none" w:sz="0" w:space="0" w:color="auto"/>
        <w:left w:val="none" w:sz="0" w:space="0" w:color="auto"/>
        <w:bottom w:val="none" w:sz="0" w:space="0" w:color="auto"/>
        <w:right w:val="none" w:sz="0" w:space="0" w:color="auto"/>
      </w:divBdr>
      <w:divsChild>
        <w:div w:id="15548233">
          <w:marLeft w:val="0"/>
          <w:marRight w:val="0"/>
          <w:marTop w:val="0"/>
          <w:marBottom w:val="0"/>
          <w:divBdr>
            <w:top w:val="none" w:sz="0" w:space="0" w:color="auto"/>
            <w:left w:val="none" w:sz="0" w:space="0" w:color="auto"/>
            <w:bottom w:val="none" w:sz="0" w:space="0" w:color="auto"/>
            <w:right w:val="none" w:sz="0" w:space="0" w:color="auto"/>
          </w:divBdr>
          <w:divsChild>
            <w:div w:id="182546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99556">
      <w:bodyDiv w:val="1"/>
      <w:marLeft w:val="0"/>
      <w:marRight w:val="0"/>
      <w:marTop w:val="0"/>
      <w:marBottom w:val="0"/>
      <w:divBdr>
        <w:top w:val="none" w:sz="0" w:space="0" w:color="auto"/>
        <w:left w:val="none" w:sz="0" w:space="0" w:color="auto"/>
        <w:bottom w:val="none" w:sz="0" w:space="0" w:color="auto"/>
        <w:right w:val="none" w:sz="0" w:space="0" w:color="auto"/>
      </w:divBdr>
    </w:div>
    <w:div w:id="1883010084">
      <w:bodyDiv w:val="1"/>
      <w:marLeft w:val="0"/>
      <w:marRight w:val="0"/>
      <w:marTop w:val="0"/>
      <w:marBottom w:val="0"/>
      <w:divBdr>
        <w:top w:val="none" w:sz="0" w:space="0" w:color="auto"/>
        <w:left w:val="none" w:sz="0" w:space="0" w:color="auto"/>
        <w:bottom w:val="none" w:sz="0" w:space="0" w:color="auto"/>
        <w:right w:val="none" w:sz="0" w:space="0" w:color="auto"/>
      </w:divBdr>
    </w:div>
    <w:div w:id="1895507883">
      <w:bodyDiv w:val="1"/>
      <w:marLeft w:val="0"/>
      <w:marRight w:val="0"/>
      <w:marTop w:val="0"/>
      <w:marBottom w:val="0"/>
      <w:divBdr>
        <w:top w:val="none" w:sz="0" w:space="0" w:color="auto"/>
        <w:left w:val="none" w:sz="0" w:space="0" w:color="auto"/>
        <w:bottom w:val="none" w:sz="0" w:space="0" w:color="auto"/>
        <w:right w:val="none" w:sz="0" w:space="0" w:color="auto"/>
      </w:divBdr>
    </w:div>
    <w:div w:id="1925720583">
      <w:bodyDiv w:val="1"/>
      <w:marLeft w:val="0"/>
      <w:marRight w:val="0"/>
      <w:marTop w:val="0"/>
      <w:marBottom w:val="0"/>
      <w:divBdr>
        <w:top w:val="none" w:sz="0" w:space="0" w:color="auto"/>
        <w:left w:val="none" w:sz="0" w:space="0" w:color="auto"/>
        <w:bottom w:val="none" w:sz="0" w:space="0" w:color="auto"/>
        <w:right w:val="none" w:sz="0" w:space="0" w:color="auto"/>
      </w:divBdr>
    </w:div>
    <w:div w:id="1938975064">
      <w:bodyDiv w:val="1"/>
      <w:marLeft w:val="0"/>
      <w:marRight w:val="0"/>
      <w:marTop w:val="0"/>
      <w:marBottom w:val="0"/>
      <w:divBdr>
        <w:top w:val="none" w:sz="0" w:space="0" w:color="auto"/>
        <w:left w:val="none" w:sz="0" w:space="0" w:color="auto"/>
        <w:bottom w:val="none" w:sz="0" w:space="0" w:color="auto"/>
        <w:right w:val="none" w:sz="0" w:space="0" w:color="auto"/>
      </w:divBdr>
    </w:div>
    <w:div w:id="1961061267">
      <w:bodyDiv w:val="1"/>
      <w:marLeft w:val="0"/>
      <w:marRight w:val="0"/>
      <w:marTop w:val="0"/>
      <w:marBottom w:val="0"/>
      <w:divBdr>
        <w:top w:val="none" w:sz="0" w:space="0" w:color="auto"/>
        <w:left w:val="none" w:sz="0" w:space="0" w:color="auto"/>
        <w:bottom w:val="none" w:sz="0" w:space="0" w:color="auto"/>
        <w:right w:val="none" w:sz="0" w:space="0" w:color="auto"/>
      </w:divBdr>
    </w:div>
    <w:div w:id="1976132543">
      <w:bodyDiv w:val="1"/>
      <w:marLeft w:val="0"/>
      <w:marRight w:val="0"/>
      <w:marTop w:val="0"/>
      <w:marBottom w:val="0"/>
      <w:divBdr>
        <w:top w:val="none" w:sz="0" w:space="0" w:color="auto"/>
        <w:left w:val="none" w:sz="0" w:space="0" w:color="auto"/>
        <w:bottom w:val="none" w:sz="0" w:space="0" w:color="auto"/>
        <w:right w:val="none" w:sz="0" w:space="0" w:color="auto"/>
      </w:divBdr>
    </w:div>
    <w:div w:id="2003118502">
      <w:bodyDiv w:val="1"/>
      <w:marLeft w:val="0"/>
      <w:marRight w:val="0"/>
      <w:marTop w:val="0"/>
      <w:marBottom w:val="0"/>
      <w:divBdr>
        <w:top w:val="none" w:sz="0" w:space="0" w:color="auto"/>
        <w:left w:val="none" w:sz="0" w:space="0" w:color="auto"/>
        <w:bottom w:val="none" w:sz="0" w:space="0" w:color="auto"/>
        <w:right w:val="none" w:sz="0" w:space="0" w:color="auto"/>
      </w:divBdr>
    </w:div>
    <w:div w:id="2011716257">
      <w:bodyDiv w:val="1"/>
      <w:marLeft w:val="0"/>
      <w:marRight w:val="0"/>
      <w:marTop w:val="0"/>
      <w:marBottom w:val="0"/>
      <w:divBdr>
        <w:top w:val="none" w:sz="0" w:space="0" w:color="auto"/>
        <w:left w:val="none" w:sz="0" w:space="0" w:color="auto"/>
        <w:bottom w:val="none" w:sz="0" w:space="0" w:color="auto"/>
        <w:right w:val="none" w:sz="0" w:space="0" w:color="auto"/>
      </w:divBdr>
    </w:div>
    <w:div w:id="2015305046">
      <w:bodyDiv w:val="1"/>
      <w:marLeft w:val="0"/>
      <w:marRight w:val="0"/>
      <w:marTop w:val="0"/>
      <w:marBottom w:val="0"/>
      <w:divBdr>
        <w:top w:val="none" w:sz="0" w:space="0" w:color="auto"/>
        <w:left w:val="none" w:sz="0" w:space="0" w:color="auto"/>
        <w:bottom w:val="none" w:sz="0" w:space="0" w:color="auto"/>
        <w:right w:val="none" w:sz="0" w:space="0" w:color="auto"/>
      </w:divBdr>
    </w:div>
    <w:div w:id="2043285484">
      <w:bodyDiv w:val="1"/>
      <w:marLeft w:val="0"/>
      <w:marRight w:val="0"/>
      <w:marTop w:val="0"/>
      <w:marBottom w:val="0"/>
      <w:divBdr>
        <w:top w:val="none" w:sz="0" w:space="0" w:color="auto"/>
        <w:left w:val="none" w:sz="0" w:space="0" w:color="auto"/>
        <w:bottom w:val="none" w:sz="0" w:space="0" w:color="auto"/>
        <w:right w:val="none" w:sz="0" w:space="0" w:color="auto"/>
      </w:divBdr>
    </w:div>
    <w:div w:id="2049135374">
      <w:bodyDiv w:val="1"/>
      <w:marLeft w:val="0"/>
      <w:marRight w:val="0"/>
      <w:marTop w:val="0"/>
      <w:marBottom w:val="0"/>
      <w:divBdr>
        <w:top w:val="none" w:sz="0" w:space="0" w:color="auto"/>
        <w:left w:val="none" w:sz="0" w:space="0" w:color="auto"/>
        <w:bottom w:val="none" w:sz="0" w:space="0" w:color="auto"/>
        <w:right w:val="none" w:sz="0" w:space="0" w:color="auto"/>
      </w:divBdr>
    </w:div>
    <w:div w:id="2108845323">
      <w:bodyDiv w:val="1"/>
      <w:marLeft w:val="0"/>
      <w:marRight w:val="0"/>
      <w:marTop w:val="0"/>
      <w:marBottom w:val="0"/>
      <w:divBdr>
        <w:top w:val="none" w:sz="0" w:space="0" w:color="auto"/>
        <w:left w:val="none" w:sz="0" w:space="0" w:color="auto"/>
        <w:bottom w:val="none" w:sz="0" w:space="0" w:color="auto"/>
        <w:right w:val="none" w:sz="0" w:space="0" w:color="auto"/>
      </w:divBdr>
      <w:divsChild>
        <w:div w:id="1398166741">
          <w:marLeft w:val="0"/>
          <w:marRight w:val="0"/>
          <w:marTop w:val="0"/>
          <w:marBottom w:val="0"/>
          <w:divBdr>
            <w:top w:val="none" w:sz="0" w:space="0" w:color="auto"/>
            <w:left w:val="none" w:sz="0" w:space="0" w:color="auto"/>
            <w:bottom w:val="none" w:sz="0" w:space="0" w:color="auto"/>
            <w:right w:val="none" w:sz="0" w:space="0" w:color="auto"/>
          </w:divBdr>
          <w:divsChild>
            <w:div w:id="853495175">
              <w:marLeft w:val="0"/>
              <w:marRight w:val="0"/>
              <w:marTop w:val="0"/>
              <w:marBottom w:val="0"/>
              <w:divBdr>
                <w:top w:val="none" w:sz="0" w:space="0" w:color="auto"/>
                <w:left w:val="none" w:sz="0" w:space="0" w:color="auto"/>
                <w:bottom w:val="none" w:sz="0" w:space="0" w:color="auto"/>
                <w:right w:val="none" w:sz="0" w:space="0" w:color="auto"/>
              </w:divBdr>
              <w:divsChild>
                <w:div w:id="1765686431">
                  <w:marLeft w:val="0"/>
                  <w:marRight w:val="0"/>
                  <w:marTop w:val="0"/>
                  <w:marBottom w:val="0"/>
                  <w:divBdr>
                    <w:top w:val="none" w:sz="0" w:space="0" w:color="auto"/>
                    <w:left w:val="none" w:sz="0" w:space="0" w:color="auto"/>
                    <w:bottom w:val="none" w:sz="0" w:space="0" w:color="auto"/>
                    <w:right w:val="none" w:sz="0" w:space="0" w:color="auto"/>
                  </w:divBdr>
                  <w:divsChild>
                    <w:div w:id="758064714">
                      <w:marLeft w:val="0"/>
                      <w:marRight w:val="0"/>
                      <w:marTop w:val="0"/>
                      <w:marBottom w:val="0"/>
                      <w:divBdr>
                        <w:top w:val="none" w:sz="0" w:space="0" w:color="auto"/>
                        <w:left w:val="none" w:sz="0" w:space="0" w:color="auto"/>
                        <w:bottom w:val="none" w:sz="0" w:space="0" w:color="auto"/>
                        <w:right w:val="none" w:sz="0" w:space="0" w:color="auto"/>
                      </w:divBdr>
                      <w:divsChild>
                        <w:div w:id="890923717">
                          <w:marLeft w:val="0"/>
                          <w:marRight w:val="0"/>
                          <w:marTop w:val="0"/>
                          <w:marBottom w:val="0"/>
                          <w:divBdr>
                            <w:top w:val="none" w:sz="0" w:space="0" w:color="auto"/>
                            <w:left w:val="none" w:sz="0" w:space="0" w:color="auto"/>
                            <w:bottom w:val="none" w:sz="0" w:space="0" w:color="auto"/>
                            <w:right w:val="none" w:sz="0" w:space="0" w:color="auto"/>
                          </w:divBdr>
                          <w:divsChild>
                            <w:div w:id="958532344">
                              <w:marLeft w:val="0"/>
                              <w:marRight w:val="0"/>
                              <w:marTop w:val="0"/>
                              <w:marBottom w:val="0"/>
                              <w:divBdr>
                                <w:top w:val="none" w:sz="0" w:space="0" w:color="auto"/>
                                <w:left w:val="none" w:sz="0" w:space="0" w:color="auto"/>
                                <w:bottom w:val="none" w:sz="0" w:space="0" w:color="auto"/>
                                <w:right w:val="none" w:sz="0" w:space="0" w:color="auto"/>
                              </w:divBdr>
                            </w:div>
                            <w:div w:id="1067458100">
                              <w:marLeft w:val="0"/>
                              <w:marRight w:val="0"/>
                              <w:marTop w:val="0"/>
                              <w:marBottom w:val="0"/>
                              <w:divBdr>
                                <w:top w:val="none" w:sz="0" w:space="0" w:color="auto"/>
                                <w:left w:val="none" w:sz="0" w:space="0" w:color="auto"/>
                                <w:bottom w:val="none" w:sz="0" w:space="0" w:color="auto"/>
                                <w:right w:val="none" w:sz="0" w:space="0" w:color="auto"/>
                              </w:divBdr>
                            </w:div>
                            <w:div w:id="1194659734">
                              <w:marLeft w:val="0"/>
                              <w:marRight w:val="0"/>
                              <w:marTop w:val="0"/>
                              <w:marBottom w:val="0"/>
                              <w:divBdr>
                                <w:top w:val="none" w:sz="0" w:space="0" w:color="auto"/>
                                <w:left w:val="none" w:sz="0" w:space="0" w:color="auto"/>
                                <w:bottom w:val="none" w:sz="0" w:space="0" w:color="auto"/>
                                <w:right w:val="none" w:sz="0" w:space="0" w:color="auto"/>
                              </w:divBdr>
                            </w:div>
                            <w:div w:id="177170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2730026">
      <w:bodyDiv w:val="1"/>
      <w:marLeft w:val="0"/>
      <w:marRight w:val="0"/>
      <w:marTop w:val="0"/>
      <w:marBottom w:val="0"/>
      <w:divBdr>
        <w:top w:val="none" w:sz="0" w:space="0" w:color="auto"/>
        <w:left w:val="none" w:sz="0" w:space="0" w:color="auto"/>
        <w:bottom w:val="none" w:sz="0" w:space="0" w:color="auto"/>
        <w:right w:val="none" w:sz="0" w:space="0" w:color="auto"/>
      </w:divBdr>
    </w:div>
    <w:div w:id="2143688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paustralia.gov.au/submit-new-policy-issue" TargetMode="External"/><Relationship Id="rId117" Type="http://schemas.openxmlformats.org/officeDocument/2006/relationships/hyperlink" Target="mailto:ogp@industry.gov.au" TargetMode="External"/><Relationship Id="rId21" Type="http://schemas.openxmlformats.org/officeDocument/2006/relationships/image" Target="media/image50.jpeg"/><Relationship Id="rId42" Type="http://schemas.openxmlformats.org/officeDocument/2006/relationships/image" Target="media/image13.jpeg"/><Relationship Id="rId47" Type="http://schemas.openxmlformats.org/officeDocument/2006/relationships/image" Target="media/image140.png"/><Relationship Id="rId63" Type="http://schemas.openxmlformats.org/officeDocument/2006/relationships/image" Target="media/image210.png"/><Relationship Id="rId68" Type="http://schemas.openxmlformats.org/officeDocument/2006/relationships/hyperlink" Target="https://fundmyneighbourhood.yoursay.sa.gov.au/" TargetMode="External"/><Relationship Id="rId84" Type="http://schemas.openxmlformats.org/officeDocument/2006/relationships/image" Target="media/image90.png"/><Relationship Id="rId89" Type="http://schemas.openxmlformats.org/officeDocument/2006/relationships/image" Target="media/image30.png"/><Relationship Id="rId112" Type="http://schemas.openxmlformats.org/officeDocument/2006/relationships/image" Target="media/image48.jpeg"/><Relationship Id="rId133" Type="http://schemas.openxmlformats.org/officeDocument/2006/relationships/footer" Target="footer4.xml"/><Relationship Id="rId16" Type="http://schemas.openxmlformats.org/officeDocument/2006/relationships/footer" Target="footer1.xml"/><Relationship Id="rId107" Type="http://schemas.openxmlformats.org/officeDocument/2006/relationships/chart" Target="charts/chart1.xml"/><Relationship Id="rId11" Type="http://schemas.openxmlformats.org/officeDocument/2006/relationships/image" Target="media/image1.png"/><Relationship Id="rId32" Type="http://schemas.openxmlformats.org/officeDocument/2006/relationships/image" Target="media/image100.png"/><Relationship Id="rId37" Type="http://schemas.openxmlformats.org/officeDocument/2006/relationships/hyperlink" Target="https://www.youtube.com/watch?v=bWXksGLjFdM" TargetMode="External"/><Relationship Id="rId53" Type="http://schemas.openxmlformats.org/officeDocument/2006/relationships/image" Target="media/image170.png"/><Relationship Id="rId58" Type="http://schemas.openxmlformats.org/officeDocument/2006/relationships/image" Target="media/image190.png"/><Relationship Id="rId74" Type="http://schemas.openxmlformats.org/officeDocument/2006/relationships/hyperlink" Target="https://yoursay.sa.gov.au/" TargetMode="External"/><Relationship Id="rId79" Type="http://schemas.openxmlformats.org/officeDocument/2006/relationships/image" Target="media/image250.png"/><Relationship Id="rId102" Type="http://schemas.openxmlformats.org/officeDocument/2006/relationships/image" Target="media/image43.emf"/><Relationship Id="rId123" Type="http://schemas.openxmlformats.org/officeDocument/2006/relationships/hyperlink" Target="http://www.gchaveyoursay.com.au/" TargetMode="External"/><Relationship Id="rId128" Type="http://schemas.openxmlformats.org/officeDocument/2006/relationships/image" Target="media/image53.png"/><Relationship Id="rId5" Type="http://schemas.openxmlformats.org/officeDocument/2006/relationships/numbering" Target="numbering.xml"/><Relationship Id="rId90" Type="http://schemas.openxmlformats.org/officeDocument/2006/relationships/image" Target="media/image31.png"/><Relationship Id="rId95" Type="http://schemas.openxmlformats.org/officeDocument/2006/relationships/image" Target="media/image36.png"/><Relationship Id="rId14" Type="http://schemas.openxmlformats.org/officeDocument/2006/relationships/image" Target="cid:image001.jpg@01CF53E2.F599DED0" TargetMode="External"/><Relationship Id="rId22" Type="http://schemas.openxmlformats.org/officeDocument/2006/relationships/image" Target="media/image6.png"/><Relationship Id="rId27" Type="http://schemas.openxmlformats.org/officeDocument/2006/relationships/hyperlink" Target="https://www.ipaustralia.gov.au/policy-register" TargetMode="External"/><Relationship Id="rId30" Type="http://schemas.openxmlformats.org/officeDocument/2006/relationships/image" Target="media/image10.png"/><Relationship Id="rId35" Type="http://schemas.openxmlformats.org/officeDocument/2006/relationships/image" Target="media/image110.png"/><Relationship Id="rId43" Type="http://schemas.openxmlformats.org/officeDocument/2006/relationships/image" Target="media/image130.jpeg"/><Relationship Id="rId48" Type="http://schemas.openxmlformats.org/officeDocument/2006/relationships/image" Target="media/image15.png"/><Relationship Id="rId56" Type="http://schemas.openxmlformats.org/officeDocument/2006/relationships/hyperlink" Target="https://www.citizensassembly.ie/en/About-the-Citizens-Assembly/" TargetMode="External"/><Relationship Id="rId64" Type="http://schemas.openxmlformats.org/officeDocument/2006/relationships/image" Target="media/image220.png"/><Relationship Id="rId69" Type="http://schemas.openxmlformats.org/officeDocument/2006/relationships/hyperlink" Target="https://yoursay.sa.gov.au/initiatives/fund-my-community" TargetMode="External"/><Relationship Id="rId77" Type="http://schemas.openxmlformats.org/officeDocument/2006/relationships/hyperlink" Target="https://www.pmc.gov.au/indigenous-affairs/empowered-communities" TargetMode="External"/><Relationship Id="rId100" Type="http://schemas.openxmlformats.org/officeDocument/2006/relationships/image" Target="media/image41.jpeg"/><Relationship Id="rId105" Type="http://schemas.openxmlformats.org/officeDocument/2006/relationships/image" Target="media/image46.png"/><Relationship Id="rId113" Type="http://schemas.openxmlformats.org/officeDocument/2006/relationships/image" Target="media/image480.jpeg"/><Relationship Id="rId118" Type="http://schemas.openxmlformats.org/officeDocument/2006/relationships/hyperlink" Target="https://www.business.gov.au/" TargetMode="External"/><Relationship Id="rId126" Type="http://schemas.openxmlformats.org/officeDocument/2006/relationships/image" Target="media/image51.png"/><Relationship Id="rId13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60.jpeg"/><Relationship Id="rId72" Type="http://schemas.openxmlformats.org/officeDocument/2006/relationships/hyperlink" Target="https://share.yoursay.sa.gov.au/" TargetMode="External"/><Relationship Id="rId80" Type="http://schemas.openxmlformats.org/officeDocument/2006/relationships/hyperlink" Target="https://www.dss.gov.au/review-of-australias-welfare-system/australian-priority-investment-approach-to-welfare/try-test-and-learn-fund" TargetMode="External"/><Relationship Id="rId85" Type="http://schemas.openxmlformats.org/officeDocument/2006/relationships/hyperlink" Target="https://ipnova.ipaustralia.gov.au/" TargetMode="External"/><Relationship Id="rId93" Type="http://schemas.openxmlformats.org/officeDocument/2006/relationships/image" Target="media/image34.jpeg"/><Relationship Id="rId98" Type="http://schemas.openxmlformats.org/officeDocument/2006/relationships/image" Target="media/image39.png"/><Relationship Id="rId121" Type="http://schemas.openxmlformats.org/officeDocument/2006/relationships/hyperlink" Target="https://www.challenge.gov/list/"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hyperlink" Target="https://lets-talk.ato.gov.au/" TargetMode="External"/><Relationship Id="rId38" Type="http://schemas.openxmlformats.org/officeDocument/2006/relationships/hyperlink" Target="http://www.innovation.gov.au/page/business-research-and-innovation-initiative" TargetMode="External"/><Relationship Id="rId46" Type="http://schemas.openxmlformats.org/officeDocument/2006/relationships/image" Target="media/image14.png"/><Relationship Id="rId59" Type="http://schemas.openxmlformats.org/officeDocument/2006/relationships/hyperlink" Target="https://www.citizensassembly.ie/en/About-the-Citizens-Assembly/" TargetMode="External"/><Relationship Id="rId67" Type="http://schemas.openxmlformats.org/officeDocument/2006/relationships/hyperlink" Target="https://fundmyneighbourhood.yoursay.sa.gov.au/" TargetMode="External"/><Relationship Id="rId103" Type="http://schemas.openxmlformats.org/officeDocument/2006/relationships/image" Target="media/image44.png"/><Relationship Id="rId108" Type="http://schemas.openxmlformats.org/officeDocument/2006/relationships/chart" Target="charts/chart2.xml"/><Relationship Id="rId116" Type="http://schemas.openxmlformats.org/officeDocument/2006/relationships/hyperlink" Target="http://ogpau.pmc.gov.au/2016/12/07/australias-first-national-action-plan-submitted" TargetMode="External"/><Relationship Id="rId124" Type="http://schemas.openxmlformats.org/officeDocument/2006/relationships/hyperlink" Target="https://www.ontario.ca/page/public-feedback-condo-act" TargetMode="External"/><Relationship Id="rId129" Type="http://schemas.openxmlformats.org/officeDocument/2006/relationships/image" Target="media/image54.png"/><Relationship Id="rId20" Type="http://schemas.openxmlformats.org/officeDocument/2006/relationships/image" Target="media/image5.jpeg"/><Relationship Id="rId41" Type="http://schemas.openxmlformats.org/officeDocument/2006/relationships/hyperlink" Target="http://www.innovation.gov.au/page/business-research-and-innovation-initiative" TargetMode="External"/><Relationship Id="rId54" Type="http://schemas.openxmlformats.org/officeDocument/2006/relationships/image" Target="media/image18.emf"/><Relationship Id="rId62" Type="http://schemas.openxmlformats.org/officeDocument/2006/relationships/image" Target="media/image22.png"/><Relationship Id="rId70" Type="http://schemas.openxmlformats.org/officeDocument/2006/relationships/hyperlink" Target="https://yoursay.sa.gov.au/initiatives/fund-my-idea" TargetMode="External"/><Relationship Id="rId75" Type="http://schemas.openxmlformats.org/officeDocument/2006/relationships/image" Target="media/image24.png"/><Relationship Id="rId83" Type="http://schemas.openxmlformats.org/officeDocument/2006/relationships/image" Target="media/image260.png"/><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image" Target="media/image37.png"/><Relationship Id="rId111" Type="http://schemas.openxmlformats.org/officeDocument/2006/relationships/hyperlink" Target="https://ogpau.pmc.gov.au/commitment/52-enhancing-public-participation" TargetMode="External"/><Relationship Id="rId13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hyperlink" Target="https://www.ipaustralia.gov.au/submit-new-policy-issue" TargetMode="External"/><Relationship Id="rId36" Type="http://schemas.openxmlformats.org/officeDocument/2006/relationships/image" Target="media/image12.png"/><Relationship Id="rId49" Type="http://schemas.openxmlformats.org/officeDocument/2006/relationships/image" Target="media/image150.png"/><Relationship Id="rId57" Type="http://schemas.openxmlformats.org/officeDocument/2006/relationships/image" Target="media/image20.jpeg"/><Relationship Id="rId106" Type="http://schemas.openxmlformats.org/officeDocument/2006/relationships/image" Target="media/image47.png"/><Relationship Id="rId114" Type="http://schemas.openxmlformats.org/officeDocument/2006/relationships/image" Target="media/image49.png"/><Relationship Id="rId119" Type="http://schemas.openxmlformats.org/officeDocument/2006/relationships/hyperlink" Target="http://myvotehq.com.au/" TargetMode="External"/><Relationship Id="rId127" Type="http://schemas.openxmlformats.org/officeDocument/2006/relationships/image" Target="media/image52.png"/><Relationship Id="rId10" Type="http://schemas.openxmlformats.org/officeDocument/2006/relationships/endnotes" Target="endnotes.xml"/><Relationship Id="rId31" Type="http://schemas.openxmlformats.org/officeDocument/2006/relationships/hyperlink" Target="https://lets-talk.ato.gov.au/" TargetMode="External"/><Relationship Id="rId44" Type="http://schemas.openxmlformats.org/officeDocument/2006/relationships/hyperlink" Target="https://opensource.com/resources/what-open-source" TargetMode="External"/><Relationship Id="rId52" Type="http://schemas.openxmlformats.org/officeDocument/2006/relationships/image" Target="media/image17.png"/><Relationship Id="rId60" Type="http://schemas.openxmlformats.org/officeDocument/2006/relationships/image" Target="media/image200.jpeg"/><Relationship Id="rId65" Type="http://schemas.openxmlformats.org/officeDocument/2006/relationships/image" Target="media/image23.png"/><Relationship Id="rId73" Type="http://schemas.openxmlformats.org/officeDocument/2006/relationships/hyperlink" Target="https://yoursay.sa.gov.au/initiatives/citizens-jury" TargetMode="External"/><Relationship Id="rId78" Type="http://schemas.openxmlformats.org/officeDocument/2006/relationships/image" Target="media/image25.png"/><Relationship Id="rId81" Type="http://schemas.openxmlformats.org/officeDocument/2006/relationships/hyperlink" Target="https://engage.dss.gov.au/try-test-and-learn-fund/try-test-and-learn-fund-discuss/" TargetMode="External"/><Relationship Id="rId86" Type="http://schemas.openxmlformats.org/officeDocument/2006/relationships/image" Target="media/image27.emf"/><Relationship Id="rId94" Type="http://schemas.openxmlformats.org/officeDocument/2006/relationships/image" Target="media/image35.jpeg"/><Relationship Id="rId99" Type="http://schemas.openxmlformats.org/officeDocument/2006/relationships/image" Target="media/image40.png"/><Relationship Id="rId101" Type="http://schemas.openxmlformats.org/officeDocument/2006/relationships/image" Target="media/image42.jpeg"/><Relationship Id="rId122" Type="http://schemas.openxmlformats.org/officeDocument/2006/relationships/hyperlink" Target="https://yoursay.sa.gov.au/initiatives/citizens-jury" TargetMode="External"/><Relationship Id="rId130" Type="http://schemas.openxmlformats.org/officeDocument/2006/relationships/image" Target="media/image55.png"/><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image" Target="media/image120.png"/><Relationship Id="rId109" Type="http://schemas.openxmlformats.org/officeDocument/2006/relationships/hyperlink" Target="https://www.goodreads.com/author/show/33321.Claude_L_vi_Strauss" TargetMode="External"/><Relationship Id="rId34" Type="http://schemas.openxmlformats.org/officeDocument/2006/relationships/image" Target="media/image11.png"/><Relationship Id="rId50" Type="http://schemas.openxmlformats.org/officeDocument/2006/relationships/image" Target="media/image16.jpeg"/><Relationship Id="rId55" Type="http://schemas.openxmlformats.org/officeDocument/2006/relationships/image" Target="media/image19.png"/><Relationship Id="rId76" Type="http://schemas.openxmlformats.org/officeDocument/2006/relationships/image" Target="media/image240.png"/><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hyperlink" Target="http://www.treasury.gov.au/ConsultationsandReviews/Consultations/2016/NISA-increasing-access-to-company-losses" TargetMode="External"/><Relationship Id="rId125" Type="http://schemas.openxmlformats.org/officeDocument/2006/relationships/image" Target="media/image50.png"/><Relationship Id="rId7" Type="http://schemas.openxmlformats.org/officeDocument/2006/relationships/settings" Target="settings.xml"/><Relationship Id="rId71" Type="http://schemas.openxmlformats.org/officeDocument/2006/relationships/hyperlink" Target="https://openstate.com.au/about-open-state" TargetMode="External"/><Relationship Id="rId92" Type="http://schemas.openxmlformats.org/officeDocument/2006/relationships/image" Target="media/image33.jpeg"/><Relationship Id="rId2" Type="http://schemas.openxmlformats.org/officeDocument/2006/relationships/customXml" Target="../customXml/item2.xml"/><Relationship Id="rId29" Type="http://schemas.openxmlformats.org/officeDocument/2006/relationships/hyperlink" Target="https://www.ipaustralia.gov.au/policy-register" TargetMode="External"/><Relationship Id="rId24" Type="http://schemas.openxmlformats.org/officeDocument/2006/relationships/image" Target="media/image8.png"/><Relationship Id="rId40" Type="http://schemas.openxmlformats.org/officeDocument/2006/relationships/hyperlink" Target="https://www.youtube.com/watch?v=bWXksGLjFdM" TargetMode="External"/><Relationship Id="rId45" Type="http://schemas.openxmlformats.org/officeDocument/2006/relationships/hyperlink" Target="https://opensource.com/resources/what-open-source" TargetMode="External"/><Relationship Id="rId66" Type="http://schemas.openxmlformats.org/officeDocument/2006/relationships/image" Target="media/image230.png"/><Relationship Id="rId87" Type="http://schemas.openxmlformats.org/officeDocument/2006/relationships/image" Target="media/image28.png"/><Relationship Id="rId110" Type="http://schemas.openxmlformats.org/officeDocument/2006/relationships/hyperlink" Target="https://www.industry.gov.au/innovation/Pages/Open-Government-Partnership-Framework-project.aspx" TargetMode="External"/><Relationship Id="rId115" Type="http://schemas.openxmlformats.org/officeDocument/2006/relationships/hyperlink" Target="http://ogpau.pmc.gov.au/2016/12/07/australias-first-national-action-plan-submitted" TargetMode="External"/><Relationship Id="rId131" Type="http://schemas.openxmlformats.org/officeDocument/2006/relationships/image" Target="media/image56.png"/><Relationship Id="rId61" Type="http://schemas.openxmlformats.org/officeDocument/2006/relationships/image" Target="media/image21.png"/><Relationship Id="rId82" Type="http://schemas.openxmlformats.org/officeDocument/2006/relationships/image" Target="media/image26.png"/><Relationship Id="rId19"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www.business.gov.au/Assistance/Business-Research-and-Innovation-Initiative/Digitally-enabled-community-engagement-in-policy-and-programme-desig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kendal\AppData\Local\Microsoft\Windows\Temporary%20Internet%20Files\Content.MSO\C215588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prod.protected.ind\user\User04\TShaheen\OGP\Stocktake\Analysis%20of%20stocktake%20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prod.protected.ind\user\User04\TShaheen\OGP\Stocktake\Analysis%20of%20stocktake%20v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AU"/>
              <a:t>Barriers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969284025255358"/>
          <c:y val="0.16117875216209956"/>
          <c:w val="0.69055621917229382"/>
          <c:h val="0.47377937538782527"/>
        </c:manualLayout>
      </c:layout>
      <c:barChart>
        <c:barDir val="bar"/>
        <c:grouping val="clustered"/>
        <c:varyColors val="0"/>
        <c:ser>
          <c:idx val="0"/>
          <c:order val="0"/>
          <c:tx>
            <c:strRef>
              <c:f>barriers!$D$2</c:f>
              <c:strCache>
                <c:ptCount val="1"/>
                <c:pt idx="0">
                  <c:v>Authorising environment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dPt>
          <c:dPt>
            <c:idx val="2"/>
            <c:invertIfNegative val="0"/>
            <c:bubble3D val="0"/>
          </c:dPt>
          <c:dPt>
            <c:idx val="3"/>
            <c:invertIfNegative val="0"/>
            <c:bubble3D val="0"/>
          </c:dPt>
          <c:dPt>
            <c:idx val="5"/>
            <c:invertIfNegative val="0"/>
            <c:bubble3D val="0"/>
          </c:dPt>
          <c:dPt>
            <c:idx val="7"/>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barriers!$E$2</c:f>
              <c:numCache>
                <c:formatCode>General</c:formatCode>
                <c:ptCount val="1"/>
                <c:pt idx="0">
                  <c:v>18</c:v>
                </c:pt>
              </c:numCache>
            </c:numRef>
          </c:val>
        </c:ser>
        <c:ser>
          <c:idx val="1"/>
          <c:order val="1"/>
          <c:tx>
            <c:strRef>
              <c:f>barriers!$D$3</c:f>
              <c:strCache>
                <c:ptCount val="1"/>
                <c:pt idx="0">
                  <c:v>Trust and confidence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barriers!$E$3</c:f>
              <c:numCache>
                <c:formatCode>General</c:formatCode>
                <c:ptCount val="1"/>
                <c:pt idx="0">
                  <c:v>6</c:v>
                </c:pt>
              </c:numCache>
            </c:numRef>
          </c:val>
        </c:ser>
        <c:ser>
          <c:idx val="2"/>
          <c:order val="2"/>
          <c:tx>
            <c:strRef>
              <c:f>barriers!$D$4</c:f>
              <c:strCache>
                <c:ptCount val="1"/>
                <c:pt idx="0">
                  <c:v>APS awareness and motivation</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barriers!$E$4</c:f>
              <c:numCache>
                <c:formatCode>General</c:formatCode>
                <c:ptCount val="1"/>
                <c:pt idx="0">
                  <c:v>4</c:v>
                </c:pt>
              </c:numCache>
            </c:numRef>
          </c:val>
        </c:ser>
        <c:ser>
          <c:idx val="3"/>
          <c:order val="3"/>
          <c:tx>
            <c:strRef>
              <c:f>barriers!$D$5</c:f>
              <c:strCache>
                <c:ptCount val="1"/>
                <c:pt idx="0">
                  <c:v>Technology</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barriers!$E$5</c:f>
              <c:numCache>
                <c:formatCode>General</c:formatCode>
                <c:ptCount val="1"/>
                <c:pt idx="0">
                  <c:v>3</c:v>
                </c:pt>
              </c:numCache>
            </c:numRef>
          </c:val>
        </c:ser>
        <c:ser>
          <c:idx val="4"/>
          <c:order val="4"/>
          <c:tx>
            <c:strRef>
              <c:f>barriers!$D$6</c:f>
              <c:strCache>
                <c:ptCount val="1"/>
                <c:pt idx="0">
                  <c:v>Geographical barriers</c:v>
                </c:pt>
              </c:strCache>
            </c:strRef>
          </c:tx>
          <c:spPr>
            <a:solidFill>
              <a:schemeClr val="accent4">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barriers!$E$6</c:f>
              <c:numCache>
                <c:formatCode>General</c:formatCode>
                <c:ptCount val="1"/>
                <c:pt idx="0">
                  <c:v>3</c:v>
                </c:pt>
              </c:numCache>
            </c:numRef>
          </c:val>
        </c:ser>
        <c:ser>
          <c:idx val="5"/>
          <c:order val="5"/>
          <c:tx>
            <c:strRef>
              <c:f>barriers!$D$7</c:f>
              <c:strCache>
                <c:ptCount val="1"/>
                <c:pt idx="0">
                  <c:v>Risk aversion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barriers!$E$7</c:f>
              <c:numCache>
                <c:formatCode>General</c:formatCode>
                <c:ptCount val="1"/>
                <c:pt idx="0">
                  <c:v>3</c:v>
                </c:pt>
              </c:numCache>
            </c:numRef>
          </c:val>
        </c:ser>
        <c:ser>
          <c:idx val="6"/>
          <c:order val="6"/>
          <c:tx>
            <c:strRef>
              <c:f>barriers!$D$8</c:f>
              <c:strCache>
                <c:ptCount val="1"/>
                <c:pt idx="0">
                  <c:v>Inconsistent approach</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barriers!$E$1</c:f>
              <c:strCache>
                <c:ptCount val="1"/>
                <c:pt idx="0">
                  <c:v>Frequency</c:v>
                </c:pt>
              </c:strCache>
            </c:strRef>
          </c:cat>
          <c:val>
            <c:numRef>
              <c:f>barriers!$E$8</c:f>
              <c:numCache>
                <c:formatCode>General</c:formatCode>
                <c:ptCount val="1"/>
                <c:pt idx="0">
                  <c:v>3</c:v>
                </c:pt>
              </c:numCache>
            </c:numRef>
          </c:val>
        </c:ser>
        <c:dLbls>
          <c:showLegendKey val="0"/>
          <c:showVal val="1"/>
          <c:showCatName val="0"/>
          <c:showSerName val="0"/>
          <c:showPercent val="0"/>
          <c:showBubbleSize val="0"/>
        </c:dLbls>
        <c:gapWidth val="150"/>
        <c:overlap val="-25"/>
        <c:axId val="353666416"/>
        <c:axId val="18175032"/>
        <c:extLst>
          <c:ext xmlns:c15="http://schemas.microsoft.com/office/drawing/2012/chart" uri="{02D57815-91ED-43cb-92C2-25804820EDAC}">
            <c15:filteredBarSeries>
              <c15:ser>
                <c:idx val="7"/>
                <c:order val="7"/>
                <c:tx>
                  <c:strRef>
                    <c:extLst>
                      <c:ext uri="{02D57815-91ED-43cb-92C2-25804820EDAC}">
                        <c15:formulaRef>
                          <c15:sqref>barriers!$D$9</c15:sqref>
                        </c15:formulaRef>
                      </c:ext>
                    </c:extLst>
                    <c:strCache>
                      <c:ptCount val="1"/>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barriers!$E$1</c15:sqref>
                        </c15:formulaRef>
                      </c:ext>
                    </c:extLst>
                    <c:strCache>
                      <c:ptCount val="1"/>
                      <c:pt idx="0">
                        <c:v>Frequency</c:v>
                      </c:pt>
                    </c:strCache>
                  </c:strRef>
                </c:cat>
                <c:val>
                  <c:numRef>
                    <c:extLst>
                      <c:ext uri="{02D57815-91ED-43cb-92C2-25804820EDAC}">
                        <c15:formulaRef>
                          <c15:sqref>barriers!$E$9</c15:sqref>
                        </c15:formulaRef>
                      </c:ext>
                    </c:extLst>
                    <c:numCache>
                      <c:formatCode>General</c:formatCode>
                      <c:ptCount val="1"/>
                    </c:numCache>
                  </c:numRef>
                </c:val>
              </c15:ser>
            </c15:filteredBarSeries>
          </c:ext>
        </c:extLst>
      </c:barChart>
      <c:valAx>
        <c:axId val="18175032"/>
        <c:scaling>
          <c:orientation val="minMax"/>
        </c:scaling>
        <c:delete val="1"/>
        <c:axPos val="b"/>
        <c:numFmt formatCode="General" sourceLinked="1"/>
        <c:majorTickMark val="none"/>
        <c:minorTickMark val="none"/>
        <c:tickLblPos val="nextTo"/>
        <c:crossAx val="353666416"/>
        <c:crosses val="autoZero"/>
        <c:crossBetween val="between"/>
      </c:valAx>
      <c:catAx>
        <c:axId val="3536664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75032"/>
        <c:crosses val="autoZero"/>
        <c:auto val="1"/>
        <c:lblAlgn val="ctr"/>
        <c:lblOffset val="100"/>
        <c:noMultiLvlLbl val="0"/>
      </c:catAx>
      <c:spPr>
        <a:noFill/>
        <a:ln>
          <a:noFill/>
        </a:ln>
        <a:effectLst/>
      </c:spPr>
    </c:plotArea>
    <c:legend>
      <c:legendPos val="t"/>
      <c:layout>
        <c:manualLayout>
          <c:xMode val="edge"/>
          <c:yMode val="edge"/>
          <c:x val="0.12477609029521465"/>
          <c:y val="0.65452403041764795"/>
          <c:w val="0.63737145760005809"/>
          <c:h val="0.28344630638155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Potential</a:t>
            </a:r>
            <a:r>
              <a:rPr lang="en-AU" baseline="0"/>
              <a:t> improvements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629682381852438"/>
          <c:y val="0.17692293671624382"/>
          <c:w val="0.76870310153210375"/>
          <c:h val="0.52215113735783025"/>
        </c:manualLayout>
      </c:layout>
      <c:barChart>
        <c:barDir val="bar"/>
        <c:grouping val="clustered"/>
        <c:varyColors val="0"/>
        <c:ser>
          <c:idx val="0"/>
          <c:order val="0"/>
          <c:tx>
            <c:strRef>
              <c:f>improvement!$D$2</c:f>
              <c:strCache>
                <c:ptCount val="1"/>
                <c:pt idx="0">
                  <c:v>Building relationships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improvement!$E$2</c:f>
              <c:numCache>
                <c:formatCode>General</c:formatCode>
                <c:ptCount val="1"/>
                <c:pt idx="0">
                  <c:v>8</c:v>
                </c:pt>
              </c:numCache>
            </c:numRef>
          </c:val>
        </c:ser>
        <c:ser>
          <c:idx val="1"/>
          <c:order val="1"/>
          <c:tx>
            <c:strRef>
              <c:f>improvement!$D$3</c:f>
              <c:strCache>
                <c:ptCount val="1"/>
                <c:pt idx="0">
                  <c:v>Advanced methodology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improvement!$E$3</c:f>
              <c:numCache>
                <c:formatCode>General</c:formatCode>
                <c:ptCount val="1"/>
                <c:pt idx="0">
                  <c:v>7</c:v>
                </c:pt>
              </c:numCache>
            </c:numRef>
          </c:val>
        </c:ser>
        <c:ser>
          <c:idx val="2"/>
          <c:order val="2"/>
          <c:tx>
            <c:strRef>
              <c:f>improvement!$D$4</c:f>
              <c:strCache>
                <c:ptCount val="1"/>
                <c:pt idx="0">
                  <c:v>Authorising environment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improvement!$E$4</c:f>
              <c:numCache>
                <c:formatCode>General</c:formatCode>
                <c:ptCount val="1"/>
                <c:pt idx="0">
                  <c:v>7</c:v>
                </c:pt>
              </c:numCache>
            </c:numRef>
          </c:val>
        </c:ser>
        <c:ser>
          <c:idx val="3"/>
          <c:order val="3"/>
          <c:tx>
            <c:strRef>
              <c:f>improvement!$D$5</c:f>
              <c:strCache>
                <c:ptCount val="1"/>
                <c:pt idx="0">
                  <c:v>Co-design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improvement!$E$5</c:f>
              <c:numCache>
                <c:formatCode>General</c:formatCode>
                <c:ptCount val="1"/>
                <c:pt idx="0">
                  <c:v>6</c:v>
                </c:pt>
              </c:numCache>
            </c:numRef>
          </c:val>
        </c:ser>
        <c:ser>
          <c:idx val="4"/>
          <c:order val="4"/>
          <c:tx>
            <c:strRef>
              <c:f>improvement!$D$6</c:f>
              <c:strCache>
                <c:ptCount val="1"/>
                <c:pt idx="0">
                  <c:v>Coordinated approach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improvement!$E$6</c:f>
              <c:numCache>
                <c:formatCode>General</c:formatCode>
                <c:ptCount val="1"/>
                <c:pt idx="0">
                  <c:v>5</c:v>
                </c:pt>
              </c:numCache>
            </c:numRef>
          </c:val>
        </c:ser>
        <c:ser>
          <c:idx val="5"/>
          <c:order val="5"/>
          <c:tx>
            <c:strRef>
              <c:f>improvement!$D$7</c:f>
              <c:strCache>
                <c:ptCount val="1"/>
                <c:pt idx="0">
                  <c:v>Risk aversion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improvement!$E$7</c:f>
              <c:numCache>
                <c:formatCode>General</c:formatCode>
                <c:ptCount val="1"/>
                <c:pt idx="0">
                  <c:v>4</c:v>
                </c:pt>
              </c:numCache>
            </c:numRef>
          </c:val>
        </c:ser>
        <c:ser>
          <c:idx val="6"/>
          <c:order val="6"/>
          <c:tx>
            <c:strRef>
              <c:f>improvement!$D$8</c:f>
              <c:strCache>
                <c:ptCount val="1"/>
                <c:pt idx="0">
                  <c:v>Innovative practices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improvement!$E$8</c:f>
              <c:numCache>
                <c:formatCode>General</c:formatCode>
                <c:ptCount val="1"/>
                <c:pt idx="0">
                  <c:v>3</c:v>
                </c:pt>
              </c:numCache>
            </c:numRef>
          </c:val>
        </c:ser>
        <c:ser>
          <c:idx val="7"/>
          <c:order val="7"/>
          <c:tx>
            <c:strRef>
              <c:f>improvement!$D$9</c:f>
              <c:strCache>
                <c:ptCount val="1"/>
                <c:pt idx="0">
                  <c:v>APS motivation</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improvement!$E$1</c:f>
              <c:strCache>
                <c:ptCount val="1"/>
                <c:pt idx="0">
                  <c:v>Frequency</c:v>
                </c:pt>
              </c:strCache>
            </c:strRef>
          </c:cat>
          <c:val>
            <c:numRef>
              <c:f>improvement!$E$9</c:f>
              <c:numCache>
                <c:formatCode>General</c:formatCode>
                <c:ptCount val="1"/>
                <c:pt idx="0">
                  <c:v>1</c:v>
                </c:pt>
              </c:numCache>
            </c:numRef>
          </c:val>
        </c:ser>
        <c:dLbls>
          <c:showLegendKey val="0"/>
          <c:showVal val="1"/>
          <c:showCatName val="0"/>
          <c:showSerName val="0"/>
          <c:showPercent val="0"/>
          <c:showBubbleSize val="0"/>
        </c:dLbls>
        <c:gapWidth val="150"/>
        <c:overlap val="-25"/>
        <c:axId val="353936248"/>
        <c:axId val="353936632"/>
      </c:barChart>
      <c:catAx>
        <c:axId val="353936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936632"/>
        <c:crosses val="autoZero"/>
        <c:auto val="1"/>
        <c:lblAlgn val="ctr"/>
        <c:lblOffset val="100"/>
        <c:noMultiLvlLbl val="0"/>
      </c:catAx>
      <c:valAx>
        <c:axId val="353936632"/>
        <c:scaling>
          <c:orientation val="minMax"/>
        </c:scaling>
        <c:delete val="1"/>
        <c:axPos val="b"/>
        <c:numFmt formatCode="General" sourceLinked="1"/>
        <c:majorTickMark val="none"/>
        <c:minorTickMark val="none"/>
        <c:tickLblPos val="nextTo"/>
        <c:crossAx val="353936248"/>
        <c:crosses val="autoZero"/>
        <c:crossBetween val="between"/>
      </c:valAx>
      <c:spPr>
        <a:noFill/>
        <a:ln>
          <a:noFill/>
        </a:ln>
        <a:effectLst/>
      </c:spPr>
    </c:plotArea>
    <c:legend>
      <c:legendPos val="t"/>
      <c:layout>
        <c:manualLayout>
          <c:xMode val="edge"/>
          <c:yMode val="edge"/>
          <c:x val="6.3290463692038501E-2"/>
          <c:y val="0.72263888888888894"/>
          <c:w val="0.84564107611548556"/>
          <c:h val="0.22743219597550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Core Publishing Document" ma:contentTypeID="0x01010097F86F0C24D64525B252BB20BD9D45A700ED3A171BA7E8A24A8EBD27E78921E6CD" ma:contentTypeVersion="77" ma:contentTypeDescription="Core Publishing Document, inherited from OOTB document." ma:contentTypeScope="" ma:versionID="ead98bd230ec5f8e828c93ae4f84c317">
  <xsd:schema xmlns:xsd="http://www.w3.org/2001/XMLSchema" xmlns:xs="http://www.w3.org/2001/XMLSchema" xmlns:p="http://schemas.microsoft.com/office/2006/metadata/properties" xmlns:ns1="http://schemas.microsoft.com/sharepoint/v3" xmlns:ns2="b27a1204-ea3e-4de4-b3a1-b864f955635d" xmlns:ns3="c0b4bd0a-f6ac-422c-a0b2-ddc3a705a698" targetNamespace="http://schemas.microsoft.com/office/2006/metadata/properties" ma:root="true" ma:fieldsID="9a7879edab7290803509bdacd2814a72" ns1:_="" ns2:_="" ns3:_="">
    <xsd:import namespace="http://schemas.microsoft.com/sharepoint/v3"/>
    <xsd:import namespace="b27a1204-ea3e-4de4-b3a1-b864f955635d"/>
    <xsd:import namespace="c0b4bd0a-f6ac-422c-a0b2-ddc3a705a698"/>
    <xsd:element name="properties">
      <xsd:complexType>
        <xsd:sequence>
          <xsd:element name="documentManagement">
            <xsd:complexType>
              <xsd:all>
                <xsd:element ref="ns2:CorePublishingComments" minOccurs="0"/>
                <xsd:element ref="ns1:PublishingStartDate" minOccurs="0"/>
                <xsd:element ref="ns1:PublishingExpirationDate" minOccurs="0"/>
                <xsd:element ref="ns2:CorePublishingDocumentContact" minOccurs="0"/>
                <xsd:element ref="ns3:SubjectLookupField" minOccurs="0"/>
                <xsd:element ref="ns3:KeywordsLookupField" minOccurs="0"/>
                <xsd:element ref="ns3:CorePublishingDocumentCategory" minOccurs="0"/>
                <xsd:element ref="ns2:IPSCategory" minOccurs="0"/>
                <xsd:element ref="ns2:CorePublishingFileReference" minOccurs="0"/>
                <xsd:element ref="ns2:IncludeInNotificationsAndUpdates" minOccurs="0"/>
                <xsd:element ref="ns2:IncludeInContentRollups" minOccurs="0"/>
                <xsd:element ref="ns2:IncludeInRSSFeeds" minOccurs="0"/>
                <xsd:element ref="ns2:CorePublishingDocumentChangeDescription" minOccurs="0"/>
                <xsd:element ref="ns3:DocumentRollup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tart Date" ma:description="" ma:internalName="PublishingStartDate">
      <xsd:simpleType>
        <xsd:restriction base="dms:Unknown"/>
      </xsd:simpleType>
    </xsd:element>
    <xsd:element name="PublishingExpirationDate" ma:index="10" nillable="true" ma:displayName="End Date" ma:description=""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7a1204-ea3e-4de4-b3a1-b864f955635d" elementFormDefault="qualified">
    <xsd:import namespace="http://schemas.microsoft.com/office/2006/documentManagement/types"/>
    <xsd:import namespace="http://schemas.microsoft.com/office/infopath/2007/PartnerControls"/>
    <xsd:element name="CorePublishingComments" ma:index="8" nillable="true" ma:displayName="Description" ma:description="Used for DC.Description metadata." ma:internalName="CorePublishingComments">
      <xsd:simpleType>
        <xsd:restriction base="dms:Note"/>
      </xsd:simpleType>
    </xsd:element>
    <xsd:element name="CorePublishingDocumentContact" ma:index="11" nillable="true" ma:displayName="Document Contact" ma:list="UserInfo" ma:internalName="CorePublishingDocumentContact"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PSCategory" ma:index="15" nillable="true" ma:displayName="IPS Category" ma:description="Used for FOI/IPS categorisation." ma:format="Dropdown" ma:internalName="IPSCategory">
      <xsd:simpleType>
        <xsd:restriction base="dms:Choice">
          <xsd:enumeration value="1. Who we are"/>
          <xsd:enumeration value="2. What we do"/>
          <xsd:enumeration value="3. Our reports"/>
          <xsd:enumeration value="4. Consultation"/>
          <xsd:enumeration value="5. Our strategic and business priorities"/>
          <xsd:enumeration value="6. Routinely requested information"/>
          <xsd:enumeration value="7. Our finances"/>
          <xsd:enumeration value="8. Our lists"/>
          <xsd:enumeration value="9. Our submissions"/>
          <xsd:enumeration value="10. Our policies"/>
        </xsd:restriction>
      </xsd:simpleType>
    </xsd:element>
    <xsd:element name="CorePublishingFileReference" ma:index="16" nillable="true" ma:displayName="File Reference" ma:description="Audit Requirement." ma:internalName="CorePublishingFileReference" ma:readOnly="false">
      <xsd:simpleType>
        <xsd:restriction base="dms:Text"/>
      </xsd:simpleType>
    </xsd:element>
    <xsd:element name="IncludeInNotificationsAndUpdates" ma:index="17" nillable="true" ma:displayName="Include in Email Updates" ma:default="1" ma:internalName="IncludeInNotificationsAndUpdates">
      <xsd:simpleType>
        <xsd:restriction base="dms:Boolean"/>
      </xsd:simpleType>
    </xsd:element>
    <xsd:element name="IncludeInContentRollups" ma:index="18" nillable="true" ma:displayName="Include In Content Rollups" ma:default="0" ma:description="Used at the site owners' discretion to include/exclude pages from 'rollup' web parts such as content queries." ma:internalName="IncludeInContentRollups">
      <xsd:simpleType>
        <xsd:restriction base="dms:Boolean"/>
      </xsd:simpleType>
    </xsd:element>
    <xsd:element name="IncludeInRSSFeeds" ma:index="19" nillable="true" ma:displayName="Include In RSS Feeds" ma:default="0" ma:description="Used at the site owners' discretion to include/exclude documents from RSS feeds." ma:internalName="IncludeInRSSFeeds">
      <xsd:simpleType>
        <xsd:restriction base="dms:Boolean"/>
      </xsd:simpleType>
    </xsd:element>
    <xsd:element name="CorePublishingDocumentChangeDescription" ma:index="20" nillable="true" ma:displayName="Document Change Description" ma:description="Description of the current version of the document - can be of assistance to reviewers/approvers (and can be included in the workflow emails)." ma:internalName="CorePublishingDocumentChange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0b4bd0a-f6ac-422c-a0b2-ddc3a705a698" elementFormDefault="qualified">
    <xsd:import namespace="http://schemas.microsoft.com/office/2006/documentManagement/types"/>
    <xsd:import namespace="http://schemas.microsoft.com/office/infopath/2007/PartnerControls"/>
    <xsd:element name="SubjectLookupField" ma:index="12" nillable="true" ma:displayName="Subject" ma:list="4a441248-04bf-4c62-8747-8bfb61e5e21c" ma:internalName="Subject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KeywordsLookupField" ma:index="13" nillable="true" ma:displayName="Keywords" ma:list="fbec0be5-db93-4c03-a796-ce5d02f374a3" ma:internalName="KeywordsLookupField"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element name="CorePublishingDocumentCategory" ma:index="14" nillable="true" ma:displayName="Document Category" ma:description="Document Type list is used for source data. Used for DC.Type.documentType metadata." ma:list="{233fae74-8b6e-4f87-8db3-5052d625541f}" ma:internalName="CorePublishingDocumentCategory" ma:showField="Title" ma:web="c0b4bd0a-f6ac-422c-a0b2-ddc3a705a698">
      <xsd:simpleType>
        <xsd:restriction base="dms:Lookup"/>
      </xsd:simpleType>
    </xsd:element>
    <xsd:element name="DocumentRollupCategory" ma:index="21" nillable="true" ma:displayName="Rollup Category" ma:description="Document Rollup Category list is used for source data, populated by the site owners. Used at the site owners' discretion to include/exclude certain categories of pages in rollups." ma:list="{6ca4ea36-3739-485e-8e04-ddf89b384e56}" ma:internalName="DocumentRollupCategory" ma:showField="Title" ma:web="c0b4bd0a-f6ac-422c-a0b2-ddc3a705a6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rePublishingComments xmlns="b27a1204-ea3e-4de4-b3a1-b864f955635d" xsi:nil="true"/>
    <CorePublishingDocumentChangeDescription xmlns="b27a1204-ea3e-4de4-b3a1-b864f955635d" xsi:nil="true"/>
    <CorePublishingDocumentCategory xmlns="c0b4bd0a-f6ac-422c-a0b2-ddc3a705a698" xsi:nil="true"/>
    <KeywordsLookupField xmlns="c0b4bd0a-f6ac-422c-a0b2-ddc3a705a698"/>
    <IncludeInRSSFeeds xmlns="b27a1204-ea3e-4de4-b3a1-b864f955635d">false</IncludeInRSSFeeds>
    <SubjectLookupField xmlns="c0b4bd0a-f6ac-422c-a0b2-ddc3a705a698"/>
    <CorePublishingDocumentContact xmlns="b27a1204-ea3e-4de4-b3a1-b864f955635d">
      <UserInfo>
        <DisplayName>online</DisplayName>
        <AccountId>189</AccountId>
        <AccountType/>
      </UserInfo>
    </CorePublishingDocumentContact>
    <PublishingExpirationDate xmlns="http://schemas.microsoft.com/sharepoint/v3" xsi:nil="true"/>
    <PublishingStartDate xmlns="http://schemas.microsoft.com/sharepoint/v3" xsi:nil="true"/>
    <IncludeInNotificationsAndUpdates xmlns="b27a1204-ea3e-4de4-b3a1-b864f955635d">true</IncludeInNotificationsAndUpdates>
    <CorePublishingFileReference xmlns="b27a1204-ea3e-4de4-b3a1-b864f955635d">7835</CorePublishingFileReference>
    <IncludeInContentRollups xmlns="b27a1204-ea3e-4de4-b3a1-b864f955635d">false</IncludeInContentRollups>
    <DocumentRollupCategory xmlns="c0b4bd0a-f6ac-422c-a0b2-ddc3a705a698"/>
    <IPSCategory xmlns="b27a1204-ea3e-4de4-b3a1-b864f955635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0E3550-1343-4BA4-AB1A-445A78A756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27a1204-ea3e-4de4-b3a1-b864f955635d"/>
    <ds:schemaRef ds:uri="c0b4bd0a-f6ac-422c-a0b2-ddc3a705a6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C9589F-DC60-4E9C-B04A-1B3DF6F1EE29}">
  <ds:schemaRefs>
    <ds:schemaRef ds:uri="http://schemas.microsoft.com/office/infopath/2007/PartnerControls"/>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http://schemas.microsoft.com/office/2006/documentManagement/types"/>
    <ds:schemaRef ds:uri="http://purl.org/dc/dcmitype/"/>
    <ds:schemaRef ds:uri="c0b4bd0a-f6ac-422c-a0b2-ddc3a705a698"/>
    <ds:schemaRef ds:uri="b27a1204-ea3e-4de4-b3a1-b864f955635d"/>
    <ds:schemaRef ds:uri="http://www.w3.org/XML/1998/namespace"/>
  </ds:schemaRefs>
</ds:datastoreItem>
</file>

<file path=customXml/itemProps3.xml><?xml version="1.0" encoding="utf-8"?>
<ds:datastoreItem xmlns:ds="http://schemas.openxmlformats.org/officeDocument/2006/customXml" ds:itemID="{91176034-9C51-438B-A0CD-8AD32B8BE0B1}">
  <ds:schemaRefs>
    <ds:schemaRef ds:uri="http://schemas.microsoft.com/sharepoint/v3/contenttype/forms"/>
  </ds:schemaRefs>
</ds:datastoreItem>
</file>

<file path=customXml/itemProps4.xml><?xml version="1.0" encoding="utf-8"?>
<ds:datastoreItem xmlns:ds="http://schemas.openxmlformats.org/officeDocument/2006/customXml" ds:itemID="{D76A3120-0CC0-445C-9235-976FFFCB1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C215588E</Template>
  <TotalTime>1</TotalTime>
  <Pages>99</Pages>
  <Words>27304</Words>
  <Characters>155638</Characters>
  <Application>Microsoft Office Word</Application>
  <DocSecurity>0</DocSecurity>
  <Lines>1296</Lines>
  <Paragraphs>365</Paragraphs>
  <ScaleCrop>false</ScaleCrop>
  <HeadingPairs>
    <vt:vector size="2" baseType="variant">
      <vt:variant>
        <vt:lpstr>Title</vt:lpstr>
      </vt:variant>
      <vt:variant>
        <vt:i4>1</vt:i4>
      </vt:variant>
    </vt:vector>
  </HeadingPairs>
  <TitlesOfParts>
    <vt:vector size="1" baseType="lpstr">
      <vt:lpstr>OGP Commitment 5.2 - Discover Report - Hidden in Plain Sight</vt:lpstr>
    </vt:vector>
  </TitlesOfParts>
  <Company>DIIS</Company>
  <LinksUpToDate>false</LinksUpToDate>
  <CharactersWithSpaces>182577</CharactersWithSpaces>
  <SharedDoc>false</SharedDoc>
  <HLinks>
    <vt:vector size="126" baseType="variant">
      <vt:variant>
        <vt:i4>1507383</vt:i4>
      </vt:variant>
      <vt:variant>
        <vt:i4>116</vt:i4>
      </vt:variant>
      <vt:variant>
        <vt:i4>0</vt:i4>
      </vt:variant>
      <vt:variant>
        <vt:i4>5</vt:i4>
      </vt:variant>
      <vt:variant>
        <vt:lpwstr/>
      </vt:variant>
      <vt:variant>
        <vt:lpwstr>_Toc385933222</vt:lpwstr>
      </vt:variant>
      <vt:variant>
        <vt:i4>1507383</vt:i4>
      </vt:variant>
      <vt:variant>
        <vt:i4>110</vt:i4>
      </vt:variant>
      <vt:variant>
        <vt:i4>0</vt:i4>
      </vt:variant>
      <vt:variant>
        <vt:i4>5</vt:i4>
      </vt:variant>
      <vt:variant>
        <vt:lpwstr/>
      </vt:variant>
      <vt:variant>
        <vt:lpwstr>_Toc385933221</vt:lpwstr>
      </vt:variant>
      <vt:variant>
        <vt:i4>1507383</vt:i4>
      </vt:variant>
      <vt:variant>
        <vt:i4>104</vt:i4>
      </vt:variant>
      <vt:variant>
        <vt:i4>0</vt:i4>
      </vt:variant>
      <vt:variant>
        <vt:i4>5</vt:i4>
      </vt:variant>
      <vt:variant>
        <vt:lpwstr/>
      </vt:variant>
      <vt:variant>
        <vt:lpwstr>_Toc385933220</vt:lpwstr>
      </vt:variant>
      <vt:variant>
        <vt:i4>1310775</vt:i4>
      </vt:variant>
      <vt:variant>
        <vt:i4>98</vt:i4>
      </vt:variant>
      <vt:variant>
        <vt:i4>0</vt:i4>
      </vt:variant>
      <vt:variant>
        <vt:i4>5</vt:i4>
      </vt:variant>
      <vt:variant>
        <vt:lpwstr/>
      </vt:variant>
      <vt:variant>
        <vt:lpwstr>_Toc385933219</vt:lpwstr>
      </vt:variant>
      <vt:variant>
        <vt:i4>1310775</vt:i4>
      </vt:variant>
      <vt:variant>
        <vt:i4>92</vt:i4>
      </vt:variant>
      <vt:variant>
        <vt:i4>0</vt:i4>
      </vt:variant>
      <vt:variant>
        <vt:i4>5</vt:i4>
      </vt:variant>
      <vt:variant>
        <vt:lpwstr/>
      </vt:variant>
      <vt:variant>
        <vt:lpwstr>_Toc385933218</vt:lpwstr>
      </vt:variant>
      <vt:variant>
        <vt:i4>1310775</vt:i4>
      </vt:variant>
      <vt:variant>
        <vt:i4>86</vt:i4>
      </vt:variant>
      <vt:variant>
        <vt:i4>0</vt:i4>
      </vt:variant>
      <vt:variant>
        <vt:i4>5</vt:i4>
      </vt:variant>
      <vt:variant>
        <vt:lpwstr/>
      </vt:variant>
      <vt:variant>
        <vt:lpwstr>_Toc385933217</vt:lpwstr>
      </vt:variant>
      <vt:variant>
        <vt:i4>1310775</vt:i4>
      </vt:variant>
      <vt:variant>
        <vt:i4>80</vt:i4>
      </vt:variant>
      <vt:variant>
        <vt:i4>0</vt:i4>
      </vt:variant>
      <vt:variant>
        <vt:i4>5</vt:i4>
      </vt:variant>
      <vt:variant>
        <vt:lpwstr/>
      </vt:variant>
      <vt:variant>
        <vt:lpwstr>_Toc385933216</vt:lpwstr>
      </vt:variant>
      <vt:variant>
        <vt:i4>1310775</vt:i4>
      </vt:variant>
      <vt:variant>
        <vt:i4>74</vt:i4>
      </vt:variant>
      <vt:variant>
        <vt:i4>0</vt:i4>
      </vt:variant>
      <vt:variant>
        <vt:i4>5</vt:i4>
      </vt:variant>
      <vt:variant>
        <vt:lpwstr/>
      </vt:variant>
      <vt:variant>
        <vt:lpwstr>_Toc385933215</vt:lpwstr>
      </vt:variant>
      <vt:variant>
        <vt:i4>1310775</vt:i4>
      </vt:variant>
      <vt:variant>
        <vt:i4>68</vt:i4>
      </vt:variant>
      <vt:variant>
        <vt:i4>0</vt:i4>
      </vt:variant>
      <vt:variant>
        <vt:i4>5</vt:i4>
      </vt:variant>
      <vt:variant>
        <vt:lpwstr/>
      </vt:variant>
      <vt:variant>
        <vt:lpwstr>_Toc385933214</vt:lpwstr>
      </vt:variant>
      <vt:variant>
        <vt:i4>1310775</vt:i4>
      </vt:variant>
      <vt:variant>
        <vt:i4>62</vt:i4>
      </vt:variant>
      <vt:variant>
        <vt:i4>0</vt:i4>
      </vt:variant>
      <vt:variant>
        <vt:i4>5</vt:i4>
      </vt:variant>
      <vt:variant>
        <vt:lpwstr/>
      </vt:variant>
      <vt:variant>
        <vt:lpwstr>_Toc385933213</vt:lpwstr>
      </vt:variant>
      <vt:variant>
        <vt:i4>1310775</vt:i4>
      </vt:variant>
      <vt:variant>
        <vt:i4>56</vt:i4>
      </vt:variant>
      <vt:variant>
        <vt:i4>0</vt:i4>
      </vt:variant>
      <vt:variant>
        <vt:i4>5</vt:i4>
      </vt:variant>
      <vt:variant>
        <vt:lpwstr/>
      </vt:variant>
      <vt:variant>
        <vt:lpwstr>_Toc385933212</vt:lpwstr>
      </vt:variant>
      <vt:variant>
        <vt:i4>1310775</vt:i4>
      </vt:variant>
      <vt:variant>
        <vt:i4>50</vt:i4>
      </vt:variant>
      <vt:variant>
        <vt:i4>0</vt:i4>
      </vt:variant>
      <vt:variant>
        <vt:i4>5</vt:i4>
      </vt:variant>
      <vt:variant>
        <vt:lpwstr/>
      </vt:variant>
      <vt:variant>
        <vt:lpwstr>_Toc385933211</vt:lpwstr>
      </vt:variant>
      <vt:variant>
        <vt:i4>1310775</vt:i4>
      </vt:variant>
      <vt:variant>
        <vt:i4>44</vt:i4>
      </vt:variant>
      <vt:variant>
        <vt:i4>0</vt:i4>
      </vt:variant>
      <vt:variant>
        <vt:i4>5</vt:i4>
      </vt:variant>
      <vt:variant>
        <vt:lpwstr/>
      </vt:variant>
      <vt:variant>
        <vt:lpwstr>_Toc385933210</vt:lpwstr>
      </vt:variant>
      <vt:variant>
        <vt:i4>1376311</vt:i4>
      </vt:variant>
      <vt:variant>
        <vt:i4>38</vt:i4>
      </vt:variant>
      <vt:variant>
        <vt:i4>0</vt:i4>
      </vt:variant>
      <vt:variant>
        <vt:i4>5</vt:i4>
      </vt:variant>
      <vt:variant>
        <vt:lpwstr/>
      </vt:variant>
      <vt:variant>
        <vt:lpwstr>_Toc385933209</vt:lpwstr>
      </vt:variant>
      <vt:variant>
        <vt:i4>1376311</vt:i4>
      </vt:variant>
      <vt:variant>
        <vt:i4>32</vt:i4>
      </vt:variant>
      <vt:variant>
        <vt:i4>0</vt:i4>
      </vt:variant>
      <vt:variant>
        <vt:i4>5</vt:i4>
      </vt:variant>
      <vt:variant>
        <vt:lpwstr/>
      </vt:variant>
      <vt:variant>
        <vt:lpwstr>_Toc385933208</vt:lpwstr>
      </vt:variant>
      <vt:variant>
        <vt:i4>1376311</vt:i4>
      </vt:variant>
      <vt:variant>
        <vt:i4>26</vt:i4>
      </vt:variant>
      <vt:variant>
        <vt:i4>0</vt:i4>
      </vt:variant>
      <vt:variant>
        <vt:i4>5</vt:i4>
      </vt:variant>
      <vt:variant>
        <vt:lpwstr/>
      </vt:variant>
      <vt:variant>
        <vt:lpwstr>_Toc385933207</vt:lpwstr>
      </vt:variant>
      <vt:variant>
        <vt:i4>1376311</vt:i4>
      </vt:variant>
      <vt:variant>
        <vt:i4>20</vt:i4>
      </vt:variant>
      <vt:variant>
        <vt:i4>0</vt:i4>
      </vt:variant>
      <vt:variant>
        <vt:i4>5</vt:i4>
      </vt:variant>
      <vt:variant>
        <vt:lpwstr/>
      </vt:variant>
      <vt:variant>
        <vt:lpwstr>_Toc385933206</vt:lpwstr>
      </vt:variant>
      <vt:variant>
        <vt:i4>1376311</vt:i4>
      </vt:variant>
      <vt:variant>
        <vt:i4>14</vt:i4>
      </vt:variant>
      <vt:variant>
        <vt:i4>0</vt:i4>
      </vt:variant>
      <vt:variant>
        <vt:i4>5</vt:i4>
      </vt:variant>
      <vt:variant>
        <vt:lpwstr/>
      </vt:variant>
      <vt:variant>
        <vt:lpwstr>_Toc385933205</vt:lpwstr>
      </vt:variant>
      <vt:variant>
        <vt:i4>1376311</vt:i4>
      </vt:variant>
      <vt:variant>
        <vt:i4>8</vt:i4>
      </vt:variant>
      <vt:variant>
        <vt:i4>0</vt:i4>
      </vt:variant>
      <vt:variant>
        <vt:i4>5</vt:i4>
      </vt:variant>
      <vt:variant>
        <vt:lpwstr/>
      </vt:variant>
      <vt:variant>
        <vt:lpwstr>_Toc385933204</vt:lpwstr>
      </vt:variant>
      <vt:variant>
        <vt:i4>7471148</vt:i4>
      </vt:variant>
      <vt:variant>
        <vt:i4>3</vt:i4>
      </vt:variant>
      <vt:variant>
        <vt:i4>0</vt:i4>
      </vt:variant>
      <vt:variant>
        <vt:i4>5</vt:i4>
      </vt:variant>
      <vt:variant>
        <vt:lpwstr>http://www.itsanhonour.gov.au/</vt:lpwstr>
      </vt:variant>
      <vt:variant>
        <vt:lpwstr/>
      </vt:variant>
      <vt:variant>
        <vt:i4>2752613</vt:i4>
      </vt:variant>
      <vt:variant>
        <vt:i4>0</vt:i4>
      </vt:variant>
      <vt:variant>
        <vt:i4>0</vt:i4>
      </vt:variant>
      <vt:variant>
        <vt:i4>5</vt:i4>
      </vt:variant>
      <vt:variant>
        <vt:lpwstr>http://www.creativecommons.org/licenses/by/3.0/au/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OGP Commitment 5.2 - Discover Report - Hidden in Plain Sight</dc:title>
  <dc:subject>BizLab Word Report Template</dc:subject>
  <dc:creator>Kendal, Iain</dc:creator>
  <cp:keywords>BizLab, Report, template</cp:keywords>
  <dc:description/>
  <cp:lastModifiedBy>Magee, Lyndal</cp:lastModifiedBy>
  <cp:revision>2</cp:revision>
  <cp:lastPrinted>2017-10-11T04:09:00Z</cp:lastPrinted>
  <dcterms:created xsi:type="dcterms:W3CDTF">2022-10-24T05:51:00Z</dcterms:created>
  <dcterms:modified xsi:type="dcterms:W3CDTF">2022-10-24T05:51:00Z</dcterms:modified>
  <cp:category>Other</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lectedContentTypeId">
    <vt:lpwstr>0x010100407620DDFF47524F86BCF55EDD394643010019E00E38CBD7094495F643406AE40ABA</vt:lpwstr>
  </property>
  <property fmtid="{D5CDD505-2E9C-101B-9397-08002B2CF9AE}" pid="3" name="ContentType">
    <vt:lpwstr>DEPT DOCUMENT</vt:lpwstr>
  </property>
  <property fmtid="{D5CDD505-2E9C-101B-9397-08002B2CF9AE}" pid="4" name="SelectedContainerURI">
    <vt:lpwstr>2832026</vt:lpwstr>
  </property>
  <property fmtid="{D5CDD505-2E9C-101B-9397-08002B2CF9AE}" pid="5" name="ContentTypeId">
    <vt:lpwstr>0x01010097F86F0C24D64525B252BB20BD9D45A700ED3A171BA7E8A24A8EBD27E78921E6CD</vt:lpwstr>
  </property>
  <property fmtid="{D5CDD505-2E9C-101B-9397-08002B2CF9AE}" pid="6" name="TrimRevisionNumber">
    <vt:i4>7</vt:i4>
  </property>
  <property fmtid="{D5CDD505-2E9C-101B-9397-08002B2CF9AE}" pid="7" name="trimRootDocClassification">
    <vt:lpwstr/>
  </property>
  <property fmtid="{D5CDD505-2E9C-101B-9397-08002B2CF9AE}" pid="8" name="trimRootDocAssigneeLocation">
    <vt:lpwstr/>
  </property>
  <property fmtid="{D5CDD505-2E9C-101B-9397-08002B2CF9AE}" pid="9" name="trimRootDocACLCanUpdateMetadata_List">
    <vt:lpwstr/>
  </property>
  <property fmtid="{D5CDD505-2E9C-101B-9397-08002B2CF9AE}" pid="10" name="trimRootDocOtherContactLocation">
    <vt:lpwstr/>
  </property>
  <property fmtid="{D5CDD505-2E9C-101B-9397-08002B2CF9AE}" pid="11" name="trimRootDocACLCanModifyAccess_List">
    <vt:lpwstr/>
  </property>
  <property fmtid="{D5CDD505-2E9C-101B-9397-08002B2CF9AE}" pid="12" name="trimRootDocACLCanUpdateDocument_List">
    <vt:lpwstr/>
  </property>
  <property fmtid="{D5CDD505-2E9C-101B-9397-08002B2CF9AE}" pid="13" name="trimRootDocACLCanViewMetadata_List">
    <vt:lpwstr/>
  </property>
  <property fmtid="{D5CDD505-2E9C-101B-9397-08002B2CF9AE}" pid="14" name="trimRootDocACLCanViewDocument_List">
    <vt:lpwstr/>
  </property>
  <property fmtid="{D5CDD505-2E9C-101B-9397-08002B2CF9AE}" pid="15" name="trimRootDocOwnerLocation">
    <vt:lpwstr/>
  </property>
  <property fmtid="{D5CDD505-2E9C-101B-9397-08002B2CF9AE}" pid="16" name="trimRootDocACLCanContributeDocuments_List">
    <vt:lpwstr/>
  </property>
  <property fmtid="{D5CDD505-2E9C-101B-9397-08002B2CF9AE}" pid="17" name="_dlc_DocIdItemGuid">
    <vt:lpwstr>638d6aeb-d2b4-4b47-ba5e-048249417a8b</vt:lpwstr>
  </property>
  <property fmtid="{D5CDD505-2E9C-101B-9397-08002B2CF9AE}" pid="18" name="DocHub_Year">
    <vt:lpwstr>13;#2017|5f6de30b-6e1e-4c09-9e51-982258231536</vt:lpwstr>
  </property>
  <property fmtid="{D5CDD505-2E9C-101B-9397-08002B2CF9AE}" pid="19" name="DocHub_DocumentType">
    <vt:lpwstr>58;#Report|116a9244-cef6-47ce-a9a5-088c9cf21292</vt:lpwstr>
  </property>
  <property fmtid="{D5CDD505-2E9C-101B-9397-08002B2CF9AE}" pid="20" name="DocHub_SecurityClassification">
    <vt:lpwstr>30;#UNCLASSIFIED|6106d03b-a1a0-4e30-9d91-d5e9fb4314f9</vt:lpwstr>
  </property>
  <property fmtid="{D5CDD505-2E9C-101B-9397-08002B2CF9AE}" pid="21" name="DocHub_Keywords">
    <vt:lpwstr>2140;#Open Government Partnership|fe79b660-b778-4226-bfbf-b2ed8f7f4f18</vt:lpwstr>
  </property>
  <property fmtid="{D5CDD505-2E9C-101B-9397-08002B2CF9AE}" pid="22" name="DocHub_WorkActivity">
    <vt:lpwstr/>
  </property>
</Properties>
</file>