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543181" w14:textId="69446C96" w:rsidR="008763D2" w:rsidRPr="00B0110C" w:rsidRDefault="008763D2" w:rsidP="00F75386">
      <w:pPr>
        <w:pStyle w:val="Covertitle"/>
        <w:rPr>
          <w:rFonts w:cs="Segoe UI"/>
          <w:b/>
          <w:color w:val="00264D" w:themeColor="background2"/>
          <w:sz w:val="64"/>
          <w:szCs w:val="64"/>
        </w:rPr>
      </w:pPr>
      <w:r w:rsidRPr="00ED0134">
        <w:rPr>
          <w:rFonts w:cs="Segoe UI"/>
          <w:b/>
          <w:noProof/>
          <w:color w:val="FFFFFF" w:themeColor="background1"/>
          <w:sz w:val="64"/>
          <w:szCs w:val="64"/>
        </w:rPr>
        <w:drawing>
          <wp:anchor distT="0" distB="0" distL="114300" distR="114300" simplePos="0" relativeHeight="251673088" behindDoc="1" locked="0" layoutInCell="1" allowOverlap="1" wp14:anchorId="0838B937" wp14:editId="35BFAF87">
            <wp:simplePos x="0" y="0"/>
            <wp:positionH relativeFrom="page">
              <wp:align>center</wp:align>
            </wp:positionH>
            <wp:positionV relativeFrom="page">
              <wp:align>center</wp:align>
            </wp:positionV>
            <wp:extent cx="7559998" cy="10693741"/>
            <wp:effectExtent l="0" t="0" r="3175" b="0"/>
            <wp:wrapNone/>
            <wp:docPr id="497" name="Picture 4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Picture 497">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559998" cy="10693741"/>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rFonts w:cs="Segoe UI"/>
            <w:b/>
            <w:color w:val="FFFFFF" w:themeColor="background1"/>
            <w:sz w:val="64"/>
            <w:szCs w:val="64"/>
          </w:rPr>
          <w:id w:val="-32512058"/>
          <w:docPartObj>
            <w:docPartGallery w:val="Cover Pages"/>
            <w:docPartUnique/>
          </w:docPartObj>
        </w:sdtPr>
        <w:sdtEndPr>
          <w:rPr>
            <w:color w:val="00264D" w:themeColor="background2"/>
            <w:sz w:val="36"/>
            <w:szCs w:val="36"/>
          </w:rPr>
        </w:sdtEndPr>
        <w:sdtContent>
          <w:r>
            <w:rPr>
              <w:rFonts w:cs="Segoe UI"/>
              <w:b/>
              <w:color w:val="00264D" w:themeColor="background2"/>
              <w:sz w:val="64"/>
              <w:szCs w:val="64"/>
            </w:rPr>
            <w:t>Business Research and Innovation Initiative Impact Evaluation</w:t>
          </w:r>
        </w:sdtContent>
      </w:sdt>
    </w:p>
    <w:p w14:paraId="3CFC0E96" w14:textId="7E27180A" w:rsidR="008763D2" w:rsidRPr="00870ADB" w:rsidRDefault="008763D2" w:rsidP="00F75386">
      <w:pPr>
        <w:pStyle w:val="CoverPage-Client"/>
        <w:spacing w:before="360"/>
        <w:rPr>
          <w:rFonts w:cs="Segoe UI"/>
          <w:color w:val="00264D" w:themeColor="background2"/>
        </w:rPr>
      </w:pPr>
      <w:r w:rsidRPr="00870ADB">
        <w:rPr>
          <w:rStyle w:val="CoverPage-ClientChar"/>
          <w:rFonts w:cs="Segoe UI"/>
          <w:color w:val="00264D" w:themeColor="background2"/>
        </w:rPr>
        <w:t>Department of Industry, Science, Energy and Resources</w:t>
      </w:r>
    </w:p>
    <w:p w14:paraId="1D1D4DA7" w14:textId="014FA7DD" w:rsidR="008763D2" w:rsidRPr="00D34CE4" w:rsidRDefault="008763D2" w:rsidP="00D34CE4">
      <w:pPr>
        <w:pStyle w:val="CoverPage-Date"/>
        <w:spacing w:before="240"/>
        <w:sectPr w:rsidR="008763D2" w:rsidRPr="00D34CE4" w:rsidSect="00FB32F6">
          <w:headerReference w:type="default" r:id="rId10"/>
          <w:footerReference w:type="default" r:id="rId11"/>
          <w:headerReference w:type="first" r:id="rId12"/>
          <w:pgSz w:w="11907" w:h="16839" w:code="9"/>
          <w:pgMar w:top="3402" w:right="1418" w:bottom="1701" w:left="1559" w:header="737" w:footer="567" w:gutter="0"/>
          <w:pgNumType w:start="0"/>
          <w:cols w:space="720"/>
          <w:titlePg/>
          <w:docGrid w:linePitch="360"/>
        </w:sectPr>
      </w:pPr>
      <w:r>
        <w:rPr>
          <w:rStyle w:val="CoverPage-DateChar"/>
          <w:rFonts w:cs="Segoe UI"/>
          <w:sz w:val="20"/>
          <w:szCs w:val="20"/>
        </w:rPr>
        <w:t>31 August 2021</w:t>
      </w:r>
    </w:p>
    <w:p w14:paraId="051EA105" w14:textId="32A8D3F7" w:rsidR="00D92A37" w:rsidRPr="001C2347" w:rsidRDefault="00D92A37" w:rsidP="00D92A37">
      <w:pPr>
        <w:ind w:right="-1"/>
        <w:rPr>
          <w:rFonts w:ascii="Segoe UI Semibold" w:hAnsi="Segoe UI Semibold" w:cs="Segoe UI Semibold"/>
          <w:i/>
          <w:sz w:val="16"/>
          <w:szCs w:val="16"/>
        </w:rPr>
      </w:pPr>
      <w:r w:rsidRPr="001C2347">
        <w:rPr>
          <w:rFonts w:ascii="Segoe UI Semibold" w:hAnsi="Segoe UI Semibold" w:cs="Segoe UI Semibold"/>
          <w:i/>
          <w:sz w:val="16"/>
          <w:szCs w:val="16"/>
        </w:rPr>
        <w:lastRenderedPageBreak/>
        <w:t>Disclaimer:</w:t>
      </w:r>
    </w:p>
    <w:p w14:paraId="0313E282" w14:textId="41373EB6" w:rsidR="00D92A37" w:rsidRPr="001C2347" w:rsidRDefault="00D92A37" w:rsidP="00D92A37">
      <w:pPr>
        <w:ind w:right="-1"/>
        <w:rPr>
          <w:i/>
          <w:sz w:val="16"/>
          <w:szCs w:val="16"/>
        </w:rPr>
      </w:pPr>
      <w:r w:rsidRPr="001C2347">
        <w:rPr>
          <w:i/>
          <w:sz w:val="16"/>
          <w:szCs w:val="16"/>
        </w:rPr>
        <w:t>Nous Group (</w:t>
      </w:r>
      <w:r w:rsidRPr="001C2347">
        <w:rPr>
          <w:b/>
          <w:i/>
          <w:sz w:val="16"/>
          <w:szCs w:val="16"/>
        </w:rPr>
        <w:t>Nous</w:t>
      </w:r>
      <w:r w:rsidRPr="001C2347">
        <w:rPr>
          <w:i/>
          <w:sz w:val="16"/>
          <w:szCs w:val="16"/>
        </w:rPr>
        <w:t xml:space="preserve">) has prepared this report for the benefit of Department of Industry, Science, Energy and Resources (the </w:t>
      </w:r>
      <w:r w:rsidRPr="001C2347">
        <w:rPr>
          <w:b/>
          <w:i/>
          <w:sz w:val="16"/>
          <w:szCs w:val="16"/>
        </w:rPr>
        <w:t>Client</w:t>
      </w:r>
      <w:r w:rsidRPr="001C2347">
        <w:rPr>
          <w:i/>
          <w:sz w:val="16"/>
          <w:szCs w:val="16"/>
        </w:rPr>
        <w:t>).</w:t>
      </w:r>
    </w:p>
    <w:p w14:paraId="2CE556B7" w14:textId="77777777" w:rsidR="00D92A37" w:rsidRPr="001C2347" w:rsidRDefault="00D92A37" w:rsidP="00D92A37">
      <w:pPr>
        <w:rPr>
          <w:i/>
          <w:sz w:val="16"/>
          <w:szCs w:val="16"/>
        </w:rPr>
      </w:pPr>
      <w:r w:rsidRPr="001C2347">
        <w:rPr>
          <w:i/>
          <w:sz w:val="16"/>
          <w:szCs w:val="16"/>
        </w:rPr>
        <w:t>The report should not be used or relied upon for any purpose other than as an expression of the conclusions and recommendations of Nous to the Client as to the matters within the scope of the report. Nous and its officers and employees expressly disclaim any liability to any person other than the Client who relies or purports to rely on the report for any other purpose.</w:t>
      </w:r>
    </w:p>
    <w:p w14:paraId="4A84CE15" w14:textId="77777777" w:rsidR="009B0C0B" w:rsidRDefault="00D92A37" w:rsidP="00D92A37">
      <w:pPr>
        <w:rPr>
          <w:noProof/>
          <w:sz w:val="16"/>
          <w:szCs w:val="16"/>
          <w:lang w:eastAsia="en-AU"/>
        </w:rPr>
      </w:pPr>
      <w:r w:rsidRPr="001C2347">
        <w:rPr>
          <w:i/>
          <w:sz w:val="16"/>
          <w:szCs w:val="16"/>
        </w:rPr>
        <w:t>Nous has prepared the report with care and diligence. The conclusions and recommendations given by Nous in the report are given in good faith and in the reasonable belief that they are correct and not misleading. The report has been prepared by Nous based on information provided by the Client and by other persons. Nous has relied on that information and has not independently verified or audited that information.</w:t>
      </w:r>
      <w:r w:rsidR="009B0C0B" w:rsidRPr="009B0C0B">
        <w:rPr>
          <w:noProof/>
          <w:sz w:val="16"/>
          <w:szCs w:val="16"/>
          <w:lang w:eastAsia="en-AU"/>
        </w:rPr>
        <w:t xml:space="preserve"> </w:t>
      </w:r>
    </w:p>
    <w:p w14:paraId="1B73A2EF" w14:textId="77777777" w:rsidR="009B0C0B" w:rsidRPr="009B0C0B" w:rsidRDefault="009B0C0B" w:rsidP="009B0C0B">
      <w:pPr>
        <w:rPr>
          <w:sz w:val="16"/>
          <w:szCs w:val="16"/>
        </w:rPr>
      </w:pPr>
      <w:r w:rsidRPr="009B0C0B">
        <w:rPr>
          <w:sz w:val="16"/>
          <w:szCs w:val="16"/>
        </w:rPr>
        <w:t>© Nous Group</w:t>
      </w:r>
    </w:p>
    <w:p w14:paraId="753C7AE1" w14:textId="63E2EAD2" w:rsidR="009B0C0B" w:rsidRPr="009B0C0B" w:rsidRDefault="009B0C0B" w:rsidP="00D92A37">
      <w:pPr>
        <w:rPr>
          <w:noProof/>
          <w:sz w:val="16"/>
          <w:szCs w:val="16"/>
          <w:lang w:eastAsia="en-AU"/>
        </w:rPr>
        <w:sectPr w:rsidR="009B0C0B" w:rsidRPr="009B0C0B" w:rsidSect="00C97562">
          <w:headerReference w:type="even" r:id="rId13"/>
          <w:headerReference w:type="default" r:id="rId14"/>
          <w:pgSz w:w="11907" w:h="16839" w:code="9"/>
          <w:pgMar w:top="11624" w:right="1418" w:bottom="1701" w:left="1559" w:header="737" w:footer="720" w:gutter="0"/>
          <w:pgNumType w:fmt="lowerRoman" w:start="1"/>
          <w:cols w:space="720"/>
          <w:docGrid w:linePitch="360"/>
        </w:sectPr>
      </w:pPr>
    </w:p>
    <w:p w14:paraId="3609F14A" w14:textId="10FF5B82" w:rsidR="00AE493A" w:rsidRPr="00AE493A" w:rsidRDefault="00AE493A" w:rsidP="00AE493A">
      <w:pPr>
        <w:rPr>
          <w:b/>
          <w:bCs/>
          <w:color w:val="00264D" w:themeColor="background2"/>
          <w:sz w:val="36"/>
          <w:szCs w:val="36"/>
        </w:rPr>
      </w:pPr>
      <w:r>
        <w:rPr>
          <w:b/>
          <w:bCs/>
          <w:color w:val="00264D" w:themeColor="background2"/>
          <w:sz w:val="36"/>
          <w:szCs w:val="36"/>
        </w:rPr>
        <w:lastRenderedPageBreak/>
        <w:t>Contents</w:t>
      </w:r>
    </w:p>
    <w:p w14:paraId="40D98403" w14:textId="49147FBE" w:rsidR="00D07CE5" w:rsidRDefault="006547DC">
      <w:pPr>
        <w:pStyle w:val="TOC1"/>
        <w:rPr>
          <w:rFonts w:asciiTheme="minorHAnsi" w:eastAsiaTheme="minorEastAsia" w:hAnsiTheme="minorHAnsi"/>
          <w:sz w:val="22"/>
          <w:lang w:val="en-AU" w:eastAsia="en-AU"/>
        </w:rPr>
      </w:pPr>
      <w:r w:rsidRPr="00D00B16">
        <w:fldChar w:fldCharType="begin"/>
      </w:r>
      <w:r w:rsidRPr="00D00B16">
        <w:instrText xml:space="preserve"> TOC \o "1-2" \h \z \u </w:instrText>
      </w:r>
      <w:r w:rsidRPr="00D00B16">
        <w:fldChar w:fldCharType="separate"/>
      </w:r>
      <w:hyperlink w:anchor="_Toc124435133" w:history="1">
        <w:r w:rsidR="00D07CE5" w:rsidRPr="006F5298">
          <w:rPr>
            <w:rStyle w:val="Hyperlink"/>
          </w:rPr>
          <w:t>1.</w:t>
        </w:r>
        <w:r w:rsidR="00D07CE5">
          <w:rPr>
            <w:rFonts w:asciiTheme="minorHAnsi" w:eastAsiaTheme="minorEastAsia" w:hAnsiTheme="minorHAnsi"/>
            <w:sz w:val="22"/>
            <w:lang w:val="en-AU" w:eastAsia="en-AU"/>
          </w:rPr>
          <w:tab/>
        </w:r>
        <w:r w:rsidR="00D07CE5" w:rsidRPr="006F5298">
          <w:rPr>
            <w:rStyle w:val="Hyperlink"/>
          </w:rPr>
          <w:t>Executive summary</w:t>
        </w:r>
        <w:r w:rsidR="00D07CE5">
          <w:rPr>
            <w:webHidden/>
          </w:rPr>
          <w:tab/>
        </w:r>
        <w:r w:rsidR="00D07CE5">
          <w:rPr>
            <w:webHidden/>
          </w:rPr>
          <w:fldChar w:fldCharType="begin"/>
        </w:r>
        <w:r w:rsidR="00D07CE5">
          <w:rPr>
            <w:webHidden/>
          </w:rPr>
          <w:instrText xml:space="preserve"> PAGEREF _Toc124435133 \h </w:instrText>
        </w:r>
        <w:r w:rsidR="00D07CE5">
          <w:rPr>
            <w:webHidden/>
          </w:rPr>
        </w:r>
        <w:r w:rsidR="00D07CE5">
          <w:rPr>
            <w:webHidden/>
          </w:rPr>
          <w:fldChar w:fldCharType="separate"/>
        </w:r>
        <w:r w:rsidR="00D51AD3">
          <w:rPr>
            <w:webHidden/>
          </w:rPr>
          <w:t>3</w:t>
        </w:r>
        <w:r w:rsidR="00D07CE5">
          <w:rPr>
            <w:webHidden/>
          </w:rPr>
          <w:fldChar w:fldCharType="end"/>
        </w:r>
      </w:hyperlink>
    </w:p>
    <w:p w14:paraId="73AA4473" w14:textId="625C4CBE" w:rsidR="00D07CE5" w:rsidRDefault="00AE53C1">
      <w:pPr>
        <w:pStyle w:val="TOC1"/>
        <w:rPr>
          <w:rFonts w:asciiTheme="minorHAnsi" w:eastAsiaTheme="minorEastAsia" w:hAnsiTheme="minorHAnsi"/>
          <w:sz w:val="22"/>
          <w:lang w:val="en-AU" w:eastAsia="en-AU"/>
        </w:rPr>
      </w:pPr>
      <w:hyperlink w:anchor="_Toc124435134" w:history="1">
        <w:r w:rsidR="00D07CE5" w:rsidRPr="006F5298">
          <w:rPr>
            <w:rStyle w:val="Hyperlink"/>
          </w:rPr>
          <w:t>2.</w:t>
        </w:r>
        <w:r w:rsidR="00D07CE5">
          <w:rPr>
            <w:rFonts w:asciiTheme="minorHAnsi" w:eastAsiaTheme="minorEastAsia" w:hAnsiTheme="minorHAnsi"/>
            <w:sz w:val="22"/>
            <w:lang w:val="en-AU" w:eastAsia="en-AU"/>
          </w:rPr>
          <w:tab/>
        </w:r>
        <w:r w:rsidR="00D07CE5" w:rsidRPr="006F5298">
          <w:rPr>
            <w:rStyle w:val="Hyperlink"/>
          </w:rPr>
          <w:t>Summary of evaluation findings</w:t>
        </w:r>
        <w:r w:rsidR="00D07CE5">
          <w:rPr>
            <w:webHidden/>
          </w:rPr>
          <w:tab/>
        </w:r>
        <w:r w:rsidR="00D07CE5">
          <w:rPr>
            <w:webHidden/>
          </w:rPr>
          <w:fldChar w:fldCharType="begin"/>
        </w:r>
        <w:r w:rsidR="00D07CE5">
          <w:rPr>
            <w:webHidden/>
          </w:rPr>
          <w:instrText xml:space="preserve"> PAGEREF _Toc124435134 \h </w:instrText>
        </w:r>
        <w:r w:rsidR="00D07CE5">
          <w:rPr>
            <w:webHidden/>
          </w:rPr>
        </w:r>
        <w:r w:rsidR="00D07CE5">
          <w:rPr>
            <w:webHidden/>
          </w:rPr>
          <w:fldChar w:fldCharType="separate"/>
        </w:r>
        <w:r w:rsidR="00D51AD3">
          <w:rPr>
            <w:webHidden/>
          </w:rPr>
          <w:t>5</w:t>
        </w:r>
        <w:r w:rsidR="00D07CE5">
          <w:rPr>
            <w:webHidden/>
          </w:rPr>
          <w:fldChar w:fldCharType="end"/>
        </w:r>
      </w:hyperlink>
    </w:p>
    <w:p w14:paraId="6610D60D" w14:textId="332BE9B1" w:rsidR="00D07CE5" w:rsidRDefault="00AE53C1" w:rsidP="00D07CE5">
      <w:pPr>
        <w:pStyle w:val="TOC2"/>
        <w:rPr>
          <w:rFonts w:eastAsiaTheme="minorEastAsia"/>
          <w:sz w:val="22"/>
          <w:lang w:val="en-AU" w:eastAsia="en-AU"/>
        </w:rPr>
      </w:pPr>
      <w:hyperlink w:anchor="_Toc124435135" w:history="1">
        <w:r w:rsidR="00D07CE5" w:rsidRPr="006F5298">
          <w:rPr>
            <w:rStyle w:val="Hyperlink"/>
          </w:rPr>
          <w:t>2.1</w:t>
        </w:r>
        <w:r w:rsidR="00D07CE5">
          <w:rPr>
            <w:rFonts w:eastAsiaTheme="minorEastAsia"/>
            <w:sz w:val="22"/>
            <w:lang w:val="en-AU" w:eastAsia="en-AU"/>
          </w:rPr>
          <w:tab/>
        </w:r>
        <w:r w:rsidR="00D07CE5" w:rsidRPr="006F5298">
          <w:rPr>
            <w:rStyle w:val="Hyperlink"/>
          </w:rPr>
          <w:t>The BRII has reached a diverse group of Small and Medium Sized Enterprises (SMEs) and Australian Government agencies</w:t>
        </w:r>
        <w:r w:rsidR="00D07CE5">
          <w:rPr>
            <w:webHidden/>
          </w:rPr>
          <w:tab/>
        </w:r>
        <w:r w:rsidR="00D07CE5">
          <w:rPr>
            <w:webHidden/>
          </w:rPr>
          <w:fldChar w:fldCharType="begin"/>
        </w:r>
        <w:r w:rsidR="00D07CE5">
          <w:rPr>
            <w:webHidden/>
          </w:rPr>
          <w:instrText xml:space="preserve"> PAGEREF _Toc124435135 \h </w:instrText>
        </w:r>
        <w:r w:rsidR="00D07CE5">
          <w:rPr>
            <w:webHidden/>
          </w:rPr>
        </w:r>
        <w:r w:rsidR="00D07CE5">
          <w:rPr>
            <w:webHidden/>
          </w:rPr>
          <w:fldChar w:fldCharType="separate"/>
        </w:r>
        <w:r w:rsidR="00D51AD3">
          <w:rPr>
            <w:webHidden/>
          </w:rPr>
          <w:t>5</w:t>
        </w:r>
        <w:r w:rsidR="00D07CE5">
          <w:rPr>
            <w:webHidden/>
          </w:rPr>
          <w:fldChar w:fldCharType="end"/>
        </w:r>
      </w:hyperlink>
    </w:p>
    <w:p w14:paraId="2EF0AEAE" w14:textId="3FB78C68" w:rsidR="00D07CE5" w:rsidRDefault="00AE53C1" w:rsidP="00D07CE5">
      <w:pPr>
        <w:pStyle w:val="TOC2"/>
        <w:rPr>
          <w:rFonts w:eastAsiaTheme="minorEastAsia"/>
          <w:sz w:val="22"/>
          <w:lang w:val="en-AU" w:eastAsia="en-AU"/>
        </w:rPr>
      </w:pPr>
      <w:hyperlink w:anchor="_Toc124435136" w:history="1">
        <w:r w:rsidR="00D07CE5" w:rsidRPr="006F5298">
          <w:rPr>
            <w:rStyle w:val="Hyperlink"/>
          </w:rPr>
          <w:t>2.2</w:t>
        </w:r>
        <w:r w:rsidR="00D07CE5">
          <w:rPr>
            <w:rFonts w:eastAsiaTheme="minorEastAsia"/>
            <w:sz w:val="22"/>
            <w:lang w:val="en-AU" w:eastAsia="en-AU"/>
          </w:rPr>
          <w:tab/>
        </w:r>
        <w:r w:rsidR="00D07CE5" w:rsidRPr="006F5298">
          <w:rPr>
            <w:rStyle w:val="Hyperlink"/>
          </w:rPr>
          <w:t>The BRII has produced substantial value for participating SMEs and challenge agencies</w:t>
        </w:r>
        <w:r w:rsidR="00D07CE5">
          <w:rPr>
            <w:webHidden/>
          </w:rPr>
          <w:tab/>
        </w:r>
        <w:r w:rsidR="00D07CE5">
          <w:rPr>
            <w:webHidden/>
          </w:rPr>
          <w:fldChar w:fldCharType="begin"/>
        </w:r>
        <w:r w:rsidR="00D07CE5">
          <w:rPr>
            <w:webHidden/>
          </w:rPr>
          <w:instrText xml:space="preserve"> PAGEREF _Toc124435136 \h </w:instrText>
        </w:r>
        <w:r w:rsidR="00D07CE5">
          <w:rPr>
            <w:webHidden/>
          </w:rPr>
        </w:r>
        <w:r w:rsidR="00D07CE5">
          <w:rPr>
            <w:webHidden/>
          </w:rPr>
          <w:fldChar w:fldCharType="separate"/>
        </w:r>
        <w:r w:rsidR="00D51AD3">
          <w:rPr>
            <w:webHidden/>
          </w:rPr>
          <w:t>6</w:t>
        </w:r>
        <w:r w:rsidR="00D07CE5">
          <w:rPr>
            <w:webHidden/>
          </w:rPr>
          <w:fldChar w:fldCharType="end"/>
        </w:r>
      </w:hyperlink>
    </w:p>
    <w:p w14:paraId="626A09A6" w14:textId="29972E01" w:rsidR="00D07CE5" w:rsidRDefault="00AE53C1" w:rsidP="00D07CE5">
      <w:pPr>
        <w:pStyle w:val="TOC2"/>
        <w:rPr>
          <w:rFonts w:eastAsiaTheme="minorEastAsia"/>
          <w:sz w:val="22"/>
          <w:lang w:val="en-AU" w:eastAsia="en-AU"/>
        </w:rPr>
      </w:pPr>
      <w:hyperlink w:anchor="_Toc124435137" w:history="1">
        <w:r w:rsidR="00D07CE5" w:rsidRPr="006F5298">
          <w:rPr>
            <w:rStyle w:val="Hyperlink"/>
          </w:rPr>
          <w:t>2.3</w:t>
        </w:r>
        <w:r w:rsidR="00D07CE5">
          <w:rPr>
            <w:rFonts w:eastAsiaTheme="minorEastAsia"/>
            <w:sz w:val="22"/>
            <w:lang w:val="en-AU" w:eastAsia="en-AU"/>
          </w:rPr>
          <w:tab/>
        </w:r>
        <w:r w:rsidR="00D07CE5" w:rsidRPr="006F5298">
          <w:rPr>
            <w:rStyle w:val="Hyperlink"/>
          </w:rPr>
          <w:t>Round one of the BRII has delivered a substantial net economic benefit to Australia</w:t>
        </w:r>
        <w:r w:rsidR="00D07CE5">
          <w:rPr>
            <w:webHidden/>
          </w:rPr>
          <w:tab/>
        </w:r>
        <w:r w:rsidR="00D07CE5">
          <w:rPr>
            <w:webHidden/>
          </w:rPr>
          <w:fldChar w:fldCharType="begin"/>
        </w:r>
        <w:r w:rsidR="00D07CE5">
          <w:rPr>
            <w:webHidden/>
          </w:rPr>
          <w:instrText xml:space="preserve"> PAGEREF _Toc124435137 \h </w:instrText>
        </w:r>
        <w:r w:rsidR="00D07CE5">
          <w:rPr>
            <w:webHidden/>
          </w:rPr>
        </w:r>
        <w:r w:rsidR="00D07CE5">
          <w:rPr>
            <w:webHidden/>
          </w:rPr>
          <w:fldChar w:fldCharType="separate"/>
        </w:r>
        <w:r w:rsidR="00D51AD3">
          <w:rPr>
            <w:webHidden/>
          </w:rPr>
          <w:t>8</w:t>
        </w:r>
        <w:r w:rsidR="00D07CE5">
          <w:rPr>
            <w:webHidden/>
          </w:rPr>
          <w:fldChar w:fldCharType="end"/>
        </w:r>
      </w:hyperlink>
    </w:p>
    <w:p w14:paraId="1901073D" w14:textId="731ABEB3" w:rsidR="00D07CE5" w:rsidRDefault="00AE53C1" w:rsidP="00D07CE5">
      <w:pPr>
        <w:pStyle w:val="TOC2"/>
        <w:rPr>
          <w:rFonts w:eastAsiaTheme="minorEastAsia"/>
          <w:sz w:val="22"/>
          <w:lang w:val="en-AU" w:eastAsia="en-AU"/>
        </w:rPr>
      </w:pPr>
      <w:hyperlink w:anchor="_Toc124435138" w:history="1">
        <w:r w:rsidR="00D07CE5" w:rsidRPr="006F5298">
          <w:rPr>
            <w:rStyle w:val="Hyperlink"/>
          </w:rPr>
          <w:t>2.4</w:t>
        </w:r>
        <w:r w:rsidR="00D07CE5">
          <w:rPr>
            <w:rFonts w:eastAsiaTheme="minorEastAsia"/>
            <w:sz w:val="22"/>
            <w:lang w:val="en-AU" w:eastAsia="en-AU"/>
          </w:rPr>
          <w:tab/>
        </w:r>
        <w:r w:rsidR="00D07CE5" w:rsidRPr="006F5298">
          <w:rPr>
            <w:rStyle w:val="Hyperlink"/>
          </w:rPr>
          <w:t>BRII program design, governance and implementation have been effective</w:t>
        </w:r>
        <w:r w:rsidR="00D07CE5">
          <w:rPr>
            <w:webHidden/>
          </w:rPr>
          <w:tab/>
        </w:r>
        <w:r w:rsidR="00D07CE5">
          <w:rPr>
            <w:webHidden/>
          </w:rPr>
          <w:fldChar w:fldCharType="begin"/>
        </w:r>
        <w:r w:rsidR="00D07CE5">
          <w:rPr>
            <w:webHidden/>
          </w:rPr>
          <w:instrText xml:space="preserve"> PAGEREF _Toc124435138 \h </w:instrText>
        </w:r>
        <w:r w:rsidR="00D07CE5">
          <w:rPr>
            <w:webHidden/>
          </w:rPr>
        </w:r>
        <w:r w:rsidR="00D07CE5">
          <w:rPr>
            <w:webHidden/>
          </w:rPr>
          <w:fldChar w:fldCharType="separate"/>
        </w:r>
        <w:r w:rsidR="00D51AD3">
          <w:rPr>
            <w:webHidden/>
          </w:rPr>
          <w:t>11</w:t>
        </w:r>
        <w:r w:rsidR="00D07CE5">
          <w:rPr>
            <w:webHidden/>
          </w:rPr>
          <w:fldChar w:fldCharType="end"/>
        </w:r>
      </w:hyperlink>
    </w:p>
    <w:p w14:paraId="577F7225" w14:textId="3ED76434" w:rsidR="00D07CE5" w:rsidRDefault="00AE53C1" w:rsidP="00D07CE5">
      <w:pPr>
        <w:pStyle w:val="TOC2"/>
        <w:rPr>
          <w:rFonts w:eastAsiaTheme="minorEastAsia"/>
          <w:sz w:val="22"/>
          <w:lang w:val="en-AU" w:eastAsia="en-AU"/>
        </w:rPr>
      </w:pPr>
      <w:hyperlink w:anchor="_Toc124435139" w:history="1">
        <w:r w:rsidR="00D07CE5" w:rsidRPr="006F5298">
          <w:rPr>
            <w:rStyle w:val="Hyperlink"/>
          </w:rPr>
          <w:t>2.5</w:t>
        </w:r>
        <w:r w:rsidR="00D07CE5">
          <w:rPr>
            <w:rFonts w:eastAsiaTheme="minorEastAsia"/>
            <w:sz w:val="22"/>
            <w:lang w:val="en-AU" w:eastAsia="en-AU"/>
          </w:rPr>
          <w:tab/>
        </w:r>
        <w:r w:rsidR="00D07CE5" w:rsidRPr="006F5298">
          <w:rPr>
            <w:rStyle w:val="Hyperlink"/>
          </w:rPr>
          <w:t>DISER should consider eleven recommendations to improve the BRII</w:t>
        </w:r>
        <w:r w:rsidR="00D07CE5">
          <w:rPr>
            <w:webHidden/>
          </w:rPr>
          <w:tab/>
        </w:r>
        <w:r w:rsidR="00D07CE5">
          <w:rPr>
            <w:webHidden/>
          </w:rPr>
          <w:fldChar w:fldCharType="begin"/>
        </w:r>
        <w:r w:rsidR="00D07CE5">
          <w:rPr>
            <w:webHidden/>
          </w:rPr>
          <w:instrText xml:space="preserve"> PAGEREF _Toc124435139 \h </w:instrText>
        </w:r>
        <w:r w:rsidR="00D07CE5">
          <w:rPr>
            <w:webHidden/>
          </w:rPr>
        </w:r>
        <w:r w:rsidR="00D07CE5">
          <w:rPr>
            <w:webHidden/>
          </w:rPr>
          <w:fldChar w:fldCharType="separate"/>
        </w:r>
        <w:r w:rsidR="00D51AD3">
          <w:rPr>
            <w:webHidden/>
          </w:rPr>
          <w:t>13</w:t>
        </w:r>
        <w:r w:rsidR="00D07CE5">
          <w:rPr>
            <w:webHidden/>
          </w:rPr>
          <w:fldChar w:fldCharType="end"/>
        </w:r>
      </w:hyperlink>
    </w:p>
    <w:p w14:paraId="4F4ADE1E" w14:textId="7884E007" w:rsidR="00D07CE5" w:rsidRDefault="00AE53C1" w:rsidP="00D07CE5">
      <w:pPr>
        <w:pStyle w:val="TOC2"/>
        <w:rPr>
          <w:rFonts w:eastAsiaTheme="minorEastAsia"/>
          <w:sz w:val="22"/>
          <w:lang w:val="en-AU" w:eastAsia="en-AU"/>
        </w:rPr>
      </w:pPr>
      <w:hyperlink w:anchor="_Toc124435140" w:history="1">
        <w:r w:rsidR="00D07CE5" w:rsidRPr="006F5298">
          <w:rPr>
            <w:rStyle w:val="Hyperlink"/>
          </w:rPr>
          <w:t>2.6</w:t>
        </w:r>
        <w:r w:rsidR="00D07CE5">
          <w:rPr>
            <w:rFonts w:eastAsiaTheme="minorEastAsia"/>
            <w:sz w:val="22"/>
            <w:lang w:val="en-AU" w:eastAsia="en-AU"/>
          </w:rPr>
          <w:tab/>
        </w:r>
        <w:r w:rsidR="00D07CE5" w:rsidRPr="006F5298">
          <w:rPr>
            <w:rStyle w:val="Hyperlink"/>
          </w:rPr>
          <w:t>The future of the BRII</w:t>
        </w:r>
        <w:r w:rsidR="00D07CE5">
          <w:rPr>
            <w:webHidden/>
          </w:rPr>
          <w:tab/>
        </w:r>
        <w:r w:rsidR="00D07CE5">
          <w:rPr>
            <w:webHidden/>
          </w:rPr>
          <w:fldChar w:fldCharType="begin"/>
        </w:r>
        <w:r w:rsidR="00D07CE5">
          <w:rPr>
            <w:webHidden/>
          </w:rPr>
          <w:instrText xml:space="preserve"> PAGEREF _Toc124435140 \h </w:instrText>
        </w:r>
        <w:r w:rsidR="00D07CE5">
          <w:rPr>
            <w:webHidden/>
          </w:rPr>
        </w:r>
        <w:r w:rsidR="00D07CE5">
          <w:rPr>
            <w:webHidden/>
          </w:rPr>
          <w:fldChar w:fldCharType="separate"/>
        </w:r>
        <w:r w:rsidR="00D51AD3">
          <w:rPr>
            <w:webHidden/>
          </w:rPr>
          <w:t>18</w:t>
        </w:r>
        <w:r w:rsidR="00D07CE5">
          <w:rPr>
            <w:webHidden/>
          </w:rPr>
          <w:fldChar w:fldCharType="end"/>
        </w:r>
      </w:hyperlink>
    </w:p>
    <w:p w14:paraId="0637F53A" w14:textId="5CA065A6" w:rsidR="00D07CE5" w:rsidRDefault="00AE53C1">
      <w:pPr>
        <w:pStyle w:val="TOC1"/>
        <w:rPr>
          <w:rFonts w:asciiTheme="minorHAnsi" w:eastAsiaTheme="minorEastAsia" w:hAnsiTheme="minorHAnsi"/>
          <w:sz w:val="22"/>
          <w:lang w:val="en-AU" w:eastAsia="en-AU"/>
        </w:rPr>
      </w:pPr>
      <w:hyperlink w:anchor="_Toc124435141" w:history="1">
        <w:r w:rsidR="00D07CE5" w:rsidRPr="006F5298">
          <w:rPr>
            <w:rStyle w:val="Hyperlink"/>
          </w:rPr>
          <w:t>3.</w:t>
        </w:r>
        <w:r w:rsidR="00D07CE5">
          <w:rPr>
            <w:rFonts w:asciiTheme="minorHAnsi" w:eastAsiaTheme="minorEastAsia" w:hAnsiTheme="minorHAnsi"/>
            <w:sz w:val="22"/>
            <w:lang w:val="en-AU" w:eastAsia="en-AU"/>
          </w:rPr>
          <w:tab/>
        </w:r>
        <w:r w:rsidR="00D07CE5" w:rsidRPr="006F5298">
          <w:rPr>
            <w:rStyle w:val="Hyperlink"/>
          </w:rPr>
          <w:t>About the evaluation</w:t>
        </w:r>
        <w:r w:rsidR="00D07CE5">
          <w:rPr>
            <w:webHidden/>
          </w:rPr>
          <w:tab/>
        </w:r>
        <w:r w:rsidR="00D07CE5">
          <w:rPr>
            <w:webHidden/>
          </w:rPr>
          <w:fldChar w:fldCharType="begin"/>
        </w:r>
        <w:r w:rsidR="00D07CE5">
          <w:rPr>
            <w:webHidden/>
          </w:rPr>
          <w:instrText xml:space="preserve"> PAGEREF _Toc124435141 \h </w:instrText>
        </w:r>
        <w:r w:rsidR="00D07CE5">
          <w:rPr>
            <w:webHidden/>
          </w:rPr>
        </w:r>
        <w:r w:rsidR="00D07CE5">
          <w:rPr>
            <w:webHidden/>
          </w:rPr>
          <w:fldChar w:fldCharType="separate"/>
        </w:r>
        <w:r w:rsidR="00D51AD3">
          <w:rPr>
            <w:webHidden/>
          </w:rPr>
          <w:t>24</w:t>
        </w:r>
        <w:r w:rsidR="00D07CE5">
          <w:rPr>
            <w:webHidden/>
          </w:rPr>
          <w:fldChar w:fldCharType="end"/>
        </w:r>
      </w:hyperlink>
    </w:p>
    <w:p w14:paraId="2BC75AC2" w14:textId="14A630CB" w:rsidR="00D07CE5" w:rsidRDefault="00AE53C1" w:rsidP="00D07CE5">
      <w:pPr>
        <w:pStyle w:val="TOC2"/>
        <w:rPr>
          <w:rFonts w:eastAsiaTheme="minorEastAsia"/>
          <w:sz w:val="22"/>
          <w:lang w:val="en-AU" w:eastAsia="en-AU"/>
        </w:rPr>
      </w:pPr>
      <w:hyperlink w:anchor="_Toc124435142" w:history="1">
        <w:r w:rsidR="00D07CE5" w:rsidRPr="006F5298">
          <w:rPr>
            <w:rStyle w:val="Hyperlink"/>
          </w:rPr>
          <w:t>3.1</w:t>
        </w:r>
        <w:r w:rsidR="00D07CE5">
          <w:rPr>
            <w:rFonts w:eastAsiaTheme="minorEastAsia"/>
            <w:sz w:val="22"/>
            <w:lang w:val="en-AU" w:eastAsia="en-AU"/>
          </w:rPr>
          <w:tab/>
        </w:r>
        <w:r w:rsidR="00D07CE5" w:rsidRPr="006F5298">
          <w:rPr>
            <w:rStyle w:val="Hyperlink"/>
          </w:rPr>
          <w:t>This evaluation focussed on the outcomes and impact, delivery and design of the BRII</w:t>
        </w:r>
        <w:r w:rsidR="00D07CE5">
          <w:rPr>
            <w:webHidden/>
          </w:rPr>
          <w:tab/>
        </w:r>
        <w:r w:rsidR="00D07CE5">
          <w:rPr>
            <w:webHidden/>
          </w:rPr>
          <w:fldChar w:fldCharType="begin"/>
        </w:r>
        <w:r w:rsidR="00D07CE5">
          <w:rPr>
            <w:webHidden/>
          </w:rPr>
          <w:instrText xml:space="preserve"> PAGEREF _Toc124435142 \h </w:instrText>
        </w:r>
        <w:r w:rsidR="00D07CE5">
          <w:rPr>
            <w:webHidden/>
          </w:rPr>
        </w:r>
        <w:r w:rsidR="00D07CE5">
          <w:rPr>
            <w:webHidden/>
          </w:rPr>
          <w:fldChar w:fldCharType="separate"/>
        </w:r>
        <w:r w:rsidR="00D51AD3">
          <w:rPr>
            <w:webHidden/>
          </w:rPr>
          <w:t>24</w:t>
        </w:r>
        <w:r w:rsidR="00D07CE5">
          <w:rPr>
            <w:webHidden/>
          </w:rPr>
          <w:fldChar w:fldCharType="end"/>
        </w:r>
      </w:hyperlink>
    </w:p>
    <w:p w14:paraId="19F19028" w14:textId="18482F41" w:rsidR="00D07CE5" w:rsidRDefault="00AE53C1" w:rsidP="00D07CE5">
      <w:pPr>
        <w:pStyle w:val="TOC2"/>
        <w:rPr>
          <w:rFonts w:eastAsiaTheme="minorEastAsia"/>
          <w:sz w:val="22"/>
          <w:lang w:val="en-AU" w:eastAsia="en-AU"/>
        </w:rPr>
      </w:pPr>
      <w:hyperlink w:anchor="_Toc124435143" w:history="1">
        <w:r w:rsidR="00D07CE5" w:rsidRPr="006F5298">
          <w:rPr>
            <w:rStyle w:val="Hyperlink"/>
          </w:rPr>
          <w:t>3.2</w:t>
        </w:r>
        <w:r w:rsidR="00D07CE5">
          <w:rPr>
            <w:rFonts w:eastAsiaTheme="minorEastAsia"/>
            <w:sz w:val="22"/>
            <w:lang w:val="en-AU" w:eastAsia="en-AU"/>
          </w:rPr>
          <w:tab/>
        </w:r>
        <w:r w:rsidR="00D07CE5" w:rsidRPr="006F5298">
          <w:rPr>
            <w:rStyle w:val="Hyperlink"/>
          </w:rPr>
          <w:t>Three limitations impacted the evaluation</w:t>
        </w:r>
        <w:r w:rsidR="00D07CE5">
          <w:rPr>
            <w:webHidden/>
          </w:rPr>
          <w:tab/>
        </w:r>
        <w:r w:rsidR="00D07CE5">
          <w:rPr>
            <w:webHidden/>
          </w:rPr>
          <w:fldChar w:fldCharType="begin"/>
        </w:r>
        <w:r w:rsidR="00D07CE5">
          <w:rPr>
            <w:webHidden/>
          </w:rPr>
          <w:instrText xml:space="preserve"> PAGEREF _Toc124435143 \h </w:instrText>
        </w:r>
        <w:r w:rsidR="00D07CE5">
          <w:rPr>
            <w:webHidden/>
          </w:rPr>
        </w:r>
        <w:r w:rsidR="00D07CE5">
          <w:rPr>
            <w:webHidden/>
          </w:rPr>
          <w:fldChar w:fldCharType="separate"/>
        </w:r>
        <w:r w:rsidR="00D51AD3">
          <w:rPr>
            <w:webHidden/>
          </w:rPr>
          <w:t>26</w:t>
        </w:r>
        <w:r w:rsidR="00D07CE5">
          <w:rPr>
            <w:webHidden/>
          </w:rPr>
          <w:fldChar w:fldCharType="end"/>
        </w:r>
      </w:hyperlink>
    </w:p>
    <w:p w14:paraId="6334138A" w14:textId="32ADDFEB" w:rsidR="00D07CE5" w:rsidRDefault="00AE53C1">
      <w:pPr>
        <w:pStyle w:val="TOC1"/>
        <w:rPr>
          <w:rFonts w:asciiTheme="minorHAnsi" w:eastAsiaTheme="minorEastAsia" w:hAnsiTheme="minorHAnsi"/>
          <w:sz w:val="22"/>
          <w:lang w:val="en-AU" w:eastAsia="en-AU"/>
        </w:rPr>
      </w:pPr>
      <w:hyperlink w:anchor="_Toc124435144" w:history="1">
        <w:r w:rsidR="00D07CE5" w:rsidRPr="006F5298">
          <w:rPr>
            <w:rStyle w:val="Hyperlink"/>
          </w:rPr>
          <w:t>4.</w:t>
        </w:r>
        <w:r w:rsidR="00D07CE5">
          <w:rPr>
            <w:rFonts w:asciiTheme="minorHAnsi" w:eastAsiaTheme="minorEastAsia" w:hAnsiTheme="minorHAnsi"/>
            <w:sz w:val="22"/>
            <w:lang w:val="en-AU" w:eastAsia="en-AU"/>
          </w:rPr>
          <w:tab/>
        </w:r>
        <w:r w:rsidR="00D07CE5" w:rsidRPr="006F5298">
          <w:rPr>
            <w:rStyle w:val="Hyperlink"/>
          </w:rPr>
          <w:t>Overview of the BRII</w:t>
        </w:r>
        <w:r w:rsidR="00D07CE5">
          <w:rPr>
            <w:webHidden/>
          </w:rPr>
          <w:tab/>
        </w:r>
        <w:r w:rsidR="00D07CE5">
          <w:rPr>
            <w:webHidden/>
          </w:rPr>
          <w:fldChar w:fldCharType="begin"/>
        </w:r>
        <w:r w:rsidR="00D07CE5">
          <w:rPr>
            <w:webHidden/>
          </w:rPr>
          <w:instrText xml:space="preserve"> PAGEREF _Toc124435144 \h </w:instrText>
        </w:r>
        <w:r w:rsidR="00D07CE5">
          <w:rPr>
            <w:webHidden/>
          </w:rPr>
        </w:r>
        <w:r w:rsidR="00D07CE5">
          <w:rPr>
            <w:webHidden/>
          </w:rPr>
          <w:fldChar w:fldCharType="separate"/>
        </w:r>
        <w:r w:rsidR="00D51AD3">
          <w:rPr>
            <w:webHidden/>
          </w:rPr>
          <w:t>28</w:t>
        </w:r>
        <w:r w:rsidR="00D07CE5">
          <w:rPr>
            <w:webHidden/>
          </w:rPr>
          <w:fldChar w:fldCharType="end"/>
        </w:r>
      </w:hyperlink>
    </w:p>
    <w:p w14:paraId="5FDE7A22" w14:textId="2494ABAF" w:rsidR="00D07CE5" w:rsidRDefault="00AE53C1" w:rsidP="00D07CE5">
      <w:pPr>
        <w:pStyle w:val="TOC2"/>
        <w:rPr>
          <w:rFonts w:eastAsiaTheme="minorEastAsia"/>
          <w:sz w:val="22"/>
          <w:lang w:val="en-AU" w:eastAsia="en-AU"/>
        </w:rPr>
      </w:pPr>
      <w:hyperlink w:anchor="_Toc124435145" w:history="1">
        <w:r w:rsidR="00D07CE5" w:rsidRPr="006F5298">
          <w:rPr>
            <w:rStyle w:val="Hyperlink"/>
          </w:rPr>
          <w:t>4.1</w:t>
        </w:r>
        <w:r w:rsidR="00D07CE5">
          <w:rPr>
            <w:rFonts w:eastAsiaTheme="minorEastAsia"/>
            <w:sz w:val="22"/>
            <w:lang w:val="en-AU" w:eastAsia="en-AU"/>
          </w:rPr>
          <w:tab/>
        </w:r>
        <w:r w:rsidR="00D07CE5" w:rsidRPr="006F5298">
          <w:rPr>
            <w:rStyle w:val="Hyperlink"/>
          </w:rPr>
          <w:t>The BRII was designed to achieve two complementary objectives</w:t>
        </w:r>
        <w:r w:rsidR="00D07CE5">
          <w:rPr>
            <w:webHidden/>
          </w:rPr>
          <w:tab/>
        </w:r>
        <w:r w:rsidR="00D07CE5">
          <w:rPr>
            <w:webHidden/>
          </w:rPr>
          <w:fldChar w:fldCharType="begin"/>
        </w:r>
        <w:r w:rsidR="00D07CE5">
          <w:rPr>
            <w:webHidden/>
          </w:rPr>
          <w:instrText xml:space="preserve"> PAGEREF _Toc124435145 \h </w:instrText>
        </w:r>
        <w:r w:rsidR="00D07CE5">
          <w:rPr>
            <w:webHidden/>
          </w:rPr>
        </w:r>
        <w:r w:rsidR="00D07CE5">
          <w:rPr>
            <w:webHidden/>
          </w:rPr>
          <w:fldChar w:fldCharType="separate"/>
        </w:r>
        <w:r w:rsidR="00D51AD3">
          <w:rPr>
            <w:webHidden/>
          </w:rPr>
          <w:t>28</w:t>
        </w:r>
        <w:r w:rsidR="00D07CE5">
          <w:rPr>
            <w:webHidden/>
          </w:rPr>
          <w:fldChar w:fldCharType="end"/>
        </w:r>
      </w:hyperlink>
    </w:p>
    <w:p w14:paraId="750064DB" w14:textId="50B03101" w:rsidR="00D07CE5" w:rsidRDefault="00AE53C1" w:rsidP="00D07CE5">
      <w:pPr>
        <w:pStyle w:val="TOC2"/>
        <w:rPr>
          <w:rFonts w:eastAsiaTheme="minorEastAsia"/>
          <w:sz w:val="22"/>
          <w:lang w:val="en-AU" w:eastAsia="en-AU"/>
        </w:rPr>
      </w:pPr>
      <w:hyperlink w:anchor="_Toc124435146" w:history="1">
        <w:r w:rsidR="00D07CE5" w:rsidRPr="006F5298">
          <w:rPr>
            <w:rStyle w:val="Hyperlink"/>
          </w:rPr>
          <w:t>4.2</w:t>
        </w:r>
        <w:r w:rsidR="00D07CE5">
          <w:rPr>
            <w:rFonts w:eastAsiaTheme="minorEastAsia"/>
            <w:sz w:val="22"/>
            <w:lang w:val="en-AU" w:eastAsia="en-AU"/>
          </w:rPr>
          <w:tab/>
        </w:r>
        <w:r w:rsidR="00D07CE5" w:rsidRPr="006F5298">
          <w:rPr>
            <w:rStyle w:val="Hyperlink"/>
          </w:rPr>
          <w:t>The BRII has experienced some variance in applications and funding dispersed across the first three rounds</w:t>
        </w:r>
        <w:r w:rsidR="00D07CE5">
          <w:rPr>
            <w:webHidden/>
          </w:rPr>
          <w:tab/>
        </w:r>
        <w:r w:rsidR="00D07CE5">
          <w:rPr>
            <w:webHidden/>
          </w:rPr>
          <w:fldChar w:fldCharType="begin"/>
        </w:r>
        <w:r w:rsidR="00D07CE5">
          <w:rPr>
            <w:webHidden/>
          </w:rPr>
          <w:instrText xml:space="preserve"> PAGEREF _Toc124435146 \h </w:instrText>
        </w:r>
        <w:r w:rsidR="00D07CE5">
          <w:rPr>
            <w:webHidden/>
          </w:rPr>
        </w:r>
        <w:r w:rsidR="00D07CE5">
          <w:rPr>
            <w:webHidden/>
          </w:rPr>
          <w:fldChar w:fldCharType="separate"/>
        </w:r>
        <w:r w:rsidR="00D51AD3">
          <w:rPr>
            <w:webHidden/>
          </w:rPr>
          <w:t>29</w:t>
        </w:r>
        <w:r w:rsidR="00D07CE5">
          <w:rPr>
            <w:webHidden/>
          </w:rPr>
          <w:fldChar w:fldCharType="end"/>
        </w:r>
      </w:hyperlink>
    </w:p>
    <w:p w14:paraId="2B2A2517" w14:textId="5B81C7DA" w:rsidR="00D07CE5" w:rsidRDefault="00AE53C1" w:rsidP="00D07CE5">
      <w:pPr>
        <w:pStyle w:val="TOC2"/>
        <w:rPr>
          <w:rFonts w:eastAsiaTheme="minorEastAsia"/>
          <w:sz w:val="22"/>
          <w:lang w:val="en-AU" w:eastAsia="en-AU"/>
        </w:rPr>
      </w:pPr>
      <w:hyperlink w:anchor="_Toc124435147" w:history="1">
        <w:r w:rsidR="00D07CE5" w:rsidRPr="006F5298">
          <w:rPr>
            <w:rStyle w:val="Hyperlink"/>
          </w:rPr>
          <w:t>4.3</w:t>
        </w:r>
        <w:r w:rsidR="00D07CE5">
          <w:rPr>
            <w:rFonts w:eastAsiaTheme="minorEastAsia"/>
            <w:sz w:val="22"/>
            <w:lang w:val="en-AU" w:eastAsia="en-AU"/>
          </w:rPr>
          <w:tab/>
        </w:r>
        <w:r w:rsidR="00D07CE5" w:rsidRPr="006F5298">
          <w:rPr>
            <w:rStyle w:val="Hyperlink"/>
          </w:rPr>
          <w:t>The BRII has attracted a range of SMEs with different characteristics</w:t>
        </w:r>
        <w:r w:rsidR="00D07CE5">
          <w:rPr>
            <w:webHidden/>
          </w:rPr>
          <w:tab/>
        </w:r>
        <w:r w:rsidR="00D07CE5">
          <w:rPr>
            <w:webHidden/>
          </w:rPr>
          <w:fldChar w:fldCharType="begin"/>
        </w:r>
        <w:r w:rsidR="00D07CE5">
          <w:rPr>
            <w:webHidden/>
          </w:rPr>
          <w:instrText xml:space="preserve"> PAGEREF _Toc124435147 \h </w:instrText>
        </w:r>
        <w:r w:rsidR="00D07CE5">
          <w:rPr>
            <w:webHidden/>
          </w:rPr>
        </w:r>
        <w:r w:rsidR="00D07CE5">
          <w:rPr>
            <w:webHidden/>
          </w:rPr>
          <w:fldChar w:fldCharType="separate"/>
        </w:r>
        <w:r w:rsidR="00D51AD3">
          <w:rPr>
            <w:webHidden/>
          </w:rPr>
          <w:t>31</w:t>
        </w:r>
        <w:r w:rsidR="00D07CE5">
          <w:rPr>
            <w:webHidden/>
          </w:rPr>
          <w:fldChar w:fldCharType="end"/>
        </w:r>
      </w:hyperlink>
    </w:p>
    <w:p w14:paraId="0ADD9CD4" w14:textId="619B131B" w:rsidR="00D07CE5" w:rsidRDefault="00AE53C1" w:rsidP="00D07CE5">
      <w:pPr>
        <w:pStyle w:val="TOC2"/>
        <w:rPr>
          <w:rFonts w:eastAsiaTheme="minorEastAsia"/>
          <w:sz w:val="22"/>
          <w:lang w:val="en-AU" w:eastAsia="en-AU"/>
        </w:rPr>
      </w:pPr>
      <w:hyperlink w:anchor="_Toc124435148" w:history="1">
        <w:r w:rsidR="00D07CE5" w:rsidRPr="006F5298">
          <w:rPr>
            <w:rStyle w:val="Hyperlink"/>
          </w:rPr>
          <w:t>4.4</w:t>
        </w:r>
        <w:r w:rsidR="00D07CE5">
          <w:rPr>
            <w:rFonts w:eastAsiaTheme="minorEastAsia"/>
            <w:sz w:val="22"/>
            <w:lang w:val="en-AU" w:eastAsia="en-AU"/>
          </w:rPr>
          <w:tab/>
        </w:r>
        <w:r w:rsidR="00D07CE5" w:rsidRPr="006F5298">
          <w:rPr>
            <w:rStyle w:val="Hyperlink"/>
          </w:rPr>
          <w:t>The BRII has partnered with many diverse agencies on a range of difficult problems</w:t>
        </w:r>
        <w:r w:rsidR="00D07CE5">
          <w:rPr>
            <w:webHidden/>
          </w:rPr>
          <w:tab/>
        </w:r>
        <w:r w:rsidR="00D07CE5">
          <w:rPr>
            <w:webHidden/>
          </w:rPr>
          <w:fldChar w:fldCharType="begin"/>
        </w:r>
        <w:r w:rsidR="00D07CE5">
          <w:rPr>
            <w:webHidden/>
          </w:rPr>
          <w:instrText xml:space="preserve"> PAGEREF _Toc124435148 \h </w:instrText>
        </w:r>
        <w:r w:rsidR="00D07CE5">
          <w:rPr>
            <w:webHidden/>
          </w:rPr>
        </w:r>
        <w:r w:rsidR="00D07CE5">
          <w:rPr>
            <w:webHidden/>
          </w:rPr>
          <w:fldChar w:fldCharType="separate"/>
        </w:r>
        <w:r w:rsidR="00D51AD3">
          <w:rPr>
            <w:webHidden/>
          </w:rPr>
          <w:t>33</w:t>
        </w:r>
        <w:r w:rsidR="00D07CE5">
          <w:rPr>
            <w:webHidden/>
          </w:rPr>
          <w:fldChar w:fldCharType="end"/>
        </w:r>
      </w:hyperlink>
    </w:p>
    <w:p w14:paraId="72D630B4" w14:textId="443FD23A" w:rsidR="00D07CE5" w:rsidRDefault="00AE53C1">
      <w:pPr>
        <w:pStyle w:val="TOC1"/>
        <w:rPr>
          <w:rFonts w:asciiTheme="minorHAnsi" w:eastAsiaTheme="minorEastAsia" w:hAnsiTheme="minorHAnsi"/>
          <w:sz w:val="22"/>
          <w:lang w:val="en-AU" w:eastAsia="en-AU"/>
        </w:rPr>
      </w:pPr>
      <w:hyperlink w:anchor="_Toc124435149" w:history="1">
        <w:r w:rsidR="00D07CE5" w:rsidRPr="006F5298">
          <w:rPr>
            <w:rStyle w:val="Hyperlink"/>
          </w:rPr>
          <w:t>5.</w:t>
        </w:r>
        <w:r w:rsidR="00D07CE5">
          <w:rPr>
            <w:rFonts w:asciiTheme="minorHAnsi" w:eastAsiaTheme="minorEastAsia" w:hAnsiTheme="minorHAnsi"/>
            <w:sz w:val="22"/>
            <w:lang w:val="en-AU" w:eastAsia="en-AU"/>
          </w:rPr>
          <w:tab/>
        </w:r>
        <w:r w:rsidR="00D07CE5" w:rsidRPr="006F5298">
          <w:rPr>
            <w:rStyle w:val="Hyperlink"/>
          </w:rPr>
          <w:t>Outcomes and impact</w:t>
        </w:r>
        <w:r w:rsidR="00D07CE5">
          <w:rPr>
            <w:webHidden/>
          </w:rPr>
          <w:tab/>
        </w:r>
        <w:r w:rsidR="00D07CE5">
          <w:rPr>
            <w:webHidden/>
          </w:rPr>
          <w:fldChar w:fldCharType="begin"/>
        </w:r>
        <w:r w:rsidR="00D07CE5">
          <w:rPr>
            <w:webHidden/>
          </w:rPr>
          <w:instrText xml:space="preserve"> PAGEREF _Toc124435149 \h </w:instrText>
        </w:r>
        <w:r w:rsidR="00D07CE5">
          <w:rPr>
            <w:webHidden/>
          </w:rPr>
        </w:r>
        <w:r w:rsidR="00D07CE5">
          <w:rPr>
            <w:webHidden/>
          </w:rPr>
          <w:fldChar w:fldCharType="separate"/>
        </w:r>
        <w:r w:rsidR="00D51AD3">
          <w:rPr>
            <w:webHidden/>
          </w:rPr>
          <w:t>36</w:t>
        </w:r>
        <w:r w:rsidR="00D07CE5">
          <w:rPr>
            <w:webHidden/>
          </w:rPr>
          <w:fldChar w:fldCharType="end"/>
        </w:r>
      </w:hyperlink>
    </w:p>
    <w:p w14:paraId="1E17525E" w14:textId="08B5A886" w:rsidR="00D07CE5" w:rsidRDefault="00AE53C1" w:rsidP="00D07CE5">
      <w:pPr>
        <w:pStyle w:val="TOC2"/>
        <w:rPr>
          <w:rFonts w:eastAsiaTheme="minorEastAsia"/>
          <w:sz w:val="22"/>
          <w:lang w:val="en-AU" w:eastAsia="en-AU"/>
        </w:rPr>
      </w:pPr>
      <w:hyperlink w:anchor="_Toc124435150" w:history="1">
        <w:r w:rsidR="00D07CE5" w:rsidRPr="006F5298">
          <w:rPr>
            <w:rStyle w:val="Hyperlink"/>
          </w:rPr>
          <w:t>5.1</w:t>
        </w:r>
        <w:r w:rsidR="00D07CE5">
          <w:rPr>
            <w:rFonts w:eastAsiaTheme="minorEastAsia"/>
            <w:sz w:val="22"/>
            <w:lang w:val="en-AU" w:eastAsia="en-AU"/>
          </w:rPr>
          <w:tab/>
        </w:r>
        <w:r w:rsidR="00D07CE5" w:rsidRPr="006F5298">
          <w:rPr>
            <w:rStyle w:val="Hyperlink"/>
          </w:rPr>
          <w:t>The BRII has had a positive impact on most participating SMEs</w:t>
        </w:r>
        <w:r w:rsidR="00D07CE5">
          <w:rPr>
            <w:webHidden/>
          </w:rPr>
          <w:tab/>
        </w:r>
        <w:r w:rsidR="00D07CE5">
          <w:rPr>
            <w:webHidden/>
          </w:rPr>
          <w:fldChar w:fldCharType="begin"/>
        </w:r>
        <w:r w:rsidR="00D07CE5">
          <w:rPr>
            <w:webHidden/>
          </w:rPr>
          <w:instrText xml:space="preserve"> PAGEREF _Toc124435150 \h </w:instrText>
        </w:r>
        <w:r w:rsidR="00D07CE5">
          <w:rPr>
            <w:webHidden/>
          </w:rPr>
        </w:r>
        <w:r w:rsidR="00D07CE5">
          <w:rPr>
            <w:webHidden/>
          </w:rPr>
          <w:fldChar w:fldCharType="separate"/>
        </w:r>
        <w:r w:rsidR="00D51AD3">
          <w:rPr>
            <w:webHidden/>
          </w:rPr>
          <w:t>37</w:t>
        </w:r>
        <w:r w:rsidR="00D07CE5">
          <w:rPr>
            <w:webHidden/>
          </w:rPr>
          <w:fldChar w:fldCharType="end"/>
        </w:r>
      </w:hyperlink>
    </w:p>
    <w:p w14:paraId="7FBFA60E" w14:textId="209C1176" w:rsidR="00D07CE5" w:rsidRDefault="00AE53C1" w:rsidP="00D07CE5">
      <w:pPr>
        <w:pStyle w:val="TOC2"/>
        <w:rPr>
          <w:rFonts w:eastAsiaTheme="minorEastAsia"/>
          <w:sz w:val="22"/>
          <w:lang w:val="en-AU" w:eastAsia="en-AU"/>
        </w:rPr>
      </w:pPr>
      <w:hyperlink w:anchor="_Toc124435151" w:history="1">
        <w:r w:rsidR="00D07CE5" w:rsidRPr="006F5298">
          <w:rPr>
            <w:rStyle w:val="Hyperlink"/>
          </w:rPr>
          <w:t>5.2</w:t>
        </w:r>
        <w:r w:rsidR="00D07CE5">
          <w:rPr>
            <w:rFonts w:eastAsiaTheme="minorEastAsia"/>
            <w:sz w:val="22"/>
            <w:lang w:val="en-AU" w:eastAsia="en-AU"/>
          </w:rPr>
          <w:tab/>
        </w:r>
        <w:r w:rsidR="00D07CE5" w:rsidRPr="006F5298">
          <w:rPr>
            <w:rStyle w:val="Hyperlink"/>
          </w:rPr>
          <w:t>The BRII delivered significant value for challenge agencies</w:t>
        </w:r>
        <w:r w:rsidR="00D07CE5">
          <w:rPr>
            <w:webHidden/>
          </w:rPr>
          <w:tab/>
        </w:r>
        <w:r w:rsidR="00D07CE5">
          <w:rPr>
            <w:webHidden/>
          </w:rPr>
          <w:fldChar w:fldCharType="begin"/>
        </w:r>
        <w:r w:rsidR="00D07CE5">
          <w:rPr>
            <w:webHidden/>
          </w:rPr>
          <w:instrText xml:space="preserve"> PAGEREF _Toc124435151 \h </w:instrText>
        </w:r>
        <w:r w:rsidR="00D07CE5">
          <w:rPr>
            <w:webHidden/>
          </w:rPr>
        </w:r>
        <w:r w:rsidR="00D07CE5">
          <w:rPr>
            <w:webHidden/>
          </w:rPr>
          <w:fldChar w:fldCharType="separate"/>
        </w:r>
        <w:r w:rsidR="00D51AD3">
          <w:rPr>
            <w:webHidden/>
          </w:rPr>
          <w:t>45</w:t>
        </w:r>
        <w:r w:rsidR="00D07CE5">
          <w:rPr>
            <w:webHidden/>
          </w:rPr>
          <w:fldChar w:fldCharType="end"/>
        </w:r>
      </w:hyperlink>
    </w:p>
    <w:p w14:paraId="765252FB" w14:textId="7E0A437E" w:rsidR="00D07CE5" w:rsidRPr="00D07CE5" w:rsidRDefault="00AE53C1" w:rsidP="00D07CE5">
      <w:pPr>
        <w:pStyle w:val="TOC2"/>
        <w:rPr>
          <w:rFonts w:eastAsiaTheme="minorEastAsia"/>
          <w:sz w:val="22"/>
          <w:lang w:val="en-AU" w:eastAsia="en-AU"/>
        </w:rPr>
      </w:pPr>
      <w:hyperlink w:anchor="_Toc124435152" w:history="1">
        <w:r w:rsidR="00D07CE5" w:rsidRPr="00D07CE5">
          <w:rPr>
            <w:rStyle w:val="Hyperlink"/>
          </w:rPr>
          <w:t>5.3</w:t>
        </w:r>
        <w:r w:rsidR="00D07CE5" w:rsidRPr="00D07CE5">
          <w:rPr>
            <w:rFonts w:eastAsiaTheme="minorEastAsia"/>
            <w:sz w:val="22"/>
            <w:lang w:val="en-AU" w:eastAsia="en-AU"/>
          </w:rPr>
          <w:tab/>
        </w:r>
        <w:r w:rsidR="00D07CE5" w:rsidRPr="00D07CE5">
          <w:rPr>
            <w:rStyle w:val="Hyperlink"/>
          </w:rPr>
          <w:t>The BRII delivers comparable outcomes to similar international programs but lags in scale</w:t>
        </w:r>
        <w:r w:rsidR="00D07CE5" w:rsidRPr="00D07CE5">
          <w:rPr>
            <w:webHidden/>
          </w:rPr>
          <w:tab/>
        </w:r>
        <w:r w:rsidR="00D07CE5" w:rsidRPr="00D07CE5">
          <w:rPr>
            <w:webHidden/>
          </w:rPr>
          <w:fldChar w:fldCharType="begin"/>
        </w:r>
        <w:r w:rsidR="00D07CE5" w:rsidRPr="00D07CE5">
          <w:rPr>
            <w:webHidden/>
          </w:rPr>
          <w:instrText xml:space="preserve"> PAGEREF _Toc124435152 \h </w:instrText>
        </w:r>
        <w:r w:rsidR="00D07CE5" w:rsidRPr="00D07CE5">
          <w:rPr>
            <w:webHidden/>
          </w:rPr>
        </w:r>
        <w:r w:rsidR="00D07CE5" w:rsidRPr="00D07CE5">
          <w:rPr>
            <w:webHidden/>
          </w:rPr>
          <w:fldChar w:fldCharType="separate"/>
        </w:r>
        <w:r w:rsidR="00D51AD3">
          <w:rPr>
            <w:webHidden/>
          </w:rPr>
          <w:t>51</w:t>
        </w:r>
        <w:r w:rsidR="00D07CE5" w:rsidRPr="00D07CE5">
          <w:rPr>
            <w:webHidden/>
          </w:rPr>
          <w:fldChar w:fldCharType="end"/>
        </w:r>
      </w:hyperlink>
    </w:p>
    <w:p w14:paraId="4F46569A" w14:textId="38A9D572" w:rsidR="00D07CE5" w:rsidRDefault="00AE53C1">
      <w:pPr>
        <w:pStyle w:val="TOC1"/>
        <w:rPr>
          <w:rFonts w:asciiTheme="minorHAnsi" w:eastAsiaTheme="minorEastAsia" w:hAnsiTheme="minorHAnsi"/>
          <w:sz w:val="22"/>
          <w:lang w:val="en-AU" w:eastAsia="en-AU"/>
        </w:rPr>
      </w:pPr>
      <w:hyperlink w:anchor="_Toc124435153" w:history="1">
        <w:r w:rsidR="00D07CE5" w:rsidRPr="006F5298">
          <w:rPr>
            <w:rStyle w:val="Hyperlink"/>
          </w:rPr>
          <w:t>6.</w:t>
        </w:r>
        <w:r w:rsidR="00D07CE5">
          <w:rPr>
            <w:rFonts w:asciiTheme="minorHAnsi" w:eastAsiaTheme="minorEastAsia" w:hAnsiTheme="minorHAnsi"/>
            <w:sz w:val="22"/>
            <w:lang w:val="en-AU" w:eastAsia="en-AU"/>
          </w:rPr>
          <w:tab/>
        </w:r>
        <w:r w:rsidR="00D07CE5" w:rsidRPr="006F5298">
          <w:rPr>
            <w:rStyle w:val="Hyperlink"/>
          </w:rPr>
          <w:t>Cost-benefit analysis</w:t>
        </w:r>
        <w:r w:rsidR="00D07CE5">
          <w:rPr>
            <w:webHidden/>
          </w:rPr>
          <w:tab/>
        </w:r>
        <w:r w:rsidR="00D07CE5">
          <w:rPr>
            <w:webHidden/>
          </w:rPr>
          <w:fldChar w:fldCharType="begin"/>
        </w:r>
        <w:r w:rsidR="00D07CE5">
          <w:rPr>
            <w:webHidden/>
          </w:rPr>
          <w:instrText xml:space="preserve"> PAGEREF _Toc124435153 \h </w:instrText>
        </w:r>
        <w:r w:rsidR="00D07CE5">
          <w:rPr>
            <w:webHidden/>
          </w:rPr>
        </w:r>
        <w:r w:rsidR="00D07CE5">
          <w:rPr>
            <w:webHidden/>
          </w:rPr>
          <w:fldChar w:fldCharType="separate"/>
        </w:r>
        <w:r w:rsidR="00D51AD3">
          <w:rPr>
            <w:webHidden/>
          </w:rPr>
          <w:t>54</w:t>
        </w:r>
        <w:r w:rsidR="00D07CE5">
          <w:rPr>
            <w:webHidden/>
          </w:rPr>
          <w:fldChar w:fldCharType="end"/>
        </w:r>
      </w:hyperlink>
    </w:p>
    <w:p w14:paraId="58752FAE" w14:textId="30A7E3AF" w:rsidR="00D07CE5" w:rsidRDefault="00AE53C1" w:rsidP="00D07CE5">
      <w:pPr>
        <w:pStyle w:val="TOC2"/>
        <w:rPr>
          <w:rFonts w:eastAsiaTheme="minorEastAsia"/>
          <w:sz w:val="22"/>
          <w:lang w:val="en-AU" w:eastAsia="en-AU"/>
        </w:rPr>
      </w:pPr>
      <w:hyperlink w:anchor="_Toc124435154" w:history="1">
        <w:r w:rsidR="00D07CE5" w:rsidRPr="006F5298">
          <w:rPr>
            <w:rStyle w:val="Hyperlink"/>
          </w:rPr>
          <w:t>6.1</w:t>
        </w:r>
        <w:r w:rsidR="00D07CE5">
          <w:rPr>
            <w:rFonts w:eastAsiaTheme="minorEastAsia"/>
            <w:sz w:val="22"/>
            <w:lang w:val="en-AU" w:eastAsia="en-AU"/>
          </w:rPr>
          <w:tab/>
        </w:r>
        <w:r w:rsidR="00D07CE5" w:rsidRPr="006F5298">
          <w:rPr>
            <w:rStyle w:val="Hyperlink"/>
          </w:rPr>
          <w:t>Round one of the BRII will achieve an estimated net benefit of $10.4 million and return $1.64 for every $1 invested</w:t>
        </w:r>
        <w:r w:rsidR="00D07CE5">
          <w:rPr>
            <w:webHidden/>
          </w:rPr>
          <w:tab/>
        </w:r>
        <w:r w:rsidR="00D07CE5">
          <w:rPr>
            <w:webHidden/>
          </w:rPr>
          <w:fldChar w:fldCharType="begin"/>
        </w:r>
        <w:r w:rsidR="00D07CE5">
          <w:rPr>
            <w:webHidden/>
          </w:rPr>
          <w:instrText xml:space="preserve"> PAGEREF _Toc124435154 \h </w:instrText>
        </w:r>
        <w:r w:rsidR="00D07CE5">
          <w:rPr>
            <w:webHidden/>
          </w:rPr>
        </w:r>
        <w:r w:rsidR="00D07CE5">
          <w:rPr>
            <w:webHidden/>
          </w:rPr>
          <w:fldChar w:fldCharType="separate"/>
        </w:r>
        <w:r w:rsidR="00D51AD3">
          <w:rPr>
            <w:webHidden/>
          </w:rPr>
          <w:t>55</w:t>
        </w:r>
        <w:r w:rsidR="00D07CE5">
          <w:rPr>
            <w:webHidden/>
          </w:rPr>
          <w:fldChar w:fldCharType="end"/>
        </w:r>
      </w:hyperlink>
    </w:p>
    <w:p w14:paraId="22B308F8" w14:textId="4677EDFA" w:rsidR="00D07CE5" w:rsidRDefault="00AE53C1" w:rsidP="00D07CE5">
      <w:pPr>
        <w:pStyle w:val="TOC2"/>
        <w:rPr>
          <w:rFonts w:eastAsiaTheme="minorEastAsia"/>
          <w:sz w:val="22"/>
          <w:lang w:val="en-AU" w:eastAsia="en-AU"/>
        </w:rPr>
      </w:pPr>
      <w:hyperlink w:anchor="_Toc124435155" w:history="1">
        <w:r w:rsidR="00D07CE5" w:rsidRPr="006F5298">
          <w:rPr>
            <w:rStyle w:val="Hyperlink"/>
          </w:rPr>
          <w:t>6.2</w:t>
        </w:r>
        <w:r w:rsidR="00D07CE5">
          <w:rPr>
            <w:rFonts w:eastAsiaTheme="minorEastAsia"/>
            <w:sz w:val="22"/>
            <w:lang w:val="en-AU" w:eastAsia="en-AU"/>
          </w:rPr>
          <w:tab/>
        </w:r>
        <w:r w:rsidR="00D07CE5" w:rsidRPr="006F5298">
          <w:rPr>
            <w:rStyle w:val="Hyperlink"/>
          </w:rPr>
          <w:t>Mixed methods quantified the benefits from improved business performance and solution implementation</w:t>
        </w:r>
        <w:r w:rsidR="00D07CE5">
          <w:rPr>
            <w:webHidden/>
          </w:rPr>
          <w:tab/>
        </w:r>
        <w:r w:rsidR="00D07CE5">
          <w:rPr>
            <w:webHidden/>
          </w:rPr>
          <w:fldChar w:fldCharType="begin"/>
        </w:r>
        <w:r w:rsidR="00D07CE5">
          <w:rPr>
            <w:webHidden/>
          </w:rPr>
          <w:instrText xml:space="preserve"> PAGEREF _Toc124435155 \h </w:instrText>
        </w:r>
        <w:r w:rsidR="00D07CE5">
          <w:rPr>
            <w:webHidden/>
          </w:rPr>
        </w:r>
        <w:r w:rsidR="00D07CE5">
          <w:rPr>
            <w:webHidden/>
          </w:rPr>
          <w:fldChar w:fldCharType="separate"/>
        </w:r>
        <w:r w:rsidR="00D51AD3">
          <w:rPr>
            <w:webHidden/>
          </w:rPr>
          <w:t>56</w:t>
        </w:r>
        <w:r w:rsidR="00D07CE5">
          <w:rPr>
            <w:webHidden/>
          </w:rPr>
          <w:fldChar w:fldCharType="end"/>
        </w:r>
      </w:hyperlink>
    </w:p>
    <w:p w14:paraId="496BD501" w14:textId="24051A5D" w:rsidR="00D07CE5" w:rsidRDefault="00AE53C1" w:rsidP="00D07CE5">
      <w:pPr>
        <w:pStyle w:val="TOC2"/>
        <w:rPr>
          <w:rFonts w:eastAsiaTheme="minorEastAsia"/>
          <w:sz w:val="22"/>
          <w:lang w:val="en-AU" w:eastAsia="en-AU"/>
        </w:rPr>
      </w:pPr>
      <w:hyperlink w:anchor="_Toc124435156" w:history="1">
        <w:r w:rsidR="00D07CE5" w:rsidRPr="006F5298">
          <w:rPr>
            <w:rStyle w:val="Hyperlink"/>
          </w:rPr>
          <w:t>6.3</w:t>
        </w:r>
        <w:r w:rsidR="00D07CE5">
          <w:rPr>
            <w:rFonts w:eastAsiaTheme="minorEastAsia"/>
            <w:sz w:val="22"/>
            <w:lang w:val="en-AU" w:eastAsia="en-AU"/>
          </w:rPr>
          <w:tab/>
        </w:r>
        <w:r w:rsidR="00D07CE5" w:rsidRPr="006F5298">
          <w:rPr>
            <w:rStyle w:val="Hyperlink"/>
          </w:rPr>
          <w:t>Improved business performance was the driver of total benefits with a small contribution from the BRII solutions</w:t>
        </w:r>
        <w:r w:rsidR="00D07CE5">
          <w:rPr>
            <w:webHidden/>
          </w:rPr>
          <w:tab/>
        </w:r>
        <w:r w:rsidR="00D07CE5">
          <w:rPr>
            <w:webHidden/>
          </w:rPr>
          <w:fldChar w:fldCharType="begin"/>
        </w:r>
        <w:r w:rsidR="00D07CE5">
          <w:rPr>
            <w:webHidden/>
          </w:rPr>
          <w:instrText xml:space="preserve"> PAGEREF _Toc124435156 \h </w:instrText>
        </w:r>
        <w:r w:rsidR="00D07CE5">
          <w:rPr>
            <w:webHidden/>
          </w:rPr>
        </w:r>
        <w:r w:rsidR="00D07CE5">
          <w:rPr>
            <w:webHidden/>
          </w:rPr>
          <w:fldChar w:fldCharType="separate"/>
        </w:r>
        <w:r w:rsidR="00D51AD3">
          <w:rPr>
            <w:webHidden/>
          </w:rPr>
          <w:t>59</w:t>
        </w:r>
        <w:r w:rsidR="00D07CE5">
          <w:rPr>
            <w:webHidden/>
          </w:rPr>
          <w:fldChar w:fldCharType="end"/>
        </w:r>
      </w:hyperlink>
    </w:p>
    <w:p w14:paraId="48D76912" w14:textId="5D2BF15B" w:rsidR="00D07CE5" w:rsidRDefault="00AE53C1" w:rsidP="00D07CE5">
      <w:pPr>
        <w:pStyle w:val="TOC2"/>
        <w:rPr>
          <w:rFonts w:eastAsiaTheme="minorEastAsia"/>
          <w:sz w:val="22"/>
          <w:lang w:val="en-AU" w:eastAsia="en-AU"/>
        </w:rPr>
      </w:pPr>
      <w:hyperlink w:anchor="_Toc124435157" w:history="1">
        <w:r w:rsidR="00D07CE5" w:rsidRPr="006F5298">
          <w:rPr>
            <w:rStyle w:val="Hyperlink"/>
          </w:rPr>
          <w:t>6.4</w:t>
        </w:r>
        <w:r w:rsidR="00D07CE5">
          <w:rPr>
            <w:rFonts w:eastAsiaTheme="minorEastAsia"/>
            <w:sz w:val="22"/>
            <w:lang w:val="en-AU" w:eastAsia="en-AU"/>
          </w:rPr>
          <w:tab/>
        </w:r>
        <w:r w:rsidR="00D07CE5" w:rsidRPr="006F5298">
          <w:rPr>
            <w:rStyle w:val="Hyperlink"/>
          </w:rPr>
          <w:t>Grant funding and program administration are the major costs for the BRII</w:t>
        </w:r>
        <w:r w:rsidR="00D07CE5">
          <w:rPr>
            <w:webHidden/>
          </w:rPr>
          <w:tab/>
        </w:r>
        <w:r w:rsidR="00D07CE5">
          <w:rPr>
            <w:webHidden/>
          </w:rPr>
          <w:fldChar w:fldCharType="begin"/>
        </w:r>
        <w:r w:rsidR="00D07CE5">
          <w:rPr>
            <w:webHidden/>
          </w:rPr>
          <w:instrText xml:space="preserve"> PAGEREF _Toc124435157 \h </w:instrText>
        </w:r>
        <w:r w:rsidR="00D07CE5">
          <w:rPr>
            <w:webHidden/>
          </w:rPr>
        </w:r>
        <w:r w:rsidR="00D07CE5">
          <w:rPr>
            <w:webHidden/>
          </w:rPr>
          <w:fldChar w:fldCharType="separate"/>
        </w:r>
        <w:r w:rsidR="00D51AD3">
          <w:rPr>
            <w:webHidden/>
          </w:rPr>
          <w:t>64</w:t>
        </w:r>
        <w:r w:rsidR="00D07CE5">
          <w:rPr>
            <w:webHidden/>
          </w:rPr>
          <w:fldChar w:fldCharType="end"/>
        </w:r>
      </w:hyperlink>
    </w:p>
    <w:p w14:paraId="0AE6ABFD" w14:textId="496FD08E" w:rsidR="00D07CE5" w:rsidRDefault="00AE53C1" w:rsidP="00D07CE5">
      <w:pPr>
        <w:pStyle w:val="TOC2"/>
        <w:rPr>
          <w:rFonts w:eastAsiaTheme="minorEastAsia"/>
          <w:sz w:val="22"/>
          <w:lang w:val="en-AU" w:eastAsia="en-AU"/>
        </w:rPr>
      </w:pPr>
      <w:hyperlink w:anchor="_Toc124435158" w:history="1">
        <w:r w:rsidR="00D07CE5" w:rsidRPr="006F5298">
          <w:rPr>
            <w:rStyle w:val="Hyperlink"/>
          </w:rPr>
          <w:t>6.5</w:t>
        </w:r>
        <w:r w:rsidR="00D07CE5">
          <w:rPr>
            <w:rFonts w:eastAsiaTheme="minorEastAsia"/>
            <w:sz w:val="22"/>
            <w:lang w:val="en-AU" w:eastAsia="en-AU"/>
          </w:rPr>
          <w:tab/>
        </w:r>
        <w:r w:rsidR="00D07CE5" w:rsidRPr="006F5298">
          <w:rPr>
            <w:rStyle w:val="Hyperlink"/>
          </w:rPr>
          <w:t>The BRII had a similar benefit-cost ratio to the UK SBRI</w:t>
        </w:r>
        <w:r w:rsidR="00D07CE5">
          <w:rPr>
            <w:webHidden/>
          </w:rPr>
          <w:tab/>
        </w:r>
        <w:r w:rsidR="00D07CE5">
          <w:rPr>
            <w:webHidden/>
          </w:rPr>
          <w:fldChar w:fldCharType="begin"/>
        </w:r>
        <w:r w:rsidR="00D07CE5">
          <w:rPr>
            <w:webHidden/>
          </w:rPr>
          <w:instrText xml:space="preserve"> PAGEREF _Toc124435158 \h </w:instrText>
        </w:r>
        <w:r w:rsidR="00D07CE5">
          <w:rPr>
            <w:webHidden/>
          </w:rPr>
        </w:r>
        <w:r w:rsidR="00D07CE5">
          <w:rPr>
            <w:webHidden/>
          </w:rPr>
          <w:fldChar w:fldCharType="separate"/>
        </w:r>
        <w:r w:rsidR="00D51AD3">
          <w:rPr>
            <w:webHidden/>
          </w:rPr>
          <w:t>64</w:t>
        </w:r>
        <w:r w:rsidR="00D07CE5">
          <w:rPr>
            <w:webHidden/>
          </w:rPr>
          <w:fldChar w:fldCharType="end"/>
        </w:r>
      </w:hyperlink>
    </w:p>
    <w:p w14:paraId="4E60B139" w14:textId="6C507971" w:rsidR="00D07CE5" w:rsidRDefault="00AE53C1">
      <w:pPr>
        <w:pStyle w:val="TOC1"/>
        <w:rPr>
          <w:rFonts w:asciiTheme="minorHAnsi" w:eastAsiaTheme="minorEastAsia" w:hAnsiTheme="minorHAnsi"/>
          <w:sz w:val="22"/>
          <w:lang w:val="en-AU" w:eastAsia="en-AU"/>
        </w:rPr>
      </w:pPr>
      <w:hyperlink w:anchor="_Toc124435159" w:history="1">
        <w:r w:rsidR="00D07CE5" w:rsidRPr="006F5298">
          <w:rPr>
            <w:rStyle w:val="Hyperlink"/>
          </w:rPr>
          <w:t>7.</w:t>
        </w:r>
        <w:r w:rsidR="00D07CE5">
          <w:rPr>
            <w:rFonts w:asciiTheme="minorHAnsi" w:eastAsiaTheme="minorEastAsia" w:hAnsiTheme="minorHAnsi"/>
            <w:sz w:val="22"/>
            <w:lang w:val="en-AU" w:eastAsia="en-AU"/>
          </w:rPr>
          <w:tab/>
        </w:r>
        <w:r w:rsidR="00D07CE5" w:rsidRPr="006F5298">
          <w:rPr>
            <w:rStyle w:val="Hyperlink"/>
          </w:rPr>
          <w:t>Program design and implementation</w:t>
        </w:r>
        <w:r w:rsidR="00D07CE5">
          <w:rPr>
            <w:webHidden/>
          </w:rPr>
          <w:tab/>
        </w:r>
        <w:r w:rsidR="00D07CE5">
          <w:rPr>
            <w:webHidden/>
          </w:rPr>
          <w:fldChar w:fldCharType="begin"/>
        </w:r>
        <w:r w:rsidR="00D07CE5">
          <w:rPr>
            <w:webHidden/>
          </w:rPr>
          <w:instrText xml:space="preserve"> PAGEREF _Toc124435159 \h </w:instrText>
        </w:r>
        <w:r w:rsidR="00D07CE5">
          <w:rPr>
            <w:webHidden/>
          </w:rPr>
        </w:r>
        <w:r w:rsidR="00D07CE5">
          <w:rPr>
            <w:webHidden/>
          </w:rPr>
          <w:fldChar w:fldCharType="separate"/>
        </w:r>
        <w:r w:rsidR="00D51AD3">
          <w:rPr>
            <w:webHidden/>
          </w:rPr>
          <w:t>66</w:t>
        </w:r>
        <w:r w:rsidR="00D07CE5">
          <w:rPr>
            <w:webHidden/>
          </w:rPr>
          <w:fldChar w:fldCharType="end"/>
        </w:r>
      </w:hyperlink>
    </w:p>
    <w:p w14:paraId="6E7BA6E7" w14:textId="1DD852B2" w:rsidR="00D07CE5" w:rsidRDefault="00AE53C1" w:rsidP="00D07CE5">
      <w:pPr>
        <w:pStyle w:val="TOC2"/>
        <w:rPr>
          <w:rFonts w:eastAsiaTheme="minorEastAsia"/>
          <w:sz w:val="22"/>
          <w:lang w:val="en-AU" w:eastAsia="en-AU"/>
        </w:rPr>
      </w:pPr>
      <w:hyperlink w:anchor="_Toc124435160" w:history="1">
        <w:r w:rsidR="00D07CE5" w:rsidRPr="006F5298">
          <w:rPr>
            <w:rStyle w:val="Hyperlink"/>
          </w:rPr>
          <w:t>7.1</w:t>
        </w:r>
        <w:r w:rsidR="00D07CE5">
          <w:rPr>
            <w:rFonts w:eastAsiaTheme="minorEastAsia"/>
            <w:sz w:val="22"/>
            <w:lang w:val="en-AU" w:eastAsia="en-AU"/>
          </w:rPr>
          <w:tab/>
        </w:r>
        <w:r w:rsidR="00D07CE5" w:rsidRPr="006F5298">
          <w:rPr>
            <w:rStyle w:val="Hyperlink"/>
          </w:rPr>
          <w:t>The design and governance of the BRII has been effective</w:t>
        </w:r>
        <w:r w:rsidR="00D07CE5">
          <w:rPr>
            <w:webHidden/>
          </w:rPr>
          <w:tab/>
        </w:r>
        <w:r w:rsidR="00D07CE5">
          <w:rPr>
            <w:webHidden/>
          </w:rPr>
          <w:fldChar w:fldCharType="begin"/>
        </w:r>
        <w:r w:rsidR="00D07CE5">
          <w:rPr>
            <w:webHidden/>
          </w:rPr>
          <w:instrText xml:space="preserve"> PAGEREF _Toc124435160 \h </w:instrText>
        </w:r>
        <w:r w:rsidR="00D07CE5">
          <w:rPr>
            <w:webHidden/>
          </w:rPr>
        </w:r>
        <w:r w:rsidR="00D07CE5">
          <w:rPr>
            <w:webHidden/>
          </w:rPr>
          <w:fldChar w:fldCharType="separate"/>
        </w:r>
        <w:r w:rsidR="00D51AD3">
          <w:rPr>
            <w:webHidden/>
          </w:rPr>
          <w:t>67</w:t>
        </w:r>
        <w:r w:rsidR="00D07CE5">
          <w:rPr>
            <w:webHidden/>
          </w:rPr>
          <w:fldChar w:fldCharType="end"/>
        </w:r>
      </w:hyperlink>
    </w:p>
    <w:p w14:paraId="18BEEBE6" w14:textId="24CE388D" w:rsidR="00D07CE5" w:rsidRDefault="00AE53C1" w:rsidP="00D07CE5">
      <w:pPr>
        <w:pStyle w:val="TOC2"/>
        <w:rPr>
          <w:rFonts w:eastAsiaTheme="minorEastAsia"/>
          <w:sz w:val="22"/>
          <w:lang w:val="en-AU" w:eastAsia="en-AU"/>
        </w:rPr>
      </w:pPr>
      <w:hyperlink w:anchor="_Toc124435161" w:history="1">
        <w:r w:rsidR="00D07CE5" w:rsidRPr="006F5298">
          <w:rPr>
            <w:rStyle w:val="Hyperlink"/>
          </w:rPr>
          <w:t>7.2</w:t>
        </w:r>
        <w:r w:rsidR="00D07CE5">
          <w:rPr>
            <w:rFonts w:eastAsiaTheme="minorEastAsia"/>
            <w:sz w:val="22"/>
            <w:lang w:val="en-AU" w:eastAsia="en-AU"/>
          </w:rPr>
          <w:tab/>
        </w:r>
        <w:r w:rsidR="00D07CE5" w:rsidRPr="006F5298">
          <w:rPr>
            <w:rStyle w:val="Hyperlink"/>
          </w:rPr>
          <w:t>The BRII has improved how it delivers the challenge stage</w:t>
        </w:r>
        <w:r w:rsidR="00D07CE5">
          <w:rPr>
            <w:webHidden/>
          </w:rPr>
          <w:tab/>
        </w:r>
        <w:r w:rsidR="00D07CE5">
          <w:rPr>
            <w:webHidden/>
          </w:rPr>
          <w:fldChar w:fldCharType="begin"/>
        </w:r>
        <w:r w:rsidR="00D07CE5">
          <w:rPr>
            <w:webHidden/>
          </w:rPr>
          <w:instrText xml:space="preserve"> PAGEREF _Toc124435161 \h </w:instrText>
        </w:r>
        <w:r w:rsidR="00D07CE5">
          <w:rPr>
            <w:webHidden/>
          </w:rPr>
        </w:r>
        <w:r w:rsidR="00D07CE5">
          <w:rPr>
            <w:webHidden/>
          </w:rPr>
          <w:fldChar w:fldCharType="separate"/>
        </w:r>
        <w:r w:rsidR="00D51AD3">
          <w:rPr>
            <w:webHidden/>
          </w:rPr>
          <w:t>71</w:t>
        </w:r>
        <w:r w:rsidR="00D07CE5">
          <w:rPr>
            <w:webHidden/>
          </w:rPr>
          <w:fldChar w:fldCharType="end"/>
        </w:r>
      </w:hyperlink>
    </w:p>
    <w:p w14:paraId="6F6C9352" w14:textId="6A8D30CA" w:rsidR="00D07CE5" w:rsidRDefault="00AE53C1" w:rsidP="00D07CE5">
      <w:pPr>
        <w:pStyle w:val="TOC2"/>
        <w:rPr>
          <w:rFonts w:eastAsiaTheme="minorEastAsia"/>
          <w:sz w:val="22"/>
          <w:lang w:val="en-AU" w:eastAsia="en-AU"/>
        </w:rPr>
      </w:pPr>
      <w:hyperlink w:anchor="_Toc124435162" w:history="1">
        <w:r w:rsidR="00D07CE5" w:rsidRPr="006F5298">
          <w:rPr>
            <w:rStyle w:val="Hyperlink"/>
          </w:rPr>
          <w:t>7.3</w:t>
        </w:r>
        <w:r w:rsidR="00D07CE5">
          <w:rPr>
            <w:rFonts w:eastAsiaTheme="minorEastAsia"/>
            <w:sz w:val="22"/>
            <w:lang w:val="en-AU" w:eastAsia="en-AU"/>
          </w:rPr>
          <w:tab/>
        </w:r>
        <w:r w:rsidR="00D07CE5" w:rsidRPr="006F5298">
          <w:rPr>
            <w:rStyle w:val="Hyperlink"/>
          </w:rPr>
          <w:t>SMEs and challenge agencies reflect positively on the BRII but suggested improvements to program design</w:t>
        </w:r>
        <w:r w:rsidR="00D07CE5">
          <w:rPr>
            <w:webHidden/>
          </w:rPr>
          <w:tab/>
        </w:r>
        <w:r w:rsidR="00D07CE5">
          <w:rPr>
            <w:webHidden/>
          </w:rPr>
          <w:fldChar w:fldCharType="begin"/>
        </w:r>
        <w:r w:rsidR="00D07CE5">
          <w:rPr>
            <w:webHidden/>
          </w:rPr>
          <w:instrText xml:space="preserve"> PAGEREF _Toc124435162 \h </w:instrText>
        </w:r>
        <w:r w:rsidR="00D07CE5">
          <w:rPr>
            <w:webHidden/>
          </w:rPr>
        </w:r>
        <w:r w:rsidR="00D07CE5">
          <w:rPr>
            <w:webHidden/>
          </w:rPr>
          <w:fldChar w:fldCharType="separate"/>
        </w:r>
        <w:r w:rsidR="00D51AD3">
          <w:rPr>
            <w:webHidden/>
          </w:rPr>
          <w:t>74</w:t>
        </w:r>
        <w:r w:rsidR="00D07CE5">
          <w:rPr>
            <w:webHidden/>
          </w:rPr>
          <w:fldChar w:fldCharType="end"/>
        </w:r>
      </w:hyperlink>
    </w:p>
    <w:p w14:paraId="335C968B" w14:textId="1A197C0A" w:rsidR="00D07CE5" w:rsidRDefault="00AE53C1" w:rsidP="00D07CE5">
      <w:pPr>
        <w:pStyle w:val="TOC2"/>
        <w:rPr>
          <w:rFonts w:eastAsiaTheme="minorEastAsia"/>
          <w:sz w:val="22"/>
          <w:lang w:val="en-AU" w:eastAsia="en-AU"/>
        </w:rPr>
      </w:pPr>
      <w:hyperlink w:anchor="_Toc124435163" w:history="1">
        <w:r w:rsidR="00D07CE5" w:rsidRPr="006F5298">
          <w:rPr>
            <w:rStyle w:val="Hyperlink"/>
          </w:rPr>
          <w:t>7.4</w:t>
        </w:r>
        <w:r w:rsidR="00D07CE5">
          <w:rPr>
            <w:rFonts w:eastAsiaTheme="minorEastAsia"/>
            <w:sz w:val="22"/>
            <w:lang w:val="en-AU" w:eastAsia="en-AU"/>
          </w:rPr>
          <w:tab/>
        </w:r>
        <w:r w:rsidR="00D07CE5" w:rsidRPr="006F5298">
          <w:rPr>
            <w:rStyle w:val="Hyperlink"/>
          </w:rPr>
          <w:t>DISER should consider eleven recommendations to improve the current delivery of the BRII.</w:t>
        </w:r>
        <w:r w:rsidR="00D07CE5">
          <w:rPr>
            <w:webHidden/>
          </w:rPr>
          <w:tab/>
        </w:r>
        <w:r w:rsidR="00D07CE5">
          <w:rPr>
            <w:webHidden/>
          </w:rPr>
          <w:fldChar w:fldCharType="begin"/>
        </w:r>
        <w:r w:rsidR="00D07CE5">
          <w:rPr>
            <w:webHidden/>
          </w:rPr>
          <w:instrText xml:space="preserve"> PAGEREF _Toc124435163 \h </w:instrText>
        </w:r>
        <w:r w:rsidR="00D07CE5">
          <w:rPr>
            <w:webHidden/>
          </w:rPr>
        </w:r>
        <w:r w:rsidR="00D07CE5">
          <w:rPr>
            <w:webHidden/>
          </w:rPr>
          <w:fldChar w:fldCharType="separate"/>
        </w:r>
        <w:r w:rsidR="00D51AD3">
          <w:rPr>
            <w:webHidden/>
          </w:rPr>
          <w:t>80</w:t>
        </w:r>
        <w:r w:rsidR="00D07CE5">
          <w:rPr>
            <w:webHidden/>
          </w:rPr>
          <w:fldChar w:fldCharType="end"/>
        </w:r>
      </w:hyperlink>
    </w:p>
    <w:p w14:paraId="02081FC0" w14:textId="5F50F036" w:rsidR="00D07CE5" w:rsidRDefault="00AE53C1">
      <w:pPr>
        <w:pStyle w:val="TOC1"/>
        <w:rPr>
          <w:rFonts w:asciiTheme="minorHAnsi" w:eastAsiaTheme="minorEastAsia" w:hAnsiTheme="minorHAnsi"/>
          <w:sz w:val="22"/>
          <w:lang w:val="en-AU" w:eastAsia="en-AU"/>
        </w:rPr>
      </w:pPr>
      <w:hyperlink w:anchor="_Toc124435164" w:history="1">
        <w:r w:rsidR="00D07CE5" w:rsidRPr="006F5298">
          <w:rPr>
            <w:rStyle w:val="Hyperlink"/>
          </w:rPr>
          <w:t>8.</w:t>
        </w:r>
        <w:r w:rsidR="00D07CE5">
          <w:rPr>
            <w:rFonts w:asciiTheme="minorHAnsi" w:eastAsiaTheme="minorEastAsia" w:hAnsiTheme="minorHAnsi"/>
            <w:sz w:val="22"/>
            <w:lang w:val="en-AU" w:eastAsia="en-AU"/>
          </w:rPr>
          <w:tab/>
        </w:r>
        <w:r w:rsidR="00D07CE5" w:rsidRPr="006F5298">
          <w:rPr>
            <w:rStyle w:val="Hyperlink"/>
          </w:rPr>
          <w:t>The future of the BRII</w:t>
        </w:r>
        <w:r w:rsidR="00D07CE5">
          <w:rPr>
            <w:webHidden/>
          </w:rPr>
          <w:tab/>
        </w:r>
        <w:r w:rsidR="00D07CE5">
          <w:rPr>
            <w:webHidden/>
          </w:rPr>
          <w:fldChar w:fldCharType="begin"/>
        </w:r>
        <w:r w:rsidR="00D07CE5">
          <w:rPr>
            <w:webHidden/>
          </w:rPr>
          <w:instrText xml:space="preserve"> PAGEREF _Toc124435164 \h </w:instrText>
        </w:r>
        <w:r w:rsidR="00D07CE5">
          <w:rPr>
            <w:webHidden/>
          </w:rPr>
        </w:r>
        <w:r w:rsidR="00D07CE5">
          <w:rPr>
            <w:webHidden/>
          </w:rPr>
          <w:fldChar w:fldCharType="separate"/>
        </w:r>
        <w:r w:rsidR="00D51AD3">
          <w:rPr>
            <w:webHidden/>
          </w:rPr>
          <w:t>86</w:t>
        </w:r>
        <w:r w:rsidR="00D07CE5">
          <w:rPr>
            <w:webHidden/>
          </w:rPr>
          <w:fldChar w:fldCharType="end"/>
        </w:r>
      </w:hyperlink>
    </w:p>
    <w:p w14:paraId="0CB6C6A5" w14:textId="36532AA2" w:rsidR="00D07CE5" w:rsidRDefault="00AE53C1" w:rsidP="00D07CE5">
      <w:pPr>
        <w:pStyle w:val="TOC2"/>
        <w:rPr>
          <w:rFonts w:eastAsiaTheme="minorEastAsia"/>
          <w:sz w:val="22"/>
          <w:lang w:val="en-AU" w:eastAsia="en-AU"/>
        </w:rPr>
      </w:pPr>
      <w:hyperlink w:anchor="_Toc124435165" w:history="1">
        <w:r w:rsidR="00D07CE5" w:rsidRPr="006F5298">
          <w:rPr>
            <w:rStyle w:val="Hyperlink"/>
          </w:rPr>
          <w:t>8.1</w:t>
        </w:r>
        <w:r w:rsidR="00D07CE5">
          <w:rPr>
            <w:rFonts w:eastAsiaTheme="minorEastAsia"/>
            <w:sz w:val="22"/>
            <w:lang w:val="en-AU" w:eastAsia="en-AU"/>
          </w:rPr>
          <w:tab/>
        </w:r>
        <w:r w:rsidR="00D07CE5" w:rsidRPr="006F5298">
          <w:rPr>
            <w:rStyle w:val="Hyperlink"/>
          </w:rPr>
          <w:t>The findings of this evaluation support the scale-up of the BRII to increase its reach and impact</w:t>
        </w:r>
        <w:r w:rsidR="00D07CE5">
          <w:rPr>
            <w:webHidden/>
          </w:rPr>
          <w:tab/>
        </w:r>
        <w:r w:rsidR="00D07CE5">
          <w:rPr>
            <w:webHidden/>
          </w:rPr>
          <w:fldChar w:fldCharType="begin"/>
        </w:r>
        <w:r w:rsidR="00D07CE5">
          <w:rPr>
            <w:webHidden/>
          </w:rPr>
          <w:instrText xml:space="preserve"> PAGEREF _Toc124435165 \h </w:instrText>
        </w:r>
        <w:r w:rsidR="00D07CE5">
          <w:rPr>
            <w:webHidden/>
          </w:rPr>
        </w:r>
        <w:r w:rsidR="00D07CE5">
          <w:rPr>
            <w:webHidden/>
          </w:rPr>
          <w:fldChar w:fldCharType="separate"/>
        </w:r>
        <w:r w:rsidR="00D51AD3">
          <w:rPr>
            <w:webHidden/>
          </w:rPr>
          <w:t>87</w:t>
        </w:r>
        <w:r w:rsidR="00D07CE5">
          <w:rPr>
            <w:webHidden/>
          </w:rPr>
          <w:fldChar w:fldCharType="end"/>
        </w:r>
      </w:hyperlink>
    </w:p>
    <w:p w14:paraId="5AEF5CC4" w14:textId="5B36AE8D" w:rsidR="00D07CE5" w:rsidRDefault="00AE53C1" w:rsidP="00D07CE5">
      <w:pPr>
        <w:pStyle w:val="TOC2"/>
        <w:rPr>
          <w:rFonts w:eastAsiaTheme="minorEastAsia"/>
          <w:sz w:val="22"/>
          <w:lang w:val="en-AU" w:eastAsia="en-AU"/>
        </w:rPr>
      </w:pPr>
      <w:hyperlink w:anchor="_Toc124435166" w:history="1">
        <w:r w:rsidR="00D07CE5" w:rsidRPr="006F5298">
          <w:rPr>
            <w:rStyle w:val="Hyperlink"/>
          </w:rPr>
          <w:t>8.2</w:t>
        </w:r>
        <w:r w:rsidR="00D07CE5">
          <w:rPr>
            <w:rFonts w:eastAsiaTheme="minorEastAsia"/>
            <w:sz w:val="22"/>
            <w:lang w:val="en-AU" w:eastAsia="en-AU"/>
          </w:rPr>
          <w:tab/>
        </w:r>
        <w:r w:rsidR="00D07CE5" w:rsidRPr="006F5298">
          <w:rPr>
            <w:rStyle w:val="Hyperlink"/>
          </w:rPr>
          <w:t>DISER should consider three recommendations to scale-up the BRII</w:t>
        </w:r>
        <w:r w:rsidR="00D07CE5">
          <w:rPr>
            <w:webHidden/>
          </w:rPr>
          <w:tab/>
        </w:r>
        <w:r w:rsidR="00D07CE5">
          <w:rPr>
            <w:webHidden/>
          </w:rPr>
          <w:fldChar w:fldCharType="begin"/>
        </w:r>
        <w:r w:rsidR="00D07CE5">
          <w:rPr>
            <w:webHidden/>
          </w:rPr>
          <w:instrText xml:space="preserve"> PAGEREF _Toc124435166 \h </w:instrText>
        </w:r>
        <w:r w:rsidR="00D07CE5">
          <w:rPr>
            <w:webHidden/>
          </w:rPr>
        </w:r>
        <w:r w:rsidR="00D07CE5">
          <w:rPr>
            <w:webHidden/>
          </w:rPr>
          <w:fldChar w:fldCharType="separate"/>
        </w:r>
        <w:r w:rsidR="00D51AD3">
          <w:rPr>
            <w:webHidden/>
          </w:rPr>
          <w:t>97</w:t>
        </w:r>
        <w:r w:rsidR="00D07CE5">
          <w:rPr>
            <w:webHidden/>
          </w:rPr>
          <w:fldChar w:fldCharType="end"/>
        </w:r>
      </w:hyperlink>
    </w:p>
    <w:p w14:paraId="2BC6BE36" w14:textId="543E343F" w:rsidR="00D07CE5" w:rsidRDefault="00AE53C1">
      <w:pPr>
        <w:pStyle w:val="TOC1"/>
        <w:rPr>
          <w:rFonts w:asciiTheme="minorHAnsi" w:eastAsiaTheme="minorEastAsia" w:hAnsiTheme="minorHAnsi"/>
          <w:sz w:val="22"/>
          <w:lang w:val="en-AU" w:eastAsia="en-AU"/>
        </w:rPr>
      </w:pPr>
      <w:hyperlink w:anchor="_Toc124435167" w:history="1">
        <w:r w:rsidR="00D07CE5" w:rsidRPr="006F5298">
          <w:rPr>
            <w:rStyle w:val="Hyperlink"/>
          </w:rPr>
          <w:t>Appendix A</w:t>
        </w:r>
        <w:r w:rsidR="00D07CE5">
          <w:rPr>
            <w:rFonts w:asciiTheme="minorHAnsi" w:eastAsiaTheme="minorEastAsia" w:hAnsiTheme="minorHAnsi"/>
            <w:sz w:val="22"/>
            <w:lang w:val="en-AU" w:eastAsia="en-AU"/>
          </w:rPr>
          <w:tab/>
        </w:r>
        <w:r w:rsidR="00D07CE5" w:rsidRPr="006F5298">
          <w:rPr>
            <w:rStyle w:val="Hyperlink"/>
          </w:rPr>
          <w:t>Program overview</w:t>
        </w:r>
        <w:r w:rsidR="00D07CE5">
          <w:rPr>
            <w:webHidden/>
          </w:rPr>
          <w:tab/>
        </w:r>
        <w:r w:rsidR="00D07CE5">
          <w:rPr>
            <w:webHidden/>
          </w:rPr>
          <w:fldChar w:fldCharType="begin"/>
        </w:r>
        <w:r w:rsidR="00D07CE5">
          <w:rPr>
            <w:webHidden/>
          </w:rPr>
          <w:instrText xml:space="preserve"> PAGEREF _Toc124435167 \h </w:instrText>
        </w:r>
        <w:r w:rsidR="00D07CE5">
          <w:rPr>
            <w:webHidden/>
          </w:rPr>
        </w:r>
        <w:r w:rsidR="00D07CE5">
          <w:rPr>
            <w:webHidden/>
          </w:rPr>
          <w:fldChar w:fldCharType="separate"/>
        </w:r>
        <w:r w:rsidR="00D51AD3">
          <w:rPr>
            <w:webHidden/>
          </w:rPr>
          <w:t>101</w:t>
        </w:r>
        <w:r w:rsidR="00D07CE5">
          <w:rPr>
            <w:webHidden/>
          </w:rPr>
          <w:fldChar w:fldCharType="end"/>
        </w:r>
      </w:hyperlink>
    </w:p>
    <w:p w14:paraId="027BE135" w14:textId="1E028C8C" w:rsidR="00D07CE5" w:rsidRDefault="00AE53C1" w:rsidP="00D07CE5">
      <w:pPr>
        <w:pStyle w:val="TOC2"/>
        <w:rPr>
          <w:rFonts w:eastAsiaTheme="minorEastAsia"/>
          <w:sz w:val="22"/>
          <w:lang w:val="en-AU" w:eastAsia="en-AU"/>
        </w:rPr>
      </w:pPr>
      <w:hyperlink w:anchor="_Toc124435168" w:history="1">
        <w:r w:rsidR="00D07CE5" w:rsidRPr="006F5298">
          <w:rPr>
            <w:rStyle w:val="Hyperlink"/>
          </w:rPr>
          <w:t>A.1</w:t>
        </w:r>
        <w:r w:rsidR="00D07CE5">
          <w:rPr>
            <w:rFonts w:eastAsiaTheme="minorEastAsia"/>
            <w:sz w:val="22"/>
            <w:lang w:val="en-AU" w:eastAsia="en-AU"/>
          </w:rPr>
          <w:tab/>
        </w:r>
        <w:r w:rsidR="00D07CE5" w:rsidRPr="006F5298">
          <w:rPr>
            <w:rStyle w:val="Hyperlink"/>
          </w:rPr>
          <w:t>The intended outcomes of the BRII are expected to be realised over the next decade</w:t>
        </w:r>
        <w:r w:rsidR="00D07CE5">
          <w:rPr>
            <w:webHidden/>
          </w:rPr>
          <w:tab/>
        </w:r>
        <w:r w:rsidR="00D07CE5">
          <w:rPr>
            <w:webHidden/>
          </w:rPr>
          <w:fldChar w:fldCharType="begin"/>
        </w:r>
        <w:r w:rsidR="00D07CE5">
          <w:rPr>
            <w:webHidden/>
          </w:rPr>
          <w:instrText xml:space="preserve"> PAGEREF _Toc124435168 \h </w:instrText>
        </w:r>
        <w:r w:rsidR="00D07CE5">
          <w:rPr>
            <w:webHidden/>
          </w:rPr>
        </w:r>
        <w:r w:rsidR="00D07CE5">
          <w:rPr>
            <w:webHidden/>
          </w:rPr>
          <w:fldChar w:fldCharType="separate"/>
        </w:r>
        <w:r w:rsidR="00D51AD3">
          <w:rPr>
            <w:webHidden/>
          </w:rPr>
          <w:t>101</w:t>
        </w:r>
        <w:r w:rsidR="00D07CE5">
          <w:rPr>
            <w:webHidden/>
          </w:rPr>
          <w:fldChar w:fldCharType="end"/>
        </w:r>
      </w:hyperlink>
    </w:p>
    <w:p w14:paraId="657B5B95" w14:textId="5DCA7CCA" w:rsidR="00D07CE5" w:rsidRDefault="00AE53C1" w:rsidP="00D07CE5">
      <w:pPr>
        <w:pStyle w:val="TOC2"/>
        <w:rPr>
          <w:rFonts w:eastAsiaTheme="minorEastAsia"/>
          <w:sz w:val="22"/>
          <w:lang w:val="en-AU" w:eastAsia="en-AU"/>
        </w:rPr>
      </w:pPr>
      <w:hyperlink w:anchor="_Toc124435169" w:history="1">
        <w:r w:rsidR="00D07CE5" w:rsidRPr="006F5298">
          <w:rPr>
            <w:rStyle w:val="Hyperlink"/>
          </w:rPr>
          <w:t>A.2</w:t>
        </w:r>
        <w:r w:rsidR="00D07CE5">
          <w:rPr>
            <w:rFonts w:eastAsiaTheme="minorEastAsia"/>
            <w:sz w:val="22"/>
            <w:lang w:val="en-AU" w:eastAsia="en-AU"/>
          </w:rPr>
          <w:tab/>
        </w:r>
        <w:r w:rsidR="00D07CE5" w:rsidRPr="006F5298">
          <w:rPr>
            <w:rStyle w:val="Hyperlink"/>
          </w:rPr>
          <w:t>The BRII has been modelled on similar programs in the UK and the US.</w:t>
        </w:r>
        <w:r w:rsidR="00D07CE5">
          <w:rPr>
            <w:webHidden/>
          </w:rPr>
          <w:tab/>
        </w:r>
        <w:r w:rsidR="00D07CE5">
          <w:rPr>
            <w:webHidden/>
          </w:rPr>
          <w:fldChar w:fldCharType="begin"/>
        </w:r>
        <w:r w:rsidR="00D07CE5">
          <w:rPr>
            <w:webHidden/>
          </w:rPr>
          <w:instrText xml:space="preserve"> PAGEREF _Toc124435169 \h </w:instrText>
        </w:r>
        <w:r w:rsidR="00D07CE5">
          <w:rPr>
            <w:webHidden/>
          </w:rPr>
        </w:r>
        <w:r w:rsidR="00D07CE5">
          <w:rPr>
            <w:webHidden/>
          </w:rPr>
          <w:fldChar w:fldCharType="separate"/>
        </w:r>
        <w:r w:rsidR="00D51AD3">
          <w:rPr>
            <w:webHidden/>
          </w:rPr>
          <w:t>102</w:t>
        </w:r>
        <w:r w:rsidR="00D07CE5">
          <w:rPr>
            <w:webHidden/>
          </w:rPr>
          <w:fldChar w:fldCharType="end"/>
        </w:r>
      </w:hyperlink>
    </w:p>
    <w:p w14:paraId="48755F36" w14:textId="078A683E" w:rsidR="00D07CE5" w:rsidRDefault="00AE53C1" w:rsidP="00D07CE5">
      <w:pPr>
        <w:pStyle w:val="TOC2"/>
        <w:rPr>
          <w:rFonts w:eastAsiaTheme="minorEastAsia"/>
          <w:sz w:val="22"/>
          <w:lang w:val="en-AU" w:eastAsia="en-AU"/>
        </w:rPr>
      </w:pPr>
      <w:hyperlink w:anchor="_Toc124435170" w:history="1">
        <w:r w:rsidR="00D07CE5" w:rsidRPr="006F5298">
          <w:rPr>
            <w:rStyle w:val="Hyperlink"/>
          </w:rPr>
          <w:t>A.3</w:t>
        </w:r>
        <w:r w:rsidR="00D07CE5">
          <w:rPr>
            <w:rFonts w:eastAsiaTheme="minorEastAsia"/>
            <w:sz w:val="22"/>
            <w:lang w:val="en-AU" w:eastAsia="en-AU"/>
          </w:rPr>
          <w:tab/>
        </w:r>
        <w:r w:rsidR="00D07CE5" w:rsidRPr="006F5298">
          <w:rPr>
            <w:rStyle w:val="Hyperlink"/>
          </w:rPr>
          <w:t>There were five challenges in round one</w:t>
        </w:r>
        <w:r w:rsidR="00D07CE5">
          <w:rPr>
            <w:webHidden/>
          </w:rPr>
          <w:tab/>
        </w:r>
        <w:r w:rsidR="00D07CE5">
          <w:rPr>
            <w:webHidden/>
          </w:rPr>
          <w:fldChar w:fldCharType="begin"/>
        </w:r>
        <w:r w:rsidR="00D07CE5">
          <w:rPr>
            <w:webHidden/>
          </w:rPr>
          <w:instrText xml:space="preserve"> PAGEREF _Toc124435170 \h </w:instrText>
        </w:r>
        <w:r w:rsidR="00D07CE5">
          <w:rPr>
            <w:webHidden/>
          </w:rPr>
        </w:r>
        <w:r w:rsidR="00D07CE5">
          <w:rPr>
            <w:webHidden/>
          </w:rPr>
          <w:fldChar w:fldCharType="separate"/>
        </w:r>
        <w:r w:rsidR="00D51AD3">
          <w:rPr>
            <w:webHidden/>
          </w:rPr>
          <w:t>104</w:t>
        </w:r>
        <w:r w:rsidR="00D07CE5">
          <w:rPr>
            <w:webHidden/>
          </w:rPr>
          <w:fldChar w:fldCharType="end"/>
        </w:r>
      </w:hyperlink>
    </w:p>
    <w:p w14:paraId="59D283AA" w14:textId="68B5F9B8" w:rsidR="00D07CE5" w:rsidRDefault="00AE53C1" w:rsidP="00D07CE5">
      <w:pPr>
        <w:pStyle w:val="TOC2"/>
        <w:rPr>
          <w:rFonts w:eastAsiaTheme="minorEastAsia"/>
          <w:sz w:val="22"/>
          <w:lang w:val="en-AU" w:eastAsia="en-AU"/>
        </w:rPr>
      </w:pPr>
      <w:hyperlink w:anchor="_Toc124435171" w:history="1">
        <w:r w:rsidR="00D07CE5" w:rsidRPr="006F5298">
          <w:rPr>
            <w:rStyle w:val="Hyperlink"/>
          </w:rPr>
          <w:t>A.4</w:t>
        </w:r>
        <w:r w:rsidR="00D07CE5">
          <w:rPr>
            <w:rFonts w:eastAsiaTheme="minorEastAsia"/>
            <w:sz w:val="22"/>
            <w:lang w:val="en-AU" w:eastAsia="en-AU"/>
          </w:rPr>
          <w:tab/>
        </w:r>
        <w:r w:rsidR="00D07CE5" w:rsidRPr="006F5298">
          <w:rPr>
            <w:rStyle w:val="Hyperlink"/>
          </w:rPr>
          <w:t>There were five challenges in round two.</w:t>
        </w:r>
        <w:r w:rsidR="00D07CE5">
          <w:rPr>
            <w:webHidden/>
          </w:rPr>
          <w:tab/>
        </w:r>
        <w:r w:rsidR="00D07CE5">
          <w:rPr>
            <w:webHidden/>
          </w:rPr>
          <w:fldChar w:fldCharType="begin"/>
        </w:r>
        <w:r w:rsidR="00D07CE5">
          <w:rPr>
            <w:webHidden/>
          </w:rPr>
          <w:instrText xml:space="preserve"> PAGEREF _Toc124435171 \h </w:instrText>
        </w:r>
        <w:r w:rsidR="00D07CE5">
          <w:rPr>
            <w:webHidden/>
          </w:rPr>
        </w:r>
        <w:r w:rsidR="00D07CE5">
          <w:rPr>
            <w:webHidden/>
          </w:rPr>
          <w:fldChar w:fldCharType="separate"/>
        </w:r>
        <w:r w:rsidR="00D51AD3">
          <w:rPr>
            <w:webHidden/>
          </w:rPr>
          <w:t>106</w:t>
        </w:r>
        <w:r w:rsidR="00D07CE5">
          <w:rPr>
            <w:webHidden/>
          </w:rPr>
          <w:fldChar w:fldCharType="end"/>
        </w:r>
      </w:hyperlink>
    </w:p>
    <w:p w14:paraId="7C1203EB" w14:textId="559882ED" w:rsidR="00D07CE5" w:rsidRDefault="00AE53C1" w:rsidP="00D07CE5">
      <w:pPr>
        <w:pStyle w:val="TOC2"/>
        <w:rPr>
          <w:rFonts w:eastAsiaTheme="minorEastAsia"/>
          <w:sz w:val="22"/>
          <w:lang w:val="en-AU" w:eastAsia="en-AU"/>
        </w:rPr>
      </w:pPr>
      <w:hyperlink w:anchor="_Toc124435172" w:history="1">
        <w:r w:rsidR="00D07CE5" w:rsidRPr="006F5298">
          <w:rPr>
            <w:rStyle w:val="Hyperlink"/>
          </w:rPr>
          <w:t>A.5</w:t>
        </w:r>
        <w:r w:rsidR="00D07CE5">
          <w:rPr>
            <w:rFonts w:eastAsiaTheme="minorEastAsia"/>
            <w:sz w:val="22"/>
            <w:lang w:val="en-AU" w:eastAsia="en-AU"/>
          </w:rPr>
          <w:tab/>
        </w:r>
        <w:r w:rsidR="00D07CE5" w:rsidRPr="006F5298">
          <w:rPr>
            <w:rStyle w:val="Hyperlink"/>
          </w:rPr>
          <w:t>There are five challenges in round three (priority sectors round).</w:t>
        </w:r>
        <w:r w:rsidR="00D07CE5">
          <w:rPr>
            <w:webHidden/>
          </w:rPr>
          <w:tab/>
        </w:r>
        <w:r w:rsidR="00D07CE5">
          <w:rPr>
            <w:webHidden/>
          </w:rPr>
          <w:fldChar w:fldCharType="begin"/>
        </w:r>
        <w:r w:rsidR="00D07CE5">
          <w:rPr>
            <w:webHidden/>
          </w:rPr>
          <w:instrText xml:space="preserve"> PAGEREF _Toc124435172 \h </w:instrText>
        </w:r>
        <w:r w:rsidR="00D07CE5">
          <w:rPr>
            <w:webHidden/>
          </w:rPr>
        </w:r>
        <w:r w:rsidR="00D07CE5">
          <w:rPr>
            <w:webHidden/>
          </w:rPr>
          <w:fldChar w:fldCharType="separate"/>
        </w:r>
        <w:r w:rsidR="00D51AD3">
          <w:rPr>
            <w:webHidden/>
          </w:rPr>
          <w:t>107</w:t>
        </w:r>
        <w:r w:rsidR="00D07CE5">
          <w:rPr>
            <w:webHidden/>
          </w:rPr>
          <w:fldChar w:fldCharType="end"/>
        </w:r>
      </w:hyperlink>
    </w:p>
    <w:p w14:paraId="5A2D558A" w14:textId="76A448B3" w:rsidR="00D07CE5" w:rsidRDefault="00AE53C1">
      <w:pPr>
        <w:pStyle w:val="TOC1"/>
        <w:rPr>
          <w:rFonts w:asciiTheme="minorHAnsi" w:eastAsiaTheme="minorEastAsia" w:hAnsiTheme="minorHAnsi"/>
          <w:sz w:val="22"/>
          <w:lang w:val="en-AU" w:eastAsia="en-AU"/>
        </w:rPr>
      </w:pPr>
      <w:hyperlink w:anchor="_Toc124435173" w:history="1">
        <w:r w:rsidR="00D07CE5" w:rsidRPr="006F5298">
          <w:rPr>
            <w:rStyle w:val="Hyperlink"/>
          </w:rPr>
          <w:t>Appendix B</w:t>
        </w:r>
        <w:r w:rsidR="00D07CE5">
          <w:rPr>
            <w:rFonts w:asciiTheme="minorHAnsi" w:eastAsiaTheme="minorEastAsia" w:hAnsiTheme="minorHAnsi"/>
            <w:sz w:val="22"/>
            <w:lang w:val="en-AU" w:eastAsia="en-AU"/>
          </w:rPr>
          <w:tab/>
        </w:r>
        <w:r w:rsidR="00D07CE5" w:rsidRPr="006F5298">
          <w:rPr>
            <w:rStyle w:val="Hyperlink"/>
          </w:rPr>
          <w:t>BRII Program Logic (2018)</w:t>
        </w:r>
        <w:r w:rsidR="00D07CE5">
          <w:rPr>
            <w:webHidden/>
          </w:rPr>
          <w:tab/>
        </w:r>
        <w:r w:rsidR="00D07CE5">
          <w:rPr>
            <w:webHidden/>
          </w:rPr>
          <w:fldChar w:fldCharType="begin"/>
        </w:r>
        <w:r w:rsidR="00D07CE5">
          <w:rPr>
            <w:webHidden/>
          </w:rPr>
          <w:instrText xml:space="preserve"> PAGEREF _Toc124435173 \h </w:instrText>
        </w:r>
        <w:r w:rsidR="00D07CE5">
          <w:rPr>
            <w:webHidden/>
          </w:rPr>
        </w:r>
        <w:r w:rsidR="00D07CE5">
          <w:rPr>
            <w:webHidden/>
          </w:rPr>
          <w:fldChar w:fldCharType="separate"/>
        </w:r>
        <w:r w:rsidR="00D51AD3">
          <w:rPr>
            <w:webHidden/>
          </w:rPr>
          <w:t>110</w:t>
        </w:r>
        <w:r w:rsidR="00D07CE5">
          <w:rPr>
            <w:webHidden/>
          </w:rPr>
          <w:fldChar w:fldCharType="end"/>
        </w:r>
      </w:hyperlink>
    </w:p>
    <w:p w14:paraId="1837830D" w14:textId="06BC7DF3" w:rsidR="00D07CE5" w:rsidRDefault="00AE53C1">
      <w:pPr>
        <w:pStyle w:val="TOC1"/>
        <w:rPr>
          <w:rFonts w:asciiTheme="minorHAnsi" w:eastAsiaTheme="minorEastAsia" w:hAnsiTheme="minorHAnsi"/>
          <w:sz w:val="22"/>
          <w:lang w:val="en-AU" w:eastAsia="en-AU"/>
        </w:rPr>
      </w:pPr>
      <w:hyperlink w:anchor="_Toc124435174" w:history="1">
        <w:r w:rsidR="00D07CE5" w:rsidRPr="006F5298">
          <w:rPr>
            <w:rStyle w:val="Hyperlink"/>
          </w:rPr>
          <w:t>Appendix C</w:t>
        </w:r>
        <w:r w:rsidR="00D07CE5">
          <w:rPr>
            <w:rFonts w:asciiTheme="minorHAnsi" w:eastAsiaTheme="minorEastAsia" w:hAnsiTheme="minorHAnsi"/>
            <w:sz w:val="22"/>
            <w:lang w:val="en-AU" w:eastAsia="en-AU"/>
          </w:rPr>
          <w:tab/>
        </w:r>
        <w:r w:rsidR="00D07CE5" w:rsidRPr="006F5298">
          <w:rPr>
            <w:rStyle w:val="Hyperlink"/>
          </w:rPr>
          <w:t>Evaluation methodology (excluding CBA)</w:t>
        </w:r>
        <w:r w:rsidR="00D07CE5">
          <w:rPr>
            <w:webHidden/>
          </w:rPr>
          <w:tab/>
        </w:r>
        <w:r w:rsidR="00D07CE5">
          <w:rPr>
            <w:webHidden/>
          </w:rPr>
          <w:fldChar w:fldCharType="begin"/>
        </w:r>
        <w:r w:rsidR="00D07CE5">
          <w:rPr>
            <w:webHidden/>
          </w:rPr>
          <w:instrText xml:space="preserve"> PAGEREF _Toc124435174 \h </w:instrText>
        </w:r>
        <w:r w:rsidR="00D07CE5">
          <w:rPr>
            <w:webHidden/>
          </w:rPr>
        </w:r>
        <w:r w:rsidR="00D07CE5">
          <w:rPr>
            <w:webHidden/>
          </w:rPr>
          <w:fldChar w:fldCharType="separate"/>
        </w:r>
        <w:r w:rsidR="00D51AD3">
          <w:rPr>
            <w:webHidden/>
          </w:rPr>
          <w:t>111</w:t>
        </w:r>
        <w:r w:rsidR="00D07CE5">
          <w:rPr>
            <w:webHidden/>
          </w:rPr>
          <w:fldChar w:fldCharType="end"/>
        </w:r>
      </w:hyperlink>
    </w:p>
    <w:p w14:paraId="24AB3D20" w14:textId="78ED2A6F" w:rsidR="00D07CE5" w:rsidRDefault="00AE53C1" w:rsidP="00D07CE5">
      <w:pPr>
        <w:pStyle w:val="TOC2"/>
        <w:rPr>
          <w:rFonts w:eastAsiaTheme="minorEastAsia"/>
          <w:sz w:val="22"/>
          <w:lang w:val="en-AU" w:eastAsia="en-AU"/>
        </w:rPr>
      </w:pPr>
      <w:hyperlink w:anchor="_Toc124435175" w:history="1">
        <w:r w:rsidR="00D07CE5" w:rsidRPr="006F5298">
          <w:rPr>
            <w:rStyle w:val="Hyperlink"/>
          </w:rPr>
          <w:t>C.1</w:t>
        </w:r>
        <w:r w:rsidR="00D07CE5">
          <w:rPr>
            <w:rFonts w:eastAsiaTheme="minorEastAsia"/>
            <w:sz w:val="22"/>
            <w:lang w:val="en-AU" w:eastAsia="en-AU"/>
          </w:rPr>
          <w:tab/>
        </w:r>
        <w:r w:rsidR="00D07CE5" w:rsidRPr="006F5298">
          <w:rPr>
            <w:rStyle w:val="Hyperlink"/>
          </w:rPr>
          <w:t>Key Evaluation Questions (KEQs)</w:t>
        </w:r>
        <w:r w:rsidR="00D07CE5">
          <w:rPr>
            <w:webHidden/>
          </w:rPr>
          <w:tab/>
        </w:r>
        <w:r w:rsidR="00D07CE5">
          <w:rPr>
            <w:webHidden/>
          </w:rPr>
          <w:fldChar w:fldCharType="begin"/>
        </w:r>
        <w:r w:rsidR="00D07CE5">
          <w:rPr>
            <w:webHidden/>
          </w:rPr>
          <w:instrText xml:space="preserve"> PAGEREF _Toc124435175 \h </w:instrText>
        </w:r>
        <w:r w:rsidR="00D07CE5">
          <w:rPr>
            <w:webHidden/>
          </w:rPr>
        </w:r>
        <w:r w:rsidR="00D07CE5">
          <w:rPr>
            <w:webHidden/>
          </w:rPr>
          <w:fldChar w:fldCharType="separate"/>
        </w:r>
        <w:r w:rsidR="00D51AD3">
          <w:rPr>
            <w:webHidden/>
          </w:rPr>
          <w:t>111</w:t>
        </w:r>
        <w:r w:rsidR="00D07CE5">
          <w:rPr>
            <w:webHidden/>
          </w:rPr>
          <w:fldChar w:fldCharType="end"/>
        </w:r>
      </w:hyperlink>
    </w:p>
    <w:p w14:paraId="5854BF54" w14:textId="37FB6551" w:rsidR="00D07CE5" w:rsidRDefault="00AE53C1" w:rsidP="00D07CE5">
      <w:pPr>
        <w:pStyle w:val="TOC2"/>
        <w:rPr>
          <w:rFonts w:eastAsiaTheme="minorEastAsia"/>
          <w:sz w:val="22"/>
          <w:lang w:val="en-AU" w:eastAsia="en-AU"/>
        </w:rPr>
      </w:pPr>
      <w:hyperlink w:anchor="_Toc124435176" w:history="1">
        <w:r w:rsidR="00D07CE5" w:rsidRPr="006F5298">
          <w:rPr>
            <w:rStyle w:val="Hyperlink"/>
          </w:rPr>
          <w:t>C.2</w:t>
        </w:r>
        <w:r w:rsidR="00D07CE5">
          <w:rPr>
            <w:rFonts w:eastAsiaTheme="minorEastAsia"/>
            <w:sz w:val="22"/>
            <w:lang w:val="en-AU" w:eastAsia="en-AU"/>
          </w:rPr>
          <w:tab/>
        </w:r>
        <w:r w:rsidR="00D07CE5" w:rsidRPr="006F5298">
          <w:rPr>
            <w:rStyle w:val="Hyperlink"/>
          </w:rPr>
          <w:t>Administrative data</w:t>
        </w:r>
        <w:r w:rsidR="00D07CE5">
          <w:rPr>
            <w:webHidden/>
          </w:rPr>
          <w:tab/>
        </w:r>
        <w:r w:rsidR="00D07CE5">
          <w:rPr>
            <w:webHidden/>
          </w:rPr>
          <w:fldChar w:fldCharType="begin"/>
        </w:r>
        <w:r w:rsidR="00D07CE5">
          <w:rPr>
            <w:webHidden/>
          </w:rPr>
          <w:instrText xml:space="preserve"> PAGEREF _Toc124435176 \h </w:instrText>
        </w:r>
        <w:r w:rsidR="00D07CE5">
          <w:rPr>
            <w:webHidden/>
          </w:rPr>
        </w:r>
        <w:r w:rsidR="00D07CE5">
          <w:rPr>
            <w:webHidden/>
          </w:rPr>
          <w:fldChar w:fldCharType="separate"/>
        </w:r>
        <w:r w:rsidR="00D51AD3">
          <w:rPr>
            <w:webHidden/>
          </w:rPr>
          <w:t>112</w:t>
        </w:r>
        <w:r w:rsidR="00D07CE5">
          <w:rPr>
            <w:webHidden/>
          </w:rPr>
          <w:fldChar w:fldCharType="end"/>
        </w:r>
      </w:hyperlink>
    </w:p>
    <w:p w14:paraId="463CD707" w14:textId="0E2880DB" w:rsidR="00D07CE5" w:rsidRDefault="00AE53C1" w:rsidP="00D07CE5">
      <w:pPr>
        <w:pStyle w:val="TOC2"/>
        <w:rPr>
          <w:rFonts w:eastAsiaTheme="minorEastAsia"/>
          <w:sz w:val="22"/>
          <w:lang w:val="en-AU" w:eastAsia="en-AU"/>
        </w:rPr>
      </w:pPr>
      <w:hyperlink w:anchor="_Toc124435177" w:history="1">
        <w:r w:rsidR="00D07CE5" w:rsidRPr="006F5298">
          <w:rPr>
            <w:rStyle w:val="Hyperlink"/>
          </w:rPr>
          <w:t>C.3</w:t>
        </w:r>
        <w:r w:rsidR="00D07CE5">
          <w:rPr>
            <w:rFonts w:eastAsiaTheme="minorEastAsia"/>
            <w:sz w:val="22"/>
            <w:lang w:val="en-AU" w:eastAsia="en-AU"/>
          </w:rPr>
          <w:tab/>
        </w:r>
        <w:r w:rsidR="00D07CE5" w:rsidRPr="006F5298">
          <w:rPr>
            <w:rStyle w:val="Hyperlink"/>
          </w:rPr>
          <w:t>Program and policy documents</w:t>
        </w:r>
        <w:r w:rsidR="00D07CE5">
          <w:rPr>
            <w:webHidden/>
          </w:rPr>
          <w:tab/>
        </w:r>
        <w:r w:rsidR="00D07CE5">
          <w:rPr>
            <w:webHidden/>
          </w:rPr>
          <w:fldChar w:fldCharType="begin"/>
        </w:r>
        <w:r w:rsidR="00D07CE5">
          <w:rPr>
            <w:webHidden/>
          </w:rPr>
          <w:instrText xml:space="preserve"> PAGEREF _Toc124435177 \h </w:instrText>
        </w:r>
        <w:r w:rsidR="00D07CE5">
          <w:rPr>
            <w:webHidden/>
          </w:rPr>
        </w:r>
        <w:r w:rsidR="00D07CE5">
          <w:rPr>
            <w:webHidden/>
          </w:rPr>
          <w:fldChar w:fldCharType="separate"/>
        </w:r>
        <w:r w:rsidR="00D51AD3">
          <w:rPr>
            <w:webHidden/>
          </w:rPr>
          <w:t>112</w:t>
        </w:r>
        <w:r w:rsidR="00D07CE5">
          <w:rPr>
            <w:webHidden/>
          </w:rPr>
          <w:fldChar w:fldCharType="end"/>
        </w:r>
      </w:hyperlink>
    </w:p>
    <w:p w14:paraId="2711F565" w14:textId="4425B376" w:rsidR="00D07CE5" w:rsidRDefault="00AE53C1" w:rsidP="00D07CE5">
      <w:pPr>
        <w:pStyle w:val="TOC2"/>
        <w:rPr>
          <w:rFonts w:eastAsiaTheme="minorEastAsia"/>
          <w:sz w:val="22"/>
          <w:lang w:val="en-AU" w:eastAsia="en-AU"/>
        </w:rPr>
      </w:pPr>
      <w:hyperlink w:anchor="_Toc124435178" w:history="1">
        <w:r w:rsidR="00D07CE5" w:rsidRPr="006F5298">
          <w:rPr>
            <w:rStyle w:val="Hyperlink"/>
          </w:rPr>
          <w:t>C.4</w:t>
        </w:r>
        <w:r w:rsidR="00D07CE5">
          <w:rPr>
            <w:rFonts w:eastAsiaTheme="minorEastAsia"/>
            <w:sz w:val="22"/>
            <w:lang w:val="en-AU" w:eastAsia="en-AU"/>
          </w:rPr>
          <w:tab/>
        </w:r>
        <w:r w:rsidR="00D07CE5" w:rsidRPr="006F5298">
          <w:rPr>
            <w:rStyle w:val="Hyperlink"/>
          </w:rPr>
          <w:t>Interviews with DISER stakeholders</w:t>
        </w:r>
        <w:r w:rsidR="00D07CE5">
          <w:rPr>
            <w:webHidden/>
          </w:rPr>
          <w:tab/>
        </w:r>
        <w:r w:rsidR="00D07CE5">
          <w:rPr>
            <w:webHidden/>
          </w:rPr>
          <w:fldChar w:fldCharType="begin"/>
        </w:r>
        <w:r w:rsidR="00D07CE5">
          <w:rPr>
            <w:webHidden/>
          </w:rPr>
          <w:instrText xml:space="preserve"> PAGEREF _Toc124435178 \h </w:instrText>
        </w:r>
        <w:r w:rsidR="00D07CE5">
          <w:rPr>
            <w:webHidden/>
          </w:rPr>
        </w:r>
        <w:r w:rsidR="00D07CE5">
          <w:rPr>
            <w:webHidden/>
          </w:rPr>
          <w:fldChar w:fldCharType="separate"/>
        </w:r>
        <w:r w:rsidR="00D51AD3">
          <w:rPr>
            <w:webHidden/>
          </w:rPr>
          <w:t>113</w:t>
        </w:r>
        <w:r w:rsidR="00D07CE5">
          <w:rPr>
            <w:webHidden/>
          </w:rPr>
          <w:fldChar w:fldCharType="end"/>
        </w:r>
      </w:hyperlink>
    </w:p>
    <w:p w14:paraId="76FFF2F6" w14:textId="63496C3D" w:rsidR="00D07CE5" w:rsidRDefault="00AE53C1" w:rsidP="00D07CE5">
      <w:pPr>
        <w:pStyle w:val="TOC2"/>
        <w:rPr>
          <w:rFonts w:eastAsiaTheme="minorEastAsia"/>
          <w:sz w:val="22"/>
          <w:lang w:val="en-AU" w:eastAsia="en-AU"/>
        </w:rPr>
      </w:pPr>
      <w:hyperlink w:anchor="_Toc124435179" w:history="1">
        <w:r w:rsidR="00D07CE5" w:rsidRPr="006F5298">
          <w:rPr>
            <w:rStyle w:val="Hyperlink"/>
          </w:rPr>
          <w:t>C.5</w:t>
        </w:r>
        <w:r w:rsidR="00D07CE5">
          <w:rPr>
            <w:rFonts w:eastAsiaTheme="minorEastAsia"/>
            <w:sz w:val="22"/>
            <w:lang w:val="en-AU" w:eastAsia="en-AU"/>
          </w:rPr>
          <w:tab/>
        </w:r>
        <w:r w:rsidR="00D07CE5" w:rsidRPr="006F5298">
          <w:rPr>
            <w:rStyle w:val="Hyperlink"/>
          </w:rPr>
          <w:t>Interviews with BRII recipients</w:t>
        </w:r>
        <w:r w:rsidR="00D07CE5">
          <w:rPr>
            <w:webHidden/>
          </w:rPr>
          <w:tab/>
        </w:r>
        <w:r w:rsidR="00D07CE5">
          <w:rPr>
            <w:webHidden/>
          </w:rPr>
          <w:fldChar w:fldCharType="begin"/>
        </w:r>
        <w:r w:rsidR="00D07CE5">
          <w:rPr>
            <w:webHidden/>
          </w:rPr>
          <w:instrText xml:space="preserve"> PAGEREF _Toc124435179 \h </w:instrText>
        </w:r>
        <w:r w:rsidR="00D07CE5">
          <w:rPr>
            <w:webHidden/>
          </w:rPr>
        </w:r>
        <w:r w:rsidR="00D07CE5">
          <w:rPr>
            <w:webHidden/>
          </w:rPr>
          <w:fldChar w:fldCharType="separate"/>
        </w:r>
        <w:r w:rsidR="00D51AD3">
          <w:rPr>
            <w:webHidden/>
          </w:rPr>
          <w:t>114</w:t>
        </w:r>
        <w:r w:rsidR="00D07CE5">
          <w:rPr>
            <w:webHidden/>
          </w:rPr>
          <w:fldChar w:fldCharType="end"/>
        </w:r>
      </w:hyperlink>
    </w:p>
    <w:p w14:paraId="5418CE50" w14:textId="784FE7EC" w:rsidR="00D07CE5" w:rsidRDefault="00AE53C1" w:rsidP="00D07CE5">
      <w:pPr>
        <w:pStyle w:val="TOC2"/>
        <w:rPr>
          <w:rFonts w:eastAsiaTheme="minorEastAsia"/>
          <w:sz w:val="22"/>
          <w:lang w:val="en-AU" w:eastAsia="en-AU"/>
        </w:rPr>
      </w:pPr>
      <w:hyperlink w:anchor="_Toc124435180" w:history="1">
        <w:r w:rsidR="00D07CE5" w:rsidRPr="006F5298">
          <w:rPr>
            <w:rStyle w:val="Hyperlink"/>
          </w:rPr>
          <w:t>C.6</w:t>
        </w:r>
        <w:r w:rsidR="00D07CE5">
          <w:rPr>
            <w:rFonts w:eastAsiaTheme="minorEastAsia"/>
            <w:sz w:val="22"/>
            <w:lang w:val="en-AU" w:eastAsia="en-AU"/>
          </w:rPr>
          <w:tab/>
        </w:r>
        <w:r w:rsidR="00D07CE5" w:rsidRPr="006F5298">
          <w:rPr>
            <w:rStyle w:val="Hyperlink"/>
          </w:rPr>
          <w:t>Interviews with challenge agencies</w:t>
        </w:r>
        <w:r w:rsidR="00D07CE5">
          <w:rPr>
            <w:webHidden/>
          </w:rPr>
          <w:tab/>
        </w:r>
        <w:r w:rsidR="00D07CE5">
          <w:rPr>
            <w:webHidden/>
          </w:rPr>
          <w:fldChar w:fldCharType="begin"/>
        </w:r>
        <w:r w:rsidR="00D07CE5">
          <w:rPr>
            <w:webHidden/>
          </w:rPr>
          <w:instrText xml:space="preserve"> PAGEREF _Toc124435180 \h </w:instrText>
        </w:r>
        <w:r w:rsidR="00D07CE5">
          <w:rPr>
            <w:webHidden/>
          </w:rPr>
        </w:r>
        <w:r w:rsidR="00D07CE5">
          <w:rPr>
            <w:webHidden/>
          </w:rPr>
          <w:fldChar w:fldCharType="separate"/>
        </w:r>
        <w:r w:rsidR="00D51AD3">
          <w:rPr>
            <w:webHidden/>
          </w:rPr>
          <w:t>115</w:t>
        </w:r>
        <w:r w:rsidR="00D07CE5">
          <w:rPr>
            <w:webHidden/>
          </w:rPr>
          <w:fldChar w:fldCharType="end"/>
        </w:r>
      </w:hyperlink>
    </w:p>
    <w:p w14:paraId="56AFB225" w14:textId="73291B5A" w:rsidR="00D07CE5" w:rsidRDefault="00AE53C1" w:rsidP="00D07CE5">
      <w:pPr>
        <w:pStyle w:val="TOC2"/>
        <w:rPr>
          <w:rFonts w:eastAsiaTheme="minorEastAsia"/>
          <w:sz w:val="22"/>
          <w:lang w:val="en-AU" w:eastAsia="en-AU"/>
        </w:rPr>
      </w:pPr>
      <w:hyperlink w:anchor="_Toc124435181" w:history="1">
        <w:r w:rsidR="00D07CE5" w:rsidRPr="006F5298">
          <w:rPr>
            <w:rStyle w:val="Hyperlink"/>
          </w:rPr>
          <w:t>C.7</w:t>
        </w:r>
        <w:r w:rsidR="00D07CE5">
          <w:rPr>
            <w:rFonts w:eastAsiaTheme="minorEastAsia"/>
            <w:sz w:val="22"/>
            <w:lang w:val="en-AU" w:eastAsia="en-AU"/>
          </w:rPr>
          <w:tab/>
        </w:r>
        <w:r w:rsidR="00D07CE5" w:rsidRPr="006F5298">
          <w:rPr>
            <w:rStyle w:val="Hyperlink"/>
          </w:rPr>
          <w:t>Surveys</w:t>
        </w:r>
        <w:r w:rsidR="00D07CE5">
          <w:rPr>
            <w:webHidden/>
          </w:rPr>
          <w:tab/>
        </w:r>
        <w:r w:rsidR="00D07CE5">
          <w:rPr>
            <w:webHidden/>
          </w:rPr>
          <w:fldChar w:fldCharType="begin"/>
        </w:r>
        <w:r w:rsidR="00D07CE5">
          <w:rPr>
            <w:webHidden/>
          </w:rPr>
          <w:instrText xml:space="preserve"> PAGEREF _Toc124435181 \h </w:instrText>
        </w:r>
        <w:r w:rsidR="00D07CE5">
          <w:rPr>
            <w:webHidden/>
          </w:rPr>
        </w:r>
        <w:r w:rsidR="00D07CE5">
          <w:rPr>
            <w:webHidden/>
          </w:rPr>
          <w:fldChar w:fldCharType="separate"/>
        </w:r>
        <w:r w:rsidR="00D51AD3">
          <w:rPr>
            <w:webHidden/>
          </w:rPr>
          <w:t>116</w:t>
        </w:r>
        <w:r w:rsidR="00D07CE5">
          <w:rPr>
            <w:webHidden/>
          </w:rPr>
          <w:fldChar w:fldCharType="end"/>
        </w:r>
      </w:hyperlink>
    </w:p>
    <w:p w14:paraId="2D52228A" w14:textId="47FECFD2" w:rsidR="00D07CE5" w:rsidRDefault="00AE53C1">
      <w:pPr>
        <w:pStyle w:val="TOC1"/>
        <w:rPr>
          <w:rFonts w:asciiTheme="minorHAnsi" w:eastAsiaTheme="minorEastAsia" w:hAnsiTheme="minorHAnsi"/>
          <w:sz w:val="22"/>
          <w:lang w:val="en-AU" w:eastAsia="en-AU"/>
        </w:rPr>
      </w:pPr>
      <w:hyperlink w:anchor="_Toc124435182" w:history="1">
        <w:r w:rsidR="00D07CE5" w:rsidRPr="006F5298">
          <w:rPr>
            <w:rStyle w:val="Hyperlink"/>
          </w:rPr>
          <w:t>Appendix D</w:t>
        </w:r>
        <w:r w:rsidR="00D07CE5">
          <w:rPr>
            <w:rFonts w:asciiTheme="minorHAnsi" w:eastAsiaTheme="minorEastAsia" w:hAnsiTheme="minorHAnsi"/>
            <w:sz w:val="22"/>
            <w:lang w:val="en-AU" w:eastAsia="en-AU"/>
          </w:rPr>
          <w:tab/>
        </w:r>
        <w:r w:rsidR="00D07CE5" w:rsidRPr="006F5298">
          <w:rPr>
            <w:rStyle w:val="Hyperlink"/>
          </w:rPr>
          <w:t>Consultation register</w:t>
        </w:r>
        <w:r w:rsidR="00D07CE5">
          <w:rPr>
            <w:webHidden/>
          </w:rPr>
          <w:tab/>
        </w:r>
        <w:r w:rsidR="00D07CE5">
          <w:rPr>
            <w:webHidden/>
          </w:rPr>
          <w:fldChar w:fldCharType="begin"/>
        </w:r>
        <w:r w:rsidR="00D07CE5">
          <w:rPr>
            <w:webHidden/>
          </w:rPr>
          <w:instrText xml:space="preserve"> PAGEREF _Toc124435182 \h </w:instrText>
        </w:r>
        <w:r w:rsidR="00D07CE5">
          <w:rPr>
            <w:webHidden/>
          </w:rPr>
        </w:r>
        <w:r w:rsidR="00D07CE5">
          <w:rPr>
            <w:webHidden/>
          </w:rPr>
          <w:fldChar w:fldCharType="separate"/>
        </w:r>
        <w:r w:rsidR="00D51AD3">
          <w:rPr>
            <w:webHidden/>
          </w:rPr>
          <w:t>124</w:t>
        </w:r>
        <w:r w:rsidR="00D07CE5">
          <w:rPr>
            <w:webHidden/>
          </w:rPr>
          <w:fldChar w:fldCharType="end"/>
        </w:r>
      </w:hyperlink>
    </w:p>
    <w:p w14:paraId="4303CD97" w14:textId="25E4AD08" w:rsidR="00D07CE5" w:rsidRDefault="00AE53C1" w:rsidP="00D07CE5">
      <w:pPr>
        <w:pStyle w:val="TOC2"/>
        <w:rPr>
          <w:rFonts w:eastAsiaTheme="minorEastAsia"/>
          <w:sz w:val="22"/>
          <w:lang w:val="en-AU" w:eastAsia="en-AU"/>
        </w:rPr>
      </w:pPr>
      <w:hyperlink w:anchor="_Toc124435183" w:history="1">
        <w:r w:rsidR="00D07CE5" w:rsidRPr="006F5298">
          <w:rPr>
            <w:rStyle w:val="Hyperlink"/>
          </w:rPr>
          <w:t>D.1</w:t>
        </w:r>
        <w:r w:rsidR="00D07CE5">
          <w:rPr>
            <w:rFonts w:eastAsiaTheme="minorEastAsia"/>
            <w:sz w:val="22"/>
            <w:lang w:val="en-AU" w:eastAsia="en-AU"/>
          </w:rPr>
          <w:tab/>
        </w:r>
        <w:r w:rsidR="00D07CE5" w:rsidRPr="006F5298">
          <w:rPr>
            <w:rStyle w:val="Hyperlink"/>
          </w:rPr>
          <w:t>Stakeholder consultation was one evidence stream for this evaluation.</w:t>
        </w:r>
        <w:r w:rsidR="00D07CE5">
          <w:rPr>
            <w:webHidden/>
          </w:rPr>
          <w:tab/>
        </w:r>
        <w:r w:rsidR="00D07CE5">
          <w:rPr>
            <w:webHidden/>
          </w:rPr>
          <w:fldChar w:fldCharType="begin"/>
        </w:r>
        <w:r w:rsidR="00D07CE5">
          <w:rPr>
            <w:webHidden/>
          </w:rPr>
          <w:instrText xml:space="preserve"> PAGEREF _Toc124435183 \h </w:instrText>
        </w:r>
        <w:r w:rsidR="00D07CE5">
          <w:rPr>
            <w:webHidden/>
          </w:rPr>
        </w:r>
        <w:r w:rsidR="00D07CE5">
          <w:rPr>
            <w:webHidden/>
          </w:rPr>
          <w:fldChar w:fldCharType="separate"/>
        </w:r>
        <w:r w:rsidR="00D51AD3">
          <w:rPr>
            <w:webHidden/>
          </w:rPr>
          <w:t>124</w:t>
        </w:r>
        <w:r w:rsidR="00D07CE5">
          <w:rPr>
            <w:webHidden/>
          </w:rPr>
          <w:fldChar w:fldCharType="end"/>
        </w:r>
      </w:hyperlink>
    </w:p>
    <w:p w14:paraId="03F3024F" w14:textId="2A4E1936" w:rsidR="00D07CE5" w:rsidRDefault="00AE53C1">
      <w:pPr>
        <w:pStyle w:val="TOC1"/>
        <w:rPr>
          <w:rFonts w:asciiTheme="minorHAnsi" w:eastAsiaTheme="minorEastAsia" w:hAnsiTheme="minorHAnsi"/>
          <w:sz w:val="22"/>
          <w:lang w:val="en-AU" w:eastAsia="en-AU"/>
        </w:rPr>
      </w:pPr>
      <w:hyperlink w:anchor="_Toc124435184" w:history="1">
        <w:r w:rsidR="00D07CE5" w:rsidRPr="006F5298">
          <w:rPr>
            <w:rStyle w:val="Hyperlink"/>
          </w:rPr>
          <w:t>Appendix E</w:t>
        </w:r>
        <w:r w:rsidR="00D07CE5">
          <w:rPr>
            <w:rFonts w:asciiTheme="minorHAnsi" w:eastAsiaTheme="minorEastAsia" w:hAnsiTheme="minorHAnsi"/>
            <w:sz w:val="22"/>
            <w:lang w:val="en-AU" w:eastAsia="en-AU"/>
          </w:rPr>
          <w:tab/>
        </w:r>
        <w:r w:rsidR="00D07CE5" w:rsidRPr="006F5298">
          <w:rPr>
            <w:rStyle w:val="Hyperlink"/>
          </w:rPr>
          <w:t>List of abbreviations</w:t>
        </w:r>
        <w:r w:rsidR="00D07CE5">
          <w:rPr>
            <w:webHidden/>
          </w:rPr>
          <w:tab/>
        </w:r>
        <w:r w:rsidR="00D07CE5">
          <w:rPr>
            <w:webHidden/>
          </w:rPr>
          <w:fldChar w:fldCharType="begin"/>
        </w:r>
        <w:r w:rsidR="00D07CE5">
          <w:rPr>
            <w:webHidden/>
          </w:rPr>
          <w:instrText xml:space="preserve"> PAGEREF _Toc124435184 \h </w:instrText>
        </w:r>
        <w:r w:rsidR="00D07CE5">
          <w:rPr>
            <w:webHidden/>
          </w:rPr>
        </w:r>
        <w:r w:rsidR="00D07CE5">
          <w:rPr>
            <w:webHidden/>
          </w:rPr>
          <w:fldChar w:fldCharType="separate"/>
        </w:r>
        <w:r w:rsidR="00D51AD3">
          <w:rPr>
            <w:webHidden/>
          </w:rPr>
          <w:t>127</w:t>
        </w:r>
        <w:r w:rsidR="00D07CE5">
          <w:rPr>
            <w:webHidden/>
          </w:rPr>
          <w:fldChar w:fldCharType="end"/>
        </w:r>
      </w:hyperlink>
    </w:p>
    <w:p w14:paraId="1CAC4C1F" w14:textId="0FC5DC0A" w:rsidR="00D07CE5" w:rsidRDefault="00AE53C1" w:rsidP="00D07CE5">
      <w:pPr>
        <w:pStyle w:val="TOC2"/>
        <w:rPr>
          <w:rFonts w:eastAsiaTheme="minorEastAsia"/>
          <w:sz w:val="22"/>
          <w:lang w:val="en-AU" w:eastAsia="en-AU"/>
        </w:rPr>
      </w:pPr>
      <w:hyperlink w:anchor="_Toc124435185" w:history="1">
        <w:r w:rsidR="00D07CE5" w:rsidRPr="006F5298">
          <w:rPr>
            <w:rStyle w:val="Hyperlink"/>
          </w:rPr>
          <w:t>E.1</w:t>
        </w:r>
        <w:r w:rsidR="00D07CE5">
          <w:rPr>
            <w:rFonts w:eastAsiaTheme="minorEastAsia"/>
            <w:sz w:val="22"/>
            <w:lang w:val="en-AU" w:eastAsia="en-AU"/>
          </w:rPr>
          <w:tab/>
        </w:r>
        <w:r w:rsidR="00D07CE5" w:rsidRPr="006F5298">
          <w:rPr>
            <w:rStyle w:val="Hyperlink"/>
          </w:rPr>
          <w:t>List of abbreviations</w:t>
        </w:r>
        <w:r w:rsidR="00D07CE5">
          <w:rPr>
            <w:webHidden/>
          </w:rPr>
          <w:tab/>
        </w:r>
        <w:r w:rsidR="00D07CE5">
          <w:rPr>
            <w:webHidden/>
          </w:rPr>
          <w:fldChar w:fldCharType="begin"/>
        </w:r>
        <w:r w:rsidR="00D07CE5">
          <w:rPr>
            <w:webHidden/>
          </w:rPr>
          <w:instrText xml:space="preserve"> PAGEREF _Toc124435185 \h </w:instrText>
        </w:r>
        <w:r w:rsidR="00D07CE5">
          <w:rPr>
            <w:webHidden/>
          </w:rPr>
        </w:r>
        <w:r w:rsidR="00D07CE5">
          <w:rPr>
            <w:webHidden/>
          </w:rPr>
          <w:fldChar w:fldCharType="separate"/>
        </w:r>
        <w:r w:rsidR="00D51AD3">
          <w:rPr>
            <w:webHidden/>
          </w:rPr>
          <w:t>127</w:t>
        </w:r>
        <w:r w:rsidR="00D07CE5">
          <w:rPr>
            <w:webHidden/>
          </w:rPr>
          <w:fldChar w:fldCharType="end"/>
        </w:r>
      </w:hyperlink>
    </w:p>
    <w:p w14:paraId="18F0F650" w14:textId="24F02294" w:rsidR="00D07CE5" w:rsidRDefault="00AE53C1">
      <w:pPr>
        <w:pStyle w:val="TOC1"/>
        <w:rPr>
          <w:rFonts w:asciiTheme="minorHAnsi" w:eastAsiaTheme="minorEastAsia" w:hAnsiTheme="minorHAnsi"/>
          <w:sz w:val="22"/>
          <w:lang w:val="en-AU" w:eastAsia="en-AU"/>
        </w:rPr>
      </w:pPr>
      <w:hyperlink w:anchor="_Toc124435186" w:history="1">
        <w:r w:rsidR="00D07CE5" w:rsidRPr="006F5298">
          <w:rPr>
            <w:rStyle w:val="Hyperlink"/>
          </w:rPr>
          <w:t>Appendix F</w:t>
        </w:r>
        <w:r w:rsidR="00D07CE5">
          <w:rPr>
            <w:rFonts w:asciiTheme="minorHAnsi" w:eastAsiaTheme="minorEastAsia" w:hAnsiTheme="minorHAnsi"/>
            <w:sz w:val="22"/>
            <w:lang w:val="en-AU" w:eastAsia="en-AU"/>
          </w:rPr>
          <w:tab/>
        </w:r>
        <w:r w:rsidR="00D07CE5" w:rsidRPr="006F5298">
          <w:rPr>
            <w:rStyle w:val="Hyperlink"/>
          </w:rPr>
          <w:t>Post-commencement evaluation recommendations</w:t>
        </w:r>
        <w:r w:rsidR="00D07CE5">
          <w:rPr>
            <w:webHidden/>
          </w:rPr>
          <w:tab/>
        </w:r>
        <w:r w:rsidR="00D07CE5">
          <w:rPr>
            <w:webHidden/>
          </w:rPr>
          <w:fldChar w:fldCharType="begin"/>
        </w:r>
        <w:r w:rsidR="00D07CE5">
          <w:rPr>
            <w:webHidden/>
          </w:rPr>
          <w:instrText xml:space="preserve"> PAGEREF _Toc124435186 \h </w:instrText>
        </w:r>
        <w:r w:rsidR="00D07CE5">
          <w:rPr>
            <w:webHidden/>
          </w:rPr>
        </w:r>
        <w:r w:rsidR="00D07CE5">
          <w:rPr>
            <w:webHidden/>
          </w:rPr>
          <w:fldChar w:fldCharType="separate"/>
        </w:r>
        <w:r w:rsidR="00D51AD3">
          <w:rPr>
            <w:webHidden/>
          </w:rPr>
          <w:t>129</w:t>
        </w:r>
        <w:r w:rsidR="00D07CE5">
          <w:rPr>
            <w:webHidden/>
          </w:rPr>
          <w:fldChar w:fldCharType="end"/>
        </w:r>
      </w:hyperlink>
    </w:p>
    <w:p w14:paraId="6F26259D" w14:textId="4E590DD6" w:rsidR="00D07CE5" w:rsidRDefault="00AE53C1">
      <w:pPr>
        <w:pStyle w:val="TOC1"/>
        <w:rPr>
          <w:rFonts w:asciiTheme="minorHAnsi" w:eastAsiaTheme="minorEastAsia" w:hAnsiTheme="minorHAnsi"/>
          <w:sz w:val="22"/>
          <w:lang w:val="en-AU" w:eastAsia="en-AU"/>
        </w:rPr>
      </w:pPr>
      <w:hyperlink w:anchor="_Toc124435187" w:history="1">
        <w:r w:rsidR="00D07CE5" w:rsidRPr="006F5298">
          <w:rPr>
            <w:rStyle w:val="Hyperlink"/>
          </w:rPr>
          <w:t>Appendix G</w:t>
        </w:r>
        <w:r w:rsidR="00D07CE5">
          <w:rPr>
            <w:rFonts w:asciiTheme="minorHAnsi" w:eastAsiaTheme="minorEastAsia" w:hAnsiTheme="minorHAnsi"/>
            <w:sz w:val="22"/>
            <w:lang w:val="en-AU" w:eastAsia="en-AU"/>
          </w:rPr>
          <w:tab/>
        </w:r>
        <w:r w:rsidR="00D07CE5" w:rsidRPr="006F5298">
          <w:rPr>
            <w:rStyle w:val="Hyperlink"/>
          </w:rPr>
          <w:t>CBA Technical Appendix</w:t>
        </w:r>
        <w:r w:rsidR="00D07CE5">
          <w:rPr>
            <w:webHidden/>
          </w:rPr>
          <w:tab/>
        </w:r>
        <w:r w:rsidR="00D07CE5">
          <w:rPr>
            <w:webHidden/>
          </w:rPr>
          <w:fldChar w:fldCharType="begin"/>
        </w:r>
        <w:r w:rsidR="00D07CE5">
          <w:rPr>
            <w:webHidden/>
          </w:rPr>
          <w:instrText xml:space="preserve"> PAGEREF _Toc124435187 \h </w:instrText>
        </w:r>
        <w:r w:rsidR="00D07CE5">
          <w:rPr>
            <w:webHidden/>
          </w:rPr>
        </w:r>
        <w:r w:rsidR="00D07CE5">
          <w:rPr>
            <w:webHidden/>
          </w:rPr>
          <w:fldChar w:fldCharType="separate"/>
        </w:r>
        <w:r w:rsidR="00D51AD3">
          <w:rPr>
            <w:webHidden/>
          </w:rPr>
          <w:t>130</w:t>
        </w:r>
        <w:r w:rsidR="00D07CE5">
          <w:rPr>
            <w:webHidden/>
          </w:rPr>
          <w:fldChar w:fldCharType="end"/>
        </w:r>
      </w:hyperlink>
    </w:p>
    <w:p w14:paraId="257DEDF9" w14:textId="1E52F1D7" w:rsidR="00D07CE5" w:rsidRDefault="00AE53C1" w:rsidP="00D07CE5">
      <w:pPr>
        <w:pStyle w:val="TOC2"/>
        <w:rPr>
          <w:rFonts w:eastAsiaTheme="minorEastAsia"/>
          <w:sz w:val="22"/>
          <w:lang w:val="en-AU" w:eastAsia="en-AU"/>
        </w:rPr>
      </w:pPr>
      <w:hyperlink w:anchor="_Toc124435188" w:history="1">
        <w:r w:rsidR="00D07CE5" w:rsidRPr="006F5298">
          <w:rPr>
            <w:rStyle w:val="Hyperlink"/>
          </w:rPr>
          <w:t>G.1</w:t>
        </w:r>
        <w:r w:rsidR="00D07CE5">
          <w:rPr>
            <w:rFonts w:eastAsiaTheme="minorEastAsia"/>
            <w:sz w:val="22"/>
            <w:lang w:val="en-AU" w:eastAsia="en-AU"/>
          </w:rPr>
          <w:tab/>
        </w:r>
        <w:r w:rsidR="00D07CE5" w:rsidRPr="006F5298">
          <w:rPr>
            <w:rStyle w:val="Hyperlink"/>
          </w:rPr>
          <w:t>Defining the CBA scope</w:t>
        </w:r>
        <w:r w:rsidR="00D07CE5">
          <w:rPr>
            <w:webHidden/>
          </w:rPr>
          <w:tab/>
        </w:r>
        <w:r w:rsidR="00D07CE5">
          <w:rPr>
            <w:webHidden/>
          </w:rPr>
          <w:fldChar w:fldCharType="begin"/>
        </w:r>
        <w:r w:rsidR="00D07CE5">
          <w:rPr>
            <w:webHidden/>
          </w:rPr>
          <w:instrText xml:space="preserve"> PAGEREF _Toc124435188 \h </w:instrText>
        </w:r>
        <w:r w:rsidR="00D07CE5">
          <w:rPr>
            <w:webHidden/>
          </w:rPr>
        </w:r>
        <w:r w:rsidR="00D07CE5">
          <w:rPr>
            <w:webHidden/>
          </w:rPr>
          <w:fldChar w:fldCharType="separate"/>
        </w:r>
        <w:r w:rsidR="00D51AD3">
          <w:rPr>
            <w:webHidden/>
          </w:rPr>
          <w:t>130</w:t>
        </w:r>
        <w:r w:rsidR="00D07CE5">
          <w:rPr>
            <w:webHidden/>
          </w:rPr>
          <w:fldChar w:fldCharType="end"/>
        </w:r>
      </w:hyperlink>
    </w:p>
    <w:p w14:paraId="6B1F3FB2" w14:textId="03F4A92B" w:rsidR="00D07CE5" w:rsidRDefault="00AE53C1" w:rsidP="00D07CE5">
      <w:pPr>
        <w:pStyle w:val="TOC2"/>
        <w:rPr>
          <w:rFonts w:eastAsiaTheme="minorEastAsia"/>
          <w:sz w:val="22"/>
          <w:lang w:val="en-AU" w:eastAsia="en-AU"/>
        </w:rPr>
      </w:pPr>
      <w:hyperlink w:anchor="_Toc124435189" w:history="1">
        <w:r w:rsidR="00D07CE5" w:rsidRPr="006F5298">
          <w:rPr>
            <w:rStyle w:val="Hyperlink"/>
          </w:rPr>
          <w:t>G.2</w:t>
        </w:r>
        <w:r w:rsidR="00D07CE5">
          <w:rPr>
            <w:rFonts w:eastAsiaTheme="minorEastAsia"/>
            <w:sz w:val="22"/>
            <w:lang w:val="en-AU" w:eastAsia="en-AU"/>
          </w:rPr>
          <w:tab/>
        </w:r>
        <w:r w:rsidR="00D07CE5" w:rsidRPr="006F5298">
          <w:rPr>
            <w:rStyle w:val="Hyperlink"/>
          </w:rPr>
          <w:t>Estimating the effects of the BRII on the performance of SMEs that participated</w:t>
        </w:r>
        <w:r w:rsidR="00D07CE5">
          <w:rPr>
            <w:webHidden/>
          </w:rPr>
          <w:tab/>
        </w:r>
        <w:r w:rsidR="00D07CE5">
          <w:rPr>
            <w:webHidden/>
          </w:rPr>
          <w:fldChar w:fldCharType="begin"/>
        </w:r>
        <w:r w:rsidR="00D07CE5">
          <w:rPr>
            <w:webHidden/>
          </w:rPr>
          <w:instrText xml:space="preserve"> PAGEREF _Toc124435189 \h </w:instrText>
        </w:r>
        <w:r w:rsidR="00D07CE5">
          <w:rPr>
            <w:webHidden/>
          </w:rPr>
        </w:r>
        <w:r w:rsidR="00D07CE5">
          <w:rPr>
            <w:webHidden/>
          </w:rPr>
          <w:fldChar w:fldCharType="separate"/>
        </w:r>
        <w:r w:rsidR="00D51AD3">
          <w:rPr>
            <w:webHidden/>
          </w:rPr>
          <w:t>131</w:t>
        </w:r>
        <w:r w:rsidR="00D07CE5">
          <w:rPr>
            <w:webHidden/>
          </w:rPr>
          <w:fldChar w:fldCharType="end"/>
        </w:r>
      </w:hyperlink>
    </w:p>
    <w:p w14:paraId="28DB927E" w14:textId="1CED60E9" w:rsidR="00D07CE5" w:rsidRDefault="00AE53C1" w:rsidP="00D07CE5">
      <w:pPr>
        <w:pStyle w:val="TOC2"/>
        <w:rPr>
          <w:rFonts w:eastAsiaTheme="minorEastAsia"/>
          <w:sz w:val="22"/>
          <w:lang w:val="en-AU" w:eastAsia="en-AU"/>
        </w:rPr>
      </w:pPr>
      <w:hyperlink w:anchor="_Toc124435190" w:history="1">
        <w:r w:rsidR="00D07CE5" w:rsidRPr="006F5298">
          <w:rPr>
            <w:rStyle w:val="Hyperlink"/>
          </w:rPr>
          <w:t>G.3</w:t>
        </w:r>
        <w:r w:rsidR="00D07CE5">
          <w:rPr>
            <w:rFonts w:eastAsiaTheme="minorEastAsia"/>
            <w:sz w:val="22"/>
            <w:lang w:val="en-AU" w:eastAsia="en-AU"/>
          </w:rPr>
          <w:tab/>
        </w:r>
        <w:r w:rsidR="00D07CE5" w:rsidRPr="006F5298">
          <w:rPr>
            <w:rStyle w:val="Hyperlink"/>
          </w:rPr>
          <w:t>Estimating outcomes to government and society more broadly from the implementation of the BRII solutions in different contexts.</w:t>
        </w:r>
        <w:r w:rsidR="00D07CE5">
          <w:rPr>
            <w:webHidden/>
          </w:rPr>
          <w:tab/>
        </w:r>
        <w:r w:rsidR="00D07CE5">
          <w:rPr>
            <w:webHidden/>
          </w:rPr>
          <w:fldChar w:fldCharType="begin"/>
        </w:r>
        <w:r w:rsidR="00D07CE5">
          <w:rPr>
            <w:webHidden/>
          </w:rPr>
          <w:instrText xml:space="preserve"> PAGEREF _Toc124435190 \h </w:instrText>
        </w:r>
        <w:r w:rsidR="00D07CE5">
          <w:rPr>
            <w:webHidden/>
          </w:rPr>
        </w:r>
        <w:r w:rsidR="00D07CE5">
          <w:rPr>
            <w:webHidden/>
          </w:rPr>
          <w:fldChar w:fldCharType="separate"/>
        </w:r>
        <w:r w:rsidR="00D51AD3">
          <w:rPr>
            <w:webHidden/>
          </w:rPr>
          <w:t>136</w:t>
        </w:r>
        <w:r w:rsidR="00D07CE5">
          <w:rPr>
            <w:webHidden/>
          </w:rPr>
          <w:fldChar w:fldCharType="end"/>
        </w:r>
      </w:hyperlink>
    </w:p>
    <w:p w14:paraId="0A8FA4F3" w14:textId="2403B212" w:rsidR="00D07CE5" w:rsidRDefault="00AE53C1" w:rsidP="00D07CE5">
      <w:pPr>
        <w:pStyle w:val="TOC2"/>
        <w:rPr>
          <w:rFonts w:eastAsiaTheme="minorEastAsia"/>
          <w:sz w:val="22"/>
          <w:lang w:val="en-AU" w:eastAsia="en-AU"/>
        </w:rPr>
      </w:pPr>
      <w:hyperlink w:anchor="_Toc124435191" w:history="1">
        <w:r w:rsidR="00D07CE5" w:rsidRPr="006F5298">
          <w:rPr>
            <w:rStyle w:val="Hyperlink"/>
          </w:rPr>
          <w:t>G.4</w:t>
        </w:r>
        <w:r w:rsidR="00D07CE5">
          <w:rPr>
            <w:rFonts w:eastAsiaTheme="minorEastAsia"/>
            <w:sz w:val="22"/>
            <w:lang w:val="en-AU" w:eastAsia="en-AU"/>
          </w:rPr>
          <w:tab/>
        </w:r>
        <w:r w:rsidR="00D07CE5" w:rsidRPr="006F5298">
          <w:rPr>
            <w:rStyle w:val="Hyperlink"/>
          </w:rPr>
          <w:t>Summary of benefits included in CBA</w:t>
        </w:r>
        <w:r w:rsidR="00D07CE5">
          <w:rPr>
            <w:webHidden/>
          </w:rPr>
          <w:tab/>
        </w:r>
        <w:r w:rsidR="00D07CE5">
          <w:rPr>
            <w:webHidden/>
          </w:rPr>
          <w:fldChar w:fldCharType="begin"/>
        </w:r>
        <w:r w:rsidR="00D07CE5">
          <w:rPr>
            <w:webHidden/>
          </w:rPr>
          <w:instrText xml:space="preserve"> PAGEREF _Toc124435191 \h </w:instrText>
        </w:r>
        <w:r w:rsidR="00D07CE5">
          <w:rPr>
            <w:webHidden/>
          </w:rPr>
        </w:r>
        <w:r w:rsidR="00D07CE5">
          <w:rPr>
            <w:webHidden/>
          </w:rPr>
          <w:fldChar w:fldCharType="separate"/>
        </w:r>
        <w:r w:rsidR="00D51AD3">
          <w:rPr>
            <w:webHidden/>
          </w:rPr>
          <w:t>138</w:t>
        </w:r>
        <w:r w:rsidR="00D07CE5">
          <w:rPr>
            <w:webHidden/>
          </w:rPr>
          <w:fldChar w:fldCharType="end"/>
        </w:r>
      </w:hyperlink>
    </w:p>
    <w:p w14:paraId="43B7A218" w14:textId="0DA63B3E" w:rsidR="00D07CE5" w:rsidRDefault="00AE53C1" w:rsidP="00D07CE5">
      <w:pPr>
        <w:pStyle w:val="TOC2"/>
        <w:rPr>
          <w:rFonts w:eastAsiaTheme="minorEastAsia"/>
          <w:sz w:val="22"/>
          <w:lang w:val="en-AU" w:eastAsia="en-AU"/>
        </w:rPr>
      </w:pPr>
      <w:hyperlink w:anchor="_Toc124435192" w:history="1">
        <w:r w:rsidR="00D07CE5" w:rsidRPr="006F5298">
          <w:rPr>
            <w:rStyle w:val="Hyperlink"/>
          </w:rPr>
          <w:t>G.5</w:t>
        </w:r>
        <w:r w:rsidR="00D07CE5">
          <w:rPr>
            <w:rFonts w:eastAsiaTheme="minorEastAsia"/>
            <w:sz w:val="22"/>
            <w:lang w:val="en-AU" w:eastAsia="en-AU"/>
          </w:rPr>
          <w:tab/>
        </w:r>
        <w:r w:rsidR="00D07CE5" w:rsidRPr="006F5298">
          <w:rPr>
            <w:rStyle w:val="Hyperlink"/>
          </w:rPr>
          <w:t>Costs associated with the delivery of the BRII</w:t>
        </w:r>
        <w:r w:rsidR="00D07CE5">
          <w:rPr>
            <w:webHidden/>
          </w:rPr>
          <w:tab/>
        </w:r>
        <w:r w:rsidR="00D07CE5">
          <w:rPr>
            <w:webHidden/>
          </w:rPr>
          <w:fldChar w:fldCharType="begin"/>
        </w:r>
        <w:r w:rsidR="00D07CE5">
          <w:rPr>
            <w:webHidden/>
          </w:rPr>
          <w:instrText xml:space="preserve"> PAGEREF _Toc124435192 \h </w:instrText>
        </w:r>
        <w:r w:rsidR="00D07CE5">
          <w:rPr>
            <w:webHidden/>
          </w:rPr>
        </w:r>
        <w:r w:rsidR="00D07CE5">
          <w:rPr>
            <w:webHidden/>
          </w:rPr>
          <w:fldChar w:fldCharType="separate"/>
        </w:r>
        <w:r w:rsidR="00D51AD3">
          <w:rPr>
            <w:webHidden/>
          </w:rPr>
          <w:t>140</w:t>
        </w:r>
        <w:r w:rsidR="00D07CE5">
          <w:rPr>
            <w:webHidden/>
          </w:rPr>
          <w:fldChar w:fldCharType="end"/>
        </w:r>
      </w:hyperlink>
    </w:p>
    <w:p w14:paraId="76D245D0" w14:textId="2B5E6FD9" w:rsidR="00D07CE5" w:rsidRDefault="00AE53C1" w:rsidP="00D07CE5">
      <w:pPr>
        <w:pStyle w:val="TOC2"/>
        <w:rPr>
          <w:rFonts w:eastAsiaTheme="minorEastAsia"/>
          <w:sz w:val="22"/>
          <w:lang w:val="en-AU" w:eastAsia="en-AU"/>
        </w:rPr>
      </w:pPr>
      <w:hyperlink w:anchor="_Toc124435193" w:history="1">
        <w:r w:rsidR="00D07CE5" w:rsidRPr="006F5298">
          <w:rPr>
            <w:rStyle w:val="Hyperlink"/>
          </w:rPr>
          <w:t>G.6</w:t>
        </w:r>
        <w:r w:rsidR="00D07CE5">
          <w:rPr>
            <w:rFonts w:eastAsiaTheme="minorEastAsia"/>
            <w:sz w:val="22"/>
            <w:lang w:val="en-AU" w:eastAsia="en-AU"/>
          </w:rPr>
          <w:tab/>
        </w:r>
        <w:r w:rsidR="00D07CE5" w:rsidRPr="006F5298">
          <w:rPr>
            <w:rStyle w:val="Hyperlink"/>
          </w:rPr>
          <w:t>Sensitivity analysis</w:t>
        </w:r>
        <w:r w:rsidR="00D07CE5">
          <w:rPr>
            <w:webHidden/>
          </w:rPr>
          <w:tab/>
        </w:r>
        <w:r w:rsidR="00D07CE5">
          <w:rPr>
            <w:webHidden/>
          </w:rPr>
          <w:fldChar w:fldCharType="begin"/>
        </w:r>
        <w:r w:rsidR="00D07CE5">
          <w:rPr>
            <w:webHidden/>
          </w:rPr>
          <w:instrText xml:space="preserve"> PAGEREF _Toc124435193 \h </w:instrText>
        </w:r>
        <w:r w:rsidR="00D07CE5">
          <w:rPr>
            <w:webHidden/>
          </w:rPr>
        </w:r>
        <w:r w:rsidR="00D07CE5">
          <w:rPr>
            <w:webHidden/>
          </w:rPr>
          <w:fldChar w:fldCharType="separate"/>
        </w:r>
        <w:r w:rsidR="00D51AD3">
          <w:rPr>
            <w:webHidden/>
          </w:rPr>
          <w:t>142</w:t>
        </w:r>
        <w:r w:rsidR="00D07CE5">
          <w:rPr>
            <w:webHidden/>
          </w:rPr>
          <w:fldChar w:fldCharType="end"/>
        </w:r>
      </w:hyperlink>
    </w:p>
    <w:p w14:paraId="0D5F8C92" w14:textId="2367C5A1" w:rsidR="00CC05A2" w:rsidRPr="00FC39E2" w:rsidRDefault="00D07CE5">
      <w:pPr>
        <w:pStyle w:val="Heading1"/>
      </w:pPr>
      <w:r>
        <w:rPr>
          <w:noProof/>
        </w:rPr>
        <w:lastRenderedPageBreak/>
        <w:drawing>
          <wp:anchor distT="0" distB="0" distL="114300" distR="114300" simplePos="0" relativeHeight="251688448" behindDoc="0" locked="0" layoutInCell="1" allowOverlap="1" wp14:anchorId="3B4AE2A9" wp14:editId="532B2543">
            <wp:simplePos x="0" y="0"/>
            <wp:positionH relativeFrom="page">
              <wp:align>left</wp:align>
            </wp:positionH>
            <wp:positionV relativeFrom="paragraph">
              <wp:posOffset>-779145</wp:posOffset>
            </wp:positionV>
            <wp:extent cx="7632700" cy="1530350"/>
            <wp:effectExtent l="0" t="0" r="6350" b="0"/>
            <wp:wrapNone/>
            <wp:docPr id="495" name="Picture 4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Picture 495">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32700" cy="1530350"/>
                    </a:xfrm>
                    <a:prstGeom prst="rect">
                      <a:avLst/>
                    </a:prstGeom>
                    <a:noFill/>
                  </pic:spPr>
                </pic:pic>
              </a:graphicData>
            </a:graphic>
          </wp:anchor>
        </w:drawing>
      </w:r>
      <w:r w:rsidR="006547DC" w:rsidRPr="00D00B16">
        <w:fldChar w:fldCharType="end"/>
      </w:r>
      <w:bookmarkStart w:id="0" w:name="_Toc124435133"/>
      <w:r w:rsidR="0032288D" w:rsidRPr="00FC39E2">
        <w:t>Exec</w:t>
      </w:r>
      <w:r w:rsidR="00B03215" w:rsidRPr="00FC39E2">
        <w:t>utive</w:t>
      </w:r>
      <w:r w:rsidR="0032288D" w:rsidRPr="00FC39E2">
        <w:t xml:space="preserve"> summary</w:t>
      </w:r>
      <w:bookmarkEnd w:id="0"/>
    </w:p>
    <w:p w14:paraId="1092D4D6" w14:textId="77777777" w:rsidR="00E015DE" w:rsidRDefault="00E015DE" w:rsidP="00E015DE">
      <w:pPr>
        <w:pStyle w:val="TableNText"/>
      </w:pPr>
      <w:r w:rsidRPr="009C7567">
        <w:t xml:space="preserve">The Business Research and Innovation Initiative </w:t>
      </w:r>
      <w:r>
        <w:t xml:space="preserve">(BRII) is a unique Australian Government demand-side innovation program. The BRII </w:t>
      </w:r>
      <w:r w:rsidRPr="009C7567">
        <w:t xml:space="preserve">was designed to </w:t>
      </w:r>
      <w:r>
        <w:t xml:space="preserve">achieve two goals: </w:t>
      </w:r>
      <w:r w:rsidRPr="00B16F20">
        <w:t xml:space="preserve">foster innovation among </w:t>
      </w:r>
      <w:r>
        <w:t>small and medium sized enterprises (</w:t>
      </w:r>
      <w:r w:rsidRPr="00B16F20">
        <w:t>SMEs</w:t>
      </w:r>
      <w:r>
        <w:t>)</w:t>
      </w:r>
      <w:r w:rsidRPr="009C7567">
        <w:t xml:space="preserve"> </w:t>
      </w:r>
      <w:r>
        <w:t xml:space="preserve">and </w:t>
      </w:r>
      <w:r w:rsidRPr="009C7567">
        <w:t xml:space="preserve">to </w:t>
      </w:r>
      <w:r w:rsidRPr="00B16F20">
        <w:t xml:space="preserve">help </w:t>
      </w:r>
      <w:r>
        <w:t>Australian Government</w:t>
      </w:r>
      <w:r w:rsidRPr="00B16F20">
        <w:t xml:space="preserve"> agencies find novel solutions to otherwise intractable public policy and service delivery problems</w:t>
      </w:r>
      <w:r>
        <w:t xml:space="preserve">. At the launch of the BRII there was a commitment to complete an impact evaluation </w:t>
      </w:r>
      <w:r w:rsidRPr="008E24C9">
        <w:t xml:space="preserve">to </w:t>
      </w:r>
      <w:r>
        <w:t xml:space="preserve">determine the effectiveness of the program and to </w:t>
      </w:r>
      <w:r w:rsidRPr="008E24C9">
        <w:t xml:space="preserve">inform a decision on </w:t>
      </w:r>
      <w:r>
        <w:t xml:space="preserve">future models of the BRII, including </w:t>
      </w:r>
      <w:r w:rsidRPr="008E24C9">
        <w:t xml:space="preserve">whether the </w:t>
      </w:r>
      <w:r>
        <w:t>g</w:t>
      </w:r>
      <w:r w:rsidRPr="008E24C9">
        <w:t>overnment should scale-up the BRII.</w:t>
      </w:r>
    </w:p>
    <w:p w14:paraId="6BFBC52B" w14:textId="77777777" w:rsidR="00E015DE" w:rsidRDefault="00E015DE" w:rsidP="00E015DE">
      <w:pPr>
        <w:pStyle w:val="TableNText"/>
      </w:pPr>
      <w:r w:rsidRPr="00EE286D">
        <w:rPr>
          <w:rFonts w:asciiTheme="majorHAnsi" w:hAnsiTheme="majorHAnsi" w:cstheme="majorHAnsi"/>
        </w:rPr>
        <w:t xml:space="preserve">This </w:t>
      </w:r>
      <w:r>
        <w:rPr>
          <w:rFonts w:asciiTheme="majorHAnsi" w:hAnsiTheme="majorHAnsi" w:cstheme="majorHAnsi"/>
        </w:rPr>
        <w:t>impact</w:t>
      </w:r>
      <w:r w:rsidRPr="00EE286D">
        <w:rPr>
          <w:rFonts w:asciiTheme="majorHAnsi" w:hAnsiTheme="majorHAnsi" w:cstheme="majorHAnsi"/>
        </w:rPr>
        <w:t xml:space="preserve"> evaluation has found that the BRII has not only achieved both </w:t>
      </w:r>
      <w:r>
        <w:rPr>
          <w:rFonts w:asciiTheme="majorHAnsi" w:hAnsiTheme="majorHAnsi" w:cstheme="majorHAnsi"/>
        </w:rPr>
        <w:t xml:space="preserve">its policy </w:t>
      </w:r>
      <w:r w:rsidRPr="00EE286D">
        <w:rPr>
          <w:rFonts w:asciiTheme="majorHAnsi" w:hAnsiTheme="majorHAnsi" w:cstheme="majorHAnsi"/>
        </w:rPr>
        <w:t xml:space="preserve">goals but also delivered a substantial net </w:t>
      </w:r>
      <w:r w:rsidRPr="00234081">
        <w:rPr>
          <w:rFonts w:asciiTheme="majorHAnsi" w:hAnsiTheme="majorHAnsi" w:cstheme="majorHAnsi"/>
        </w:rPr>
        <w:t>economic benefit to Australia.</w:t>
      </w:r>
      <w:r w:rsidRPr="00234081">
        <w:t xml:space="preserve"> The evaluation </w:t>
      </w:r>
      <w:r>
        <w:t xml:space="preserve">estimated </w:t>
      </w:r>
      <w:r w:rsidRPr="00234081">
        <w:t xml:space="preserve">that the first round of the BRII </w:t>
      </w:r>
      <w:r>
        <w:t>will</w:t>
      </w:r>
      <w:r w:rsidRPr="00234081">
        <w:t xml:space="preserve"> </w:t>
      </w:r>
      <w:r>
        <w:t xml:space="preserve">create a </w:t>
      </w:r>
      <w:r w:rsidRPr="00234081">
        <w:t>net benefit of $10</w:t>
      </w:r>
      <w:r>
        <w:t>.4</w:t>
      </w:r>
      <w:r w:rsidRPr="00234081">
        <w:t xml:space="preserve"> million and </w:t>
      </w:r>
      <w:r>
        <w:t>will</w:t>
      </w:r>
      <w:r w:rsidRPr="00234081">
        <w:t xml:space="preserve"> return $1.6</w:t>
      </w:r>
      <w:r>
        <w:t>4</w:t>
      </w:r>
      <w:r w:rsidRPr="00234081">
        <w:t xml:space="preserve"> for every $1 that the </w:t>
      </w:r>
      <w:r>
        <w:t>g</w:t>
      </w:r>
      <w:r w:rsidRPr="00234081">
        <w:t>overnment invested in the program.</w:t>
      </w:r>
      <w:r>
        <w:rPr>
          <w:rStyle w:val="FootnoteReference"/>
        </w:rPr>
        <w:footnoteReference w:id="2"/>
      </w:r>
      <w:r w:rsidRPr="00234081">
        <w:t xml:space="preserve"> The BRII benefit-cost ratio (BCR) result </w:t>
      </w:r>
      <w:r>
        <w:t>is similar</w:t>
      </w:r>
      <w:r w:rsidRPr="00234081">
        <w:t xml:space="preserve"> to the BCR </w:t>
      </w:r>
      <w:r>
        <w:t xml:space="preserve">from </w:t>
      </w:r>
      <w:r w:rsidRPr="00B87256">
        <w:t>a 2015 cost-benefit analysis</w:t>
      </w:r>
      <w:r w:rsidRPr="00234081">
        <w:t xml:space="preserve"> </w:t>
      </w:r>
      <w:r>
        <w:t xml:space="preserve">of </w:t>
      </w:r>
      <w:r w:rsidRPr="00B87256">
        <w:t xml:space="preserve">the </w:t>
      </w:r>
      <w:r>
        <w:t xml:space="preserve">comparable </w:t>
      </w:r>
      <w:r w:rsidRPr="00B87256">
        <w:t>UK Small Business Research Initiative</w:t>
      </w:r>
      <w:r>
        <w:t>. It is important to note that t</w:t>
      </w:r>
      <w:r w:rsidRPr="00CB0FD5">
        <w:t>he result</w:t>
      </w:r>
      <w:r>
        <w:t xml:space="preserve"> of the cost-benefit analysis is based on </w:t>
      </w:r>
      <w:r w:rsidRPr="00CB0FD5">
        <w:t>a small sample</w:t>
      </w:r>
      <w:r>
        <w:t xml:space="preserve"> that is </w:t>
      </w:r>
      <w:r w:rsidRPr="00CB0FD5">
        <w:t xml:space="preserve">very sensitive to </w:t>
      </w:r>
      <w:r>
        <w:t>individual SME</w:t>
      </w:r>
      <w:r w:rsidRPr="00CB0FD5">
        <w:t xml:space="preserve"> outcomes</w:t>
      </w:r>
      <w:r>
        <w:t xml:space="preserve">. None the less, the </w:t>
      </w:r>
      <w:r w:rsidRPr="008F2EFC">
        <w:t xml:space="preserve">BCR result highlights the significant </w:t>
      </w:r>
      <w:r>
        <w:t xml:space="preserve">positive </w:t>
      </w:r>
      <w:r w:rsidRPr="008F2EFC">
        <w:t>impact of the first round of the BRII</w:t>
      </w:r>
      <w:r>
        <w:t>.</w:t>
      </w:r>
    </w:p>
    <w:p w14:paraId="34C80200" w14:textId="77777777" w:rsidR="00E015DE" w:rsidRDefault="00E015DE" w:rsidP="00E015DE">
      <w:pPr>
        <w:pStyle w:val="TableNText"/>
      </w:pPr>
      <w:r w:rsidRPr="002701C2">
        <w:rPr>
          <w:rFonts w:asciiTheme="majorHAnsi" w:hAnsiTheme="majorHAnsi" w:cstheme="majorHAnsi"/>
        </w:rPr>
        <w:t xml:space="preserve">This evaluation therefore recommends that the </w:t>
      </w:r>
      <w:r>
        <w:rPr>
          <w:rFonts w:asciiTheme="majorHAnsi" w:hAnsiTheme="majorHAnsi" w:cstheme="majorHAnsi"/>
        </w:rPr>
        <w:t xml:space="preserve">Australian </w:t>
      </w:r>
      <w:r w:rsidRPr="002701C2">
        <w:rPr>
          <w:rFonts w:asciiTheme="majorHAnsi" w:hAnsiTheme="majorHAnsi" w:cstheme="majorHAnsi"/>
        </w:rPr>
        <w:t>Government consider scaling up the BRII to increase its reach and impact.</w:t>
      </w:r>
    </w:p>
    <w:p w14:paraId="78018BBE" w14:textId="77777777" w:rsidR="00E015DE" w:rsidRDefault="00E015DE" w:rsidP="00E015DE">
      <w:pPr>
        <w:pStyle w:val="TableNText"/>
      </w:pPr>
      <w:r>
        <w:t xml:space="preserve">On the first goal – fostering innovation among SMEs - the BRII has had an overwhelmingly positive impact on participating SMEs. This was especially true for SMEs that progressed to the </w:t>
      </w:r>
      <w:r w:rsidRPr="00B21AAB">
        <w:t>proof</w:t>
      </w:r>
      <w:r>
        <w:t xml:space="preserve"> </w:t>
      </w:r>
      <w:r w:rsidRPr="00B21AAB">
        <w:t>of</w:t>
      </w:r>
      <w:r>
        <w:t xml:space="preserve"> </w:t>
      </w:r>
      <w:r w:rsidRPr="00B21AAB">
        <w:t xml:space="preserve">concept </w:t>
      </w:r>
      <w:r>
        <w:t>stage. The evaluation has found that participating in the BRII:</w:t>
      </w:r>
    </w:p>
    <w:p w14:paraId="6E5AFEBE" w14:textId="77777777" w:rsidR="00E015DE" w:rsidRDefault="00E015DE">
      <w:pPr>
        <w:pStyle w:val="TableNBullet"/>
      </w:pPr>
      <w:r>
        <w:t>sparked innovation and focused commercial strategy for most participants.</w:t>
      </w:r>
    </w:p>
    <w:p w14:paraId="33EBAFA4" w14:textId="77777777" w:rsidR="00E015DE" w:rsidRDefault="00E015DE">
      <w:pPr>
        <w:pStyle w:val="TableNBullet"/>
      </w:pPr>
      <w:r>
        <w:t>was a catalyst for new partnerships and enhanced SME capability to access domestic and international markets.</w:t>
      </w:r>
    </w:p>
    <w:p w14:paraId="73BE00B7" w14:textId="77777777" w:rsidR="00E015DE" w:rsidRDefault="00E015DE">
      <w:pPr>
        <w:pStyle w:val="TableNBullet"/>
      </w:pPr>
      <w:r>
        <w:t xml:space="preserve">enhanced government engagement for many SMEs. </w:t>
      </w:r>
    </w:p>
    <w:p w14:paraId="5B2E5A06" w14:textId="77777777" w:rsidR="00E015DE" w:rsidRDefault="00E015DE">
      <w:pPr>
        <w:pStyle w:val="TableNBullet"/>
      </w:pPr>
      <w:r>
        <w:t>had a positive and lasting impact on the business performance of round one proof of concept SMEs, with a similarly positive commercial outlook for round two proof of concept SMEs.</w:t>
      </w:r>
    </w:p>
    <w:p w14:paraId="1C40879A" w14:textId="77777777" w:rsidR="00E015DE" w:rsidRDefault="00E015DE" w:rsidP="00E015DE">
      <w:pPr>
        <w:pStyle w:val="TableNText"/>
      </w:pPr>
      <w:r>
        <w:t>Of note, m</w:t>
      </w:r>
      <w:r w:rsidRPr="002B7DBD">
        <w:t xml:space="preserve">ore than two thirds of the SME survey and interview respondents confirmed that the </w:t>
      </w:r>
      <w:r>
        <w:t xml:space="preserve">Research </w:t>
      </w:r>
      <w:r w:rsidRPr="002B7DBD">
        <w:t>&amp;</w:t>
      </w:r>
      <w:r>
        <w:t xml:space="preserve"> Development</w:t>
      </w:r>
      <w:r w:rsidRPr="002B7DBD">
        <w:t xml:space="preserve"> </w:t>
      </w:r>
      <w:r>
        <w:t xml:space="preserve">(R&amp;D) </w:t>
      </w:r>
      <w:r w:rsidRPr="002B7DBD">
        <w:t xml:space="preserve">undertaken during </w:t>
      </w:r>
      <w:r>
        <w:t xml:space="preserve">the </w:t>
      </w:r>
      <w:r w:rsidRPr="002B7DBD">
        <w:t>BRII would not have taken place without BRII funding</w:t>
      </w:r>
      <w:r>
        <w:t>. On this count, the BRII has created additional benefit through the challenge-based procurement approach. There are some particularly noteworthy outcomes for round one SMEs that have gone on to build successful businesses and products off the back of the BRII. One SME that formed specifically for the BRII is now exploring international expansion. Another SME received the</w:t>
      </w:r>
      <w:r w:rsidRPr="006B102C">
        <w:t xml:space="preserve"> Social Impact of the Year award at the 2020 RegTech Awards</w:t>
      </w:r>
      <w:r>
        <w:t>.</w:t>
      </w:r>
    </w:p>
    <w:p w14:paraId="729ED63D" w14:textId="77777777" w:rsidR="00E015DE" w:rsidRDefault="00E015DE" w:rsidP="00E015DE">
      <w:pPr>
        <w:pStyle w:val="TableNText"/>
      </w:pPr>
      <w:r>
        <w:t xml:space="preserve">On the second goal - </w:t>
      </w:r>
      <w:r w:rsidRPr="00B16F20">
        <w:t>help</w:t>
      </w:r>
      <w:r>
        <w:t>ing</w:t>
      </w:r>
      <w:r w:rsidRPr="00B16F20">
        <w:t xml:space="preserve"> </w:t>
      </w:r>
      <w:r>
        <w:t>Australian Government</w:t>
      </w:r>
      <w:r w:rsidRPr="00B16F20">
        <w:t xml:space="preserve"> agencies find novel</w:t>
      </w:r>
      <w:r>
        <w:t xml:space="preserve"> solutions </w:t>
      </w:r>
      <w:r w:rsidRPr="00B16F20">
        <w:t>to</w:t>
      </w:r>
      <w:r>
        <w:t xml:space="preserve"> </w:t>
      </w:r>
      <w:r w:rsidRPr="00B16F20">
        <w:t>otherwise intractable public policy and service delivery problems</w:t>
      </w:r>
      <w:r>
        <w:t xml:space="preserve"> – round one solutions have already </w:t>
      </w:r>
      <w:r>
        <w:lastRenderedPageBreak/>
        <w:t xml:space="preserve">contributed to solving difficult challenges for several agencies. Round two solutions, which were still in the proof of concept stage during the evaluation, also have potential to solve more challenges. Solving these intractable problems deliver a range of benefits for government. These include </w:t>
      </w:r>
      <w:r>
        <w:rPr>
          <w:lang w:eastAsia="en-AU"/>
        </w:rPr>
        <w:t xml:space="preserve">better policy outcomes, more effective service delivery, </w:t>
      </w:r>
      <w:r>
        <w:t xml:space="preserve">improved processes to save time and money for customers of the SMEs (including Australian and State government agencies) and better access to and accuracy of information. The </w:t>
      </w:r>
      <w:r w:rsidRPr="00E07425">
        <w:t>Department of Social Services</w:t>
      </w:r>
      <w:r>
        <w:t xml:space="preserve"> (DSS)</w:t>
      </w:r>
      <w:r w:rsidRPr="00E07425">
        <w:t xml:space="preserve"> and NSW Department of Communities and Justice</w:t>
      </w:r>
      <w:r>
        <w:t xml:space="preserve"> (DCJ) were recognised with a gold medal award for d</w:t>
      </w:r>
      <w:r w:rsidRPr="00E07425">
        <w:t xml:space="preserve">elivering </w:t>
      </w:r>
      <w:r>
        <w:t>i</w:t>
      </w:r>
      <w:r w:rsidRPr="00E07425">
        <w:t xml:space="preserve">nnovation through </w:t>
      </w:r>
      <w:r>
        <w:t>p</w:t>
      </w:r>
      <w:r w:rsidRPr="00E07425">
        <w:t>rocurement</w:t>
      </w:r>
      <w:r>
        <w:t xml:space="preserve"> at the </w:t>
      </w:r>
      <w:r w:rsidRPr="00DD1896">
        <w:t>2020 Commonwealth Procurement Awards for Excellence</w:t>
      </w:r>
      <w:r>
        <w:t>.</w:t>
      </w:r>
    </w:p>
    <w:p w14:paraId="528DE44F" w14:textId="77777777" w:rsidR="00E015DE" w:rsidRDefault="00E015DE" w:rsidP="00E015DE">
      <w:pPr>
        <w:pStyle w:val="TableNText"/>
      </w:pPr>
      <w:r>
        <w:t xml:space="preserve">The BRII has been successful because it </w:t>
      </w:r>
      <w:r w:rsidRPr="00A416E8">
        <w:t xml:space="preserve">created genuine and unique impact for </w:t>
      </w:r>
      <w:r>
        <w:t xml:space="preserve">challenge agencies </w:t>
      </w:r>
      <w:r w:rsidRPr="00A416E8">
        <w:t xml:space="preserve">that </w:t>
      </w:r>
      <w:r>
        <w:t xml:space="preserve">they </w:t>
      </w:r>
      <w:r w:rsidRPr="00A416E8">
        <w:t xml:space="preserve">may </w:t>
      </w:r>
      <w:r>
        <w:t>not</w:t>
      </w:r>
      <w:r w:rsidRPr="00A416E8">
        <w:t xml:space="preserve"> have </w:t>
      </w:r>
      <w:r>
        <w:t xml:space="preserve">been </w:t>
      </w:r>
      <w:r w:rsidRPr="00A416E8">
        <w:t>achiev</w:t>
      </w:r>
      <w:r>
        <w:t>ed</w:t>
      </w:r>
      <w:r w:rsidRPr="00A416E8">
        <w:t xml:space="preserve"> through conventional procurement. </w:t>
      </w:r>
      <w:r>
        <w:t>Challenge agencies highlighted the s</w:t>
      </w:r>
      <w:r w:rsidRPr="00A416E8">
        <w:t xml:space="preserve">trong support from </w:t>
      </w:r>
      <w:r>
        <w:t>the BRII teams</w:t>
      </w:r>
      <w:r w:rsidRPr="00A416E8">
        <w:t xml:space="preserve"> and the ability to simultaneously work with multiple SMEs </w:t>
      </w:r>
      <w:r>
        <w:t>as important factors that contributed to their positive experience</w:t>
      </w:r>
      <w:r w:rsidRPr="00A416E8">
        <w:t>.</w:t>
      </w:r>
      <w:r>
        <w:t xml:space="preserve"> The BRII has been such a positive experience for some</w:t>
      </w:r>
      <w:r w:rsidRPr="00F47C1A">
        <w:t xml:space="preserve"> challenge agencies </w:t>
      </w:r>
      <w:r>
        <w:t xml:space="preserve">that they </w:t>
      </w:r>
      <w:r w:rsidRPr="00F47C1A">
        <w:t>have embraced challenge-based innovation</w:t>
      </w:r>
      <w:r>
        <w:t xml:space="preserve"> (CBI), either through repeat applications or new internal programs.</w:t>
      </w:r>
    </w:p>
    <w:p w14:paraId="287C982C" w14:textId="77777777" w:rsidR="00E015DE" w:rsidRDefault="00E015DE" w:rsidP="00E015DE">
      <w:pPr>
        <w:pStyle w:val="TableNText"/>
        <w:keepNext/>
        <w:spacing w:line="257" w:lineRule="auto"/>
      </w:pPr>
      <w:r>
        <w:t>C</w:t>
      </w:r>
      <w:r w:rsidRPr="001510E2">
        <w:t>hallenge agencies did identify opportunities to clarify expected time commitments and provide guidance on managing real or perceived conflict of interest concerns</w:t>
      </w:r>
      <w:r>
        <w:t xml:space="preserve"> when working with multiple SMEs. Another issue was t</w:t>
      </w:r>
      <w:r w:rsidRPr="00E67EF2">
        <w:t>he lack of buy-in for the BRII beyond the executive sponsor and the responsible teams within government agencies</w:t>
      </w:r>
      <w:r>
        <w:t xml:space="preserve">. Challenge agencies and SMEs highlighted that this could negatively impact the outcomes of the program. Stakeholders also identified the ongoing need to build procurement processes and a culture in the Australian Public Service (APS) that supports CBI. Challenge agencies and SMEs had to find creative ways to navigate procurement post the BRII, especially when the program’s timing did not align with budget cycles. Both challenge agencies and SMEs </w:t>
      </w:r>
      <w:r w:rsidRPr="006729EA">
        <w:t xml:space="preserve">identified an opportunity to extend the BRII support to a follow-on ‘commercialisation’ stage </w:t>
      </w:r>
      <w:r>
        <w:t>to overcome this challenge.</w:t>
      </w:r>
    </w:p>
    <w:p w14:paraId="24273E6E" w14:textId="4EE691EC" w:rsidR="00E015DE" w:rsidRPr="00E015DE" w:rsidRDefault="00E015DE" w:rsidP="00E015DE">
      <w:pPr>
        <w:rPr>
          <w:lang w:eastAsia="en-AU"/>
        </w:rPr>
      </w:pPr>
      <w:r w:rsidRPr="000A6F80">
        <w:rPr>
          <w:bCs/>
        </w:rPr>
        <w:t xml:space="preserve">The opportunity to scale-up the BRII is </w:t>
      </w:r>
      <w:r>
        <w:rPr>
          <w:bCs/>
        </w:rPr>
        <w:t>substantial</w:t>
      </w:r>
      <w:r w:rsidRPr="000A6F80">
        <w:rPr>
          <w:bCs/>
        </w:rPr>
        <w:t xml:space="preserve">. </w:t>
      </w:r>
      <w:r>
        <w:rPr>
          <w:bCs/>
        </w:rPr>
        <w:t>The BRII has achieved similar or better outcomes than comparable</w:t>
      </w:r>
      <w:r w:rsidRPr="000A6F80">
        <w:rPr>
          <w:bCs/>
        </w:rPr>
        <w:t xml:space="preserve"> programs in the US</w:t>
      </w:r>
      <w:r>
        <w:rPr>
          <w:bCs/>
        </w:rPr>
        <w:t xml:space="preserve"> and</w:t>
      </w:r>
      <w:r w:rsidRPr="000A6F80">
        <w:rPr>
          <w:bCs/>
        </w:rPr>
        <w:t xml:space="preserve"> UK</w:t>
      </w:r>
      <w:r>
        <w:rPr>
          <w:bCs/>
        </w:rPr>
        <w:t>. However, the BRII has not significantly increased its scale across the first five years of operation. In comparison, Innovative Solutions</w:t>
      </w:r>
      <w:r w:rsidRPr="000A6F80">
        <w:rPr>
          <w:bCs/>
        </w:rPr>
        <w:t xml:space="preserve"> Canada </w:t>
      </w:r>
      <w:r>
        <w:rPr>
          <w:bCs/>
        </w:rPr>
        <w:t>(a comparable program in Canada) has already reached a scale many</w:t>
      </w:r>
      <w:r w:rsidRPr="000A6F80">
        <w:rPr>
          <w:bCs/>
        </w:rPr>
        <w:t xml:space="preserve"> times larger than the BRII </w:t>
      </w:r>
      <w:r>
        <w:rPr>
          <w:bCs/>
        </w:rPr>
        <w:t>even though it launched one year later than the BRII.</w:t>
      </w:r>
      <w:r w:rsidRPr="000A6F80">
        <w:rPr>
          <w:bCs/>
        </w:rPr>
        <w:t xml:space="preserve"> </w:t>
      </w:r>
      <w:r>
        <w:rPr>
          <w:bCs/>
        </w:rPr>
        <w:t>To achieve similar scale and maintain the impact of the program the government will need to make some considered decisions on funding, program design and program delivery if it chooses to scale-up the BRII.</w:t>
      </w:r>
    </w:p>
    <w:p w14:paraId="18B15B25" w14:textId="4ADAFC03" w:rsidR="00C40CD9" w:rsidRPr="005365F2" w:rsidRDefault="0059199B">
      <w:pPr>
        <w:pStyle w:val="Heading1"/>
      </w:pPr>
      <w:bookmarkStart w:id="1" w:name="_Toc124435134"/>
      <w:r>
        <w:rPr>
          <w:noProof/>
        </w:rPr>
        <w:lastRenderedPageBreak/>
        <w:drawing>
          <wp:anchor distT="0" distB="0" distL="114300" distR="114300" simplePos="0" relativeHeight="251675136" behindDoc="0" locked="0" layoutInCell="1" allowOverlap="1" wp14:anchorId="3A14FA62" wp14:editId="5BFE8E84">
            <wp:simplePos x="0" y="0"/>
            <wp:positionH relativeFrom="margin">
              <wp:align>center</wp:align>
            </wp:positionH>
            <wp:positionV relativeFrom="paragraph">
              <wp:posOffset>-785495</wp:posOffset>
            </wp:positionV>
            <wp:extent cx="7626985" cy="1530350"/>
            <wp:effectExtent l="0" t="0" r="0" b="0"/>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6985" cy="1530350"/>
                    </a:xfrm>
                    <a:prstGeom prst="rect">
                      <a:avLst/>
                    </a:prstGeom>
                    <a:noFill/>
                  </pic:spPr>
                </pic:pic>
              </a:graphicData>
            </a:graphic>
          </wp:anchor>
        </w:drawing>
      </w:r>
      <w:r w:rsidR="00B03215" w:rsidRPr="005365F2">
        <w:t>S</w:t>
      </w:r>
      <w:r w:rsidR="00C40CD9" w:rsidRPr="005365F2">
        <w:t>ummary</w:t>
      </w:r>
      <w:r w:rsidR="00B03215" w:rsidRPr="005365F2">
        <w:t xml:space="preserve"> of evaluation findings</w:t>
      </w:r>
      <w:bookmarkEnd w:id="1"/>
    </w:p>
    <w:p w14:paraId="0FE5642E" w14:textId="77777777" w:rsidR="00F539EA" w:rsidRDefault="00995043" w:rsidP="00ED59CA">
      <w:pPr>
        <w:rPr>
          <w:lang w:eastAsia="en-AU"/>
        </w:rPr>
      </w:pPr>
      <w:r>
        <w:t>The Department of Industry, Science, Energy and Resources (</w:t>
      </w:r>
      <w:r w:rsidR="00A70553">
        <w:t>DISER</w:t>
      </w:r>
      <w:r>
        <w:t>)</w:t>
      </w:r>
      <w:r w:rsidR="00A70553">
        <w:t xml:space="preserve"> engaged Nous</w:t>
      </w:r>
      <w:r>
        <w:t xml:space="preserve"> Group (Nous)</w:t>
      </w:r>
      <w:r w:rsidR="00A70553">
        <w:t xml:space="preserve"> to conduct an</w:t>
      </w:r>
      <w:r w:rsidR="009C52EF">
        <w:t xml:space="preserve"> impact evaluation of the Business Research and Innovation Initiative</w:t>
      </w:r>
      <w:r w:rsidR="00B52EFF">
        <w:t xml:space="preserve"> (BRII)</w:t>
      </w:r>
      <w:r w:rsidR="009C52EF">
        <w:t xml:space="preserve">. </w:t>
      </w:r>
      <w:r w:rsidR="00F539EA" w:rsidRPr="00F539EA">
        <w:rPr>
          <w:lang w:eastAsia="en-AU"/>
        </w:rPr>
        <w:t>This evaluation focussed on the outcomes and impact, delivery and design of the BRII.</w:t>
      </w:r>
      <w:r w:rsidR="00F539EA">
        <w:rPr>
          <w:lang w:eastAsia="en-AU"/>
        </w:rPr>
        <w:t xml:space="preserve"> </w:t>
      </w:r>
      <w:r w:rsidR="00C27EB7">
        <w:rPr>
          <w:lang w:eastAsia="en-AU"/>
        </w:rPr>
        <w:t>The</w:t>
      </w:r>
      <w:r w:rsidR="00F539EA" w:rsidRPr="00F539EA">
        <w:rPr>
          <w:lang w:eastAsia="en-AU"/>
        </w:rPr>
        <w:t xml:space="preserve"> evaluation looked at the first three rounds of the BRII</w:t>
      </w:r>
      <w:r w:rsidR="00F539EA">
        <w:rPr>
          <w:lang w:eastAsia="en-AU"/>
        </w:rPr>
        <w:t>.</w:t>
      </w:r>
    </w:p>
    <w:p w14:paraId="6E40EFEE" w14:textId="3980C775" w:rsidR="0024201A" w:rsidRDefault="00353C1A">
      <w:pPr>
        <w:pStyle w:val="Heading2"/>
      </w:pPr>
      <w:bookmarkStart w:id="2" w:name="_Toc77970935"/>
      <w:bookmarkStart w:id="3" w:name="_Toc124435135"/>
      <w:r>
        <w:t xml:space="preserve">The BRII has reached a diverse </w:t>
      </w:r>
      <w:r w:rsidR="00474205">
        <w:t xml:space="preserve">group of </w:t>
      </w:r>
      <w:r w:rsidR="00235F10">
        <w:t>S</w:t>
      </w:r>
      <w:r w:rsidR="007B37B3">
        <w:t xml:space="preserve">mall and </w:t>
      </w:r>
      <w:r w:rsidR="00235F10">
        <w:t>M</w:t>
      </w:r>
      <w:r w:rsidR="007B37B3">
        <w:t xml:space="preserve">edium </w:t>
      </w:r>
      <w:r w:rsidR="00235F10">
        <w:t>S</w:t>
      </w:r>
      <w:r w:rsidR="007B37B3">
        <w:t xml:space="preserve">ized </w:t>
      </w:r>
      <w:r w:rsidR="00235F10">
        <w:t>E</w:t>
      </w:r>
      <w:r w:rsidR="007B37B3">
        <w:t>nterprises</w:t>
      </w:r>
      <w:r w:rsidR="00474205">
        <w:t xml:space="preserve"> </w:t>
      </w:r>
      <w:r w:rsidR="007B37B3">
        <w:t>(</w:t>
      </w:r>
      <w:r w:rsidR="00474205">
        <w:t>SMEs</w:t>
      </w:r>
      <w:r w:rsidR="007B37B3">
        <w:t>)</w:t>
      </w:r>
      <w:r w:rsidR="00474205">
        <w:t xml:space="preserve"> and </w:t>
      </w:r>
      <w:r w:rsidR="001E6F04">
        <w:t>Australian Government</w:t>
      </w:r>
      <w:r w:rsidR="00474205">
        <w:t xml:space="preserve"> agencies</w:t>
      </w:r>
      <w:bookmarkEnd w:id="2"/>
      <w:bookmarkEnd w:id="3"/>
    </w:p>
    <w:p w14:paraId="4C4178A5" w14:textId="77777777" w:rsidR="00E22CBA" w:rsidRDefault="00E66A46" w:rsidP="000A7F9F">
      <w:pPr>
        <w:rPr>
          <w:lang w:eastAsia="en-AU"/>
        </w:rPr>
      </w:pPr>
      <w:r w:rsidRPr="00E66A46">
        <w:rPr>
          <w:lang w:eastAsia="en-AU"/>
        </w:rPr>
        <w:t xml:space="preserve">The BRII pilot was announced in December 2015 as part of the ‘Government as Exemplar’ pillar of the National Innovation and Science Agenda (NISA). The BRII aims to help Australian Government agencies find novel solutions to otherwise intractable public policy and service delivery problems and to foster innovation among SMEs. </w:t>
      </w:r>
      <w:r w:rsidR="00E22CBA">
        <w:rPr>
          <w:lang w:eastAsia="en-AU"/>
        </w:rPr>
        <w:t>Across the first three rounds</w:t>
      </w:r>
      <w:r w:rsidR="00CA7270">
        <w:rPr>
          <w:lang w:eastAsia="en-AU"/>
        </w:rPr>
        <w:t>,</w:t>
      </w:r>
      <w:r w:rsidR="00E22CBA">
        <w:rPr>
          <w:lang w:eastAsia="en-AU"/>
        </w:rPr>
        <w:t xml:space="preserve"> </w:t>
      </w:r>
      <w:r w:rsidR="00E22CBA" w:rsidRPr="00E87303">
        <w:rPr>
          <w:lang w:eastAsia="en-AU"/>
        </w:rPr>
        <w:t xml:space="preserve">the BRII has </w:t>
      </w:r>
      <w:r w:rsidR="00246C99">
        <w:rPr>
          <w:lang w:eastAsia="en-AU"/>
        </w:rPr>
        <w:t>granted</w:t>
      </w:r>
      <w:r w:rsidR="00E22CBA" w:rsidRPr="00E87303">
        <w:rPr>
          <w:lang w:eastAsia="en-AU"/>
        </w:rPr>
        <w:t xml:space="preserve"> $20.4 million to 58 SMEs across 15 challenges. This funding has been distributed across a diverse group of agencies and SMEs, with very few repeat agencies and SMEs in the program</w:t>
      </w:r>
      <w:r w:rsidR="00E22CBA">
        <w:rPr>
          <w:lang w:eastAsia="en-AU"/>
        </w:rPr>
        <w:t>.</w:t>
      </w:r>
    </w:p>
    <w:p w14:paraId="06BE1D19" w14:textId="77777777" w:rsidR="0022495D" w:rsidRDefault="0022495D">
      <w:pPr>
        <w:pStyle w:val="Heading3"/>
      </w:pPr>
      <w:r>
        <w:t>T</w:t>
      </w:r>
      <w:r w:rsidR="00173727">
        <w:t>he BRII has attracted a range of SMEs with different characteristics.</w:t>
      </w:r>
    </w:p>
    <w:p w14:paraId="466F02AD" w14:textId="23DED205" w:rsidR="005A4C69" w:rsidRDefault="005A4C69" w:rsidP="00EB4AF7">
      <w:pPr>
        <w:rPr>
          <w:lang w:eastAsia="en-AU"/>
        </w:rPr>
      </w:pPr>
      <w:r w:rsidRPr="004739A1">
        <w:rPr>
          <w:lang w:eastAsia="en-AU"/>
        </w:rPr>
        <w:t xml:space="preserve">The BRII </w:t>
      </w:r>
      <w:r w:rsidR="00F43F00">
        <w:rPr>
          <w:lang w:eastAsia="en-AU"/>
        </w:rPr>
        <w:t>was</w:t>
      </w:r>
      <w:r w:rsidRPr="004739A1">
        <w:rPr>
          <w:lang w:eastAsia="en-AU"/>
        </w:rPr>
        <w:t xml:space="preserve"> most attractive to start-ups or young firms</w:t>
      </w:r>
      <w:r>
        <w:rPr>
          <w:lang w:eastAsia="en-AU"/>
        </w:rPr>
        <w:t>.</w:t>
      </w:r>
      <w:r w:rsidRPr="004739A1">
        <w:rPr>
          <w:rStyle w:val="FootnoteReference"/>
          <w:lang w:eastAsia="en-AU"/>
        </w:rPr>
        <w:footnoteReference w:id="3"/>
      </w:r>
      <w:r w:rsidRPr="004739A1">
        <w:rPr>
          <w:lang w:eastAsia="en-AU"/>
        </w:rPr>
        <w:t xml:space="preserve"> However, there was still healthy representation from mature firms of various ages.</w:t>
      </w:r>
      <w:r>
        <w:rPr>
          <w:lang w:eastAsia="en-AU"/>
        </w:rPr>
        <w:t xml:space="preserve"> The BRII also </w:t>
      </w:r>
      <w:r w:rsidR="00246C99">
        <w:rPr>
          <w:lang w:eastAsia="en-AU"/>
        </w:rPr>
        <w:t>act</w:t>
      </w:r>
      <w:r w:rsidR="00F43F00">
        <w:rPr>
          <w:lang w:eastAsia="en-AU"/>
        </w:rPr>
        <w:t>ed</w:t>
      </w:r>
      <w:r>
        <w:rPr>
          <w:lang w:eastAsia="en-AU"/>
        </w:rPr>
        <w:t xml:space="preserve"> as a catalyst for the formation of new entities, with 113 of the 501 total applicants (20 per cent) zero years old at time of application</w:t>
      </w:r>
      <w:r w:rsidR="00A543FC">
        <w:rPr>
          <w:lang w:eastAsia="en-AU"/>
        </w:rPr>
        <w:t xml:space="preserve"> (see </w:t>
      </w:r>
      <w:r w:rsidR="00A543FC">
        <w:rPr>
          <w:lang w:eastAsia="en-AU"/>
        </w:rPr>
        <w:fldChar w:fldCharType="begin"/>
      </w:r>
      <w:r w:rsidR="00A543FC">
        <w:rPr>
          <w:lang w:eastAsia="en-AU"/>
        </w:rPr>
        <w:instrText xml:space="preserve"> REF _Ref77716147 \h </w:instrText>
      </w:r>
      <w:r w:rsidR="00A543FC">
        <w:rPr>
          <w:lang w:eastAsia="en-AU"/>
        </w:rPr>
      </w:r>
      <w:r w:rsidR="00A543FC">
        <w:rPr>
          <w:lang w:eastAsia="en-AU"/>
        </w:rPr>
        <w:fldChar w:fldCharType="separate"/>
      </w:r>
      <w:r w:rsidR="00AE607F">
        <w:t xml:space="preserve">Figure </w:t>
      </w:r>
      <w:r w:rsidR="00AE607F">
        <w:rPr>
          <w:noProof/>
        </w:rPr>
        <w:t>1</w:t>
      </w:r>
      <w:r w:rsidR="00A543FC">
        <w:rPr>
          <w:lang w:eastAsia="en-AU"/>
        </w:rPr>
        <w:fldChar w:fldCharType="end"/>
      </w:r>
      <w:r w:rsidR="00A543FC">
        <w:rPr>
          <w:lang w:eastAsia="en-AU"/>
        </w:rPr>
        <w:t>)</w:t>
      </w:r>
      <w:r>
        <w:rPr>
          <w:lang w:eastAsia="en-AU"/>
        </w:rPr>
        <w:t xml:space="preserve">. A similar percentage (17 per cent) of new firms went on to </w:t>
      </w:r>
      <w:r w:rsidR="00246C99">
        <w:rPr>
          <w:lang w:eastAsia="en-AU"/>
        </w:rPr>
        <w:t xml:space="preserve">receive </w:t>
      </w:r>
      <w:r>
        <w:rPr>
          <w:lang w:eastAsia="en-AU"/>
        </w:rPr>
        <w:t>feasibility grants.</w:t>
      </w:r>
      <w:r w:rsidR="0090610E">
        <w:rPr>
          <w:lang w:eastAsia="en-AU"/>
        </w:rPr>
        <w:t xml:space="preserve"> </w:t>
      </w:r>
      <w:r w:rsidR="00246C99">
        <w:rPr>
          <w:lang w:eastAsia="en-AU"/>
        </w:rPr>
        <w:t>SME applicants</w:t>
      </w:r>
      <w:r w:rsidR="0090610E">
        <w:rPr>
          <w:lang w:eastAsia="en-AU"/>
        </w:rPr>
        <w:t xml:space="preserve"> </w:t>
      </w:r>
      <w:r w:rsidR="00BF4C19">
        <w:rPr>
          <w:lang w:eastAsia="en-AU"/>
        </w:rPr>
        <w:t xml:space="preserve">were from </w:t>
      </w:r>
      <w:r w:rsidR="00246C99">
        <w:rPr>
          <w:lang w:eastAsia="en-AU"/>
        </w:rPr>
        <w:t>all Australian jurisdictions</w:t>
      </w:r>
      <w:r w:rsidR="00BF4C19">
        <w:rPr>
          <w:lang w:eastAsia="en-AU"/>
        </w:rPr>
        <w:t xml:space="preserve"> </w:t>
      </w:r>
      <w:r w:rsidR="000B4617">
        <w:rPr>
          <w:lang w:eastAsia="en-AU"/>
        </w:rPr>
        <w:t xml:space="preserve">with </w:t>
      </w:r>
      <w:r w:rsidR="000B4617" w:rsidRPr="000B4617">
        <w:rPr>
          <w:lang w:eastAsia="en-AU"/>
        </w:rPr>
        <w:t xml:space="preserve">a slight overrepresentation from </w:t>
      </w:r>
      <w:r w:rsidR="00246C99">
        <w:rPr>
          <w:lang w:eastAsia="en-AU"/>
        </w:rPr>
        <w:t xml:space="preserve">the </w:t>
      </w:r>
      <w:r w:rsidR="00246C99" w:rsidRPr="000B4617">
        <w:rPr>
          <w:lang w:eastAsia="en-AU"/>
        </w:rPr>
        <w:t>A</w:t>
      </w:r>
      <w:r w:rsidR="00246C99">
        <w:rPr>
          <w:lang w:eastAsia="en-AU"/>
        </w:rPr>
        <w:t xml:space="preserve">ustralian </w:t>
      </w:r>
      <w:r w:rsidR="00246C99" w:rsidRPr="000B4617">
        <w:rPr>
          <w:lang w:eastAsia="en-AU"/>
        </w:rPr>
        <w:t>C</w:t>
      </w:r>
      <w:r w:rsidR="00246C99">
        <w:rPr>
          <w:lang w:eastAsia="en-AU"/>
        </w:rPr>
        <w:t xml:space="preserve">apital </w:t>
      </w:r>
      <w:r w:rsidR="00246C99" w:rsidRPr="000B4617">
        <w:rPr>
          <w:lang w:eastAsia="en-AU"/>
        </w:rPr>
        <w:t>T</w:t>
      </w:r>
      <w:r w:rsidR="00246C99">
        <w:rPr>
          <w:lang w:eastAsia="en-AU"/>
        </w:rPr>
        <w:t>erritory (</w:t>
      </w:r>
      <w:r w:rsidR="000B4617" w:rsidRPr="000B4617">
        <w:rPr>
          <w:lang w:eastAsia="en-AU"/>
        </w:rPr>
        <w:t>ACT</w:t>
      </w:r>
      <w:r w:rsidR="00246C99">
        <w:rPr>
          <w:lang w:eastAsia="en-AU"/>
        </w:rPr>
        <w:t>)</w:t>
      </w:r>
      <w:r w:rsidR="00246C99" w:rsidRPr="000B4617">
        <w:rPr>
          <w:lang w:eastAsia="en-AU"/>
        </w:rPr>
        <w:t>.</w:t>
      </w:r>
      <w:r w:rsidR="000B4617" w:rsidRPr="000B4617">
        <w:rPr>
          <w:lang w:eastAsia="en-AU"/>
        </w:rPr>
        <w:t xml:space="preserve"> This might be because of the proximity of ACT SMEs to most challenge agencies</w:t>
      </w:r>
      <w:r w:rsidR="000B4617">
        <w:rPr>
          <w:lang w:eastAsia="en-AU"/>
        </w:rPr>
        <w:t>.</w:t>
      </w:r>
    </w:p>
    <w:p w14:paraId="2BC68256" w14:textId="54221B40" w:rsidR="005A4C69" w:rsidRDefault="005A4C69" w:rsidP="005A4C69">
      <w:pPr>
        <w:pStyle w:val="Caption"/>
      </w:pPr>
      <w:bookmarkStart w:id="4" w:name="_Ref77716147"/>
      <w:r>
        <w:lastRenderedPageBreak/>
        <w:t xml:space="preserve">Figure </w:t>
      </w:r>
      <w:r>
        <w:fldChar w:fldCharType="begin"/>
      </w:r>
      <w:r>
        <w:instrText xml:space="preserve"> SEQ Figure \* ARABIC </w:instrText>
      </w:r>
      <w:r>
        <w:fldChar w:fldCharType="separate"/>
      </w:r>
      <w:r w:rsidR="00870ADB">
        <w:rPr>
          <w:noProof/>
        </w:rPr>
        <w:t>1</w:t>
      </w:r>
      <w:r>
        <w:fldChar w:fldCharType="end"/>
      </w:r>
      <w:bookmarkEnd w:id="4"/>
      <w:r>
        <w:t xml:space="preserve"> | Applicants by business age in years at time of application</w:t>
      </w:r>
      <w:r>
        <w:rPr>
          <w:rStyle w:val="FootnoteReference"/>
        </w:rPr>
        <w:footnoteReference w:id="4"/>
      </w:r>
    </w:p>
    <w:p w14:paraId="7982EEC3" w14:textId="77777777" w:rsidR="005A4C69" w:rsidRDefault="00246C99" w:rsidP="005A4C69">
      <w:pPr>
        <w:rPr>
          <w:lang w:eastAsia="en-AU"/>
        </w:rPr>
      </w:pPr>
      <w:r w:rsidRPr="008C6F3E">
        <w:rPr>
          <w:noProof/>
          <w:lang w:eastAsia="en-AU"/>
        </w:rPr>
        <w:drawing>
          <wp:inline distT="0" distB="0" distL="0" distR="0" wp14:anchorId="6B57C5EC" wp14:editId="4EB8F9CB">
            <wp:extent cx="5670550" cy="1736725"/>
            <wp:effectExtent l="0" t="0" r="6350" b="0"/>
            <wp:docPr id="55" name="Picture 55" descr="Fifty six per cent of the BRII applicants are start ups or young firms.&#10;Age in years, zero to twenty.&#10;Start ups. zero years has one hundred and thirteen applicants, 1 year has sixty six applicants, 2 years has sixty applicants.&#10;Young firms, 3 years has forty two applicants, 4 years has thirty six applicants, 5 years has thirty 4 applicants.&#10;Mature firms, 6 years has twenty 6 applicants, 7 years has thirteen applicants, 8 years has thirteen applicants, 9 years has seventeen applicants, ten years has 7 applicants, eleven years has forteen applicants, twelve years has eleven applicants, thirteen years has 3 applicants, forteen years has forteen applicants, fifteen years has 6 applicants, sixteen years has twenty eight applicants, seventeen years has ten applicants, eighteen years has 5 applicants, nineteen years has forteen applicants, twenty years has twenty applic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Fifty six per cent of the BRII applicants are start ups or young firms.&#10;Age in years, zero to twenty.&#10;Start ups. zero years has one hundred and thirteen applicants, 1 year has sixty six applicants, 2 years has sixty applicants.&#10;Young firms, 3 years has forty two applicants, 4 years has thirty six applicants, 5 years has thirty 4 applicants.&#10;Mature firms, 6 years has twenty 6 applicants, 7 years has thirteen applicants, 8 years has thirteen applicants, 9 years has seventeen applicants, ten years has 7 applicants, eleven years has forteen applicants, twelve years has eleven applicants, thirteen years has 3 applicants, forteen years has forteen applicants, fifteen years has 6 applicants, sixteen years has twenty eight applicants, seventeen years has ten applicants, eighteen years has 5 applicants, nineteen years has forteen applicants, twenty years has twenty applicant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70550" cy="1736725"/>
                    </a:xfrm>
                    <a:prstGeom prst="rect">
                      <a:avLst/>
                    </a:prstGeom>
                    <a:noFill/>
                    <a:ln>
                      <a:noFill/>
                    </a:ln>
                  </pic:spPr>
                </pic:pic>
              </a:graphicData>
            </a:graphic>
          </wp:inline>
        </w:drawing>
      </w:r>
    </w:p>
    <w:p w14:paraId="2F0EA0A8" w14:textId="77777777" w:rsidR="005A4C69" w:rsidRDefault="005A4C69" w:rsidP="005A4C69">
      <w:pPr>
        <w:pStyle w:val="Source"/>
      </w:pPr>
      <w:r>
        <w:t>Source: BRII administrative data</w:t>
      </w:r>
    </w:p>
    <w:p w14:paraId="5F362392" w14:textId="23368818" w:rsidR="00246C99" w:rsidRDefault="00246C99">
      <w:pPr>
        <w:pStyle w:val="Heading3"/>
      </w:pPr>
      <w:r>
        <w:t xml:space="preserve">The BRII has partnered with many diverse </w:t>
      </w:r>
      <w:r w:rsidR="00CB0CEA">
        <w:t>g</w:t>
      </w:r>
      <w:r w:rsidR="00F43F00">
        <w:t xml:space="preserve">overnment </w:t>
      </w:r>
      <w:r>
        <w:t>agencies on a range of difficult problems.</w:t>
      </w:r>
    </w:p>
    <w:p w14:paraId="3AFF9060" w14:textId="1350A961" w:rsidR="00246C99" w:rsidRPr="000A7F9F" w:rsidRDefault="00246C99" w:rsidP="00246C99">
      <w:pPr>
        <w:rPr>
          <w:lang w:eastAsia="en-AU"/>
        </w:rPr>
      </w:pPr>
      <w:r>
        <w:rPr>
          <w:lang w:eastAsia="en-AU"/>
        </w:rPr>
        <w:t xml:space="preserve">The BRII has attracted agencies with challenges across energy, agriculture and environment, tourism, data and digital, human services and information management. Overall, 14 </w:t>
      </w:r>
      <w:r w:rsidR="00CB0CEA">
        <w:rPr>
          <w:lang w:eastAsia="en-AU"/>
        </w:rPr>
        <w:t>g</w:t>
      </w:r>
      <w:r>
        <w:rPr>
          <w:lang w:eastAsia="en-AU"/>
        </w:rPr>
        <w:t xml:space="preserve">overnment agencies have participated in the BRII. </w:t>
      </w:r>
      <w:r w:rsidRPr="00996137">
        <w:rPr>
          <w:lang w:eastAsia="en-AU"/>
        </w:rPr>
        <w:t xml:space="preserve">There </w:t>
      </w:r>
      <w:r>
        <w:rPr>
          <w:lang w:eastAsia="en-AU"/>
        </w:rPr>
        <w:t>has been</w:t>
      </w:r>
      <w:r w:rsidRPr="00996137">
        <w:rPr>
          <w:lang w:eastAsia="en-AU"/>
        </w:rPr>
        <w:t xml:space="preserve"> a good spread of </w:t>
      </w:r>
      <w:r>
        <w:rPr>
          <w:lang w:eastAsia="en-AU"/>
        </w:rPr>
        <w:t xml:space="preserve">challenges </w:t>
      </w:r>
      <w:r w:rsidRPr="00996137">
        <w:rPr>
          <w:lang w:eastAsia="en-AU"/>
        </w:rPr>
        <w:t>across policy, operational, regulatory and specialist agencies</w:t>
      </w:r>
      <w:r>
        <w:rPr>
          <w:rStyle w:val="FootnoteReference"/>
          <w:lang w:eastAsia="en-AU"/>
        </w:rPr>
        <w:footnoteReference w:id="5"/>
      </w:r>
      <w:r>
        <w:rPr>
          <w:lang w:eastAsia="en-AU"/>
        </w:rPr>
        <w:t xml:space="preserve">, and Commonwealth corporate entities. </w:t>
      </w:r>
      <w:r w:rsidR="003B07E3">
        <w:rPr>
          <w:lang w:eastAsia="en-AU"/>
        </w:rPr>
        <w:t>The diverse spread of agencies is reflected in the fact that only o</w:t>
      </w:r>
      <w:r>
        <w:rPr>
          <w:lang w:eastAsia="en-AU"/>
        </w:rPr>
        <w:t>ne of the 14 challenge agencies has been involved in multiple rounds.</w:t>
      </w:r>
    </w:p>
    <w:p w14:paraId="795281C5" w14:textId="77777777" w:rsidR="0024201A" w:rsidRDefault="00956526">
      <w:pPr>
        <w:pStyle w:val="Heading2"/>
      </w:pPr>
      <w:bookmarkStart w:id="5" w:name="_Toc77970936"/>
      <w:bookmarkStart w:id="6" w:name="_Toc124435136"/>
      <w:r w:rsidRPr="00956526">
        <w:t>The BRII has produced substantial value for participating SMEs and challenge agencies</w:t>
      </w:r>
      <w:bookmarkEnd w:id="5"/>
      <w:bookmarkEnd w:id="6"/>
    </w:p>
    <w:p w14:paraId="6D496D08" w14:textId="56F300A1" w:rsidR="00E86D5A" w:rsidRDefault="000110EB" w:rsidP="00E86D5A">
      <w:pPr>
        <w:rPr>
          <w:lang w:eastAsia="en-AU"/>
        </w:rPr>
      </w:pPr>
      <w:r>
        <w:rPr>
          <w:lang w:eastAsia="en-AU"/>
        </w:rPr>
        <w:t xml:space="preserve">Participation in the program has </w:t>
      </w:r>
      <w:r w:rsidR="00724AA9">
        <w:rPr>
          <w:lang w:eastAsia="en-AU"/>
        </w:rPr>
        <w:t xml:space="preserve">supported innovation and </w:t>
      </w:r>
      <w:r w:rsidR="00377361">
        <w:rPr>
          <w:lang w:eastAsia="en-AU"/>
        </w:rPr>
        <w:t>growth for SMEs</w:t>
      </w:r>
      <w:r w:rsidR="003F54E1">
        <w:rPr>
          <w:lang w:eastAsia="en-AU"/>
        </w:rPr>
        <w:t>. The BRII has also influenced</w:t>
      </w:r>
      <w:r w:rsidR="00575A1C">
        <w:rPr>
          <w:lang w:eastAsia="en-AU"/>
        </w:rPr>
        <w:t xml:space="preserve"> a change in attitude towards procurement among some </w:t>
      </w:r>
      <w:r w:rsidR="005630EB">
        <w:rPr>
          <w:lang w:eastAsia="en-AU"/>
        </w:rPr>
        <w:t>g</w:t>
      </w:r>
      <w:r w:rsidR="00246C99">
        <w:rPr>
          <w:lang w:eastAsia="en-AU"/>
        </w:rPr>
        <w:t>overnment agencies due to the benefits of participating in the program.</w:t>
      </w:r>
      <w:r w:rsidR="00575A1C">
        <w:rPr>
          <w:lang w:eastAsia="en-AU"/>
        </w:rPr>
        <w:t xml:space="preserve"> </w:t>
      </w:r>
      <w:r w:rsidR="0048176F">
        <w:rPr>
          <w:lang w:eastAsia="en-AU"/>
        </w:rPr>
        <w:t>These</w:t>
      </w:r>
      <w:r w:rsidR="00575A1C">
        <w:rPr>
          <w:lang w:eastAsia="en-AU"/>
        </w:rPr>
        <w:t xml:space="preserve"> finding</w:t>
      </w:r>
      <w:r w:rsidR="0048176F">
        <w:rPr>
          <w:lang w:eastAsia="en-AU"/>
        </w:rPr>
        <w:t>s</w:t>
      </w:r>
      <w:r w:rsidR="00575A1C">
        <w:rPr>
          <w:lang w:eastAsia="en-AU"/>
        </w:rPr>
        <w:t xml:space="preserve"> align with the dual objectives of the BRII. </w:t>
      </w:r>
    </w:p>
    <w:p w14:paraId="34E8BF86" w14:textId="77777777" w:rsidR="00290E66" w:rsidRDefault="00C97199">
      <w:pPr>
        <w:pStyle w:val="Heading3"/>
      </w:pPr>
      <w:r w:rsidRPr="00290E66">
        <w:t>The BRII has had a positive impact on participating SMEs.</w:t>
      </w:r>
    </w:p>
    <w:p w14:paraId="600835A5" w14:textId="1871D8D4" w:rsidR="00C97199" w:rsidRDefault="00EE6FB5" w:rsidP="00C97199">
      <w:pPr>
        <w:rPr>
          <w:lang w:eastAsia="en-AU"/>
        </w:rPr>
      </w:pPr>
      <w:r>
        <w:rPr>
          <w:lang w:eastAsia="en-AU"/>
        </w:rPr>
        <w:t xml:space="preserve">The impact of the BRII was positive for almost all SMEs that participated in the evaluation. </w:t>
      </w:r>
      <w:r w:rsidR="00C97199">
        <w:rPr>
          <w:lang w:eastAsia="en-AU"/>
        </w:rPr>
        <w:t>This was especially true for proof</w:t>
      </w:r>
      <w:r w:rsidR="00984E9E">
        <w:rPr>
          <w:lang w:eastAsia="en-AU"/>
        </w:rPr>
        <w:t xml:space="preserve"> </w:t>
      </w:r>
      <w:r w:rsidR="00C97199">
        <w:rPr>
          <w:lang w:eastAsia="en-AU"/>
        </w:rPr>
        <w:t>of</w:t>
      </w:r>
      <w:r w:rsidR="00984E9E">
        <w:rPr>
          <w:lang w:eastAsia="en-AU"/>
        </w:rPr>
        <w:t xml:space="preserve"> </w:t>
      </w:r>
      <w:r w:rsidR="00C97199">
        <w:rPr>
          <w:lang w:eastAsia="en-AU"/>
        </w:rPr>
        <w:t xml:space="preserve">concept SMEs. The evaluation has found that participating in the </w:t>
      </w:r>
      <w:r w:rsidR="002B029F">
        <w:rPr>
          <w:lang w:eastAsia="en-AU"/>
        </w:rPr>
        <w:t>BRII</w:t>
      </w:r>
      <w:r w:rsidR="00C97199">
        <w:rPr>
          <w:lang w:eastAsia="en-AU"/>
        </w:rPr>
        <w:t>:</w:t>
      </w:r>
    </w:p>
    <w:p w14:paraId="35FEDD19" w14:textId="481A70C4" w:rsidR="00DA17E7" w:rsidRDefault="00DA17E7">
      <w:pPr>
        <w:pStyle w:val="Bullet"/>
      </w:pPr>
      <w:r w:rsidRPr="0055606E">
        <w:rPr>
          <w:rFonts w:asciiTheme="majorHAnsi" w:hAnsiTheme="majorHAnsi" w:cstheme="majorHAnsi"/>
        </w:rPr>
        <w:t>Helped many SMEs improve their innovative capability.</w:t>
      </w:r>
      <w:r>
        <w:t xml:space="preserve"> </w:t>
      </w:r>
      <w:r w:rsidRPr="0048176F">
        <w:t xml:space="preserve">More than two thirds of the SME survey and interview respondents confirmed that the </w:t>
      </w:r>
      <w:r w:rsidR="00A019AE">
        <w:t>research and development (</w:t>
      </w:r>
      <w:r w:rsidRPr="0048176F">
        <w:t>R&amp;D</w:t>
      </w:r>
      <w:r w:rsidR="00A019AE">
        <w:t>)</w:t>
      </w:r>
      <w:r w:rsidRPr="0048176F">
        <w:t xml:space="preserve"> undertaken during </w:t>
      </w:r>
      <w:r w:rsidR="00D97AA4">
        <w:t>the</w:t>
      </w:r>
      <w:r w:rsidRPr="0048176F">
        <w:t xml:space="preserve"> BRII would not have taken place without BRII funding</w:t>
      </w:r>
      <w:r w:rsidR="00F4356E">
        <w:t xml:space="preserve"> (see</w:t>
      </w:r>
      <w:r w:rsidR="009046D7">
        <w:t xml:space="preserve"> </w:t>
      </w:r>
      <w:r w:rsidR="00DA63F8">
        <w:fldChar w:fldCharType="begin"/>
      </w:r>
      <w:r w:rsidR="00DA63F8">
        <w:instrText xml:space="preserve"> REF _Ref77956494 \h </w:instrText>
      </w:r>
      <w:r w:rsidR="00DA63F8">
        <w:fldChar w:fldCharType="separate"/>
      </w:r>
      <w:r w:rsidR="00AE607F">
        <w:t xml:space="preserve">Figure </w:t>
      </w:r>
      <w:r w:rsidR="00AE607F">
        <w:rPr>
          <w:noProof/>
        </w:rPr>
        <w:t>2</w:t>
      </w:r>
      <w:r w:rsidR="00DA63F8">
        <w:fldChar w:fldCharType="end"/>
      </w:r>
      <w:r w:rsidR="00F4356E">
        <w:t>)</w:t>
      </w:r>
      <w:r w:rsidRPr="0048176F">
        <w:t xml:space="preserve">. Half of these SMEs have already begun commercialising the outputs of their BRII projects. </w:t>
      </w:r>
      <w:r w:rsidRPr="0048176F">
        <w:lastRenderedPageBreak/>
        <w:t xml:space="preserve">Over three quarters are considering commercial opportunities </w:t>
      </w:r>
      <w:r w:rsidR="00A019AE">
        <w:t xml:space="preserve">for the outputs of their BRII R&amp;D </w:t>
      </w:r>
      <w:r w:rsidRPr="0048176F">
        <w:t>beyond their initial BRII challenge</w:t>
      </w:r>
      <w:r w:rsidR="00F4356E">
        <w:t>.</w:t>
      </w:r>
    </w:p>
    <w:p w14:paraId="57C12FC4" w14:textId="77777777" w:rsidR="00C51014" w:rsidRDefault="00B66D61">
      <w:pPr>
        <w:pStyle w:val="Bullet"/>
      </w:pPr>
      <w:r w:rsidRPr="00EE2E70">
        <w:rPr>
          <w:rFonts w:asciiTheme="majorHAnsi" w:hAnsiTheme="majorHAnsi" w:cstheme="majorHAnsi"/>
        </w:rPr>
        <w:t>A</w:t>
      </w:r>
      <w:r w:rsidR="00CB213B" w:rsidRPr="00EE2E70">
        <w:rPr>
          <w:rFonts w:asciiTheme="majorHAnsi" w:hAnsiTheme="majorHAnsi" w:cstheme="majorHAnsi"/>
        </w:rPr>
        <w:t>ided in the development of new partnerships</w:t>
      </w:r>
      <w:r w:rsidR="00EE2E70">
        <w:t>.</w:t>
      </w:r>
      <w:r w:rsidR="00CB213B">
        <w:t xml:space="preserve"> </w:t>
      </w:r>
      <w:r w:rsidR="00EE2E70">
        <w:t>A</w:t>
      </w:r>
      <w:r w:rsidR="00CB213B" w:rsidRPr="00CB213B">
        <w:t>lmost every SME that completed a survey or participated in an interview noted that they had entered a new partnership thanks to the BRII. More than half felt that the BRII positively influenced their ability to access new markets.</w:t>
      </w:r>
      <w:r w:rsidR="00FC5419">
        <w:t xml:space="preserve"> </w:t>
      </w:r>
    </w:p>
    <w:p w14:paraId="07B6FE01" w14:textId="77777777" w:rsidR="00573E8C" w:rsidRDefault="00573E8C">
      <w:pPr>
        <w:pStyle w:val="Bullet"/>
      </w:pPr>
      <w:r w:rsidRPr="00EE2E70">
        <w:rPr>
          <w:rFonts w:asciiTheme="majorHAnsi" w:hAnsiTheme="majorHAnsi" w:cstheme="majorHAnsi"/>
        </w:rPr>
        <w:t xml:space="preserve">Enhanced </w:t>
      </w:r>
      <w:r>
        <w:rPr>
          <w:rFonts w:asciiTheme="majorHAnsi" w:hAnsiTheme="majorHAnsi" w:cstheme="majorHAnsi"/>
        </w:rPr>
        <w:t>g</w:t>
      </w:r>
      <w:r w:rsidRPr="00EE2E70">
        <w:rPr>
          <w:rFonts w:asciiTheme="majorHAnsi" w:hAnsiTheme="majorHAnsi" w:cstheme="majorHAnsi"/>
        </w:rPr>
        <w:t>overnment engagement for many SMEs.</w:t>
      </w:r>
      <w:r>
        <w:t xml:space="preserve"> </w:t>
      </w:r>
      <w:r w:rsidRPr="00DC2F67">
        <w:t xml:space="preserve">Half of the SME survey respondents had little or no prior engagement with </w:t>
      </w:r>
      <w:r>
        <w:t>g</w:t>
      </w:r>
      <w:r w:rsidRPr="00DC2F67">
        <w:t>overnment clients</w:t>
      </w:r>
      <w:r>
        <w:t xml:space="preserve"> before the BRII</w:t>
      </w:r>
      <w:r w:rsidRPr="00DC2F67">
        <w:t xml:space="preserve">. Most of the same respondents felt that the BRII had increased their capacity to engage with </w:t>
      </w:r>
      <w:r>
        <w:t>g</w:t>
      </w:r>
      <w:r w:rsidRPr="00DC2F67">
        <w:t>overnment</w:t>
      </w:r>
      <w:r>
        <w:t xml:space="preserve"> agencies</w:t>
      </w:r>
      <w:r w:rsidRPr="00DC2F67">
        <w:t>.</w:t>
      </w:r>
      <w:r>
        <w:t xml:space="preserve"> </w:t>
      </w:r>
    </w:p>
    <w:p w14:paraId="29526A04" w14:textId="77777777" w:rsidR="002B029F" w:rsidRDefault="00EA576F">
      <w:pPr>
        <w:pStyle w:val="Bullet"/>
      </w:pPr>
      <w:r w:rsidRPr="00EE2E70">
        <w:rPr>
          <w:rFonts w:asciiTheme="majorHAnsi" w:hAnsiTheme="majorHAnsi" w:cstheme="majorHAnsi"/>
        </w:rPr>
        <w:t>Had a positive and lasting</w:t>
      </w:r>
      <w:r w:rsidR="00FC5419" w:rsidRPr="00EE2E70">
        <w:rPr>
          <w:rFonts w:asciiTheme="majorHAnsi" w:hAnsiTheme="majorHAnsi" w:cstheme="majorHAnsi"/>
        </w:rPr>
        <w:t xml:space="preserve"> impact for </w:t>
      </w:r>
      <w:r w:rsidR="00E81BC8" w:rsidRPr="00EE2E70">
        <w:rPr>
          <w:rFonts w:asciiTheme="majorHAnsi" w:hAnsiTheme="majorHAnsi" w:cstheme="majorHAnsi"/>
        </w:rPr>
        <w:t>proof of concept</w:t>
      </w:r>
      <w:r w:rsidR="00FC5419" w:rsidRPr="00EE2E70">
        <w:rPr>
          <w:rFonts w:asciiTheme="majorHAnsi" w:hAnsiTheme="majorHAnsi" w:cstheme="majorHAnsi"/>
        </w:rPr>
        <w:t xml:space="preserve"> SMEs</w:t>
      </w:r>
      <w:r w:rsidR="00E81BC8" w:rsidRPr="00EE2E70">
        <w:rPr>
          <w:rFonts w:asciiTheme="majorHAnsi" w:hAnsiTheme="majorHAnsi" w:cstheme="majorHAnsi"/>
        </w:rPr>
        <w:t>.</w:t>
      </w:r>
      <w:r w:rsidR="00E81BC8">
        <w:t xml:space="preserve"> </w:t>
      </w:r>
      <w:r w:rsidR="009046D7">
        <w:t>Eight of the nine proof of concept SMEs from round one indicated that the BRII has had a positive impact on their turnover beyond the grant funding that they received</w:t>
      </w:r>
      <w:r w:rsidR="00E81BC8" w:rsidRPr="00E81BC8">
        <w:t xml:space="preserve">. Five of these SMEs have had their product procured by the challenge agencies, and eight out of nine </w:t>
      </w:r>
      <w:r w:rsidR="008E3370">
        <w:t>have commercialised their BRII solution</w:t>
      </w:r>
      <w:r w:rsidR="00E81BC8" w:rsidRPr="00E81BC8">
        <w:t>.</w:t>
      </w:r>
      <w:r w:rsidR="00E81BC8">
        <w:t xml:space="preserve"> </w:t>
      </w:r>
      <w:r w:rsidR="00E81BC8" w:rsidRPr="00871144">
        <w:t xml:space="preserve">While </w:t>
      </w:r>
      <w:r w:rsidR="00E81BC8">
        <w:t>round two proof of concept</w:t>
      </w:r>
      <w:r w:rsidR="00E81BC8" w:rsidRPr="00871144">
        <w:t xml:space="preserve"> projects have only very recently been completed, four of six round two proof of concept SMEs are exploring procurement with their challenge agency. All </w:t>
      </w:r>
      <w:r w:rsidR="001A13F1">
        <w:t>round two proof of concept</w:t>
      </w:r>
      <w:r w:rsidR="00E81BC8" w:rsidRPr="00871144">
        <w:t xml:space="preserve"> SMEs are seeking firm commercial opportunities beyond </w:t>
      </w:r>
      <w:r w:rsidR="00E81BC8">
        <w:t xml:space="preserve">the </w:t>
      </w:r>
      <w:r w:rsidR="00E81BC8" w:rsidRPr="00871144">
        <w:t>BRII.</w:t>
      </w:r>
    </w:p>
    <w:p w14:paraId="59B9DFF0" w14:textId="2ED21FC6" w:rsidR="003B4493" w:rsidRDefault="009046D7" w:rsidP="009046D7">
      <w:pPr>
        <w:pStyle w:val="Caption"/>
      </w:pPr>
      <w:bookmarkStart w:id="7" w:name="_Ref77956494"/>
      <w:r>
        <w:t xml:space="preserve">Figure </w:t>
      </w:r>
      <w:r>
        <w:fldChar w:fldCharType="begin"/>
      </w:r>
      <w:r>
        <w:instrText xml:space="preserve"> SEQ Figure \* ARABIC </w:instrText>
      </w:r>
      <w:r>
        <w:fldChar w:fldCharType="separate"/>
      </w:r>
      <w:r w:rsidR="00870ADB">
        <w:rPr>
          <w:noProof/>
        </w:rPr>
        <w:t>2</w:t>
      </w:r>
      <w:r>
        <w:fldChar w:fldCharType="end"/>
      </w:r>
      <w:bookmarkEnd w:id="7"/>
      <w:r>
        <w:t xml:space="preserve"> | Impact of the BRII on SME innovation</w:t>
      </w:r>
    </w:p>
    <w:p w14:paraId="4AD0D4C7" w14:textId="77777777" w:rsidR="003B4493" w:rsidRDefault="00246C99" w:rsidP="003B4493">
      <w:pPr>
        <w:rPr>
          <w:lang w:eastAsia="en-AU"/>
        </w:rPr>
      </w:pPr>
      <w:r w:rsidRPr="006939B4">
        <w:rPr>
          <w:noProof/>
          <w:lang w:eastAsia="en-AU"/>
        </w:rPr>
        <w:drawing>
          <wp:inline distT="0" distB="0" distL="0" distR="0" wp14:anchorId="39303BD5" wp14:editId="4258DCA9">
            <wp:extent cx="5670550" cy="1398270"/>
            <wp:effectExtent l="0" t="0" r="6350" b="0"/>
            <wp:docPr id="21" name="Picture 21" descr="Survey question, would your company have pursued this R&amp;D without the BRII funding? 73 per cent of respondents would not have pursued this R&amp;D without the BRII funding. 73 per cent answered no, 18 per cent answered probably, 9 per cent answered unsure. Sample size was 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urvey question, would your company have pursued this R&amp;D without the BRII funding? 73 per cent of respondents would not have pursued this R&amp;D without the BRII funding. 73 per cent answered no, 18 per cent answered probably, 9 per cent answered unsure. Sample size was 22.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70550" cy="1398270"/>
                    </a:xfrm>
                    <a:prstGeom prst="rect">
                      <a:avLst/>
                    </a:prstGeom>
                    <a:noFill/>
                    <a:ln>
                      <a:noFill/>
                    </a:ln>
                  </pic:spPr>
                </pic:pic>
              </a:graphicData>
            </a:graphic>
          </wp:inline>
        </w:drawing>
      </w:r>
    </w:p>
    <w:p w14:paraId="487FA0EC" w14:textId="77777777" w:rsidR="003B4493" w:rsidRDefault="003B4493" w:rsidP="003B4493">
      <w:pPr>
        <w:pStyle w:val="Source"/>
      </w:pPr>
      <w:r>
        <w:t xml:space="preserve">Source: </w:t>
      </w:r>
      <w:bookmarkStart w:id="8" w:name="_Hlk77970811"/>
      <w:r>
        <w:t>Feasibility and proof of concept SME surveys</w:t>
      </w:r>
      <w:bookmarkEnd w:id="8"/>
    </w:p>
    <w:p w14:paraId="634D5446" w14:textId="567381D1" w:rsidR="00246C99" w:rsidRDefault="003F0221" w:rsidP="00EA4234">
      <w:pPr>
        <w:pStyle w:val="Heading3"/>
      </w:pPr>
      <w:r>
        <w:t xml:space="preserve">The BRII has supported </w:t>
      </w:r>
      <w:r w:rsidR="0027190A">
        <w:t xml:space="preserve">innovation that </w:t>
      </w:r>
      <w:r w:rsidR="005630EB">
        <w:t>g</w:t>
      </w:r>
      <w:r w:rsidR="0027190A">
        <w:t>overnment procurement does not often support.</w:t>
      </w:r>
    </w:p>
    <w:p w14:paraId="28A6F9C4" w14:textId="77777777" w:rsidR="00F34B17" w:rsidRDefault="000E47E5" w:rsidP="00E86D5A">
      <w:pPr>
        <w:rPr>
          <w:lang w:eastAsia="en-AU"/>
        </w:rPr>
      </w:pPr>
      <w:r w:rsidRPr="000E47E5">
        <w:rPr>
          <w:lang w:eastAsia="en-AU"/>
        </w:rPr>
        <w:t xml:space="preserve">Challenge agencies felt their participation in the BRII has created </w:t>
      </w:r>
      <w:r w:rsidR="001F45E5">
        <w:rPr>
          <w:lang w:eastAsia="en-AU"/>
        </w:rPr>
        <w:t>a</w:t>
      </w:r>
      <w:r w:rsidRPr="000E47E5">
        <w:rPr>
          <w:lang w:eastAsia="en-AU"/>
        </w:rPr>
        <w:t xml:space="preserve"> genuine and unique impact for their agency that may not have been achievable through conventional procurement. </w:t>
      </w:r>
      <w:r w:rsidR="00F34B17">
        <w:rPr>
          <w:lang w:eastAsia="en-AU"/>
        </w:rPr>
        <w:t xml:space="preserve">Challenge agencies indicated </w:t>
      </w:r>
      <w:r w:rsidR="00715BB9">
        <w:rPr>
          <w:lang w:eastAsia="en-AU"/>
        </w:rPr>
        <w:t xml:space="preserve">that </w:t>
      </w:r>
      <w:r w:rsidR="00F34B17">
        <w:rPr>
          <w:lang w:eastAsia="en-AU"/>
        </w:rPr>
        <w:t>the BRII:</w:t>
      </w:r>
    </w:p>
    <w:p w14:paraId="28C8A31B" w14:textId="7F10A042" w:rsidR="00F34B17" w:rsidRDefault="00850DA9">
      <w:pPr>
        <w:pStyle w:val="Bullet"/>
      </w:pPr>
      <w:r>
        <w:t>S</w:t>
      </w:r>
      <w:r w:rsidR="00246C99" w:rsidRPr="00F34B17">
        <w:t xml:space="preserve">upports </w:t>
      </w:r>
      <w:r w:rsidR="00E61067">
        <w:t>higher risk</w:t>
      </w:r>
      <w:r w:rsidR="00F34B17" w:rsidRPr="00F34B17">
        <w:t xml:space="preserve"> innovation that government procurement does not often support</w:t>
      </w:r>
      <w:r>
        <w:t>.</w:t>
      </w:r>
    </w:p>
    <w:p w14:paraId="3426008D" w14:textId="3BE110E8" w:rsidR="00F34B17" w:rsidRDefault="00850DA9">
      <w:pPr>
        <w:pStyle w:val="Bullet"/>
      </w:pPr>
      <w:r>
        <w:t>H</w:t>
      </w:r>
      <w:r w:rsidR="00F34B17" w:rsidRPr="00F34B17">
        <w:t>as supported challenge agencies to develop new commercial partnerships with innovative SMEs</w:t>
      </w:r>
      <w:r>
        <w:t>.</w:t>
      </w:r>
    </w:p>
    <w:p w14:paraId="30EFEE7A" w14:textId="0A3DC73A" w:rsidR="00841C76" w:rsidRDefault="00850DA9">
      <w:pPr>
        <w:pStyle w:val="Bullet"/>
      </w:pPr>
      <w:r>
        <w:t>H</w:t>
      </w:r>
      <w:r w:rsidR="00841C76">
        <w:t xml:space="preserve">as supported </w:t>
      </w:r>
      <w:r w:rsidR="00841C76" w:rsidRPr="00841C76">
        <w:t xml:space="preserve">divergent approaches </w:t>
      </w:r>
      <w:r w:rsidR="00715BB9">
        <w:t xml:space="preserve">through the </w:t>
      </w:r>
      <w:r w:rsidR="000C1C29">
        <w:t xml:space="preserve">competition between </w:t>
      </w:r>
      <w:r w:rsidR="00841C76" w:rsidRPr="00841C76">
        <w:t xml:space="preserve">multiple SMEs </w:t>
      </w:r>
      <w:r w:rsidR="00715BB9">
        <w:t xml:space="preserve">that </w:t>
      </w:r>
      <w:r w:rsidR="000C1C29">
        <w:t>resulted in higher quality solutions.</w:t>
      </w:r>
    </w:p>
    <w:p w14:paraId="7F9C7C35" w14:textId="1A8FA564" w:rsidR="000C1C29" w:rsidRDefault="00246C99" w:rsidP="00E86D5A">
      <w:pPr>
        <w:rPr>
          <w:lang w:eastAsia="en-AU"/>
        </w:rPr>
      </w:pPr>
      <w:r>
        <w:rPr>
          <w:lang w:eastAsia="en-AU"/>
        </w:rPr>
        <w:lastRenderedPageBreak/>
        <w:t xml:space="preserve">Challenge </w:t>
      </w:r>
      <w:r w:rsidRPr="000E47E5">
        <w:rPr>
          <w:lang w:eastAsia="en-AU"/>
        </w:rPr>
        <w:t>agencies believed this</w:t>
      </w:r>
      <w:r w:rsidR="00E61067">
        <w:rPr>
          <w:lang w:eastAsia="en-AU"/>
        </w:rPr>
        <w:t xml:space="preserve"> positive</w:t>
      </w:r>
      <w:r w:rsidR="000E47E5" w:rsidRPr="000E47E5">
        <w:rPr>
          <w:lang w:eastAsia="en-AU"/>
        </w:rPr>
        <w:t xml:space="preserve"> impact was bolstered by strong support from DISER.</w:t>
      </w:r>
      <w:r w:rsidR="000E47E5">
        <w:rPr>
          <w:lang w:eastAsia="en-AU"/>
        </w:rPr>
        <w:t xml:space="preserve"> </w:t>
      </w:r>
    </w:p>
    <w:p w14:paraId="3155FECE" w14:textId="6FB45D4F" w:rsidR="000B589C" w:rsidRDefault="001E03A3" w:rsidP="00E86D5A">
      <w:pPr>
        <w:rPr>
          <w:lang w:eastAsia="en-AU"/>
        </w:rPr>
      </w:pPr>
      <w:r w:rsidRPr="001E03A3">
        <w:rPr>
          <w:lang w:eastAsia="en-AU"/>
        </w:rPr>
        <w:t xml:space="preserve">Several challenge agencies have embraced challenge-based innovation </w:t>
      </w:r>
      <w:r w:rsidR="008010CF">
        <w:rPr>
          <w:lang w:eastAsia="en-AU"/>
        </w:rPr>
        <w:t xml:space="preserve">(CBI) </w:t>
      </w:r>
      <w:r w:rsidRPr="001E03A3">
        <w:rPr>
          <w:lang w:eastAsia="en-AU"/>
        </w:rPr>
        <w:t>since participating in the BRII</w:t>
      </w:r>
      <w:r w:rsidR="008010CF">
        <w:rPr>
          <w:lang w:eastAsia="en-AU"/>
        </w:rPr>
        <w:t>. Others have approach</w:t>
      </w:r>
      <w:r w:rsidR="00D45CDE">
        <w:rPr>
          <w:lang w:eastAsia="en-AU"/>
        </w:rPr>
        <w:t>ed</w:t>
      </w:r>
      <w:r w:rsidR="008010CF">
        <w:rPr>
          <w:lang w:eastAsia="en-AU"/>
        </w:rPr>
        <w:t xml:space="preserve"> DISER to implement CBI within their agency based</w:t>
      </w:r>
      <w:r w:rsidR="00644C83">
        <w:rPr>
          <w:lang w:eastAsia="en-AU"/>
        </w:rPr>
        <w:t xml:space="preserve"> on the strength of the BRII’s reputation. </w:t>
      </w:r>
      <w:r w:rsidR="00232107">
        <w:rPr>
          <w:lang w:eastAsia="en-AU"/>
        </w:rPr>
        <w:t xml:space="preserve">These agencies </w:t>
      </w:r>
      <w:r w:rsidR="00644C83" w:rsidRPr="00644C83">
        <w:rPr>
          <w:lang w:eastAsia="en-AU"/>
        </w:rPr>
        <w:t xml:space="preserve">have either implemented their own </w:t>
      </w:r>
      <w:r w:rsidR="00A019AE">
        <w:rPr>
          <w:lang w:eastAsia="en-AU"/>
        </w:rPr>
        <w:t xml:space="preserve">CBI </w:t>
      </w:r>
      <w:r w:rsidR="00644C83" w:rsidRPr="00644C83">
        <w:rPr>
          <w:lang w:eastAsia="en-AU"/>
        </w:rPr>
        <w:t xml:space="preserve">methods, approached DISER to run specialised rounds, started to explore ways to incorporate challenge-based procurement into their </w:t>
      </w:r>
      <w:r w:rsidR="00A12E50">
        <w:rPr>
          <w:lang w:eastAsia="en-AU"/>
        </w:rPr>
        <w:t>research and development</w:t>
      </w:r>
      <w:r w:rsidR="00644C83" w:rsidRPr="00644C83">
        <w:rPr>
          <w:lang w:eastAsia="en-AU"/>
        </w:rPr>
        <w:t xml:space="preserve"> strategy, or indicated they would participate in </w:t>
      </w:r>
      <w:r w:rsidR="00C920F2">
        <w:rPr>
          <w:lang w:eastAsia="en-AU"/>
        </w:rPr>
        <w:t xml:space="preserve">the </w:t>
      </w:r>
      <w:r w:rsidR="00644C83" w:rsidRPr="00644C83">
        <w:rPr>
          <w:lang w:eastAsia="en-AU"/>
        </w:rPr>
        <w:t>BRII again.</w:t>
      </w:r>
    </w:p>
    <w:p w14:paraId="45D56158" w14:textId="77777777" w:rsidR="007B462F" w:rsidRDefault="00887F60" w:rsidP="00E86D5A">
      <w:pPr>
        <w:rPr>
          <w:lang w:eastAsia="en-AU"/>
        </w:rPr>
      </w:pPr>
      <w:r>
        <w:rPr>
          <w:lang w:eastAsia="en-AU"/>
        </w:rPr>
        <w:t>Moreover, t</w:t>
      </w:r>
      <w:r w:rsidR="00644C83">
        <w:rPr>
          <w:lang w:eastAsia="en-AU"/>
        </w:rPr>
        <w:t xml:space="preserve">he solutions developed </w:t>
      </w:r>
      <w:r w:rsidR="007F37E4">
        <w:rPr>
          <w:lang w:eastAsia="en-AU"/>
        </w:rPr>
        <w:t xml:space="preserve">in round one of the </w:t>
      </w:r>
      <w:r w:rsidR="00644C83">
        <w:rPr>
          <w:lang w:eastAsia="en-AU"/>
        </w:rPr>
        <w:t xml:space="preserve">BRII have delivered </w:t>
      </w:r>
      <w:r>
        <w:rPr>
          <w:lang w:eastAsia="en-AU"/>
        </w:rPr>
        <w:t xml:space="preserve">benefits for challenge agencies. </w:t>
      </w:r>
      <w:r w:rsidR="00246C99" w:rsidRPr="003D5B59">
        <w:rPr>
          <w:lang w:eastAsia="en-AU"/>
        </w:rPr>
        <w:t xml:space="preserve">These </w:t>
      </w:r>
      <w:r w:rsidR="00E61067">
        <w:rPr>
          <w:lang w:eastAsia="en-AU"/>
        </w:rPr>
        <w:t>benefits include:</w:t>
      </w:r>
    </w:p>
    <w:p w14:paraId="2C80DE83" w14:textId="7368D521" w:rsidR="0012085E" w:rsidRDefault="008962C9">
      <w:pPr>
        <w:pStyle w:val="Bullet"/>
      </w:pPr>
      <w:r>
        <w:t>B</w:t>
      </w:r>
      <w:r w:rsidR="0012085E">
        <w:t>etter policy outcomes for government</w:t>
      </w:r>
      <w:r w:rsidR="002A7B50">
        <w:t xml:space="preserve">, </w:t>
      </w:r>
      <w:r w:rsidR="002A7B50" w:rsidRPr="003D5B59">
        <w:t>improved information accuracy and timeliness</w:t>
      </w:r>
      <w:r w:rsidR="002A7B50">
        <w:t xml:space="preserve"> for market participants and government</w:t>
      </w:r>
      <w:r w:rsidR="00311262">
        <w:t xml:space="preserve"> agencies</w:t>
      </w:r>
      <w:r>
        <w:t>.</w:t>
      </w:r>
    </w:p>
    <w:p w14:paraId="5749CF62" w14:textId="64BE4F6E" w:rsidR="00E61067" w:rsidRDefault="008962C9">
      <w:pPr>
        <w:pStyle w:val="Bullet"/>
      </w:pPr>
      <w:r>
        <w:t>M</w:t>
      </w:r>
      <w:r w:rsidR="002A7B50">
        <w:t xml:space="preserve">ore efficient service delivery, including </w:t>
      </w:r>
      <w:r w:rsidR="00246C99" w:rsidRPr="003D5B59">
        <w:t>improved processes that save time and money for customers and government agencies</w:t>
      </w:r>
      <w:r w:rsidR="000B439A">
        <w:t xml:space="preserve"> and more efficient </w:t>
      </w:r>
      <w:r w:rsidR="00246C99" w:rsidRPr="003D5B59">
        <w:t xml:space="preserve">back-end efficiencies </w:t>
      </w:r>
      <w:r w:rsidR="00246C99">
        <w:t>for government agencies</w:t>
      </w:r>
      <w:r w:rsidR="00246C99" w:rsidRPr="003D5B59">
        <w:t>.</w:t>
      </w:r>
      <w:r w:rsidR="00246C99">
        <w:t xml:space="preserve"> </w:t>
      </w:r>
    </w:p>
    <w:p w14:paraId="4B1D00EC" w14:textId="60271B29" w:rsidR="00246C99" w:rsidRDefault="00246C99" w:rsidP="00E61067">
      <w:r w:rsidRPr="003D5B59">
        <w:t xml:space="preserve">The </w:t>
      </w:r>
      <w:r>
        <w:t xml:space="preserve">six </w:t>
      </w:r>
      <w:r w:rsidRPr="003D5B59">
        <w:t xml:space="preserve">solutions from round two have yet to reach similar maturity to </w:t>
      </w:r>
      <w:r>
        <w:t xml:space="preserve">the </w:t>
      </w:r>
      <w:r w:rsidRPr="003D5B59">
        <w:t>round one solutions. However, the progress made in the proof of concept stage indicates that they could have a similar impact if they find a pathway to commercialisation.</w:t>
      </w:r>
    </w:p>
    <w:p w14:paraId="32B940A4" w14:textId="77777777" w:rsidR="0022495D" w:rsidRDefault="00246C99" w:rsidP="00EA4234">
      <w:pPr>
        <w:pStyle w:val="Heading3"/>
      </w:pPr>
      <w:r>
        <w:t xml:space="preserve">The BRII </w:t>
      </w:r>
      <w:r w:rsidR="00290E66">
        <w:t xml:space="preserve">has achieved similar </w:t>
      </w:r>
      <w:r w:rsidR="007B4584">
        <w:t xml:space="preserve">or better </w:t>
      </w:r>
      <w:r w:rsidR="003D5B59">
        <w:t xml:space="preserve">outcomes </w:t>
      </w:r>
      <w:r w:rsidR="00312E94">
        <w:t xml:space="preserve">for SMEs </w:t>
      </w:r>
      <w:r w:rsidR="003D5B59">
        <w:t xml:space="preserve">to </w:t>
      </w:r>
      <w:r w:rsidR="0022495D">
        <w:t>comparable programs</w:t>
      </w:r>
      <w:r w:rsidR="00270C64">
        <w:t xml:space="preserve"> in other jurisdictions.</w:t>
      </w:r>
    </w:p>
    <w:p w14:paraId="07F1A46E" w14:textId="6F33F169" w:rsidR="007A7502" w:rsidRDefault="00270C64" w:rsidP="00E86D5A">
      <w:pPr>
        <w:rPr>
          <w:lang w:eastAsia="en-AU"/>
        </w:rPr>
      </w:pPr>
      <w:r w:rsidRPr="00270C64">
        <w:rPr>
          <w:lang w:eastAsia="en-AU"/>
        </w:rPr>
        <w:t xml:space="preserve">BRII firms were just as likely to commercialise their </w:t>
      </w:r>
      <w:r w:rsidR="00A019AE">
        <w:rPr>
          <w:lang w:eastAsia="en-AU"/>
        </w:rPr>
        <w:t>intellectual property (IP)</w:t>
      </w:r>
      <w:r w:rsidRPr="00270C64">
        <w:rPr>
          <w:lang w:eastAsia="en-AU"/>
        </w:rPr>
        <w:t xml:space="preserve"> and more likely to develop partnerships as </w:t>
      </w:r>
      <w:r w:rsidR="00997FBB">
        <w:rPr>
          <w:lang w:eastAsia="en-AU"/>
        </w:rPr>
        <w:t>the United States</w:t>
      </w:r>
      <w:r>
        <w:rPr>
          <w:lang w:eastAsia="en-AU"/>
        </w:rPr>
        <w:t xml:space="preserve"> </w:t>
      </w:r>
      <w:r w:rsidR="00A203F3">
        <w:rPr>
          <w:lang w:eastAsia="en-AU"/>
        </w:rPr>
        <w:t>(US)</w:t>
      </w:r>
      <w:r>
        <w:rPr>
          <w:lang w:eastAsia="en-AU"/>
        </w:rPr>
        <w:t xml:space="preserve"> Small Business Innovation Research (</w:t>
      </w:r>
      <w:r w:rsidRPr="00270C64">
        <w:rPr>
          <w:lang w:eastAsia="en-AU"/>
        </w:rPr>
        <w:t>SBIR</w:t>
      </w:r>
      <w:r>
        <w:rPr>
          <w:lang w:eastAsia="en-AU"/>
        </w:rPr>
        <w:t>)</w:t>
      </w:r>
      <w:r w:rsidRPr="00270C64">
        <w:rPr>
          <w:lang w:eastAsia="en-AU"/>
        </w:rPr>
        <w:t xml:space="preserve"> firms. The BRII created a similar level of additionalit</w:t>
      </w:r>
      <w:r>
        <w:rPr>
          <w:lang w:eastAsia="en-AU"/>
        </w:rPr>
        <w:t>y</w:t>
      </w:r>
      <w:r w:rsidRPr="00270C64">
        <w:rPr>
          <w:lang w:eastAsia="en-AU"/>
        </w:rPr>
        <w:t xml:space="preserve"> to </w:t>
      </w:r>
      <w:r w:rsidR="00BC106C">
        <w:rPr>
          <w:lang w:eastAsia="en-AU"/>
        </w:rPr>
        <w:t>the</w:t>
      </w:r>
      <w:r w:rsidRPr="00270C64">
        <w:rPr>
          <w:lang w:eastAsia="en-AU"/>
        </w:rPr>
        <w:t xml:space="preserve"> SBIR through the support of projects that would not have occurred otherwise, catalysed </w:t>
      </w:r>
      <w:r w:rsidR="000B439A">
        <w:rPr>
          <w:lang w:eastAsia="en-AU"/>
        </w:rPr>
        <w:t>start</w:t>
      </w:r>
      <w:r w:rsidR="00654542">
        <w:rPr>
          <w:lang w:eastAsia="en-AU"/>
        </w:rPr>
        <w:t>-up</w:t>
      </w:r>
      <w:r w:rsidRPr="00270C64">
        <w:rPr>
          <w:lang w:eastAsia="en-AU"/>
        </w:rPr>
        <w:t xml:space="preserve"> creation at the same rate as the SBIR and has had a strongly positive impact on business performance that is similar to the SBIR.</w:t>
      </w:r>
      <w:r w:rsidR="006C28A6">
        <w:rPr>
          <w:lang w:eastAsia="en-AU"/>
        </w:rPr>
        <w:t xml:space="preserve"> </w:t>
      </w:r>
    </w:p>
    <w:p w14:paraId="5C3DC310" w14:textId="77777777" w:rsidR="0024201A" w:rsidRDefault="0022495D">
      <w:pPr>
        <w:pStyle w:val="Heading2"/>
      </w:pPr>
      <w:bookmarkStart w:id="9" w:name="_Toc77970937"/>
      <w:bookmarkStart w:id="10" w:name="_Toc124435137"/>
      <w:r>
        <w:t xml:space="preserve">Round one of the BRII has </w:t>
      </w:r>
      <w:r w:rsidRPr="0022495D">
        <w:t>delivered a substantial net economic benefit to Australia</w:t>
      </w:r>
      <w:bookmarkEnd w:id="9"/>
      <w:bookmarkEnd w:id="10"/>
    </w:p>
    <w:p w14:paraId="5AC43818" w14:textId="70B9DB51" w:rsidR="004D017D" w:rsidRDefault="00246C99" w:rsidP="004D017D">
      <w:r w:rsidRPr="00FF56FB">
        <w:rPr>
          <w:lang w:eastAsia="en-AU"/>
        </w:rPr>
        <w:t>Th</w:t>
      </w:r>
      <w:r w:rsidR="00E86B72">
        <w:rPr>
          <w:lang w:eastAsia="en-AU"/>
        </w:rPr>
        <w:t>is</w:t>
      </w:r>
      <w:r w:rsidRPr="00FF56FB">
        <w:rPr>
          <w:lang w:eastAsia="en-AU"/>
        </w:rPr>
        <w:t xml:space="preserve"> evaluation found that the first round of the BRII achieved an estimated net benefit of $10</w:t>
      </w:r>
      <w:r w:rsidR="00B97095">
        <w:rPr>
          <w:lang w:eastAsia="en-AU"/>
        </w:rPr>
        <w:t>.4</w:t>
      </w:r>
      <w:r w:rsidRPr="00FF56FB">
        <w:rPr>
          <w:lang w:eastAsia="en-AU"/>
        </w:rPr>
        <w:t xml:space="preserve"> million and returned $1.6</w:t>
      </w:r>
      <w:r w:rsidR="00A00FC6">
        <w:rPr>
          <w:lang w:eastAsia="en-AU"/>
        </w:rPr>
        <w:t>4</w:t>
      </w:r>
      <w:r w:rsidRPr="00FF56FB">
        <w:rPr>
          <w:lang w:eastAsia="en-AU"/>
        </w:rPr>
        <w:t xml:space="preserve"> for every $1 that the </w:t>
      </w:r>
      <w:r w:rsidR="005630EB">
        <w:rPr>
          <w:lang w:eastAsia="en-AU"/>
        </w:rPr>
        <w:t>g</w:t>
      </w:r>
      <w:r w:rsidRPr="00FF56FB">
        <w:rPr>
          <w:lang w:eastAsia="en-AU"/>
        </w:rPr>
        <w:t>overnment invested in the program.</w:t>
      </w:r>
      <w:r w:rsidR="00DD29F7">
        <w:rPr>
          <w:rStyle w:val="FootnoteReference"/>
          <w:lang w:eastAsia="en-AU"/>
        </w:rPr>
        <w:footnoteReference w:id="6"/>
      </w:r>
      <w:r w:rsidRPr="00FF56FB">
        <w:rPr>
          <w:lang w:eastAsia="en-AU"/>
        </w:rPr>
        <w:t xml:space="preserve"> </w:t>
      </w:r>
      <w:r w:rsidR="005C7983" w:rsidRPr="00FF56FB">
        <w:t>This included total benefits of $26.8 million, which were made up of $25.7 million of benefits created through improved SME performance and $1.1 million in benefits created through the implementation of three round one solutions. The total costs amounted to $16.</w:t>
      </w:r>
      <w:r w:rsidR="005C7983">
        <w:t>4</w:t>
      </w:r>
      <w:r w:rsidR="005C7983" w:rsidRPr="00FF56FB">
        <w:t xml:space="preserve"> million, which were predominantly made up of grant funding costs alongside some administrative costs. These results reflect a benefit to cost ratio (BCR) of 1.6 to 1. In line with Australian Government guidance, the </w:t>
      </w:r>
      <w:r w:rsidR="005C7983">
        <w:t>cost-benefit analysis (CBA)</w:t>
      </w:r>
      <w:r w:rsidR="005C7983" w:rsidRPr="00FF56FB">
        <w:t xml:space="preserve"> results are presented at discount rates of 3 per cent, 7 </w:t>
      </w:r>
      <w:r w:rsidR="005C7983" w:rsidRPr="00FF56FB">
        <w:lastRenderedPageBreak/>
        <w:t>per cent (base case) and 10 per cent.</w:t>
      </w:r>
      <w:r w:rsidR="005C7983" w:rsidRPr="00FF56FB">
        <w:rPr>
          <w:vertAlign w:val="superscript"/>
        </w:rPr>
        <w:footnoteReference w:id="7"/>
      </w:r>
      <w:r w:rsidR="005C7983" w:rsidRPr="00FF56FB">
        <w:t xml:space="preserve"> The resulting net benefit range has a lower bound of $</w:t>
      </w:r>
      <w:r w:rsidR="005C7983">
        <w:t>8</w:t>
      </w:r>
      <w:r w:rsidR="005C7983" w:rsidRPr="00FF56FB">
        <w:t>.</w:t>
      </w:r>
      <w:r w:rsidR="005C7983">
        <w:t>2</w:t>
      </w:r>
      <w:r w:rsidR="005C7983" w:rsidRPr="00FF56FB">
        <w:t xml:space="preserve"> million and an upper bound of $13.</w:t>
      </w:r>
      <w:r w:rsidR="005C7983">
        <w:t>5</w:t>
      </w:r>
      <w:r w:rsidR="005C7983" w:rsidRPr="00FF56FB">
        <w:t xml:space="preserve"> million (see</w:t>
      </w:r>
      <w:r w:rsidR="00247FAB">
        <w:t xml:space="preserve"> </w:t>
      </w:r>
      <w:r w:rsidR="00247FAB">
        <w:fldChar w:fldCharType="begin"/>
      </w:r>
      <w:r w:rsidR="00247FAB">
        <w:instrText xml:space="preserve"> REF _Ref77957893 \h </w:instrText>
      </w:r>
      <w:r w:rsidR="00247FAB">
        <w:fldChar w:fldCharType="separate"/>
      </w:r>
      <w:r w:rsidR="00AE607F">
        <w:t xml:space="preserve">Figure </w:t>
      </w:r>
      <w:r w:rsidR="00AE607F">
        <w:rPr>
          <w:noProof/>
        </w:rPr>
        <w:t>3</w:t>
      </w:r>
      <w:r w:rsidR="00247FAB">
        <w:fldChar w:fldCharType="end"/>
      </w:r>
      <w:r w:rsidR="003756C5" w:rsidRPr="00FF56FB">
        <w:t>).</w:t>
      </w:r>
    </w:p>
    <w:p w14:paraId="06491D1A" w14:textId="008B6E1E" w:rsidR="00346DDF" w:rsidRDefault="00870ADB" w:rsidP="00870ADB">
      <w:pPr>
        <w:pStyle w:val="Caption"/>
      </w:pPr>
      <w:r>
        <w:t xml:space="preserve">Figure </w:t>
      </w:r>
      <w:r>
        <w:fldChar w:fldCharType="begin"/>
      </w:r>
      <w:r>
        <w:instrText xml:space="preserve"> SEQ Figure \* ARABIC </w:instrText>
      </w:r>
      <w:r>
        <w:fldChar w:fldCharType="separate"/>
      </w:r>
      <w:r>
        <w:rPr>
          <w:noProof/>
        </w:rPr>
        <w:t>3</w:t>
      </w:r>
      <w:r>
        <w:fldChar w:fldCharType="end"/>
      </w:r>
      <w:r w:rsidR="00346DDF">
        <w:t xml:space="preserve"> | Summary of CBA results</w:t>
      </w:r>
    </w:p>
    <w:p w14:paraId="3DEE2BE3" w14:textId="77777777" w:rsidR="00346DDF" w:rsidRDefault="00346DDF" w:rsidP="00346DDF">
      <w:r w:rsidRPr="00813E06">
        <w:rPr>
          <w:noProof/>
        </w:rPr>
        <w:drawing>
          <wp:inline distT="0" distB="0" distL="0" distR="0" wp14:anchorId="75167B34" wp14:editId="311E9DCD">
            <wp:extent cx="5670550" cy="3441065"/>
            <wp:effectExtent l="0" t="0" r="6350" b="6985"/>
            <wp:docPr id="45" name="Picture 45" descr="Total benefits, twenty 6 point 8 million. Total costs in dollars, sixteen point 4 million. Net benefit, ten point 4 million. Round one of the BRII achieved a benefit cost ratio of 1 point 6 to 1.&#10;Sensitivity analysis. Discount rate, 7 per cent (base case), net benefit, ten point 4 million, benefit cost ratio, 1 point 6 to 1. Discount rate, 3 per cent, net benefit, thirteen point 5 million, benefit cost ratio 1 point 9 to 1. Discount rate, ten per cent, net benefit 8 point 2 million, benefit cost ratio 1 point 5 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otal benefits, twenty 6 point 8 million. Total costs in dollars, sixteen point 4 million. Net benefit, ten point 4 million. Round one of the BRII achieved a benefit cost ratio of 1 point 6 to 1.&#10;Sensitivity analysis. Discount rate, 7 per cent (base case), net benefit, ten point 4 million, benefit cost ratio, 1 point 6 to 1. Discount rate, 3 per cent, net benefit, thirteen point 5 million, benefit cost ratio 1 point 9 to 1. Discount rate, ten per cent, net benefit 8 point 2 million, benefit cost ratio 1 point 5 to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70550" cy="3441065"/>
                    </a:xfrm>
                    <a:prstGeom prst="rect">
                      <a:avLst/>
                    </a:prstGeom>
                    <a:noFill/>
                    <a:ln>
                      <a:noFill/>
                    </a:ln>
                  </pic:spPr>
                </pic:pic>
              </a:graphicData>
            </a:graphic>
          </wp:inline>
        </w:drawing>
      </w:r>
    </w:p>
    <w:p w14:paraId="4D3EB84A" w14:textId="77777777" w:rsidR="00246C99" w:rsidRDefault="00246C99" w:rsidP="00246C99">
      <w:pPr>
        <w:pStyle w:val="Source"/>
      </w:pPr>
      <w:r>
        <w:t>Source: Nous analysis</w:t>
      </w:r>
    </w:p>
    <w:p w14:paraId="7A30D528" w14:textId="7D8BE040" w:rsidR="00246C99" w:rsidRDefault="00246C99" w:rsidP="00246C99">
      <w:pPr>
        <w:rPr>
          <w:lang w:eastAsia="en-AU"/>
        </w:rPr>
      </w:pPr>
      <w:r>
        <w:t>It is important to note that t</w:t>
      </w:r>
      <w:r w:rsidRPr="00CB0FD5">
        <w:t>he result</w:t>
      </w:r>
      <w:r>
        <w:t xml:space="preserve"> of the cost-benefit analysis is based on </w:t>
      </w:r>
      <w:r w:rsidRPr="00CB0FD5">
        <w:t>a small sample</w:t>
      </w:r>
      <w:r w:rsidR="00F606AF">
        <w:t xml:space="preserve"> (n=8)</w:t>
      </w:r>
      <w:r>
        <w:t xml:space="preserve"> that is </w:t>
      </w:r>
      <w:r w:rsidR="00F606AF" w:rsidRPr="00CB0FD5">
        <w:t xml:space="preserve">very sensitive to </w:t>
      </w:r>
      <w:r w:rsidR="00F606AF">
        <w:t xml:space="preserve">individual SME </w:t>
      </w:r>
      <w:r w:rsidR="00F606AF" w:rsidRPr="00CB0FD5">
        <w:t>outcomes</w:t>
      </w:r>
      <w:r>
        <w:t>.</w:t>
      </w:r>
    </w:p>
    <w:p w14:paraId="3E6E5D69" w14:textId="0B122F85" w:rsidR="004249ED" w:rsidRPr="00EE304D" w:rsidRDefault="004249ED" w:rsidP="00EA4234">
      <w:pPr>
        <w:pStyle w:val="Heading3"/>
      </w:pPr>
      <w:r w:rsidRPr="00EE304D">
        <w:t xml:space="preserve">The BRII </w:t>
      </w:r>
      <w:r w:rsidR="009C593E">
        <w:t>has</w:t>
      </w:r>
      <w:r w:rsidRPr="00EE304D">
        <w:t xml:space="preserve"> a </w:t>
      </w:r>
      <w:r w:rsidR="008F7586">
        <w:t>similar</w:t>
      </w:r>
      <w:r>
        <w:t xml:space="preserve"> </w:t>
      </w:r>
      <w:r w:rsidRPr="00EE304D">
        <w:t xml:space="preserve">benefit-cost ratio </w:t>
      </w:r>
      <w:r w:rsidR="008F7586">
        <w:t>to</w:t>
      </w:r>
      <w:r w:rsidRPr="00EE304D">
        <w:t xml:space="preserve"> the U</w:t>
      </w:r>
      <w:r w:rsidR="000D05F2">
        <w:t xml:space="preserve">nited </w:t>
      </w:r>
      <w:r w:rsidRPr="00EE304D">
        <w:t>K</w:t>
      </w:r>
      <w:r w:rsidR="000D05F2">
        <w:t>ingdom (</w:t>
      </w:r>
      <w:r w:rsidRPr="00EE304D">
        <w:t>UK</w:t>
      </w:r>
      <w:r w:rsidR="000D05F2">
        <w:t>)</w:t>
      </w:r>
      <w:r w:rsidRPr="00EE304D">
        <w:t xml:space="preserve"> SBRI.</w:t>
      </w:r>
    </w:p>
    <w:p w14:paraId="2B0264FB" w14:textId="778E8C43" w:rsidR="004249ED" w:rsidRDefault="004249ED" w:rsidP="004249ED">
      <w:pPr>
        <w:rPr>
          <w:lang w:eastAsia="en-AU"/>
        </w:rPr>
      </w:pPr>
      <w:r>
        <w:rPr>
          <w:lang w:eastAsia="en-AU"/>
        </w:rPr>
        <w:t>T</w:t>
      </w:r>
      <w:r w:rsidRPr="001E2AA7">
        <w:rPr>
          <w:lang w:eastAsia="en-AU"/>
        </w:rPr>
        <w:t xml:space="preserve">he BRII </w:t>
      </w:r>
      <w:r>
        <w:rPr>
          <w:lang w:eastAsia="en-AU"/>
        </w:rPr>
        <w:t xml:space="preserve">BCR </w:t>
      </w:r>
      <w:r w:rsidRPr="001E2AA7">
        <w:rPr>
          <w:lang w:eastAsia="en-AU"/>
        </w:rPr>
        <w:t xml:space="preserve">result is </w:t>
      </w:r>
      <w:r w:rsidR="008204E4">
        <w:rPr>
          <w:lang w:eastAsia="en-AU"/>
        </w:rPr>
        <w:t xml:space="preserve">comparable to the </w:t>
      </w:r>
      <w:r w:rsidR="008F7586">
        <w:rPr>
          <w:lang w:eastAsia="en-AU"/>
        </w:rPr>
        <w:t xml:space="preserve">BCR for the </w:t>
      </w:r>
      <w:r w:rsidRPr="001E2AA7">
        <w:rPr>
          <w:lang w:eastAsia="en-AU"/>
        </w:rPr>
        <w:t xml:space="preserve">UK </w:t>
      </w:r>
      <w:r w:rsidR="006C7C32">
        <w:rPr>
          <w:lang w:eastAsia="en-AU"/>
        </w:rPr>
        <w:t>Small Business Research Initiative</w:t>
      </w:r>
      <w:r w:rsidRPr="001E2AA7">
        <w:rPr>
          <w:lang w:eastAsia="en-AU"/>
        </w:rPr>
        <w:t xml:space="preserve"> </w:t>
      </w:r>
      <w:r w:rsidR="006C7C32">
        <w:rPr>
          <w:lang w:eastAsia="en-AU"/>
        </w:rPr>
        <w:t>(</w:t>
      </w:r>
      <w:r w:rsidR="009B0579">
        <w:rPr>
          <w:lang w:eastAsia="en-AU"/>
        </w:rPr>
        <w:t>SBRI</w:t>
      </w:r>
      <w:r w:rsidR="006C7C32">
        <w:rPr>
          <w:lang w:eastAsia="en-AU"/>
        </w:rPr>
        <w:t>)</w:t>
      </w:r>
      <w:r w:rsidRPr="001E2AA7">
        <w:rPr>
          <w:lang w:eastAsia="en-AU"/>
        </w:rPr>
        <w:t xml:space="preserve"> according to a 2015 cost-benefit analysis</w:t>
      </w:r>
      <w:r>
        <w:rPr>
          <w:lang w:eastAsia="en-AU"/>
        </w:rPr>
        <w:t>.</w:t>
      </w:r>
      <w:r w:rsidRPr="001E2AA7">
        <w:rPr>
          <w:lang w:eastAsia="en-AU"/>
        </w:rPr>
        <w:t xml:space="preserve"> </w:t>
      </w:r>
      <w:r>
        <w:rPr>
          <w:lang w:eastAsia="en-AU"/>
        </w:rPr>
        <w:t xml:space="preserve">The UK SBRI achieved a BCR of 1.6 (with self-reported benefits) and 2.4 (based only on econometric estimates) for the SBRI. </w:t>
      </w:r>
      <w:r w:rsidR="00A9205A">
        <w:rPr>
          <w:lang w:eastAsia="en-AU"/>
        </w:rPr>
        <w:t>However, t</w:t>
      </w:r>
      <w:r>
        <w:rPr>
          <w:lang w:eastAsia="en-AU"/>
        </w:rPr>
        <w:t>he UK SBRI BCR used a lower base</w:t>
      </w:r>
      <w:r w:rsidR="00E932EF">
        <w:rPr>
          <w:lang w:eastAsia="en-AU"/>
        </w:rPr>
        <w:t xml:space="preserve"> case</w:t>
      </w:r>
      <w:r>
        <w:rPr>
          <w:lang w:eastAsia="en-AU"/>
        </w:rPr>
        <w:t xml:space="preserve"> discount rate of 3 per</w:t>
      </w:r>
      <w:r w:rsidR="00167101">
        <w:rPr>
          <w:lang w:eastAsia="en-AU"/>
        </w:rPr>
        <w:t xml:space="preserve"> </w:t>
      </w:r>
      <w:r>
        <w:rPr>
          <w:lang w:eastAsia="en-AU"/>
        </w:rPr>
        <w:t>cent. At the 3 per</w:t>
      </w:r>
      <w:r w:rsidR="00167101">
        <w:rPr>
          <w:lang w:eastAsia="en-AU"/>
        </w:rPr>
        <w:t xml:space="preserve"> </w:t>
      </w:r>
      <w:r>
        <w:rPr>
          <w:lang w:eastAsia="en-AU"/>
        </w:rPr>
        <w:t>cent discount rate</w:t>
      </w:r>
      <w:r w:rsidR="00246C99">
        <w:rPr>
          <w:lang w:eastAsia="en-AU"/>
        </w:rPr>
        <w:t>,</w:t>
      </w:r>
      <w:r>
        <w:rPr>
          <w:lang w:eastAsia="en-AU"/>
        </w:rPr>
        <w:t xml:space="preserve"> the BRII BCR </w:t>
      </w:r>
      <w:r w:rsidR="008E3DFD">
        <w:rPr>
          <w:lang w:eastAsia="en-AU"/>
        </w:rPr>
        <w:t xml:space="preserve">is </w:t>
      </w:r>
      <w:r w:rsidR="00A06686">
        <w:rPr>
          <w:lang w:eastAsia="en-AU"/>
        </w:rPr>
        <w:t>1.9</w:t>
      </w:r>
      <w:r>
        <w:rPr>
          <w:lang w:eastAsia="en-AU"/>
        </w:rPr>
        <w:t xml:space="preserve">. </w:t>
      </w:r>
      <w:r w:rsidR="00BF62B5">
        <w:rPr>
          <w:lang w:eastAsia="en-AU"/>
        </w:rPr>
        <w:t xml:space="preserve">Adjustment of </w:t>
      </w:r>
      <w:r w:rsidR="00246C99">
        <w:rPr>
          <w:lang w:eastAsia="en-AU"/>
        </w:rPr>
        <w:t xml:space="preserve">some </w:t>
      </w:r>
      <w:r w:rsidR="00F60273">
        <w:rPr>
          <w:lang w:eastAsia="en-AU"/>
        </w:rPr>
        <w:t>other</w:t>
      </w:r>
      <w:r w:rsidR="00BF62B5">
        <w:rPr>
          <w:lang w:eastAsia="en-AU"/>
        </w:rPr>
        <w:t xml:space="preserve"> model assumptions </w:t>
      </w:r>
      <w:r w:rsidR="00246C99">
        <w:rPr>
          <w:lang w:eastAsia="en-AU"/>
        </w:rPr>
        <w:t xml:space="preserve">away from </w:t>
      </w:r>
      <w:r w:rsidR="00BF62B5">
        <w:rPr>
          <w:lang w:eastAsia="en-AU"/>
        </w:rPr>
        <w:t>base</w:t>
      </w:r>
      <w:r w:rsidR="00E932EF">
        <w:rPr>
          <w:lang w:eastAsia="en-AU"/>
        </w:rPr>
        <w:t xml:space="preserve"> case</w:t>
      </w:r>
      <w:r w:rsidR="00BF62B5">
        <w:rPr>
          <w:lang w:eastAsia="en-AU"/>
        </w:rPr>
        <w:t xml:space="preserve"> </w:t>
      </w:r>
      <w:r w:rsidR="00246C99">
        <w:rPr>
          <w:lang w:eastAsia="en-AU"/>
        </w:rPr>
        <w:t>in</w:t>
      </w:r>
      <w:r w:rsidR="00BF62B5">
        <w:rPr>
          <w:lang w:eastAsia="en-AU"/>
        </w:rPr>
        <w:t xml:space="preserve"> the BRII example </w:t>
      </w:r>
      <w:r w:rsidR="00246C99">
        <w:rPr>
          <w:lang w:eastAsia="en-AU"/>
        </w:rPr>
        <w:t>can</w:t>
      </w:r>
      <w:r w:rsidR="00BF62B5">
        <w:rPr>
          <w:lang w:eastAsia="en-AU"/>
        </w:rPr>
        <w:t xml:space="preserve"> result in a BCR even closer to the upper bound of the </w:t>
      </w:r>
      <w:r w:rsidR="00D65C30">
        <w:rPr>
          <w:lang w:eastAsia="en-AU"/>
        </w:rPr>
        <w:t>UK SBRI result.</w:t>
      </w:r>
    </w:p>
    <w:p w14:paraId="15E8B0E0" w14:textId="77777777" w:rsidR="0028383C" w:rsidRDefault="0028383C" w:rsidP="00EA4234">
      <w:pPr>
        <w:pStyle w:val="Heading3"/>
      </w:pPr>
      <w:r w:rsidRPr="0028383C">
        <w:lastRenderedPageBreak/>
        <w:t>The BRII also contributes to other benefits that are not captured as part of this CBA.</w:t>
      </w:r>
    </w:p>
    <w:p w14:paraId="1AD643FD" w14:textId="77777777" w:rsidR="009750BE" w:rsidRDefault="00331F53" w:rsidP="006A0713">
      <w:pPr>
        <w:rPr>
          <w:lang w:eastAsia="en-AU"/>
        </w:rPr>
      </w:pPr>
      <w:r w:rsidRPr="00331F53">
        <w:rPr>
          <w:lang w:eastAsia="en-AU"/>
        </w:rPr>
        <w:t>The estimate of benefits in the CBA is conservative. There are several benefits created for SMEs, government and society more broadly that are currently not measured (but might be into the future)</w:t>
      </w:r>
      <w:r>
        <w:rPr>
          <w:lang w:eastAsia="en-AU"/>
        </w:rPr>
        <w:t xml:space="preserve">. </w:t>
      </w:r>
      <w:r w:rsidR="009750BE">
        <w:rPr>
          <w:lang w:eastAsia="en-AU"/>
        </w:rPr>
        <w:t xml:space="preserve">The other </w:t>
      </w:r>
      <w:r w:rsidR="00246C99">
        <w:rPr>
          <w:lang w:eastAsia="en-AU"/>
        </w:rPr>
        <w:t>benefits</w:t>
      </w:r>
      <w:r w:rsidR="009750BE">
        <w:rPr>
          <w:lang w:eastAsia="en-AU"/>
        </w:rPr>
        <w:t xml:space="preserve"> include:</w:t>
      </w:r>
    </w:p>
    <w:p w14:paraId="28FB06BF" w14:textId="610DC318" w:rsidR="009750BE" w:rsidRPr="00FD2406" w:rsidRDefault="009750BE">
      <w:pPr>
        <w:pStyle w:val="Bullet"/>
      </w:pPr>
      <w:r>
        <w:rPr>
          <w:rFonts w:asciiTheme="majorHAnsi" w:hAnsiTheme="majorHAnsi" w:cstheme="majorHAnsi"/>
        </w:rPr>
        <w:t>O</w:t>
      </w:r>
      <w:r w:rsidRPr="00606EF1">
        <w:rPr>
          <w:rFonts w:asciiTheme="majorHAnsi" w:hAnsiTheme="majorHAnsi" w:cstheme="majorHAnsi"/>
        </w:rPr>
        <w:t xml:space="preserve">ther benefits for </w:t>
      </w:r>
      <w:r w:rsidR="000348EB">
        <w:rPr>
          <w:rFonts w:asciiTheme="majorHAnsi" w:hAnsiTheme="majorHAnsi" w:cstheme="majorHAnsi"/>
        </w:rPr>
        <w:t>the Australian G</w:t>
      </w:r>
      <w:r w:rsidRPr="00606EF1">
        <w:rPr>
          <w:rFonts w:asciiTheme="majorHAnsi" w:hAnsiTheme="majorHAnsi" w:cstheme="majorHAnsi"/>
        </w:rPr>
        <w:t>overnment and society from the three case study solutions beyond those accounted for in the CBA</w:t>
      </w:r>
      <w:r w:rsidRPr="00FD2406">
        <w:t xml:space="preserve">. For example, </w:t>
      </w:r>
      <w:r w:rsidR="00B23FB9">
        <w:t>it</w:t>
      </w:r>
      <w:r w:rsidRPr="00FD2406">
        <w:t xml:space="preserve"> is possible that the </w:t>
      </w:r>
      <w:r w:rsidR="00FE1525">
        <w:t xml:space="preserve">modelled </w:t>
      </w:r>
      <w:r w:rsidRPr="00FD2406">
        <w:t>solutions are delivering outcomes more effectively (</w:t>
      </w:r>
      <w:r>
        <w:t>covered in the CBA</w:t>
      </w:r>
      <w:r w:rsidRPr="00FD2406">
        <w:t xml:space="preserve">) </w:t>
      </w:r>
      <w:r w:rsidRPr="00FD2406">
        <w:rPr>
          <w:i/>
          <w:iCs/>
        </w:rPr>
        <w:t>and</w:t>
      </w:r>
      <w:r w:rsidRPr="00FD2406">
        <w:t xml:space="preserve"> with higher quality outcomes (</w:t>
      </w:r>
      <w:r w:rsidR="00FE1525">
        <w:t>not covered in the CBA</w:t>
      </w:r>
      <w:r w:rsidRPr="00FD2406">
        <w:t xml:space="preserve">). </w:t>
      </w:r>
    </w:p>
    <w:p w14:paraId="413E8BF4" w14:textId="77777777" w:rsidR="009750BE" w:rsidRPr="00FD2406" w:rsidRDefault="009750BE">
      <w:pPr>
        <w:pStyle w:val="Bullet"/>
      </w:pPr>
      <w:r w:rsidRPr="4A9AC73B">
        <w:rPr>
          <w:rFonts w:asciiTheme="majorHAnsi" w:hAnsiTheme="majorHAnsi" w:cstheme="majorBidi"/>
        </w:rPr>
        <w:t>Benefits created from solutions that are not yet measurable.</w:t>
      </w:r>
      <w:r w:rsidRPr="00FD2406">
        <w:t xml:space="preserve"> </w:t>
      </w:r>
      <w:r w:rsidR="00E03217">
        <w:t xml:space="preserve">For </w:t>
      </w:r>
      <w:r w:rsidRPr="00FD2406">
        <w:t xml:space="preserve">example, the digital solution (Itree’s REACH) to address BRII’s round one challenge of sharing information nationally to ensure child safety could drive significant </w:t>
      </w:r>
      <w:r>
        <w:t>benefits through a reduction in</w:t>
      </w:r>
      <w:r w:rsidRPr="00FD2406">
        <w:t xml:space="preserve"> the incidence of harm for children at risk.</w:t>
      </w:r>
      <w:r w:rsidRPr="00FD2406">
        <w:rPr>
          <w:rStyle w:val="FootnoteReference"/>
        </w:rPr>
        <w:footnoteReference w:id="8"/>
      </w:r>
      <w:r w:rsidRPr="00FD2406">
        <w:t xml:space="preserve">  </w:t>
      </w:r>
      <w:r>
        <w:t>Given the lack of data and the complex, high-consequence and in some cases unquantifiable risk of some of these outcomes</w:t>
      </w:r>
      <w:r w:rsidRPr="00FD2406">
        <w:t xml:space="preserve"> </w:t>
      </w:r>
      <w:r>
        <w:t>they were not quantified</w:t>
      </w:r>
      <w:r w:rsidRPr="00FD2406">
        <w:t xml:space="preserve"> as part of this CBA.</w:t>
      </w:r>
    </w:p>
    <w:p w14:paraId="178BDCD2" w14:textId="71F46739" w:rsidR="009750BE" w:rsidRPr="00FD2406" w:rsidRDefault="009750BE">
      <w:pPr>
        <w:pStyle w:val="Bullet"/>
      </w:pPr>
      <w:r>
        <w:rPr>
          <w:rFonts w:asciiTheme="majorHAnsi" w:hAnsiTheme="majorHAnsi" w:cstheme="majorBidi"/>
        </w:rPr>
        <w:t>N</w:t>
      </w:r>
      <w:r w:rsidRPr="00266E75">
        <w:rPr>
          <w:rFonts w:asciiTheme="majorHAnsi" w:hAnsiTheme="majorHAnsi" w:cstheme="majorBidi"/>
        </w:rPr>
        <w:t>on-monetary benefits that accrue to both round one SMEs and challenge agencies</w:t>
      </w:r>
      <w:r w:rsidRPr="4A9AC73B">
        <w:rPr>
          <w:rFonts w:asciiTheme="majorHAnsi" w:hAnsiTheme="majorHAnsi" w:cstheme="majorBidi"/>
        </w:rPr>
        <w:t>.</w:t>
      </w:r>
      <w:r w:rsidRPr="00FD2406">
        <w:t xml:space="preserve"> For example, SMEs benefit from learning how to navigate </w:t>
      </w:r>
      <w:r w:rsidR="00AE04F6">
        <w:t xml:space="preserve">Australian </w:t>
      </w:r>
      <w:r w:rsidRPr="00FD2406">
        <w:t>government procurement</w:t>
      </w:r>
      <w:r>
        <w:t>. A</w:t>
      </w:r>
      <w:r w:rsidRPr="00D36EB5">
        <w:t xml:space="preserve">gencies </w:t>
      </w:r>
      <w:r>
        <w:t>benefit from an improved ability</w:t>
      </w:r>
      <w:r w:rsidRPr="00FD2406">
        <w:t xml:space="preserve"> to partner with smaller and innovative </w:t>
      </w:r>
      <w:r>
        <w:t xml:space="preserve">SMEs </w:t>
      </w:r>
      <w:r w:rsidRPr="00FD2406">
        <w:t>into the future</w:t>
      </w:r>
      <w:r w:rsidRPr="00D36EB5">
        <w:t xml:space="preserve">. </w:t>
      </w:r>
      <w:r w:rsidR="00246C99">
        <w:t>One proxy measure of this</w:t>
      </w:r>
      <w:r w:rsidR="00246C99" w:rsidRPr="00D36EB5">
        <w:t xml:space="preserve"> is </w:t>
      </w:r>
      <w:r w:rsidR="00246C99">
        <w:t>the</w:t>
      </w:r>
      <w:r w:rsidR="00246C99" w:rsidRPr="00D36EB5">
        <w:t xml:space="preserve"> </w:t>
      </w:r>
      <w:r w:rsidR="00AE04F6">
        <w:t>g</w:t>
      </w:r>
      <w:r w:rsidR="00246C99" w:rsidRPr="00D36EB5">
        <w:t>overnment procurement trends (sourced from Aus</w:t>
      </w:r>
      <w:r w:rsidR="00246C99">
        <w:t>T</w:t>
      </w:r>
      <w:r w:rsidR="00246C99" w:rsidRPr="00D36EB5">
        <w:t xml:space="preserve">ender) for the </w:t>
      </w:r>
      <w:r w:rsidR="00F41E6B">
        <w:t>nine</w:t>
      </w:r>
      <w:r w:rsidR="00246C99" w:rsidRPr="00D36EB5">
        <w:t xml:space="preserve"> round one proof of concept SMEs that existed prior to participating in BRII. These SMEs </w:t>
      </w:r>
      <w:r w:rsidR="00246C99">
        <w:t xml:space="preserve">increased </w:t>
      </w:r>
      <w:r w:rsidR="00FA34EE">
        <w:t xml:space="preserve">their </w:t>
      </w:r>
      <w:r w:rsidR="00246C99">
        <w:t>cumulative total of government contracts from</w:t>
      </w:r>
      <w:r w:rsidR="00246C99" w:rsidRPr="00D36EB5">
        <w:t xml:space="preserve"> 61 </w:t>
      </w:r>
      <w:r w:rsidR="000F3DEC">
        <w:t xml:space="preserve">in the </w:t>
      </w:r>
      <w:r w:rsidR="00FA34EE">
        <w:t xml:space="preserve">five years prior to the BRII </w:t>
      </w:r>
      <w:r w:rsidR="00246C99">
        <w:t>to 88</w:t>
      </w:r>
      <w:r w:rsidR="00FA34EE">
        <w:t xml:space="preserve"> in the five years post BRII</w:t>
      </w:r>
      <w:r w:rsidR="009C56B6">
        <w:t xml:space="preserve"> commencement</w:t>
      </w:r>
      <w:r w:rsidR="00246C99">
        <w:t xml:space="preserve">. This resulted in a $10.1 million increase in the combined cumulative value of </w:t>
      </w:r>
      <w:r w:rsidR="00246C99" w:rsidRPr="00D36EB5">
        <w:t xml:space="preserve">government contracts for </w:t>
      </w:r>
      <w:r w:rsidR="00246C99">
        <w:t>those SMEs</w:t>
      </w:r>
      <w:r w:rsidRPr="00D36EB5">
        <w:t>.</w:t>
      </w:r>
      <w:r w:rsidRPr="00D36EB5">
        <w:rPr>
          <w:rStyle w:val="FootnoteReference"/>
        </w:rPr>
        <w:footnoteReference w:id="9"/>
      </w:r>
      <w:r w:rsidRPr="00D36EB5">
        <w:t xml:space="preserve"> </w:t>
      </w:r>
    </w:p>
    <w:p w14:paraId="5B167534" w14:textId="582F977F" w:rsidR="00F026AF" w:rsidRDefault="009750BE">
      <w:pPr>
        <w:pStyle w:val="Bullet"/>
      </w:pPr>
      <w:r>
        <w:rPr>
          <w:rFonts w:asciiTheme="majorHAnsi" w:hAnsiTheme="majorHAnsi" w:cstheme="majorHAnsi"/>
        </w:rPr>
        <w:t>B</w:t>
      </w:r>
      <w:r w:rsidRPr="00FD4A32">
        <w:rPr>
          <w:rFonts w:asciiTheme="majorHAnsi" w:hAnsiTheme="majorHAnsi" w:cstheme="majorHAnsi"/>
        </w:rPr>
        <w:t>enefits that round one feasibility SMEs might create</w:t>
      </w:r>
      <w:r>
        <w:rPr>
          <w:rFonts w:asciiTheme="majorHAnsi" w:hAnsiTheme="majorHAnsi" w:cstheme="majorHAnsi"/>
        </w:rPr>
        <w:t xml:space="preserve"> through the BRII</w:t>
      </w:r>
      <w:r w:rsidRPr="003112E4">
        <w:rPr>
          <w:rFonts w:asciiTheme="majorHAnsi" w:hAnsiTheme="majorHAnsi" w:cstheme="majorHAnsi"/>
        </w:rPr>
        <w:t xml:space="preserve">. </w:t>
      </w:r>
      <w:r w:rsidRPr="00FD2406">
        <w:t xml:space="preserve">For example, even SMEs that </w:t>
      </w:r>
      <w:r>
        <w:t xml:space="preserve">only </w:t>
      </w:r>
      <w:r w:rsidRPr="00FD2406">
        <w:t>progress to the feasibility stage could continue to develop their idea or innovation without further BRII assistance. Even</w:t>
      </w:r>
      <w:r w:rsidRPr="00FD2406" w:rsidDel="00E23D92">
        <w:t xml:space="preserve"> </w:t>
      </w:r>
      <w:r>
        <w:t>though they</w:t>
      </w:r>
      <w:r w:rsidRPr="00FD2406">
        <w:t xml:space="preserve"> receive no </w:t>
      </w:r>
      <w:r>
        <w:t xml:space="preserve">further </w:t>
      </w:r>
      <w:r w:rsidRPr="00FD2406">
        <w:t>funding</w:t>
      </w:r>
      <w:r w:rsidR="0005214E">
        <w:t>,</w:t>
      </w:r>
      <w:r w:rsidRPr="00FD2406">
        <w:t xml:space="preserve"> </w:t>
      </w:r>
      <w:r>
        <w:t>the BRII may have been a catalyst for their innovation or introduced them to partners or customers to support the commercialisation of their solution.</w:t>
      </w:r>
    </w:p>
    <w:p w14:paraId="31CDB7BD" w14:textId="77777777" w:rsidR="0024201A" w:rsidRDefault="00D0216A">
      <w:pPr>
        <w:pStyle w:val="Heading2"/>
      </w:pPr>
      <w:bookmarkStart w:id="11" w:name="_Toc77970938"/>
      <w:bookmarkStart w:id="12" w:name="_Toc124435138"/>
      <w:r>
        <w:lastRenderedPageBreak/>
        <w:t>BRII p</w:t>
      </w:r>
      <w:r w:rsidR="0024201A">
        <w:t>rogram design</w:t>
      </w:r>
      <w:r w:rsidR="00F1128A">
        <w:t>, governance</w:t>
      </w:r>
      <w:r w:rsidR="0024201A">
        <w:t xml:space="preserve"> and implementation</w:t>
      </w:r>
      <w:r>
        <w:t xml:space="preserve"> have been effective</w:t>
      </w:r>
      <w:bookmarkEnd w:id="11"/>
      <w:bookmarkEnd w:id="12"/>
    </w:p>
    <w:p w14:paraId="3C0E8C13" w14:textId="38E6141A" w:rsidR="00375A9B" w:rsidRDefault="001B3581" w:rsidP="00375A9B">
      <w:pPr>
        <w:rPr>
          <w:lang w:eastAsia="en-AU"/>
        </w:rPr>
      </w:pPr>
      <w:r>
        <w:rPr>
          <w:lang w:eastAsia="en-AU"/>
        </w:rPr>
        <w:t>C</w:t>
      </w:r>
      <w:r w:rsidR="00B42B71">
        <w:rPr>
          <w:lang w:eastAsia="en-AU"/>
        </w:rPr>
        <w:t>hallenge agencies and SMEs</w:t>
      </w:r>
      <w:r>
        <w:rPr>
          <w:lang w:eastAsia="en-AU"/>
        </w:rPr>
        <w:t xml:space="preserve"> </w:t>
      </w:r>
      <w:r w:rsidR="00B42B71">
        <w:rPr>
          <w:lang w:eastAsia="en-AU"/>
        </w:rPr>
        <w:t xml:space="preserve">generally reported a positive experience from their participation in the BRII. </w:t>
      </w:r>
      <w:r w:rsidR="009C56B6">
        <w:rPr>
          <w:lang w:eastAsia="en-AU"/>
        </w:rPr>
        <w:t>Although effective overall, s</w:t>
      </w:r>
      <w:r w:rsidR="000E273F">
        <w:rPr>
          <w:lang w:eastAsia="en-AU"/>
        </w:rPr>
        <w:t xml:space="preserve">takeholders </w:t>
      </w:r>
      <w:r w:rsidR="009C56B6">
        <w:rPr>
          <w:lang w:eastAsia="en-AU"/>
        </w:rPr>
        <w:t>did note</w:t>
      </w:r>
      <w:r>
        <w:rPr>
          <w:lang w:eastAsia="en-AU"/>
        </w:rPr>
        <w:t xml:space="preserve"> </w:t>
      </w:r>
      <w:r w:rsidR="000E273F">
        <w:rPr>
          <w:lang w:eastAsia="en-AU"/>
        </w:rPr>
        <w:t>some</w:t>
      </w:r>
      <w:r>
        <w:rPr>
          <w:lang w:eastAsia="en-AU"/>
        </w:rPr>
        <w:t xml:space="preserve"> areas for improvement in the design</w:t>
      </w:r>
      <w:r w:rsidR="00940F3E">
        <w:rPr>
          <w:lang w:eastAsia="en-AU"/>
        </w:rPr>
        <w:t>, governance and implementation</w:t>
      </w:r>
      <w:r>
        <w:rPr>
          <w:lang w:eastAsia="en-AU"/>
        </w:rPr>
        <w:t xml:space="preserve"> of the program</w:t>
      </w:r>
      <w:r w:rsidR="000E273F">
        <w:rPr>
          <w:lang w:eastAsia="en-AU"/>
        </w:rPr>
        <w:t xml:space="preserve"> </w:t>
      </w:r>
      <w:r w:rsidR="009C56B6">
        <w:rPr>
          <w:lang w:eastAsia="en-AU"/>
        </w:rPr>
        <w:t>that</w:t>
      </w:r>
      <w:r w:rsidR="000E273F">
        <w:rPr>
          <w:lang w:eastAsia="en-AU"/>
        </w:rPr>
        <w:t xml:space="preserve"> are discussed below.</w:t>
      </w:r>
    </w:p>
    <w:p w14:paraId="15209A82" w14:textId="77777777" w:rsidR="001B3581" w:rsidRDefault="00F53D22" w:rsidP="00EA4234">
      <w:pPr>
        <w:pStyle w:val="Heading3"/>
      </w:pPr>
      <w:r>
        <w:t>The design and governance of the BRII has been effective</w:t>
      </w:r>
      <w:r w:rsidR="00E567C5">
        <w:t>.</w:t>
      </w:r>
    </w:p>
    <w:p w14:paraId="1ED42C65" w14:textId="77777777" w:rsidR="005C2D8C" w:rsidRDefault="002A295B" w:rsidP="009F52D4">
      <w:pPr>
        <w:rPr>
          <w:lang w:eastAsia="en-AU"/>
        </w:rPr>
      </w:pPr>
      <w:r>
        <w:rPr>
          <w:lang w:eastAsia="en-AU"/>
        </w:rPr>
        <w:t xml:space="preserve">The evaluation identified </w:t>
      </w:r>
      <w:r w:rsidR="00940F3E">
        <w:rPr>
          <w:lang w:eastAsia="en-AU"/>
        </w:rPr>
        <w:t>three</w:t>
      </w:r>
      <w:r>
        <w:rPr>
          <w:lang w:eastAsia="en-AU"/>
        </w:rPr>
        <w:t xml:space="preserve"> key findings regarding the design and governance of the BRII:</w:t>
      </w:r>
    </w:p>
    <w:p w14:paraId="4CB7D6E3" w14:textId="5226C78D" w:rsidR="00E82E29" w:rsidRDefault="00E82E29">
      <w:pPr>
        <w:pStyle w:val="Bullet"/>
      </w:pPr>
      <w:r w:rsidRPr="00021C30">
        <w:rPr>
          <w:rFonts w:asciiTheme="majorHAnsi" w:hAnsiTheme="majorHAnsi" w:cstheme="majorHAnsi"/>
        </w:rPr>
        <w:t xml:space="preserve">The BRII </w:t>
      </w:r>
      <w:r w:rsidR="00940F3E">
        <w:rPr>
          <w:rFonts w:asciiTheme="majorHAnsi" w:hAnsiTheme="majorHAnsi" w:cstheme="majorHAnsi"/>
        </w:rPr>
        <w:t xml:space="preserve">continues to support </w:t>
      </w:r>
      <w:r w:rsidRPr="00021C30">
        <w:rPr>
          <w:rFonts w:asciiTheme="majorHAnsi" w:hAnsiTheme="majorHAnsi" w:cstheme="majorHAnsi"/>
        </w:rPr>
        <w:t>the objectives for which it was designed.</w:t>
      </w:r>
      <w:r>
        <w:t xml:space="preserve"> </w:t>
      </w:r>
      <w:r w:rsidR="001E6F04" w:rsidRPr="00021C30">
        <w:t xml:space="preserve">The program has reached 14 different </w:t>
      </w:r>
      <w:r w:rsidR="00D573A2">
        <w:t>g</w:t>
      </w:r>
      <w:r w:rsidR="001E6F04" w:rsidRPr="00021C30">
        <w:t>overnment</w:t>
      </w:r>
      <w:r w:rsidRPr="00021C30">
        <w:t xml:space="preserve"> agencies directly and has touched many others indirectly. This impact has triggered some change in agencies, some of whom have planned further challenge-based procurement.</w:t>
      </w:r>
    </w:p>
    <w:p w14:paraId="43BBA525" w14:textId="4F4B998B" w:rsidR="003D3A76" w:rsidRPr="000530A2" w:rsidRDefault="001E6F04">
      <w:pPr>
        <w:pStyle w:val="Bullet"/>
        <w:rPr>
          <w:rFonts w:asciiTheme="minorHAnsi" w:hAnsiTheme="minorHAnsi" w:cstheme="minorHAnsi"/>
        </w:rPr>
      </w:pPr>
      <w:r w:rsidRPr="00C719A2">
        <w:rPr>
          <w:rFonts w:asciiTheme="majorHAnsi" w:hAnsiTheme="majorHAnsi" w:cstheme="majorHAnsi"/>
        </w:rPr>
        <w:t xml:space="preserve">The </w:t>
      </w:r>
      <w:r>
        <w:rPr>
          <w:rFonts w:asciiTheme="majorHAnsi" w:hAnsiTheme="majorHAnsi" w:cstheme="majorHAnsi"/>
        </w:rPr>
        <w:t>Entrepreneurs’ Program Committee (</w:t>
      </w:r>
      <w:r w:rsidR="003D3A76" w:rsidRPr="00C719A2">
        <w:rPr>
          <w:rFonts w:asciiTheme="majorHAnsi" w:hAnsiTheme="majorHAnsi" w:cstheme="majorHAnsi"/>
        </w:rPr>
        <w:t>EPC</w:t>
      </w:r>
      <w:r>
        <w:rPr>
          <w:rFonts w:asciiTheme="majorHAnsi" w:hAnsiTheme="majorHAnsi" w:cstheme="majorHAnsi"/>
        </w:rPr>
        <w:t>)</w:t>
      </w:r>
      <w:r w:rsidR="003D3A76" w:rsidRPr="00C719A2">
        <w:rPr>
          <w:rFonts w:asciiTheme="majorHAnsi" w:hAnsiTheme="majorHAnsi" w:cstheme="majorHAnsi"/>
        </w:rPr>
        <w:t xml:space="preserve"> has been invaluable in its capacity to bring commercialisation expertise. </w:t>
      </w:r>
      <w:r w:rsidR="003D3A76" w:rsidRPr="000530A2">
        <w:rPr>
          <w:rFonts w:asciiTheme="minorHAnsi" w:hAnsiTheme="minorHAnsi" w:cstheme="minorHAnsi"/>
        </w:rPr>
        <w:t xml:space="preserve">This has aided in the selection of high-quality applications with the potential to rapidly develop and commercialise products. This expertise was especially valuable as it is not prevalent in either DISER or the challenge agencies. However, </w:t>
      </w:r>
      <w:r w:rsidR="003D3A76">
        <w:rPr>
          <w:rFonts w:asciiTheme="minorHAnsi" w:hAnsiTheme="minorHAnsi" w:cstheme="minorHAnsi"/>
        </w:rPr>
        <w:t>c</w:t>
      </w:r>
      <w:r w:rsidR="003D3A76" w:rsidRPr="00134186">
        <w:rPr>
          <w:rFonts w:asciiTheme="minorHAnsi" w:hAnsiTheme="minorHAnsi" w:cstheme="minorHAnsi"/>
        </w:rPr>
        <w:t>urrent governance arrangements require significant time investment from the EPC</w:t>
      </w:r>
      <w:r w:rsidR="003D3A76">
        <w:rPr>
          <w:rFonts w:asciiTheme="minorHAnsi" w:hAnsiTheme="minorHAnsi" w:cstheme="minorHAnsi"/>
        </w:rPr>
        <w:t>. T</w:t>
      </w:r>
      <w:r w:rsidR="003D3A76" w:rsidRPr="000530A2">
        <w:rPr>
          <w:rFonts w:asciiTheme="minorHAnsi" w:hAnsiTheme="minorHAnsi" w:cstheme="minorHAnsi"/>
        </w:rPr>
        <w:t>he time-intensive nature of BRII governance, especially for members of the EPC, limits the program’s ability to scale</w:t>
      </w:r>
      <w:r w:rsidR="005A1AA1">
        <w:rPr>
          <w:rFonts w:asciiTheme="minorHAnsi" w:hAnsiTheme="minorHAnsi" w:cstheme="minorHAnsi"/>
        </w:rPr>
        <w:t xml:space="preserve"> up</w:t>
      </w:r>
      <w:r w:rsidR="003D3A76">
        <w:rPr>
          <w:rFonts w:asciiTheme="minorHAnsi" w:hAnsiTheme="minorHAnsi" w:cstheme="minorHAnsi"/>
        </w:rPr>
        <w:t>.</w:t>
      </w:r>
    </w:p>
    <w:p w14:paraId="10BB5EC0" w14:textId="2B3AB712" w:rsidR="00C719A2" w:rsidRDefault="000530A2">
      <w:pPr>
        <w:pStyle w:val="Bullet"/>
        <w:rPr>
          <w:rFonts w:asciiTheme="minorHAnsi" w:hAnsiTheme="minorHAnsi" w:cstheme="minorHAnsi"/>
        </w:rPr>
      </w:pPr>
      <w:r w:rsidRPr="00C719A2">
        <w:rPr>
          <w:rFonts w:asciiTheme="majorHAnsi" w:hAnsiTheme="majorHAnsi" w:cstheme="majorHAnsi"/>
        </w:rPr>
        <w:t>T</w:t>
      </w:r>
      <w:r w:rsidR="00134186" w:rsidRPr="00C719A2">
        <w:rPr>
          <w:rFonts w:asciiTheme="majorHAnsi" w:hAnsiTheme="majorHAnsi" w:cstheme="majorHAnsi"/>
        </w:rPr>
        <w:t>he BRII policy and program teams have each completed their role effectively</w:t>
      </w:r>
      <w:r w:rsidR="00C719A2" w:rsidRPr="00C719A2">
        <w:rPr>
          <w:rFonts w:asciiTheme="majorHAnsi" w:hAnsiTheme="majorHAnsi" w:cstheme="majorHAnsi"/>
        </w:rPr>
        <w:t xml:space="preserve">. </w:t>
      </w:r>
      <w:r w:rsidR="00C719A2">
        <w:rPr>
          <w:rFonts w:asciiTheme="minorHAnsi" w:hAnsiTheme="minorHAnsi" w:cstheme="minorHAnsi"/>
        </w:rPr>
        <w:t xml:space="preserve">The BRII policy team has </w:t>
      </w:r>
      <w:r w:rsidR="003B693D" w:rsidRPr="000530A2">
        <w:rPr>
          <w:rFonts w:asciiTheme="minorHAnsi" w:hAnsiTheme="minorHAnsi" w:cstheme="minorHAnsi"/>
        </w:rPr>
        <w:t>support</w:t>
      </w:r>
      <w:r w:rsidR="00C719A2">
        <w:rPr>
          <w:rFonts w:asciiTheme="minorHAnsi" w:hAnsiTheme="minorHAnsi" w:cstheme="minorHAnsi"/>
        </w:rPr>
        <w:t>ed</w:t>
      </w:r>
      <w:r w:rsidR="003B693D" w:rsidRPr="000530A2">
        <w:rPr>
          <w:rFonts w:asciiTheme="minorHAnsi" w:hAnsiTheme="minorHAnsi" w:cstheme="minorHAnsi"/>
        </w:rPr>
        <w:t xml:space="preserve"> improvements to the design of the program</w:t>
      </w:r>
      <w:r w:rsidR="00C719A2">
        <w:rPr>
          <w:rFonts w:asciiTheme="minorHAnsi" w:hAnsiTheme="minorHAnsi" w:cstheme="minorHAnsi"/>
        </w:rPr>
        <w:t>. The BRII program team h</w:t>
      </w:r>
      <w:r w:rsidR="00A84502">
        <w:rPr>
          <w:rFonts w:asciiTheme="minorHAnsi" w:hAnsiTheme="minorHAnsi" w:cstheme="minorHAnsi"/>
        </w:rPr>
        <w:t>as</w:t>
      </w:r>
      <w:r w:rsidR="00C719A2">
        <w:rPr>
          <w:rFonts w:asciiTheme="minorHAnsi" w:hAnsiTheme="minorHAnsi" w:cstheme="minorHAnsi"/>
        </w:rPr>
        <w:t xml:space="preserve"> maintained </w:t>
      </w:r>
      <w:r w:rsidR="00C17543" w:rsidRPr="000530A2">
        <w:rPr>
          <w:rFonts w:asciiTheme="minorHAnsi" w:hAnsiTheme="minorHAnsi" w:cstheme="minorHAnsi"/>
        </w:rPr>
        <w:t>positive experiences for SMEs and challenge agencies</w:t>
      </w:r>
      <w:r w:rsidR="00C719A2">
        <w:rPr>
          <w:rFonts w:asciiTheme="minorHAnsi" w:hAnsiTheme="minorHAnsi" w:cstheme="minorHAnsi"/>
        </w:rPr>
        <w:t xml:space="preserve"> throughout the first three rounds.</w:t>
      </w:r>
      <w:r w:rsidR="00C17543" w:rsidRPr="000530A2">
        <w:rPr>
          <w:rFonts w:asciiTheme="minorHAnsi" w:hAnsiTheme="minorHAnsi" w:cstheme="minorHAnsi"/>
        </w:rPr>
        <w:t xml:space="preserve"> H</w:t>
      </w:r>
      <w:r w:rsidR="00134186" w:rsidRPr="000530A2">
        <w:rPr>
          <w:rFonts w:asciiTheme="minorHAnsi" w:hAnsiTheme="minorHAnsi" w:cstheme="minorHAnsi"/>
        </w:rPr>
        <w:t xml:space="preserve">owever, </w:t>
      </w:r>
      <w:r w:rsidR="00331F53">
        <w:rPr>
          <w:rFonts w:asciiTheme="minorHAnsi" w:hAnsiTheme="minorHAnsi" w:cstheme="minorHAnsi"/>
        </w:rPr>
        <w:t xml:space="preserve">DISER </w:t>
      </w:r>
      <w:r w:rsidR="00D544BC" w:rsidRPr="000530A2">
        <w:rPr>
          <w:rFonts w:asciiTheme="minorHAnsi" w:hAnsiTheme="minorHAnsi" w:cstheme="minorHAnsi"/>
        </w:rPr>
        <w:t xml:space="preserve">stakeholders did identify </w:t>
      </w:r>
      <w:r w:rsidR="00134186" w:rsidRPr="000530A2">
        <w:rPr>
          <w:rFonts w:asciiTheme="minorHAnsi" w:hAnsiTheme="minorHAnsi" w:cstheme="minorHAnsi"/>
        </w:rPr>
        <w:t>opportunit</w:t>
      </w:r>
      <w:r w:rsidR="00D544BC" w:rsidRPr="000530A2">
        <w:rPr>
          <w:rFonts w:asciiTheme="minorHAnsi" w:hAnsiTheme="minorHAnsi" w:cstheme="minorHAnsi"/>
        </w:rPr>
        <w:t>ies</w:t>
      </w:r>
      <w:r w:rsidR="00134186" w:rsidRPr="000530A2">
        <w:rPr>
          <w:rFonts w:asciiTheme="minorHAnsi" w:hAnsiTheme="minorHAnsi" w:cstheme="minorHAnsi"/>
        </w:rPr>
        <w:t xml:space="preserve"> for greater integration</w:t>
      </w:r>
      <w:r w:rsidR="00D544BC" w:rsidRPr="000530A2">
        <w:rPr>
          <w:rFonts w:asciiTheme="minorHAnsi" w:hAnsiTheme="minorHAnsi" w:cstheme="minorHAnsi"/>
        </w:rPr>
        <w:t xml:space="preserve"> through better information sharing</w:t>
      </w:r>
      <w:r w:rsidR="00134186" w:rsidRPr="000530A2">
        <w:rPr>
          <w:rFonts w:asciiTheme="minorHAnsi" w:hAnsiTheme="minorHAnsi" w:cstheme="minorHAnsi"/>
        </w:rPr>
        <w:t>.</w:t>
      </w:r>
      <w:r w:rsidR="00D544BC" w:rsidRPr="000530A2">
        <w:rPr>
          <w:rFonts w:asciiTheme="minorHAnsi" w:hAnsiTheme="minorHAnsi" w:cstheme="minorHAnsi"/>
        </w:rPr>
        <w:t xml:space="preserve"> </w:t>
      </w:r>
      <w:r w:rsidR="00134186" w:rsidRPr="000530A2">
        <w:rPr>
          <w:rFonts w:asciiTheme="minorHAnsi" w:hAnsiTheme="minorHAnsi" w:cstheme="minorHAnsi"/>
        </w:rPr>
        <w:t xml:space="preserve"> </w:t>
      </w:r>
    </w:p>
    <w:p w14:paraId="7F2EAB36" w14:textId="3172A6A3" w:rsidR="003D3A76" w:rsidRDefault="003D3A76">
      <w:pPr>
        <w:pStyle w:val="Bullet"/>
      </w:pPr>
      <w:r w:rsidRPr="003D3A76">
        <w:rPr>
          <w:rFonts w:asciiTheme="majorHAnsi" w:hAnsiTheme="majorHAnsi" w:cstheme="majorHAnsi"/>
        </w:rPr>
        <w:t>The BRII team</w:t>
      </w:r>
      <w:r w:rsidR="00237B20">
        <w:rPr>
          <w:rFonts w:asciiTheme="majorHAnsi" w:hAnsiTheme="majorHAnsi" w:cstheme="majorHAnsi"/>
        </w:rPr>
        <w:t>s</w:t>
      </w:r>
      <w:r w:rsidRPr="003D3A76">
        <w:rPr>
          <w:rFonts w:asciiTheme="majorHAnsi" w:hAnsiTheme="majorHAnsi" w:cstheme="majorHAnsi"/>
        </w:rPr>
        <w:t xml:space="preserve"> have anticipated, managed and mitigated major risks across the first three rounds. </w:t>
      </w:r>
      <w:r w:rsidR="001E6F04">
        <w:t xml:space="preserve">The main risks </w:t>
      </w:r>
      <w:r w:rsidR="005A1AA1">
        <w:t xml:space="preserve">were </w:t>
      </w:r>
      <w:r w:rsidR="001E6F04">
        <w:t xml:space="preserve">related to </w:t>
      </w:r>
      <w:r w:rsidR="00946B0A">
        <w:t>designing effective challenges</w:t>
      </w:r>
      <w:r w:rsidR="001E6F04">
        <w:t xml:space="preserve">, </w:t>
      </w:r>
      <w:r w:rsidR="00946B0A">
        <w:t xml:space="preserve">attracting high quality </w:t>
      </w:r>
      <w:r w:rsidR="001E6F04">
        <w:t>SME</w:t>
      </w:r>
      <w:r w:rsidR="00946B0A">
        <w:t>s</w:t>
      </w:r>
      <w:r w:rsidR="001E6F04">
        <w:t xml:space="preserve"> and enabling the effective participation </w:t>
      </w:r>
      <w:r w:rsidR="00946B0A">
        <w:t xml:space="preserve">of </w:t>
      </w:r>
      <w:r w:rsidR="001E6F04">
        <w:t>agencies and SMEs. Overall,</w:t>
      </w:r>
      <w:r w:rsidR="003F72C7">
        <w:t xml:space="preserve"> the BRII team</w:t>
      </w:r>
      <w:r w:rsidR="00237B20">
        <w:t>s</w:t>
      </w:r>
      <w:r w:rsidR="003F72C7">
        <w:t xml:space="preserve"> </w:t>
      </w:r>
      <w:r w:rsidR="000A2390">
        <w:t>did a good job to identify and then manage or mitigate these risks. This is reflected in the changes to program design between rounds.</w:t>
      </w:r>
    </w:p>
    <w:p w14:paraId="3C6B310D" w14:textId="77777777" w:rsidR="001E6F04" w:rsidRDefault="001E6F04" w:rsidP="00EA4234">
      <w:pPr>
        <w:pStyle w:val="Heading3"/>
      </w:pPr>
      <w:r w:rsidRPr="0078434D">
        <w:t xml:space="preserve">The BRII has improved </w:t>
      </w:r>
      <w:r>
        <w:t>how it delivers the challenge stage.</w:t>
      </w:r>
    </w:p>
    <w:p w14:paraId="77459211" w14:textId="6D01F85F" w:rsidR="001550ED" w:rsidRDefault="001550ED" w:rsidP="001550ED">
      <w:pPr>
        <w:rPr>
          <w:lang w:eastAsia="en-AU"/>
        </w:rPr>
      </w:pPr>
      <w:r>
        <w:rPr>
          <w:lang w:eastAsia="en-AU"/>
        </w:rPr>
        <w:t>The challenge stage is critical to the success of the BRII. During this stage</w:t>
      </w:r>
      <w:r w:rsidR="003B0495">
        <w:rPr>
          <w:lang w:eastAsia="en-AU"/>
        </w:rPr>
        <w:t>,</w:t>
      </w:r>
      <w:r>
        <w:rPr>
          <w:lang w:eastAsia="en-AU"/>
        </w:rPr>
        <w:t xml:space="preserve"> the BRII must achieve two key objectives:</w:t>
      </w:r>
    </w:p>
    <w:p w14:paraId="430187EB" w14:textId="77777777" w:rsidR="001550ED" w:rsidRDefault="001550ED">
      <w:pPr>
        <w:pStyle w:val="Listnumbered"/>
        <w:rPr>
          <w:lang w:eastAsia="en-AU"/>
        </w:rPr>
      </w:pPr>
      <w:r>
        <w:rPr>
          <w:lang w:eastAsia="en-AU"/>
        </w:rPr>
        <w:t xml:space="preserve">Identify and design challenges that </w:t>
      </w:r>
      <w:r w:rsidR="00604AFB" w:rsidRPr="00822C3B">
        <w:t>clearly articulate the problem they have been designed</w:t>
      </w:r>
      <w:r w:rsidR="00604AFB">
        <w:rPr>
          <w:lang w:eastAsia="en-AU"/>
        </w:rPr>
        <w:t xml:space="preserve"> to </w:t>
      </w:r>
      <w:r w:rsidR="00604AFB" w:rsidRPr="00822C3B">
        <w:t>solve but remain open to a range of</w:t>
      </w:r>
      <w:r w:rsidR="00604AFB">
        <w:rPr>
          <w:lang w:eastAsia="en-AU"/>
        </w:rPr>
        <w:t xml:space="preserve"> innovative solutions</w:t>
      </w:r>
      <w:r w:rsidR="00604AFB">
        <w:t>.</w:t>
      </w:r>
    </w:p>
    <w:p w14:paraId="2CC81205" w14:textId="77777777" w:rsidR="001550ED" w:rsidRDefault="001550ED">
      <w:pPr>
        <w:pStyle w:val="Listnumbered"/>
        <w:rPr>
          <w:lang w:eastAsia="en-AU"/>
        </w:rPr>
      </w:pPr>
      <w:r>
        <w:rPr>
          <w:lang w:eastAsia="en-AU"/>
        </w:rPr>
        <w:t>Attract high quality, innovative firms that have a high likelihood to develop solutions that can address the chosen challenges.</w:t>
      </w:r>
    </w:p>
    <w:p w14:paraId="126826E1" w14:textId="77777777" w:rsidR="001550ED" w:rsidRPr="003E2412" w:rsidRDefault="00604AFB" w:rsidP="001550ED">
      <w:pPr>
        <w:rPr>
          <w:lang w:eastAsia="en-AU"/>
        </w:rPr>
      </w:pPr>
      <w:r>
        <w:rPr>
          <w:lang w:eastAsia="en-AU"/>
        </w:rPr>
        <w:t>T</w:t>
      </w:r>
      <w:r w:rsidR="001550ED">
        <w:rPr>
          <w:lang w:eastAsia="en-AU"/>
        </w:rPr>
        <w:t xml:space="preserve">he BRII has evolved its approach to address </w:t>
      </w:r>
      <w:r>
        <w:rPr>
          <w:lang w:eastAsia="en-AU"/>
        </w:rPr>
        <w:t xml:space="preserve">these </w:t>
      </w:r>
      <w:r w:rsidR="001550ED">
        <w:rPr>
          <w:lang w:eastAsia="en-AU"/>
        </w:rPr>
        <w:t>objectives</w:t>
      </w:r>
      <w:r>
        <w:rPr>
          <w:lang w:eastAsia="en-AU"/>
        </w:rPr>
        <w:t xml:space="preserve"> in two important ways:</w:t>
      </w:r>
    </w:p>
    <w:p w14:paraId="40A85024" w14:textId="1CDBBF2F" w:rsidR="00C57992" w:rsidRPr="00822C3B" w:rsidRDefault="00604AFB">
      <w:pPr>
        <w:pStyle w:val="Bullet"/>
      </w:pPr>
      <w:r w:rsidRPr="00BA72E0">
        <w:rPr>
          <w:rFonts w:asciiTheme="majorHAnsi" w:hAnsiTheme="majorHAnsi" w:cstheme="majorHAnsi"/>
        </w:rPr>
        <w:lastRenderedPageBreak/>
        <w:t xml:space="preserve">The </w:t>
      </w:r>
      <w:r w:rsidR="00BA72E0" w:rsidRPr="00BA72E0">
        <w:rPr>
          <w:rFonts w:asciiTheme="majorHAnsi" w:hAnsiTheme="majorHAnsi" w:cstheme="majorHAnsi"/>
        </w:rPr>
        <w:t xml:space="preserve">introduction of </w:t>
      </w:r>
      <w:r w:rsidRPr="00BA72E0">
        <w:rPr>
          <w:rFonts w:asciiTheme="majorHAnsi" w:hAnsiTheme="majorHAnsi" w:cstheme="majorHAnsi"/>
        </w:rPr>
        <w:t xml:space="preserve">a challenge agency </w:t>
      </w:r>
      <w:r w:rsidR="001E6F04">
        <w:rPr>
          <w:rFonts w:asciiTheme="majorHAnsi" w:hAnsiTheme="majorHAnsi" w:cstheme="majorHAnsi"/>
        </w:rPr>
        <w:t>Expression</w:t>
      </w:r>
      <w:r w:rsidR="00295090">
        <w:rPr>
          <w:rFonts w:asciiTheme="majorHAnsi" w:hAnsiTheme="majorHAnsi" w:cstheme="majorHAnsi"/>
        </w:rPr>
        <w:t xml:space="preserve"> of Interest (</w:t>
      </w:r>
      <w:r w:rsidRPr="00BA72E0">
        <w:rPr>
          <w:rFonts w:asciiTheme="majorHAnsi" w:hAnsiTheme="majorHAnsi" w:cstheme="majorHAnsi"/>
        </w:rPr>
        <w:t>EOI</w:t>
      </w:r>
      <w:r w:rsidR="00295090">
        <w:rPr>
          <w:rFonts w:asciiTheme="majorHAnsi" w:hAnsiTheme="majorHAnsi" w:cstheme="majorHAnsi"/>
        </w:rPr>
        <w:t>)</w:t>
      </w:r>
      <w:r w:rsidRPr="00BA72E0">
        <w:rPr>
          <w:rFonts w:asciiTheme="majorHAnsi" w:hAnsiTheme="majorHAnsi" w:cstheme="majorHAnsi"/>
        </w:rPr>
        <w:t xml:space="preserve"> application </w:t>
      </w:r>
      <w:r w:rsidR="00BA72E0" w:rsidRPr="00BA72E0">
        <w:rPr>
          <w:rFonts w:asciiTheme="majorHAnsi" w:hAnsiTheme="majorHAnsi" w:cstheme="majorHAnsi"/>
        </w:rPr>
        <w:t xml:space="preserve">improved challenge design </w:t>
      </w:r>
      <w:r w:rsidRPr="00BA72E0">
        <w:rPr>
          <w:rFonts w:asciiTheme="majorHAnsi" w:hAnsiTheme="majorHAnsi" w:cstheme="majorHAnsi"/>
        </w:rPr>
        <w:t xml:space="preserve">for </w:t>
      </w:r>
      <w:r w:rsidR="00201FE2">
        <w:rPr>
          <w:rFonts w:asciiTheme="majorHAnsi" w:hAnsiTheme="majorHAnsi" w:cstheme="majorHAnsi"/>
        </w:rPr>
        <w:t>round three</w:t>
      </w:r>
      <w:r w:rsidR="001B36EE">
        <w:rPr>
          <w:rFonts w:asciiTheme="majorHAnsi" w:hAnsiTheme="majorHAnsi" w:cstheme="majorHAnsi"/>
        </w:rPr>
        <w:t xml:space="preserve"> (</w:t>
      </w:r>
      <w:r w:rsidRPr="00BA72E0">
        <w:rPr>
          <w:rFonts w:asciiTheme="majorHAnsi" w:hAnsiTheme="majorHAnsi" w:cstheme="majorHAnsi"/>
        </w:rPr>
        <w:t>priority sectors round</w:t>
      </w:r>
      <w:r w:rsidR="001B36EE">
        <w:rPr>
          <w:rFonts w:asciiTheme="majorHAnsi" w:hAnsiTheme="majorHAnsi" w:cstheme="majorHAnsi"/>
        </w:rPr>
        <w:t>)</w:t>
      </w:r>
      <w:r w:rsidR="001E6F04" w:rsidRPr="00BA72E0">
        <w:rPr>
          <w:rFonts w:asciiTheme="majorHAnsi" w:hAnsiTheme="majorHAnsi" w:cstheme="majorHAnsi"/>
        </w:rPr>
        <w:t>.</w:t>
      </w:r>
      <w:r>
        <w:t xml:space="preserve"> The EOI phase provides DISER and the EPC </w:t>
      </w:r>
      <w:r w:rsidR="00C303A0">
        <w:t>with</w:t>
      </w:r>
      <w:r>
        <w:t xml:space="preserve"> the opportunity to work with challenge agencies at an early stage to refine their challenge. </w:t>
      </w:r>
      <w:r w:rsidR="00F8287B">
        <w:t xml:space="preserve">This change was in response to </w:t>
      </w:r>
      <w:r w:rsidR="00275AF0">
        <w:t>the failure of two challenges to progress to the proof of concept stage</w:t>
      </w:r>
      <w:r w:rsidR="00F8287B">
        <w:t xml:space="preserve"> in round two</w:t>
      </w:r>
      <w:r w:rsidR="00275AF0">
        <w:t xml:space="preserve">. Stakeholders attributed this to poor challenge design. </w:t>
      </w:r>
    </w:p>
    <w:p w14:paraId="14175D15" w14:textId="5B1E5557" w:rsidR="00FF6E38" w:rsidRPr="00FF6E38" w:rsidRDefault="00C65AE9">
      <w:pPr>
        <w:pStyle w:val="Bullet"/>
      </w:pPr>
      <w:r w:rsidRPr="0078434D">
        <w:rPr>
          <w:rFonts w:asciiTheme="majorHAnsi" w:hAnsiTheme="majorHAnsi" w:cstheme="majorHAnsi"/>
        </w:rPr>
        <w:t xml:space="preserve">The BRII improved its marketing and engagement with </w:t>
      </w:r>
      <w:r w:rsidR="001E6F04" w:rsidRPr="0078434D">
        <w:rPr>
          <w:rFonts w:asciiTheme="majorHAnsi" w:hAnsiTheme="majorHAnsi" w:cstheme="majorHAnsi"/>
        </w:rPr>
        <w:t xml:space="preserve">SMEs </w:t>
      </w:r>
      <w:r w:rsidR="001E6F04">
        <w:rPr>
          <w:rFonts w:asciiTheme="majorHAnsi" w:hAnsiTheme="majorHAnsi" w:cstheme="majorHAnsi"/>
        </w:rPr>
        <w:t>between rounds two and three</w:t>
      </w:r>
      <w:r w:rsidR="001E6F04" w:rsidRPr="0078434D">
        <w:rPr>
          <w:rFonts w:asciiTheme="majorHAnsi" w:hAnsiTheme="majorHAnsi" w:cstheme="majorHAnsi"/>
        </w:rPr>
        <w:t>.</w:t>
      </w:r>
      <w:r w:rsidR="001E6F04">
        <w:t xml:space="preserve"> </w:t>
      </w:r>
      <w:r w:rsidR="00FF6E38" w:rsidRPr="00FF6E38">
        <w:t>Prior to round three</w:t>
      </w:r>
      <w:r w:rsidR="001E6F04" w:rsidRPr="00FF6E38">
        <w:t>,</w:t>
      </w:r>
      <w:r w:rsidR="00FF6E38" w:rsidRPr="00FF6E38">
        <w:t xml:space="preserve"> DISER initiated a major shift in the communications approach</w:t>
      </w:r>
      <w:r w:rsidR="006D4669">
        <w:t xml:space="preserve">. This resulted in </w:t>
      </w:r>
      <w:r w:rsidR="00FF6E38" w:rsidRPr="00FF6E38">
        <w:t>a more targeted, tailored approach</w:t>
      </w:r>
      <w:r w:rsidR="007C0A34">
        <w:t xml:space="preserve"> and an increased emphasis on social media outreach</w:t>
      </w:r>
      <w:r w:rsidR="00FF6E38" w:rsidRPr="00FF6E38">
        <w:t xml:space="preserve">. This </w:t>
      </w:r>
      <w:r w:rsidR="000C5FB0">
        <w:t>new</w:t>
      </w:r>
      <w:r w:rsidR="00FF6E38" w:rsidRPr="00FF6E38">
        <w:t xml:space="preserve"> approach resulted in a significant increase in engagement and applications compared to previous rounds.</w:t>
      </w:r>
    </w:p>
    <w:p w14:paraId="5F5AA699" w14:textId="77777777" w:rsidR="001E3E72" w:rsidRDefault="00C81A77" w:rsidP="00EA4234">
      <w:pPr>
        <w:pStyle w:val="Heading3"/>
      </w:pPr>
      <w:r>
        <w:t xml:space="preserve">SMEs had a positive experience </w:t>
      </w:r>
      <w:r w:rsidR="000078D4">
        <w:t xml:space="preserve">in the BRII but suggested some improvements. </w:t>
      </w:r>
    </w:p>
    <w:p w14:paraId="33B62FB9" w14:textId="77777777" w:rsidR="00A50835" w:rsidRDefault="006A1166" w:rsidP="006A1166">
      <w:pPr>
        <w:rPr>
          <w:lang w:eastAsia="en-AU"/>
        </w:rPr>
      </w:pPr>
      <w:r w:rsidRPr="006A1166">
        <w:rPr>
          <w:lang w:eastAsia="en-AU"/>
        </w:rPr>
        <w:t>Most SMEs had a positive experience through the feasibility stage. Almost all survey respondents were satisfied or very satisfied with the support received from challenge agencies and from DISER.</w:t>
      </w:r>
      <w:r w:rsidR="002A621F">
        <w:rPr>
          <w:lang w:eastAsia="en-AU"/>
        </w:rPr>
        <w:t xml:space="preserve"> Many respondents specifically </w:t>
      </w:r>
      <w:r w:rsidR="00674362">
        <w:rPr>
          <w:lang w:eastAsia="en-AU"/>
        </w:rPr>
        <w:t xml:space="preserve">called out the quality and timeliness of support made available to them by DISER. </w:t>
      </w:r>
    </w:p>
    <w:p w14:paraId="6F519483" w14:textId="5A8FED31" w:rsidR="006A1166" w:rsidRDefault="00674362" w:rsidP="006A1166">
      <w:pPr>
        <w:rPr>
          <w:lang w:eastAsia="en-AU"/>
        </w:rPr>
      </w:pPr>
      <w:r>
        <w:rPr>
          <w:lang w:eastAsia="en-AU"/>
        </w:rPr>
        <w:t xml:space="preserve">Later in the program, </w:t>
      </w:r>
      <w:r w:rsidR="001F6A66">
        <w:rPr>
          <w:lang w:eastAsia="en-AU"/>
        </w:rPr>
        <w:t>p</w:t>
      </w:r>
      <w:r w:rsidR="006A1166" w:rsidRPr="006A1166">
        <w:rPr>
          <w:lang w:eastAsia="en-AU"/>
        </w:rPr>
        <w:t xml:space="preserve">roof of concept SMEs were generally </w:t>
      </w:r>
      <w:r w:rsidR="001F6A66">
        <w:rPr>
          <w:lang w:eastAsia="en-AU"/>
        </w:rPr>
        <w:t>sa</w:t>
      </w:r>
      <w:r w:rsidR="000C29F6">
        <w:rPr>
          <w:lang w:eastAsia="en-AU"/>
        </w:rPr>
        <w:t>tisfied</w:t>
      </w:r>
      <w:r w:rsidR="00AA1ED7">
        <w:rPr>
          <w:lang w:eastAsia="en-AU"/>
        </w:rPr>
        <w:t xml:space="preserve"> (</w:t>
      </w:r>
      <w:r w:rsidR="00AA1ED7">
        <w:rPr>
          <w:lang w:eastAsia="en-AU"/>
        </w:rPr>
        <w:fldChar w:fldCharType="begin"/>
      </w:r>
      <w:r w:rsidR="00AA1ED7">
        <w:rPr>
          <w:lang w:eastAsia="en-AU"/>
        </w:rPr>
        <w:instrText xml:space="preserve"> REF _Ref77957893 \h </w:instrText>
      </w:r>
      <w:r w:rsidR="00AA1ED7">
        <w:rPr>
          <w:lang w:eastAsia="en-AU"/>
        </w:rPr>
      </w:r>
      <w:r w:rsidR="00AA1ED7">
        <w:rPr>
          <w:lang w:eastAsia="en-AU"/>
        </w:rPr>
        <w:fldChar w:fldCharType="separate"/>
      </w:r>
      <w:r w:rsidR="00AE607F">
        <w:t xml:space="preserve">Figure </w:t>
      </w:r>
      <w:r w:rsidR="00AE607F">
        <w:rPr>
          <w:noProof/>
        </w:rPr>
        <w:t>3</w:t>
      </w:r>
      <w:r w:rsidR="00AA1ED7">
        <w:rPr>
          <w:lang w:eastAsia="en-AU"/>
        </w:rPr>
        <w:fldChar w:fldCharType="end"/>
      </w:r>
      <w:r w:rsidR="00AA1ED7">
        <w:rPr>
          <w:lang w:eastAsia="en-AU"/>
        </w:rPr>
        <w:t>)</w:t>
      </w:r>
      <w:r w:rsidR="000C29F6">
        <w:rPr>
          <w:lang w:eastAsia="en-AU"/>
        </w:rPr>
        <w:t xml:space="preserve">. However, </w:t>
      </w:r>
      <w:r w:rsidR="006A1166" w:rsidRPr="006A1166">
        <w:rPr>
          <w:lang w:eastAsia="en-AU"/>
        </w:rPr>
        <w:t xml:space="preserve">some </w:t>
      </w:r>
      <w:r w:rsidR="0059673D">
        <w:rPr>
          <w:lang w:eastAsia="en-AU"/>
        </w:rPr>
        <w:t>noted shortcomings in</w:t>
      </w:r>
      <w:r w:rsidR="00DA3E40">
        <w:rPr>
          <w:lang w:eastAsia="en-AU"/>
        </w:rPr>
        <w:t xml:space="preserve"> the support </w:t>
      </w:r>
      <w:r w:rsidR="00AA1ED7">
        <w:rPr>
          <w:lang w:eastAsia="en-AU"/>
        </w:rPr>
        <w:t xml:space="preserve">they received </w:t>
      </w:r>
      <w:r w:rsidR="00DA3E40">
        <w:rPr>
          <w:lang w:eastAsia="en-AU"/>
        </w:rPr>
        <w:t xml:space="preserve">from their </w:t>
      </w:r>
      <w:r w:rsidR="006A1166" w:rsidRPr="006A1166">
        <w:rPr>
          <w:lang w:eastAsia="en-AU"/>
        </w:rPr>
        <w:t>challenge agency. Concerns with challenge agency support mostly stemmed from the impact of a lack of accountability on the challenge agencies and staff turnover on the consistency of their experience.</w:t>
      </w:r>
    </w:p>
    <w:p w14:paraId="27BB4A4C" w14:textId="6EE801FC" w:rsidR="005F4094" w:rsidRDefault="00847AD2" w:rsidP="00847AD2">
      <w:pPr>
        <w:pStyle w:val="Caption"/>
        <w:rPr>
          <w:lang w:eastAsia="en-AU"/>
        </w:rPr>
      </w:pPr>
      <w:bookmarkStart w:id="13" w:name="_Ref77957893"/>
      <w:r>
        <w:t xml:space="preserve">Figure </w:t>
      </w:r>
      <w:r>
        <w:fldChar w:fldCharType="begin"/>
      </w:r>
      <w:r>
        <w:instrText xml:space="preserve"> SEQ Figure \* ARABIC </w:instrText>
      </w:r>
      <w:r>
        <w:fldChar w:fldCharType="separate"/>
      </w:r>
      <w:r w:rsidR="00870ADB">
        <w:rPr>
          <w:noProof/>
        </w:rPr>
        <w:t>4</w:t>
      </w:r>
      <w:r>
        <w:fldChar w:fldCharType="end"/>
      </w:r>
      <w:bookmarkEnd w:id="13"/>
      <w:r>
        <w:t xml:space="preserve"> | </w:t>
      </w:r>
      <w:r w:rsidR="00AA1ED7" w:rsidRPr="00AA1ED7">
        <w:t>SME experience throughout the proof of concept phase</w:t>
      </w:r>
    </w:p>
    <w:p w14:paraId="571DFDE1" w14:textId="0E7C4441" w:rsidR="001E6F04" w:rsidRDefault="00AB5949" w:rsidP="001E6F04">
      <w:pPr>
        <w:rPr>
          <w:lang w:eastAsia="en-AU"/>
        </w:rPr>
      </w:pPr>
      <w:r w:rsidRPr="00AB5949">
        <w:rPr>
          <w:noProof/>
        </w:rPr>
        <w:drawing>
          <wp:inline distT="0" distB="0" distL="0" distR="0" wp14:anchorId="2DDACA9D" wp14:editId="32F83B12">
            <wp:extent cx="5670550" cy="2430145"/>
            <wp:effectExtent l="0" t="0" r="6350" b="8255"/>
            <wp:docPr id="27862" name="Picture 27862" descr="Survey question, throughout the proof of concept phase, to what extent were you satisfied with the following.&#10;The process of submitting the application for a proof of concept grant. thirty eight per cent satisfied. sixty three per cent very satisfied. Sample size 8.&#10;The timeliness and quality of support you are receiving from DISER as you developed your proof of concept. twenty 5 per cent satisfied. Seventy 5 per cent very satisfied. Sample size 8.&#10;The timeliness and quality of support you are receiving from your challenge agency as you developed your proof of concept. Thirteen per cent very dissatisfied. Thirteen per cent dissatisfied. Twenty 5 per cent satisfied. Fifty per cent very satis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2" name="Picture 27862" descr="Survey question, throughout the proof of concept phase, to what extent were you satisfied with the following.&#10;The process of submitting the application for a proof of concept grant. thirty eight per cent satisfied. sixty three per cent very satisfied. Sample size 8.&#10;The timeliness and quality of support you are receiving from DISER as you developed your proof of concept. twenty 5 per cent satisfied. Seventy 5 per cent very satisfied. Sample size 8.&#10;The timeliness and quality of support you are receiving from your challenge agency as you developed your proof of concept. Thirteen per cent very dissatisfied. Thirteen per cent dissatisfied. Twenty 5 per cent satisfied. Fifty per cent very satisfi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70550" cy="2430145"/>
                    </a:xfrm>
                    <a:prstGeom prst="rect">
                      <a:avLst/>
                    </a:prstGeom>
                    <a:noFill/>
                    <a:ln>
                      <a:noFill/>
                    </a:ln>
                  </pic:spPr>
                </pic:pic>
              </a:graphicData>
            </a:graphic>
          </wp:inline>
        </w:drawing>
      </w:r>
    </w:p>
    <w:p w14:paraId="34A18A63" w14:textId="77777777" w:rsidR="001E6F04" w:rsidRDefault="001E6F04" w:rsidP="001E6F04">
      <w:pPr>
        <w:pStyle w:val="Source"/>
      </w:pPr>
      <w:r>
        <w:t>Source: Proof of concept SME surveys</w:t>
      </w:r>
    </w:p>
    <w:p w14:paraId="3446D627" w14:textId="77777777" w:rsidR="00C358D0" w:rsidRDefault="00C358D0" w:rsidP="00EA4234">
      <w:pPr>
        <w:pStyle w:val="Heading3"/>
      </w:pPr>
      <w:r>
        <w:lastRenderedPageBreak/>
        <w:t xml:space="preserve">Most challenge agencies reflected </w:t>
      </w:r>
      <w:r w:rsidR="00762753">
        <w:t>positively on the BRII</w:t>
      </w:r>
      <w:r w:rsidR="00DF5A0F">
        <w:t>.</w:t>
      </w:r>
    </w:p>
    <w:p w14:paraId="1C925602" w14:textId="77777777" w:rsidR="0009623F" w:rsidRDefault="00A50835" w:rsidP="0009623F">
      <w:pPr>
        <w:rPr>
          <w:lang w:eastAsia="en-AU"/>
        </w:rPr>
      </w:pPr>
      <w:r>
        <w:rPr>
          <w:lang w:eastAsia="en-AU"/>
        </w:rPr>
        <w:t>C</w:t>
      </w:r>
      <w:r w:rsidR="0009623F">
        <w:rPr>
          <w:lang w:eastAsia="en-AU"/>
        </w:rPr>
        <w:t xml:space="preserve">hallenge agencies were </w:t>
      </w:r>
      <w:r>
        <w:rPr>
          <w:lang w:eastAsia="en-AU"/>
        </w:rPr>
        <w:t>generally</w:t>
      </w:r>
      <w:r w:rsidR="0009623F">
        <w:rPr>
          <w:lang w:eastAsia="en-AU"/>
        </w:rPr>
        <w:t xml:space="preserve"> positive about their experience with the BRII. </w:t>
      </w:r>
      <w:r w:rsidR="001E6F04">
        <w:rPr>
          <w:lang w:eastAsia="en-AU"/>
        </w:rPr>
        <w:t>All</w:t>
      </w:r>
      <w:r w:rsidR="00E0370F">
        <w:rPr>
          <w:lang w:eastAsia="en-AU"/>
        </w:rPr>
        <w:t xml:space="preserve"> the </w:t>
      </w:r>
      <w:r w:rsidR="0009623F">
        <w:rPr>
          <w:lang w:eastAsia="en-AU"/>
        </w:rPr>
        <w:t xml:space="preserve">agency representatives </w:t>
      </w:r>
      <w:r w:rsidR="00E0370F">
        <w:rPr>
          <w:lang w:eastAsia="en-AU"/>
        </w:rPr>
        <w:t xml:space="preserve">that were </w:t>
      </w:r>
      <w:r w:rsidR="0009623F">
        <w:rPr>
          <w:lang w:eastAsia="en-AU"/>
        </w:rPr>
        <w:t>interviewed said they would participate in the BRII again. Challenge agencies particularly valued the support and engagement that the BRII team provided throughout the feasibility and proof of concept stages.</w:t>
      </w:r>
    </w:p>
    <w:p w14:paraId="34FA5B47" w14:textId="77777777" w:rsidR="00DF5A0F" w:rsidRDefault="0009623F" w:rsidP="00DF5A0F">
      <w:pPr>
        <w:rPr>
          <w:lang w:eastAsia="en-AU"/>
        </w:rPr>
      </w:pPr>
      <w:r>
        <w:rPr>
          <w:lang w:eastAsia="en-AU"/>
        </w:rPr>
        <w:t>Challenge agencies identified three main opportunities to improve the delivery of the BRII into the future</w:t>
      </w:r>
      <w:r w:rsidR="003E5EE1">
        <w:rPr>
          <w:lang w:eastAsia="en-AU"/>
        </w:rPr>
        <w:t>:</w:t>
      </w:r>
    </w:p>
    <w:p w14:paraId="038C7063" w14:textId="77777777" w:rsidR="00F54AD2" w:rsidRDefault="00F54AD2">
      <w:pPr>
        <w:pStyle w:val="Bullet"/>
      </w:pPr>
      <w:r w:rsidRPr="003E70CB">
        <w:rPr>
          <w:rFonts w:asciiTheme="majorHAnsi" w:hAnsiTheme="majorHAnsi" w:cstheme="majorHAnsi"/>
        </w:rPr>
        <w:t>P</w:t>
      </w:r>
      <w:r w:rsidRPr="00F54AD2">
        <w:rPr>
          <w:rFonts w:asciiTheme="majorHAnsi" w:hAnsiTheme="majorHAnsi" w:cstheme="majorHAnsi"/>
        </w:rPr>
        <w:t xml:space="preserve">rovide comprehensive information </w:t>
      </w:r>
      <w:r w:rsidRPr="003E70CB">
        <w:rPr>
          <w:rFonts w:asciiTheme="majorHAnsi" w:hAnsiTheme="majorHAnsi" w:cstheme="majorHAnsi"/>
        </w:rPr>
        <w:t xml:space="preserve">and </w:t>
      </w:r>
      <w:r w:rsidRPr="00F54AD2">
        <w:rPr>
          <w:rFonts w:asciiTheme="majorHAnsi" w:hAnsiTheme="majorHAnsi" w:cstheme="majorHAnsi"/>
        </w:rPr>
        <w:t xml:space="preserve">develop formal guidelines </w:t>
      </w:r>
      <w:r w:rsidR="003E70CB" w:rsidRPr="003E70CB">
        <w:rPr>
          <w:rFonts w:asciiTheme="majorHAnsi" w:hAnsiTheme="majorHAnsi" w:cstheme="majorHAnsi"/>
        </w:rPr>
        <w:t xml:space="preserve">on how </w:t>
      </w:r>
      <w:r w:rsidR="00BA5E93" w:rsidRPr="003E70CB">
        <w:rPr>
          <w:rFonts w:asciiTheme="majorHAnsi" w:hAnsiTheme="majorHAnsi" w:cstheme="majorHAnsi"/>
        </w:rPr>
        <w:t xml:space="preserve">agencies </w:t>
      </w:r>
      <w:r w:rsidR="003E70CB" w:rsidRPr="003E70CB">
        <w:rPr>
          <w:rFonts w:asciiTheme="majorHAnsi" w:hAnsiTheme="majorHAnsi" w:cstheme="majorHAnsi"/>
        </w:rPr>
        <w:t xml:space="preserve">should </w:t>
      </w:r>
      <w:r w:rsidR="00793C1E" w:rsidRPr="003E70CB">
        <w:rPr>
          <w:rFonts w:asciiTheme="majorHAnsi" w:hAnsiTheme="majorHAnsi" w:cstheme="majorHAnsi"/>
        </w:rPr>
        <w:t xml:space="preserve">manage multiple </w:t>
      </w:r>
      <w:r w:rsidR="00BA5E93" w:rsidRPr="003E70CB">
        <w:rPr>
          <w:rFonts w:asciiTheme="majorHAnsi" w:hAnsiTheme="majorHAnsi" w:cstheme="majorHAnsi"/>
        </w:rPr>
        <w:t>SME</w:t>
      </w:r>
      <w:r w:rsidR="00793C1E" w:rsidRPr="003E70CB">
        <w:rPr>
          <w:rFonts w:asciiTheme="majorHAnsi" w:hAnsiTheme="majorHAnsi" w:cstheme="majorHAnsi"/>
        </w:rPr>
        <w:t>s, particularly at the feasibility stage</w:t>
      </w:r>
      <w:r w:rsidR="00793C1E">
        <w:t>.</w:t>
      </w:r>
      <w:r w:rsidR="003E70CB">
        <w:t xml:space="preserve"> </w:t>
      </w:r>
      <w:r w:rsidRPr="00F54AD2">
        <w:t>Several challenge agencies highlighted concerns that the BRII design, which is in effect a competitive grant, created</w:t>
      </w:r>
      <w:r w:rsidR="003E70CB">
        <w:t xml:space="preserve"> </w:t>
      </w:r>
      <w:r w:rsidR="003E70CB" w:rsidRPr="003E70CB">
        <w:t>potential or perceived conflicts of interest</w:t>
      </w:r>
      <w:r w:rsidRPr="00F54AD2">
        <w:t>.</w:t>
      </w:r>
    </w:p>
    <w:p w14:paraId="3DC04548" w14:textId="7EC70E20" w:rsidR="003E70CB" w:rsidRDefault="001B652A">
      <w:pPr>
        <w:pStyle w:val="Bullet"/>
      </w:pPr>
      <w:r w:rsidRPr="001B652A">
        <w:rPr>
          <w:rFonts w:asciiTheme="majorHAnsi" w:hAnsiTheme="majorHAnsi" w:cstheme="majorHAnsi"/>
        </w:rPr>
        <w:t xml:space="preserve">Provide more comprehensive information on the time commitment to </w:t>
      </w:r>
      <w:r w:rsidR="00ED66B7">
        <w:rPr>
          <w:rFonts w:asciiTheme="majorHAnsi" w:hAnsiTheme="majorHAnsi" w:cstheme="majorHAnsi"/>
        </w:rPr>
        <w:t xml:space="preserve">get the most out of </w:t>
      </w:r>
      <w:r w:rsidRPr="001B652A">
        <w:rPr>
          <w:rFonts w:asciiTheme="majorHAnsi" w:hAnsiTheme="majorHAnsi" w:cstheme="majorHAnsi"/>
        </w:rPr>
        <w:t>the BRII.</w:t>
      </w:r>
      <w:r>
        <w:t xml:space="preserve"> </w:t>
      </w:r>
      <w:r w:rsidR="001A5B05" w:rsidRPr="001A5B05">
        <w:t>Many challenge agencies shared that they had little to no understanding of the resources and time commitments necessary to get the most value out of the BRII.</w:t>
      </w:r>
      <w:r w:rsidR="001A5B05">
        <w:t xml:space="preserve"> This meant that they often delivered BRII </w:t>
      </w:r>
      <w:r w:rsidR="001B5074">
        <w:t xml:space="preserve">activities </w:t>
      </w:r>
      <w:r w:rsidR="001A5B05">
        <w:t xml:space="preserve">above and beyond their </w:t>
      </w:r>
      <w:r w:rsidR="00002657">
        <w:t>usual workload.</w:t>
      </w:r>
    </w:p>
    <w:p w14:paraId="142EA14B" w14:textId="77777777" w:rsidR="00ED66B7" w:rsidRPr="00F54AD2" w:rsidRDefault="00AA1ED7">
      <w:pPr>
        <w:pStyle w:val="Bullet"/>
        <w:rPr>
          <w:rFonts w:asciiTheme="minorHAnsi" w:hAnsiTheme="minorHAnsi" w:cstheme="minorHAnsi"/>
        </w:rPr>
      </w:pPr>
      <w:r>
        <w:rPr>
          <w:rFonts w:asciiTheme="majorHAnsi" w:hAnsiTheme="majorHAnsi" w:cstheme="majorHAnsi"/>
        </w:rPr>
        <w:t xml:space="preserve">Improve </w:t>
      </w:r>
      <w:r w:rsidR="00067980" w:rsidRPr="00067980">
        <w:rPr>
          <w:rFonts w:asciiTheme="majorHAnsi" w:hAnsiTheme="majorHAnsi" w:cstheme="majorHAnsi"/>
        </w:rPr>
        <w:t>challenge agency engagement to increase agency commitment.</w:t>
      </w:r>
      <w:r w:rsidR="00067980">
        <w:rPr>
          <w:rFonts w:asciiTheme="majorHAnsi" w:hAnsiTheme="majorHAnsi" w:cstheme="majorHAnsi"/>
        </w:rPr>
        <w:t xml:space="preserve"> </w:t>
      </w:r>
      <w:r w:rsidR="00EA5602" w:rsidRPr="00EA5602">
        <w:rPr>
          <w:rFonts w:asciiTheme="minorHAnsi" w:hAnsiTheme="minorHAnsi" w:cstheme="minorHAnsi"/>
        </w:rPr>
        <w:t>Several challenge agencies provided suggestions on how to get around this. This included several upfront requirements of agencies: agency financial co-contributions for the delivery of the BRII; committed agency funding to support the implementation of successful solutions; and committed staffing resources from within agency budgets.</w:t>
      </w:r>
    </w:p>
    <w:p w14:paraId="5BEE6E52" w14:textId="77777777" w:rsidR="000B177D" w:rsidRDefault="000B177D" w:rsidP="00EA4234">
      <w:pPr>
        <w:pStyle w:val="Heading3"/>
      </w:pPr>
      <w:r>
        <w:t>SMEs and challenge agencies identified an opportunity to include</w:t>
      </w:r>
      <w:r w:rsidR="006E7424">
        <w:t xml:space="preserve"> follow-on comm</w:t>
      </w:r>
      <w:r w:rsidR="005F4094">
        <w:t>e</w:t>
      </w:r>
      <w:r w:rsidR="006E7424">
        <w:t xml:space="preserve">rcialisation support. </w:t>
      </w:r>
    </w:p>
    <w:p w14:paraId="650B22D8" w14:textId="0568C92D" w:rsidR="007C193A" w:rsidRPr="007C193A" w:rsidRDefault="007C193A" w:rsidP="007C193A">
      <w:pPr>
        <w:rPr>
          <w:lang w:eastAsia="en-AU"/>
        </w:rPr>
      </w:pPr>
      <w:r w:rsidRPr="007C193A">
        <w:rPr>
          <w:lang w:eastAsia="en-AU"/>
        </w:rPr>
        <w:t xml:space="preserve">Proof of concept SMEs and challenge agencies described the end of BRII as a cliff. </w:t>
      </w:r>
      <w:r w:rsidR="001E6F04">
        <w:rPr>
          <w:lang w:eastAsia="en-AU"/>
        </w:rPr>
        <w:t>Some were not quite ready to commercialise their product</w:t>
      </w:r>
      <w:r w:rsidR="001473F7">
        <w:rPr>
          <w:lang w:eastAsia="en-AU"/>
        </w:rPr>
        <w:t xml:space="preserve"> but</w:t>
      </w:r>
      <w:r w:rsidR="000167B5">
        <w:rPr>
          <w:lang w:eastAsia="en-AU"/>
        </w:rPr>
        <w:t xml:space="preserve"> felt that with additional support </w:t>
      </w:r>
      <w:r w:rsidR="00EA5602">
        <w:rPr>
          <w:lang w:eastAsia="en-AU"/>
        </w:rPr>
        <w:t xml:space="preserve">they </w:t>
      </w:r>
      <w:r w:rsidR="000167B5">
        <w:rPr>
          <w:lang w:eastAsia="en-AU"/>
        </w:rPr>
        <w:t xml:space="preserve">could have </w:t>
      </w:r>
      <w:r w:rsidR="00A355BF">
        <w:rPr>
          <w:lang w:eastAsia="en-AU"/>
        </w:rPr>
        <w:t xml:space="preserve">done so </w:t>
      </w:r>
      <w:r w:rsidR="000811FE">
        <w:rPr>
          <w:lang w:eastAsia="en-AU"/>
        </w:rPr>
        <w:t xml:space="preserve">quickly. </w:t>
      </w:r>
      <w:r w:rsidRPr="007C193A">
        <w:rPr>
          <w:lang w:eastAsia="en-AU"/>
        </w:rPr>
        <w:t xml:space="preserve">A follow on commercialisation stage could help to address several scenarios that have held back the commercialisation of BRII solutions. </w:t>
      </w:r>
      <w:r w:rsidR="00693D49">
        <w:rPr>
          <w:lang w:eastAsia="en-AU"/>
        </w:rPr>
        <w:t xml:space="preserve">Suggestions ranged from </w:t>
      </w:r>
      <w:r w:rsidR="008E7826">
        <w:rPr>
          <w:lang w:eastAsia="en-AU"/>
        </w:rPr>
        <w:t xml:space="preserve">introducing a third phase in the BRII or adding a dedicated stream of Accelerating Commercialisation (AC) grants for </w:t>
      </w:r>
      <w:r w:rsidR="00F80E06">
        <w:rPr>
          <w:lang w:eastAsia="en-AU"/>
        </w:rPr>
        <w:t xml:space="preserve">successful proof of concept </w:t>
      </w:r>
      <w:r w:rsidR="001E6F04">
        <w:rPr>
          <w:lang w:eastAsia="en-AU"/>
        </w:rPr>
        <w:t>companies.</w:t>
      </w:r>
      <w:r w:rsidR="008E7826">
        <w:rPr>
          <w:lang w:eastAsia="en-AU"/>
        </w:rPr>
        <w:t xml:space="preserve"> </w:t>
      </w:r>
      <w:r w:rsidRPr="007C193A">
        <w:rPr>
          <w:lang w:eastAsia="en-AU"/>
        </w:rPr>
        <w:t>This also aligns with</w:t>
      </w:r>
      <w:r>
        <w:rPr>
          <w:lang w:eastAsia="en-AU"/>
        </w:rPr>
        <w:t xml:space="preserve"> some</w:t>
      </w:r>
      <w:r w:rsidRPr="007C193A">
        <w:rPr>
          <w:lang w:eastAsia="en-AU"/>
        </w:rPr>
        <w:t xml:space="preserve"> international comparison programs</w:t>
      </w:r>
      <w:r w:rsidR="007473E6">
        <w:rPr>
          <w:lang w:eastAsia="en-AU"/>
        </w:rPr>
        <w:t xml:space="preserve">, like the SBIR in the US. </w:t>
      </w:r>
      <w:r w:rsidR="008E7826">
        <w:rPr>
          <w:lang w:eastAsia="en-AU"/>
        </w:rPr>
        <w:t>SBIR Phase III</w:t>
      </w:r>
      <w:r w:rsidR="007473E6">
        <w:rPr>
          <w:lang w:eastAsia="en-AU"/>
        </w:rPr>
        <w:t xml:space="preserve"> formalises the post-proof of concept com</w:t>
      </w:r>
      <w:r w:rsidR="008E7826">
        <w:rPr>
          <w:lang w:eastAsia="en-AU"/>
        </w:rPr>
        <w:t>me</w:t>
      </w:r>
      <w:r w:rsidR="007473E6">
        <w:rPr>
          <w:lang w:eastAsia="en-AU"/>
        </w:rPr>
        <w:t>rcialisation journey without providing additional funding</w:t>
      </w:r>
      <w:r w:rsidRPr="007C193A">
        <w:rPr>
          <w:lang w:eastAsia="en-AU"/>
        </w:rPr>
        <w:t>.</w:t>
      </w:r>
    </w:p>
    <w:p w14:paraId="77449740" w14:textId="77777777" w:rsidR="008F0584" w:rsidRDefault="002E7532">
      <w:pPr>
        <w:pStyle w:val="Heading2"/>
      </w:pPr>
      <w:bookmarkStart w:id="14" w:name="_Toc77970939"/>
      <w:bookmarkStart w:id="15" w:name="_Toc124435139"/>
      <w:r>
        <w:t xml:space="preserve">DISER should consider </w:t>
      </w:r>
      <w:r w:rsidR="009836DB">
        <w:t>eleven</w:t>
      </w:r>
      <w:r>
        <w:t xml:space="preserve"> recommendations to </w:t>
      </w:r>
      <w:r w:rsidR="007B5931">
        <w:t>improve the BRII</w:t>
      </w:r>
      <w:bookmarkEnd w:id="14"/>
      <w:bookmarkEnd w:id="15"/>
    </w:p>
    <w:p w14:paraId="619B7C86" w14:textId="64A7A35E" w:rsidR="00C834CE" w:rsidRDefault="00C5707A" w:rsidP="0058281C">
      <w:pPr>
        <w:rPr>
          <w:lang w:eastAsia="en-AU"/>
        </w:rPr>
      </w:pPr>
      <w:r>
        <w:rPr>
          <w:lang w:eastAsia="en-AU"/>
        </w:rPr>
        <w:t>Based on</w:t>
      </w:r>
      <w:r w:rsidR="00E443A2">
        <w:rPr>
          <w:lang w:eastAsia="en-AU"/>
        </w:rPr>
        <w:t xml:space="preserve"> the findings outlined above, this evaluation has determined a range of</w:t>
      </w:r>
      <w:r w:rsidR="005C3A4E">
        <w:rPr>
          <w:lang w:eastAsia="en-AU"/>
        </w:rPr>
        <w:t xml:space="preserve"> improvements to program design and implementation </w:t>
      </w:r>
      <w:r w:rsidR="006533B6">
        <w:rPr>
          <w:lang w:eastAsia="en-AU"/>
        </w:rPr>
        <w:t xml:space="preserve">that could further </w:t>
      </w:r>
      <w:r w:rsidR="00D93960">
        <w:rPr>
          <w:lang w:eastAsia="en-AU"/>
        </w:rPr>
        <w:t>optimise the program. These recommendatio</w:t>
      </w:r>
      <w:r w:rsidR="00A23C9C">
        <w:rPr>
          <w:lang w:eastAsia="en-AU"/>
        </w:rPr>
        <w:t xml:space="preserve">ns should be considered regardless of the BRII’s future scale. </w:t>
      </w:r>
      <w:r w:rsidR="007B5931">
        <w:rPr>
          <w:lang w:eastAsia="en-AU"/>
        </w:rPr>
        <w:t>The recommendations are organised across the three stages of the BRII</w:t>
      </w:r>
      <w:r w:rsidR="00643214">
        <w:rPr>
          <w:lang w:eastAsia="en-AU"/>
        </w:rPr>
        <w:t xml:space="preserve"> – challenge design, </w:t>
      </w:r>
      <w:r w:rsidR="00643214">
        <w:rPr>
          <w:lang w:eastAsia="en-AU"/>
        </w:rPr>
        <w:lastRenderedPageBreak/>
        <w:t>feasibility study and proof of concept.</w:t>
      </w:r>
      <w:r w:rsidR="007B5931">
        <w:rPr>
          <w:lang w:eastAsia="en-AU"/>
        </w:rPr>
        <w:t xml:space="preserve"> Further recommendations are </w:t>
      </w:r>
      <w:r w:rsidR="003E2FE6">
        <w:rPr>
          <w:lang w:eastAsia="en-AU"/>
        </w:rPr>
        <w:t xml:space="preserve">also </w:t>
      </w:r>
      <w:r w:rsidR="007B5931">
        <w:rPr>
          <w:lang w:eastAsia="en-AU"/>
        </w:rPr>
        <w:t xml:space="preserve">provided that are relevant to the whole of </w:t>
      </w:r>
      <w:r w:rsidR="00033502">
        <w:rPr>
          <w:lang w:eastAsia="en-AU"/>
        </w:rPr>
        <w:t xml:space="preserve">the </w:t>
      </w:r>
      <w:r w:rsidR="007B5931">
        <w:rPr>
          <w:lang w:eastAsia="en-AU"/>
        </w:rPr>
        <w:t>BRII.</w:t>
      </w:r>
    </w:p>
    <w:p w14:paraId="0E332CD6" w14:textId="2214E82B" w:rsidR="00D31331" w:rsidRDefault="00D31331" w:rsidP="0058281C">
      <w:pPr>
        <w:rPr>
          <w:lang w:eastAsia="en-AU"/>
        </w:rPr>
      </w:pPr>
      <w:r>
        <w:rPr>
          <w:noProof/>
          <w:lang w:eastAsia="en-AU"/>
        </w:rPr>
        <w:drawing>
          <wp:inline distT="0" distB="0" distL="0" distR="0" wp14:anchorId="778349C1" wp14:editId="63213450">
            <wp:extent cx="5700395" cy="481330"/>
            <wp:effectExtent l="0" t="0" r="0" b="0"/>
            <wp:docPr id="24" name="Picture 24"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Recommendation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00395" cy="481330"/>
                    </a:xfrm>
                    <a:prstGeom prst="rect">
                      <a:avLst/>
                    </a:prstGeom>
                    <a:noFill/>
                  </pic:spPr>
                </pic:pic>
              </a:graphicData>
            </a:graphic>
          </wp:inline>
        </w:drawing>
      </w:r>
    </w:p>
    <w:tbl>
      <w:tblPr>
        <w:tblStyle w:val="NousLongformcallout"/>
        <w:tblW w:w="5000" w:type="pct"/>
        <w:tblBorders>
          <w:top w:val="single" w:sz="4" w:space="0" w:color="00264D" w:themeColor="background2"/>
          <w:left w:val="single" w:sz="4" w:space="0" w:color="00264D" w:themeColor="background2"/>
          <w:bottom w:val="single" w:sz="4" w:space="0" w:color="00264D" w:themeColor="background2"/>
          <w:right w:val="single" w:sz="4" w:space="0" w:color="00264D" w:themeColor="background2"/>
          <w:insideH w:val="single" w:sz="4" w:space="0" w:color="00264D" w:themeColor="background2"/>
          <w:insideV w:val="single" w:sz="4" w:space="0" w:color="00264D" w:themeColor="background2"/>
        </w:tblBorders>
        <w:tblLayout w:type="fixed"/>
        <w:tblCellMar>
          <w:top w:w="170" w:type="dxa"/>
          <w:bottom w:w="170" w:type="dxa"/>
        </w:tblCellMar>
        <w:tblLook w:val="0620" w:firstRow="1" w:lastRow="0" w:firstColumn="0" w:lastColumn="0" w:noHBand="1" w:noVBand="1"/>
      </w:tblPr>
      <w:tblGrid>
        <w:gridCol w:w="5664"/>
        <w:gridCol w:w="3256"/>
      </w:tblGrid>
      <w:tr w:rsidR="00D31331" w:rsidRPr="0039271A" w14:paraId="0207AEC5" w14:textId="77777777" w:rsidTr="009B0C0B">
        <w:trPr>
          <w:trHeight w:val="20"/>
        </w:trPr>
        <w:tc>
          <w:tcPr>
            <w:tcW w:w="5664" w:type="dxa"/>
            <w:tcBorders>
              <w:right w:val="single" w:sz="4" w:space="0" w:color="FFFFFF" w:themeColor="background1"/>
            </w:tcBorders>
            <w:shd w:val="clear" w:color="auto" w:fill="00264D" w:themeFill="background2"/>
            <w:vAlign w:val="center"/>
          </w:tcPr>
          <w:p w14:paraId="3ACA0C28" w14:textId="144449FE" w:rsidR="00D31331" w:rsidRPr="00D31331" w:rsidRDefault="00D31331" w:rsidP="00D31331">
            <w:pPr>
              <w:pStyle w:val="TableNheader"/>
              <w:rPr>
                <w:noProof/>
                <w:color w:val="FFFFFF" w:themeColor="background1"/>
              </w:rPr>
            </w:pPr>
            <w:r w:rsidRPr="00D31331">
              <w:rPr>
                <w:noProof/>
                <w:color w:val="FFFFFF" w:themeColor="background1"/>
              </w:rPr>
              <w:t>Challenge design</w:t>
            </w:r>
            <w:r w:rsidR="00A74844">
              <w:rPr>
                <w:noProof/>
                <w:color w:val="FFFFFF" w:themeColor="background1"/>
              </w:rPr>
              <w:t xml:space="preserve"> </w:t>
            </w:r>
            <w:r w:rsidR="000F6537">
              <w:rPr>
                <w:noProof/>
                <w:color w:val="FFFFFF" w:themeColor="background1"/>
              </w:rPr>
              <w:t>phase</w:t>
            </w:r>
          </w:p>
        </w:tc>
        <w:tc>
          <w:tcPr>
            <w:tcW w:w="3256" w:type="dxa"/>
            <w:tcBorders>
              <w:left w:val="single" w:sz="4" w:space="0" w:color="FFFFFF" w:themeColor="background1"/>
            </w:tcBorders>
            <w:shd w:val="clear" w:color="auto" w:fill="00264D" w:themeFill="background2"/>
          </w:tcPr>
          <w:p w14:paraId="744123CF" w14:textId="77777777" w:rsidR="00D31331" w:rsidRPr="00D31331" w:rsidRDefault="00D31331" w:rsidP="00D31331">
            <w:pPr>
              <w:pStyle w:val="TableNheader"/>
              <w:rPr>
                <w:noProof/>
                <w:color w:val="FFFFFF" w:themeColor="background1"/>
              </w:rPr>
            </w:pPr>
            <w:r w:rsidRPr="00D31331">
              <w:rPr>
                <w:noProof/>
                <w:color w:val="FFFFFF" w:themeColor="background1"/>
              </w:rPr>
              <w:t>Supporting findings</w:t>
            </w:r>
          </w:p>
        </w:tc>
      </w:tr>
      <w:tr w:rsidR="001E6F04" w:rsidRPr="00C6436E" w14:paraId="5CA1438D" w14:textId="77777777" w:rsidTr="009B0C0B">
        <w:trPr>
          <w:trHeight w:val="20"/>
        </w:trPr>
        <w:tc>
          <w:tcPr>
            <w:tcW w:w="5664" w:type="dxa"/>
            <w:tcBorders>
              <w:bottom w:val="single" w:sz="4" w:space="0" w:color="00264D" w:themeColor="background2"/>
            </w:tcBorders>
            <w:shd w:val="clear" w:color="auto" w:fill="auto"/>
          </w:tcPr>
          <w:p w14:paraId="7BC864B3" w14:textId="77777777" w:rsidR="001E6F04" w:rsidRPr="00D805CE" w:rsidRDefault="001E6F04">
            <w:pPr>
              <w:pStyle w:val="TableNListnumbered"/>
              <w:keepLines/>
              <w:suppressAutoHyphens w:val="0"/>
              <w:spacing w:before="0" w:after="0"/>
              <w:ind w:left="593" w:hanging="593"/>
            </w:pPr>
            <w:r w:rsidRPr="006D1BBD">
              <w:rPr>
                <w:rFonts w:asciiTheme="majorHAnsi" w:hAnsiTheme="majorHAnsi" w:cstheme="majorHAnsi"/>
              </w:rPr>
              <w:t xml:space="preserve">Explore opportunities to streamline and improve </w:t>
            </w:r>
            <w:r>
              <w:rPr>
                <w:rFonts w:asciiTheme="majorHAnsi" w:hAnsiTheme="majorHAnsi" w:cstheme="majorHAnsi"/>
              </w:rPr>
              <w:t xml:space="preserve">the </w:t>
            </w:r>
            <w:r w:rsidRPr="006D1BBD">
              <w:rPr>
                <w:rFonts w:asciiTheme="majorHAnsi" w:hAnsiTheme="majorHAnsi" w:cstheme="majorHAnsi"/>
              </w:rPr>
              <w:t>BRII marketing and engagement processes</w:t>
            </w:r>
            <w:r>
              <w:rPr>
                <w:rFonts w:asciiTheme="majorHAnsi" w:hAnsiTheme="majorHAnsi" w:cstheme="majorHAnsi"/>
              </w:rPr>
              <w:t xml:space="preserve"> for SMEs and challenge agencies</w:t>
            </w:r>
            <w:r w:rsidRPr="00D805CE">
              <w:t xml:space="preserve"> – for example through: </w:t>
            </w:r>
          </w:p>
          <w:p w14:paraId="51CC1C84" w14:textId="77777777" w:rsidR="001E6F04" w:rsidRDefault="001E6F04">
            <w:pPr>
              <w:pStyle w:val="TableNBullet"/>
              <w:keepLines/>
              <w:numPr>
                <w:ilvl w:val="1"/>
                <w:numId w:val="1"/>
              </w:numPr>
              <w:suppressAutoHyphens w:val="0"/>
              <w:spacing w:before="0" w:after="0"/>
              <w:ind w:left="1018"/>
            </w:pPr>
            <w:r>
              <w:t>Embedding challenge communication capabilities within the participating agencies (e.g. through the Portfolio Liaison Officers).</w:t>
            </w:r>
          </w:p>
          <w:p w14:paraId="1E6EDDAE" w14:textId="77777777" w:rsidR="001E6F04" w:rsidRDefault="001E6F04">
            <w:pPr>
              <w:pStyle w:val="TableNBullet"/>
              <w:keepLines/>
              <w:numPr>
                <w:ilvl w:val="1"/>
                <w:numId w:val="1"/>
              </w:numPr>
              <w:suppressAutoHyphens w:val="0"/>
              <w:spacing w:before="0" w:after="0"/>
              <w:ind w:left="1018"/>
            </w:pPr>
            <w:r w:rsidRPr="004C6E10">
              <w:t>Develop</w:t>
            </w:r>
            <w:r>
              <w:t>ing</w:t>
            </w:r>
            <w:r w:rsidRPr="004C6E10">
              <w:t xml:space="preserve"> guidance and templates to streamline and quality control the development of marketing and engagement materials.</w:t>
            </w:r>
          </w:p>
          <w:p w14:paraId="1E3B1B01" w14:textId="6F5DDF6F" w:rsidR="001E6F04" w:rsidRPr="00C6436E" w:rsidRDefault="001E6F04">
            <w:pPr>
              <w:pStyle w:val="TableNBullet"/>
              <w:keepLines/>
              <w:numPr>
                <w:ilvl w:val="1"/>
                <w:numId w:val="1"/>
              </w:numPr>
              <w:suppressAutoHyphens w:val="0"/>
              <w:spacing w:before="0" w:after="0"/>
              <w:ind w:left="1018"/>
            </w:pPr>
            <w:r w:rsidRPr="005B3E85">
              <w:t>Expand</w:t>
            </w:r>
            <w:r>
              <w:t>ing</w:t>
            </w:r>
            <w:r w:rsidRPr="005B3E85">
              <w:t xml:space="preserve"> the reach and visibility of</w:t>
            </w:r>
            <w:r>
              <w:t xml:space="preserve"> the</w:t>
            </w:r>
            <w:r w:rsidRPr="005B3E85">
              <w:t xml:space="preserve"> BRII across </w:t>
            </w:r>
            <w:r w:rsidR="001B5074">
              <w:t>Australian G</w:t>
            </w:r>
            <w:r w:rsidRPr="005B3E85">
              <w:t>overnment agencies</w:t>
            </w:r>
            <w:r>
              <w:t xml:space="preserve"> through a targeted communications campaign for government agencies or the use of BRII challenge agency account managers.</w:t>
            </w:r>
          </w:p>
        </w:tc>
        <w:tc>
          <w:tcPr>
            <w:tcW w:w="3256" w:type="dxa"/>
            <w:tcBorders>
              <w:bottom w:val="single" w:sz="4" w:space="0" w:color="00264D" w:themeColor="background2"/>
            </w:tcBorders>
          </w:tcPr>
          <w:p w14:paraId="5C87B114" w14:textId="3AF76FD0" w:rsidR="001E6F04" w:rsidRPr="006D1BBD" w:rsidRDefault="001E6F04" w:rsidP="00AA384D">
            <w:pPr>
              <w:pStyle w:val="TableNText"/>
            </w:pPr>
            <w:r>
              <w:t>T</w:t>
            </w:r>
            <w:r w:rsidRPr="00BB51B3">
              <w:t xml:space="preserve">here is still substantial opportunity to extend the reach of the BRII across more government agencies. Across the Australian Government there are over 150 potential agencies or departments that could participate in the BRII. </w:t>
            </w:r>
            <w:r w:rsidR="00B95BAA">
              <w:t xml:space="preserve">A continued focus on priority challenge areas that align with </w:t>
            </w:r>
            <w:r w:rsidR="00212203">
              <w:t>g</w:t>
            </w:r>
            <w:r w:rsidRPr="00BB51B3">
              <w:t>overnment priorities</w:t>
            </w:r>
            <w:r w:rsidR="00D6642D">
              <w:t xml:space="preserve"> may also support the BRII to extend its reach across mo</w:t>
            </w:r>
            <w:r w:rsidR="00A74844">
              <w:t>r</w:t>
            </w:r>
            <w:r w:rsidR="00D6642D">
              <w:t>e government departments and agencies</w:t>
            </w:r>
            <w:r>
              <w:t>.</w:t>
            </w:r>
          </w:p>
        </w:tc>
      </w:tr>
      <w:tr w:rsidR="00D31331" w:rsidRPr="0039271A" w14:paraId="1C03E7C2" w14:textId="77777777" w:rsidTr="009B0C0B">
        <w:trPr>
          <w:trHeight w:val="20"/>
        </w:trPr>
        <w:tc>
          <w:tcPr>
            <w:tcW w:w="5664" w:type="dxa"/>
            <w:tcBorders>
              <w:right w:val="single" w:sz="4" w:space="0" w:color="FFFFFF" w:themeColor="background1"/>
            </w:tcBorders>
            <w:shd w:val="clear" w:color="auto" w:fill="00264D" w:themeFill="background2"/>
            <w:vAlign w:val="center"/>
          </w:tcPr>
          <w:p w14:paraId="48BAF61A" w14:textId="776468FC" w:rsidR="00D31331" w:rsidRPr="00D31331" w:rsidRDefault="00D31331" w:rsidP="00D31331">
            <w:pPr>
              <w:pStyle w:val="TableNheader"/>
              <w:rPr>
                <w:noProof/>
                <w:color w:val="FFFFFF" w:themeColor="background1"/>
              </w:rPr>
            </w:pPr>
            <w:r w:rsidRPr="00D31331">
              <w:rPr>
                <w:noProof/>
                <w:color w:val="FFFFFF" w:themeColor="background1"/>
              </w:rPr>
              <w:t>Feasibility</w:t>
            </w:r>
            <w:r w:rsidR="00A74844">
              <w:rPr>
                <w:noProof/>
                <w:color w:val="FFFFFF" w:themeColor="background1"/>
              </w:rPr>
              <w:t xml:space="preserve"> </w:t>
            </w:r>
            <w:r w:rsidR="000F6537">
              <w:rPr>
                <w:noProof/>
                <w:color w:val="FFFFFF" w:themeColor="background1"/>
              </w:rPr>
              <w:t>phas</w:t>
            </w:r>
          </w:p>
        </w:tc>
        <w:tc>
          <w:tcPr>
            <w:tcW w:w="3256" w:type="dxa"/>
            <w:tcBorders>
              <w:left w:val="single" w:sz="4" w:space="0" w:color="FFFFFF" w:themeColor="background1"/>
            </w:tcBorders>
            <w:shd w:val="clear" w:color="auto" w:fill="00264D" w:themeFill="background2"/>
          </w:tcPr>
          <w:p w14:paraId="478031D1" w14:textId="77777777" w:rsidR="00D31331" w:rsidRPr="00D31331" w:rsidRDefault="00D31331" w:rsidP="00D31331">
            <w:pPr>
              <w:pStyle w:val="TableNheader"/>
              <w:rPr>
                <w:noProof/>
                <w:color w:val="FFFFFF" w:themeColor="background1"/>
              </w:rPr>
            </w:pPr>
            <w:r w:rsidRPr="00D31331">
              <w:rPr>
                <w:noProof/>
                <w:color w:val="FFFFFF" w:themeColor="background1"/>
              </w:rPr>
              <w:t>Supporting findings</w:t>
            </w:r>
          </w:p>
        </w:tc>
      </w:tr>
      <w:tr w:rsidR="001E6F04" w:rsidRPr="00726EFA" w14:paraId="497B1966" w14:textId="77777777" w:rsidTr="009B0C0B">
        <w:trPr>
          <w:trHeight w:val="1257"/>
        </w:trPr>
        <w:tc>
          <w:tcPr>
            <w:tcW w:w="5664" w:type="dxa"/>
            <w:shd w:val="clear" w:color="auto" w:fill="auto"/>
          </w:tcPr>
          <w:p w14:paraId="5CDEC63B" w14:textId="77777777" w:rsidR="001E6F04" w:rsidRPr="00A5304D" w:rsidRDefault="001E6F04">
            <w:pPr>
              <w:pStyle w:val="TableNListnumbered"/>
              <w:keepLines/>
              <w:suppressAutoHyphens w:val="0"/>
              <w:spacing w:before="0" w:after="0"/>
              <w:ind w:left="593" w:hanging="593"/>
            </w:pPr>
            <w:r w:rsidRPr="006D1BBD">
              <w:rPr>
                <w:rFonts w:asciiTheme="majorHAnsi" w:hAnsiTheme="majorHAnsi" w:cstheme="majorHAnsi"/>
              </w:rPr>
              <w:t xml:space="preserve">Develop an SME engagement framework and accompanying guidance </w:t>
            </w:r>
            <w:r w:rsidRPr="000C68D6">
              <w:rPr>
                <w:rFonts w:asciiTheme="majorHAnsi" w:hAnsiTheme="majorHAnsi" w:cstheme="majorHAnsi"/>
              </w:rPr>
              <w:t>for challenge agencies</w:t>
            </w:r>
            <w:r>
              <w:rPr>
                <w:rFonts w:asciiTheme="majorHAnsi" w:hAnsiTheme="majorHAnsi" w:cstheme="majorHAnsi"/>
              </w:rPr>
              <w:t>.</w:t>
            </w:r>
            <w:r w:rsidRPr="00E74EEB">
              <w:t xml:space="preserve"> </w:t>
            </w:r>
            <w:r>
              <w:t xml:space="preserve">The framework and guidance should </w:t>
            </w:r>
            <w:r w:rsidRPr="0068279F">
              <w:t xml:space="preserve">support </w:t>
            </w:r>
            <w:r>
              <w:t xml:space="preserve">challenge agencies </w:t>
            </w:r>
            <w:r w:rsidRPr="0068279F">
              <w:t>to</w:t>
            </w:r>
            <w:r w:rsidRPr="00E74EEB">
              <w:t xml:space="preserve"> manage </w:t>
            </w:r>
            <w:r>
              <w:t xml:space="preserve">real and perceived </w:t>
            </w:r>
            <w:r w:rsidRPr="00E74EEB">
              <w:t>probity concerns</w:t>
            </w:r>
            <w:r w:rsidRPr="0068279F">
              <w:t xml:space="preserve"> when working with multiple SMEs</w:t>
            </w:r>
            <w:r w:rsidRPr="00E74EEB">
              <w:t>.</w:t>
            </w:r>
          </w:p>
        </w:tc>
        <w:tc>
          <w:tcPr>
            <w:tcW w:w="3256" w:type="dxa"/>
          </w:tcPr>
          <w:p w14:paraId="6967AD95" w14:textId="77777777" w:rsidR="001E6F04" w:rsidRPr="006D1BBD" w:rsidRDefault="001E6F04" w:rsidP="00AA384D">
            <w:pPr>
              <w:pStyle w:val="TableNText"/>
            </w:pPr>
            <w:r w:rsidRPr="00983971">
              <w:rPr>
                <w:lang w:val="en-US"/>
              </w:rPr>
              <w:t>Several challenge agencies highlighted concerns that the BRII design, which is in effect a competitive grant, created potential perceived conflicts of interest in how the agencies engaged with the SMEs</w:t>
            </w:r>
            <w:r>
              <w:t>.</w:t>
            </w:r>
          </w:p>
        </w:tc>
      </w:tr>
      <w:tr w:rsidR="001E6F04" w:rsidRPr="00726EFA" w14:paraId="6CC33052" w14:textId="77777777" w:rsidTr="009B0C0B">
        <w:trPr>
          <w:trHeight w:val="20"/>
        </w:trPr>
        <w:tc>
          <w:tcPr>
            <w:tcW w:w="5664" w:type="dxa"/>
            <w:shd w:val="clear" w:color="auto" w:fill="auto"/>
          </w:tcPr>
          <w:p w14:paraId="128A49F4" w14:textId="482F9A48" w:rsidR="001E6F04" w:rsidRPr="006D1BBD" w:rsidRDefault="001E6F04">
            <w:pPr>
              <w:pStyle w:val="TableNListnumbered"/>
              <w:keepLines/>
              <w:suppressAutoHyphens w:val="0"/>
              <w:spacing w:before="0" w:after="0"/>
              <w:ind w:left="593" w:hanging="593"/>
              <w:rPr>
                <w:rFonts w:asciiTheme="majorHAnsi" w:hAnsiTheme="majorHAnsi" w:cstheme="majorHAnsi"/>
              </w:rPr>
            </w:pPr>
            <w:r w:rsidRPr="006D1BBD">
              <w:rPr>
                <w:rFonts w:asciiTheme="majorHAnsi" w:hAnsiTheme="majorHAnsi" w:cstheme="majorHAnsi"/>
              </w:rPr>
              <w:t>Provide SMEs the opportunity to engage with the EPC (or whichever body oversees future assessments)</w:t>
            </w:r>
            <w:r>
              <w:t>.</w:t>
            </w:r>
            <w:r w:rsidRPr="00D74465">
              <w:t xml:space="preserve"> </w:t>
            </w:r>
            <w:r>
              <w:t xml:space="preserve">This could occur through </w:t>
            </w:r>
            <w:r w:rsidRPr="00D74465">
              <w:t xml:space="preserve">a mid-feasibility stage </w:t>
            </w:r>
            <w:r>
              <w:t>presentation to increase transparency and allow SMEs to receive feedback from the project’s final decision makers.</w:t>
            </w:r>
          </w:p>
        </w:tc>
        <w:tc>
          <w:tcPr>
            <w:tcW w:w="3256" w:type="dxa"/>
          </w:tcPr>
          <w:p w14:paraId="5E43DEB2" w14:textId="17913FF9" w:rsidR="001E6F04" w:rsidRPr="006D1BBD" w:rsidRDefault="001E6F04" w:rsidP="00AA384D">
            <w:pPr>
              <w:pStyle w:val="TableNText"/>
            </w:pPr>
            <w:r>
              <w:t xml:space="preserve">Many SMEs felt that they had little practical understanding of the </w:t>
            </w:r>
            <w:r w:rsidR="003D703D">
              <w:t xml:space="preserve">merit </w:t>
            </w:r>
            <w:r>
              <w:t xml:space="preserve">criteria the EPC used to assess their feasibility round applications. Some SMEs told us that they would have benefited from early engagement with the </w:t>
            </w:r>
            <w:r>
              <w:lastRenderedPageBreak/>
              <w:t>EPC so they could have adapted their approach to better meet the requirements.</w:t>
            </w:r>
          </w:p>
        </w:tc>
      </w:tr>
      <w:tr w:rsidR="009B0C0B" w:rsidRPr="00D31331" w14:paraId="7498B0CF" w14:textId="77777777" w:rsidTr="009B0C0B">
        <w:trPr>
          <w:trHeight w:val="20"/>
        </w:trPr>
        <w:tc>
          <w:tcPr>
            <w:tcW w:w="5664" w:type="dxa"/>
            <w:shd w:val="clear" w:color="auto" w:fill="00264D" w:themeFill="background2"/>
            <w:vAlign w:val="center"/>
          </w:tcPr>
          <w:p w14:paraId="6FB6B64C" w14:textId="6DEF1B69" w:rsidR="009B0C0B" w:rsidRPr="00D31331" w:rsidRDefault="009B0C0B" w:rsidP="00ED1143">
            <w:pPr>
              <w:pStyle w:val="TableNheader"/>
              <w:rPr>
                <w:noProof/>
                <w:color w:val="FFFFFF" w:themeColor="background1"/>
              </w:rPr>
            </w:pPr>
            <w:bookmarkStart w:id="16" w:name="_Toc77970940"/>
            <w:r w:rsidRPr="00D31331">
              <w:rPr>
                <w:noProof/>
                <w:color w:val="FFFFFF" w:themeColor="background1"/>
              </w:rPr>
              <w:lastRenderedPageBreak/>
              <w:t>Proof of concept</w:t>
            </w:r>
            <w:r w:rsidR="00A74844">
              <w:rPr>
                <w:noProof/>
                <w:color w:val="FFFFFF" w:themeColor="background1"/>
              </w:rPr>
              <w:t xml:space="preserve"> </w:t>
            </w:r>
            <w:r w:rsidR="000F6537">
              <w:rPr>
                <w:noProof/>
                <w:color w:val="FFFFFF" w:themeColor="background1"/>
              </w:rPr>
              <w:t>phase</w:t>
            </w:r>
          </w:p>
        </w:tc>
        <w:tc>
          <w:tcPr>
            <w:tcW w:w="3256" w:type="dxa"/>
            <w:shd w:val="clear" w:color="auto" w:fill="00264D" w:themeFill="background2"/>
          </w:tcPr>
          <w:p w14:paraId="4F7C74C6" w14:textId="77777777" w:rsidR="009B0C0B" w:rsidRPr="00D31331" w:rsidRDefault="009B0C0B" w:rsidP="00ED1143">
            <w:pPr>
              <w:pStyle w:val="TableNheader"/>
              <w:rPr>
                <w:noProof/>
                <w:color w:val="FFFFFF" w:themeColor="background1"/>
              </w:rPr>
            </w:pPr>
            <w:r w:rsidRPr="00D31331">
              <w:rPr>
                <w:noProof/>
                <w:color w:val="FFFFFF" w:themeColor="background1"/>
              </w:rPr>
              <w:t>Supporting findings</w:t>
            </w:r>
          </w:p>
        </w:tc>
      </w:tr>
      <w:tr w:rsidR="009B0C0B" w:rsidRPr="006D1BBD" w14:paraId="412EE782" w14:textId="77777777" w:rsidTr="009B0C0B">
        <w:trPr>
          <w:trHeight w:val="337"/>
        </w:trPr>
        <w:tc>
          <w:tcPr>
            <w:tcW w:w="5664" w:type="dxa"/>
            <w:shd w:val="clear" w:color="auto" w:fill="auto"/>
          </w:tcPr>
          <w:p w14:paraId="20C3F015" w14:textId="77777777" w:rsidR="009B0C0B" w:rsidRPr="00A5304D" w:rsidRDefault="009B0C0B" w:rsidP="00ED1143">
            <w:pPr>
              <w:pStyle w:val="TableNListnumbered"/>
              <w:keepLines/>
              <w:suppressAutoHyphens w:val="0"/>
              <w:spacing w:before="0" w:after="0"/>
              <w:ind w:left="593" w:hanging="593"/>
            </w:pPr>
            <w:r w:rsidRPr="006D1BBD">
              <w:rPr>
                <w:rFonts w:asciiTheme="majorHAnsi" w:hAnsiTheme="majorHAnsi" w:cstheme="majorHAnsi"/>
              </w:rPr>
              <w:t xml:space="preserve">Consider changes to the design of </w:t>
            </w:r>
            <w:r>
              <w:rPr>
                <w:rFonts w:asciiTheme="majorHAnsi" w:hAnsiTheme="majorHAnsi" w:cstheme="majorHAnsi"/>
              </w:rPr>
              <w:t xml:space="preserve">the </w:t>
            </w:r>
            <w:r w:rsidRPr="006D1BBD">
              <w:rPr>
                <w:rFonts w:asciiTheme="majorHAnsi" w:hAnsiTheme="majorHAnsi" w:cstheme="majorHAnsi"/>
              </w:rPr>
              <w:t xml:space="preserve">BRII to encourage </w:t>
            </w:r>
            <w:r>
              <w:rPr>
                <w:rFonts w:asciiTheme="majorHAnsi" w:hAnsiTheme="majorHAnsi" w:cstheme="majorHAnsi"/>
              </w:rPr>
              <w:t xml:space="preserve">collaboration between </w:t>
            </w:r>
            <w:r w:rsidRPr="006D1BBD">
              <w:rPr>
                <w:rFonts w:asciiTheme="majorHAnsi" w:hAnsiTheme="majorHAnsi" w:cstheme="majorHAnsi"/>
              </w:rPr>
              <w:t xml:space="preserve">complementary feasibility SMEs </w:t>
            </w:r>
            <w:r w:rsidRPr="00136BCD">
              <w:rPr>
                <w:rFonts w:asciiTheme="majorHAnsi" w:hAnsiTheme="majorHAnsi" w:cstheme="majorHAnsi"/>
              </w:rPr>
              <w:t>in the proof of concept phase</w:t>
            </w:r>
            <w:r>
              <w:rPr>
                <w:rFonts w:asciiTheme="majorHAnsi" w:hAnsiTheme="majorHAnsi" w:cstheme="majorHAnsi"/>
              </w:rPr>
              <w:t>.</w:t>
            </w:r>
            <w:r w:rsidRPr="007A19C4">
              <w:t xml:space="preserve"> </w:t>
            </w:r>
            <w:r>
              <w:t>Both SMEs and challenge agencies highlighted the opportunity for higher impact solutions through collaboration in certain cases. However, c</w:t>
            </w:r>
            <w:r>
              <w:rPr>
                <w:rFonts w:asciiTheme="minorHAnsi" w:hAnsiTheme="minorHAnsi" w:cstheme="minorHAnsi"/>
              </w:rPr>
              <w:t xml:space="preserve">hanges will need to carefully consider how collaboration will impact on probity concerns, the development, ownership and commercialisation of any resulting IP. DISER should also test whether </w:t>
            </w:r>
            <w:r w:rsidRPr="007A19C4">
              <w:t>collaboration is likely to produce a higher quality solution.</w:t>
            </w:r>
          </w:p>
        </w:tc>
        <w:tc>
          <w:tcPr>
            <w:tcW w:w="3256" w:type="dxa"/>
          </w:tcPr>
          <w:p w14:paraId="17DE2B46" w14:textId="77777777" w:rsidR="009B0C0B" w:rsidRPr="006D1BBD" w:rsidRDefault="009B0C0B" w:rsidP="00ED1143">
            <w:pPr>
              <w:pStyle w:val="TableNText"/>
            </w:pPr>
            <w:r w:rsidRPr="00192E92">
              <w:t xml:space="preserve">Some challenge agencies and SMEs </w:t>
            </w:r>
            <w:r>
              <w:t>observed circumstances in which different SMEs had complementary solutions. They remarked that there was</w:t>
            </w:r>
            <w:r w:rsidRPr="00192E92">
              <w:t xml:space="preserve"> an opportunity for </w:t>
            </w:r>
            <w:r>
              <w:t xml:space="preserve">the </w:t>
            </w:r>
            <w:r w:rsidRPr="00192E92">
              <w:t xml:space="preserve">BRII to </w:t>
            </w:r>
            <w:r>
              <w:t xml:space="preserve">consider </w:t>
            </w:r>
            <w:r w:rsidRPr="00192E92">
              <w:t>collaboration</w:t>
            </w:r>
            <w:r>
              <w:t>s</w:t>
            </w:r>
            <w:r w:rsidRPr="00192E92">
              <w:t xml:space="preserve"> between SMEs in cases when solutions were complementary and together had a higher likelihood of solving the challenge</w:t>
            </w:r>
            <w:r>
              <w:t>.</w:t>
            </w:r>
          </w:p>
        </w:tc>
      </w:tr>
      <w:tr w:rsidR="009B0C0B" w:rsidRPr="006D1BBD" w14:paraId="79A33B00" w14:textId="77777777" w:rsidTr="009B0C0B">
        <w:trPr>
          <w:trHeight w:val="24"/>
        </w:trPr>
        <w:tc>
          <w:tcPr>
            <w:tcW w:w="5664" w:type="dxa"/>
            <w:shd w:val="clear" w:color="auto" w:fill="auto"/>
          </w:tcPr>
          <w:p w14:paraId="3F744037" w14:textId="77777777" w:rsidR="009B0C0B" w:rsidRPr="00A5304D" w:rsidRDefault="009B0C0B" w:rsidP="00ED1143">
            <w:pPr>
              <w:pStyle w:val="TableNListnumbered"/>
              <w:keepLines/>
              <w:suppressAutoHyphens w:val="0"/>
              <w:spacing w:before="0" w:after="0"/>
              <w:ind w:left="593" w:hanging="593"/>
            </w:pPr>
            <w:r w:rsidRPr="006D1BBD">
              <w:rPr>
                <w:rFonts w:asciiTheme="majorHAnsi" w:hAnsiTheme="majorHAnsi" w:cstheme="majorHAnsi"/>
              </w:rPr>
              <w:t xml:space="preserve">Provide </w:t>
            </w:r>
            <w:r>
              <w:rPr>
                <w:rFonts w:asciiTheme="majorHAnsi" w:hAnsiTheme="majorHAnsi" w:cstheme="majorHAnsi"/>
              </w:rPr>
              <w:t xml:space="preserve">participating SMEs with </w:t>
            </w:r>
            <w:r w:rsidRPr="006D1BBD">
              <w:rPr>
                <w:rFonts w:asciiTheme="majorHAnsi" w:hAnsiTheme="majorHAnsi" w:cstheme="majorHAnsi"/>
              </w:rPr>
              <w:t>better access to information on government procurement processes</w:t>
            </w:r>
            <w:r>
              <w:t xml:space="preserve"> - for example, through tailored factsheets, briefings, webinars or other resources - to help SMEs navigate procurement with their challenge agency or other government agencies. This could be delivered through the challenge agencies based on guidance from the Department of Finance.</w:t>
            </w:r>
          </w:p>
        </w:tc>
        <w:tc>
          <w:tcPr>
            <w:tcW w:w="3256" w:type="dxa"/>
          </w:tcPr>
          <w:p w14:paraId="69D05D96" w14:textId="77777777" w:rsidR="009B0C0B" w:rsidRPr="006D1BBD" w:rsidRDefault="009B0C0B" w:rsidP="00ED1143">
            <w:pPr>
              <w:pStyle w:val="TableNText"/>
            </w:pPr>
            <w:r w:rsidRPr="0002215C">
              <w:t xml:space="preserve">Some </w:t>
            </w:r>
            <w:r>
              <w:t xml:space="preserve">SMEs </w:t>
            </w:r>
            <w:r w:rsidRPr="0002215C">
              <w:t>found it difficult and confusing to navigate procurement processes.</w:t>
            </w:r>
            <w:r>
              <w:t xml:space="preserve"> </w:t>
            </w:r>
            <w:r w:rsidRPr="004D708F">
              <w:t>Many challenge agencies highlighted that government decision-making and procurement processes were areas for participating SMEs to improve their knowledge</w:t>
            </w:r>
            <w:r>
              <w:t>.</w:t>
            </w:r>
          </w:p>
        </w:tc>
      </w:tr>
      <w:tr w:rsidR="009B0C0B" w:rsidRPr="006D1BBD" w14:paraId="1EEAD3BE" w14:textId="77777777" w:rsidTr="009B0C0B">
        <w:trPr>
          <w:trHeight w:val="3217"/>
        </w:trPr>
        <w:tc>
          <w:tcPr>
            <w:tcW w:w="5664" w:type="dxa"/>
            <w:shd w:val="clear" w:color="auto" w:fill="auto"/>
          </w:tcPr>
          <w:p w14:paraId="061B6457" w14:textId="77777777" w:rsidR="009B0C0B" w:rsidRDefault="009B0C0B" w:rsidP="00ED1143">
            <w:pPr>
              <w:pStyle w:val="TableNListnumbered"/>
              <w:keepLines/>
              <w:suppressAutoHyphens w:val="0"/>
              <w:spacing w:before="0" w:after="0"/>
              <w:ind w:left="593" w:hanging="593"/>
            </w:pPr>
            <w:r w:rsidRPr="006D1BBD">
              <w:rPr>
                <w:rFonts w:asciiTheme="majorHAnsi" w:hAnsiTheme="majorHAnsi" w:cstheme="majorHAnsi"/>
              </w:rPr>
              <w:t>Improve support for commercialisation during and after the proof of concept phase</w:t>
            </w:r>
            <w:r>
              <w:rPr>
                <w:rFonts w:asciiTheme="majorHAnsi" w:hAnsiTheme="majorHAnsi" w:cstheme="majorHAnsi"/>
              </w:rPr>
              <w:t>. Possible avenues to do this include</w:t>
            </w:r>
            <w:r>
              <w:t>:</w:t>
            </w:r>
          </w:p>
          <w:p w14:paraId="63E52276" w14:textId="77777777" w:rsidR="009B0C0B" w:rsidRDefault="009B0C0B" w:rsidP="00ED1143">
            <w:pPr>
              <w:pStyle w:val="TableNBullet"/>
              <w:keepLines/>
              <w:numPr>
                <w:ilvl w:val="1"/>
                <w:numId w:val="1"/>
              </w:numPr>
              <w:suppressAutoHyphens w:val="0"/>
              <w:spacing w:before="0" w:after="0"/>
              <w:ind w:left="1018" w:hanging="284"/>
            </w:pPr>
            <w:r>
              <w:t xml:space="preserve">Offering access to commercialisation coaches during the proof of concept phase to mitigate the </w:t>
            </w:r>
            <w:r w:rsidRPr="002F4206">
              <w:t xml:space="preserve">risk of </w:t>
            </w:r>
            <w:r>
              <w:t>SMEs d</w:t>
            </w:r>
            <w:r w:rsidRPr="002F4206">
              <w:t xml:space="preserve">eveloping </w:t>
            </w:r>
            <w:r>
              <w:t xml:space="preserve">bespoke </w:t>
            </w:r>
            <w:r w:rsidRPr="002F4206">
              <w:t>product</w:t>
            </w:r>
            <w:r>
              <w:t>s</w:t>
            </w:r>
            <w:r w:rsidRPr="002F4206">
              <w:t xml:space="preserve"> </w:t>
            </w:r>
            <w:r>
              <w:t xml:space="preserve">with limited </w:t>
            </w:r>
            <w:r w:rsidRPr="002F4206">
              <w:t xml:space="preserve">commercialisation </w:t>
            </w:r>
            <w:r>
              <w:t xml:space="preserve">potential </w:t>
            </w:r>
            <w:r w:rsidRPr="002F4206">
              <w:t>post-BRII.</w:t>
            </w:r>
            <w:r>
              <w:t xml:space="preserve"> </w:t>
            </w:r>
            <w:r w:rsidRPr="002131AB">
              <w:t xml:space="preserve">The BRII could leverage DISER’s broader advisor network </w:t>
            </w:r>
            <w:r>
              <w:t>or</w:t>
            </w:r>
            <w:r w:rsidRPr="002131AB">
              <w:t xml:space="preserve"> </w:t>
            </w:r>
            <w:r>
              <w:t xml:space="preserve">provide </w:t>
            </w:r>
            <w:r w:rsidRPr="002131AB">
              <w:t>incubation style support through an external provider.</w:t>
            </w:r>
          </w:p>
          <w:p w14:paraId="6868064C" w14:textId="77777777" w:rsidR="009B0C0B" w:rsidRDefault="009B0C0B" w:rsidP="00ED1143">
            <w:pPr>
              <w:pStyle w:val="TableNBullet"/>
              <w:keepLines/>
              <w:numPr>
                <w:ilvl w:val="1"/>
                <w:numId w:val="1"/>
              </w:numPr>
              <w:suppressAutoHyphens w:val="0"/>
              <w:spacing w:before="0" w:after="0"/>
              <w:ind w:left="1018" w:hanging="284"/>
            </w:pPr>
            <w:r>
              <w:lastRenderedPageBreak/>
              <w:t>C</w:t>
            </w:r>
            <w:r w:rsidRPr="00A27291">
              <w:t xml:space="preserve">reating a dedicated stream of funding </w:t>
            </w:r>
            <w:r>
              <w:t>to support</w:t>
            </w:r>
            <w:r w:rsidRPr="00A27291">
              <w:t xml:space="preserve"> </w:t>
            </w:r>
            <w:r>
              <w:t xml:space="preserve">post-BRII commercialisation pilots for eligible </w:t>
            </w:r>
            <w:r w:rsidRPr="00A27291">
              <w:t>proof of concept SMEs</w:t>
            </w:r>
            <w:r>
              <w:t>.</w:t>
            </w:r>
          </w:p>
          <w:p w14:paraId="79C66DFE" w14:textId="77777777" w:rsidR="009B0C0B" w:rsidRPr="00B4354D" w:rsidRDefault="009B0C0B" w:rsidP="00ED1143">
            <w:pPr>
              <w:pStyle w:val="TableNBullet"/>
              <w:keepLines/>
              <w:numPr>
                <w:ilvl w:val="1"/>
                <w:numId w:val="1"/>
              </w:numPr>
              <w:suppressAutoHyphens w:val="0"/>
              <w:spacing w:before="0" w:after="0"/>
              <w:ind w:left="1018" w:hanging="284"/>
            </w:pPr>
            <w:r w:rsidRPr="001A577A">
              <w:t>Providing the opportunity for other government departments and agencies not affiliated with the challenge to apply as co-sponsors for post-BRII commercialisation pilots. DISER could develop guidance materials or play an active role to identify and encourage co-sponsors.</w:t>
            </w:r>
          </w:p>
        </w:tc>
        <w:tc>
          <w:tcPr>
            <w:tcW w:w="3256" w:type="dxa"/>
          </w:tcPr>
          <w:p w14:paraId="4C76A80D" w14:textId="77777777" w:rsidR="009B0C0B" w:rsidRDefault="009B0C0B" w:rsidP="00ED1143">
            <w:pPr>
              <w:pStyle w:val="TableNListnumbered"/>
              <w:keepLines/>
              <w:numPr>
                <w:ilvl w:val="0"/>
                <w:numId w:val="0"/>
              </w:numPr>
              <w:suppressAutoHyphens w:val="0"/>
              <w:spacing w:before="0" w:after="0"/>
            </w:pPr>
            <w:r w:rsidRPr="009A63C2">
              <w:lastRenderedPageBreak/>
              <w:t>Across both round one and round two, many proof of concept SMEs described the end of the BRII as a cliff.</w:t>
            </w:r>
            <w:r>
              <w:t xml:space="preserve"> </w:t>
            </w:r>
            <w:r w:rsidRPr="00904A45">
              <w:t>A few SMEs noted that the commercialisation pathway post BRII was up to 18 to 24 months longer than it could have been if funding or other mechanisms were available to support further proof of concept pilots</w:t>
            </w:r>
            <w:r>
              <w:t>.</w:t>
            </w:r>
          </w:p>
          <w:p w14:paraId="7F19E172" w14:textId="77777777" w:rsidR="009B0C0B" w:rsidRPr="006D1BBD" w:rsidRDefault="009B0C0B" w:rsidP="00ED1143">
            <w:pPr>
              <w:pStyle w:val="TableNListnumbered"/>
              <w:keepLines/>
              <w:numPr>
                <w:ilvl w:val="0"/>
                <w:numId w:val="0"/>
              </w:numPr>
              <w:suppressAutoHyphens w:val="0"/>
              <w:spacing w:before="0" w:after="0"/>
              <w:rPr>
                <w:rFonts w:asciiTheme="majorHAnsi" w:hAnsiTheme="majorHAnsi" w:cstheme="majorHAnsi"/>
              </w:rPr>
            </w:pPr>
            <w:r>
              <w:lastRenderedPageBreak/>
              <w:t xml:space="preserve">One SME suggested </w:t>
            </w:r>
            <w:r w:rsidRPr="00907041">
              <w:t xml:space="preserve">co-sponsors </w:t>
            </w:r>
            <w:r>
              <w:t xml:space="preserve">could be included </w:t>
            </w:r>
            <w:r w:rsidRPr="00907041">
              <w:t xml:space="preserve">to support the </w:t>
            </w:r>
            <w:r>
              <w:t>follow-on commercialisation stage.</w:t>
            </w:r>
          </w:p>
        </w:tc>
      </w:tr>
      <w:tr w:rsidR="009B0C0B" w:rsidRPr="00D31331" w14:paraId="6C58D13A" w14:textId="77777777" w:rsidTr="009B0C0B">
        <w:trPr>
          <w:trHeight w:val="161"/>
        </w:trPr>
        <w:tc>
          <w:tcPr>
            <w:tcW w:w="5664" w:type="dxa"/>
            <w:shd w:val="clear" w:color="auto" w:fill="00264D" w:themeFill="background2"/>
            <w:vAlign w:val="center"/>
          </w:tcPr>
          <w:p w14:paraId="4CE30C33" w14:textId="77777777" w:rsidR="009B0C0B" w:rsidRPr="00D31331" w:rsidRDefault="009B0C0B" w:rsidP="00ED1143">
            <w:pPr>
              <w:pStyle w:val="TableNheader"/>
              <w:rPr>
                <w:noProof/>
                <w:color w:val="FFFFFF" w:themeColor="background1"/>
              </w:rPr>
            </w:pPr>
            <w:r w:rsidRPr="00D31331">
              <w:rPr>
                <w:noProof/>
                <w:color w:val="FFFFFF" w:themeColor="background1"/>
              </w:rPr>
              <w:lastRenderedPageBreak/>
              <w:t>Whole of program</w:t>
            </w:r>
          </w:p>
        </w:tc>
        <w:tc>
          <w:tcPr>
            <w:tcW w:w="3256" w:type="dxa"/>
            <w:shd w:val="clear" w:color="auto" w:fill="00264D" w:themeFill="background2"/>
          </w:tcPr>
          <w:p w14:paraId="3D57CCCE" w14:textId="77777777" w:rsidR="009B0C0B" w:rsidRPr="00D31331" w:rsidRDefault="009B0C0B" w:rsidP="00ED1143">
            <w:pPr>
              <w:pStyle w:val="TableNheader"/>
              <w:rPr>
                <w:noProof/>
                <w:color w:val="FFFFFF" w:themeColor="background1"/>
              </w:rPr>
            </w:pPr>
            <w:r w:rsidRPr="00D31331">
              <w:rPr>
                <w:noProof/>
                <w:color w:val="FFFFFF" w:themeColor="background1"/>
              </w:rPr>
              <w:t>Supporting findings</w:t>
            </w:r>
          </w:p>
        </w:tc>
      </w:tr>
      <w:tr w:rsidR="009B0C0B" w:rsidRPr="006D1BBD" w14:paraId="5FFDDF78" w14:textId="77777777" w:rsidTr="009B0C0B">
        <w:trPr>
          <w:trHeight w:val="2640"/>
        </w:trPr>
        <w:tc>
          <w:tcPr>
            <w:tcW w:w="5664" w:type="dxa"/>
            <w:shd w:val="clear" w:color="auto" w:fill="auto"/>
          </w:tcPr>
          <w:p w14:paraId="265F8878" w14:textId="77777777" w:rsidR="009B0C0B" w:rsidRDefault="009B0C0B" w:rsidP="00ED1143">
            <w:pPr>
              <w:pStyle w:val="TableNListnumbered"/>
              <w:keepLines/>
              <w:suppressAutoHyphens w:val="0"/>
              <w:spacing w:before="0" w:after="0"/>
              <w:ind w:left="593" w:hanging="593"/>
            </w:pPr>
            <w:r w:rsidRPr="006D1BBD">
              <w:rPr>
                <w:rFonts w:asciiTheme="majorHAnsi" w:hAnsiTheme="majorHAnsi" w:cstheme="majorHAnsi"/>
              </w:rPr>
              <w:t>Increase the efficiency and effectiveness of governance and administrative arrangements</w:t>
            </w:r>
            <w:r>
              <w:rPr>
                <w:rFonts w:asciiTheme="majorHAnsi" w:hAnsiTheme="majorHAnsi" w:cstheme="majorHAnsi"/>
              </w:rPr>
              <w:t xml:space="preserve"> </w:t>
            </w:r>
            <w:r w:rsidRPr="006D1BBD">
              <w:rPr>
                <w:rFonts w:asciiTheme="minorHAnsi" w:hAnsiTheme="minorHAnsi" w:cstheme="minorHAnsi"/>
              </w:rPr>
              <w:t>through</w:t>
            </w:r>
            <w:r>
              <w:t>:</w:t>
            </w:r>
          </w:p>
          <w:p w14:paraId="3A033ABC" w14:textId="77777777" w:rsidR="009B0C0B" w:rsidRPr="007C6A27" w:rsidRDefault="009B0C0B" w:rsidP="00ED1143">
            <w:pPr>
              <w:pStyle w:val="TableNBullet"/>
              <w:keepLines/>
              <w:numPr>
                <w:ilvl w:val="1"/>
                <w:numId w:val="1"/>
              </w:numPr>
              <w:suppressAutoHyphens w:val="0"/>
              <w:spacing w:before="0" w:after="0"/>
              <w:ind w:left="1018" w:hanging="284"/>
            </w:pPr>
            <w:r w:rsidRPr="007C6A27">
              <w:t xml:space="preserve">Embedding a clear approach and rhythm of information sharing between </w:t>
            </w:r>
            <w:r>
              <w:t xml:space="preserve">the BRII </w:t>
            </w:r>
            <w:r w:rsidRPr="007C6A27">
              <w:t xml:space="preserve">policy </w:t>
            </w:r>
            <w:r>
              <w:t xml:space="preserve">and </w:t>
            </w:r>
            <w:r w:rsidRPr="007C6A27">
              <w:t>program teams to drive continuous improvement.</w:t>
            </w:r>
          </w:p>
          <w:p w14:paraId="28F121A7" w14:textId="77777777" w:rsidR="009B0C0B" w:rsidRPr="00A5304D" w:rsidRDefault="009B0C0B" w:rsidP="00ED1143">
            <w:pPr>
              <w:pStyle w:val="TableNBullet"/>
              <w:keepLines/>
              <w:numPr>
                <w:ilvl w:val="1"/>
                <w:numId w:val="1"/>
              </w:numPr>
              <w:suppressAutoHyphens w:val="0"/>
              <w:spacing w:before="0" w:after="0"/>
              <w:ind w:left="1018" w:hanging="284"/>
            </w:pPr>
            <w:r>
              <w:t>Clarifying the different roles that the EPC play (e.g. assessing challenges and SME applications vs providing commercialisation advice to DISER) to support the BRII and then updating governance arrangements accordingly. For example, DISER could engage EPC members to provide commercialisation support directly to challenge agencies in addition to their assessment role.</w:t>
            </w:r>
          </w:p>
        </w:tc>
        <w:tc>
          <w:tcPr>
            <w:tcW w:w="3256" w:type="dxa"/>
          </w:tcPr>
          <w:p w14:paraId="45A4D7F6" w14:textId="77777777" w:rsidR="009B0C0B" w:rsidRPr="006D1BBD" w:rsidRDefault="009B0C0B" w:rsidP="00ED1143">
            <w:pPr>
              <w:pStyle w:val="TableNListnumbered"/>
              <w:keepLines/>
              <w:numPr>
                <w:ilvl w:val="0"/>
                <w:numId w:val="0"/>
              </w:numPr>
              <w:suppressAutoHyphens w:val="0"/>
              <w:spacing w:before="0" w:after="0"/>
              <w:rPr>
                <w:rFonts w:asciiTheme="majorHAnsi" w:hAnsiTheme="majorHAnsi" w:cstheme="majorHAnsi"/>
              </w:rPr>
            </w:pPr>
            <w:r w:rsidRPr="009B0238">
              <w:t>Stakeholders identified the opportunity for tighter collaboration between the BRII policy team, program team and the EPC across the three stages of the BRII. Stakeholders identified the benefit of faster feedback loops to improve the design and delivery of the BRII</w:t>
            </w:r>
            <w:r>
              <w:t>. EPC members also identified scope creep as a key concern as BRII has evolved over time. This included more requests for commercialisation advice separate to their assessment role</w:t>
            </w:r>
            <w:r w:rsidRPr="00F33542">
              <w:t>.</w:t>
            </w:r>
          </w:p>
        </w:tc>
      </w:tr>
      <w:tr w:rsidR="009B0C0B" w:rsidRPr="006D1BBD" w14:paraId="07CE3287" w14:textId="77777777" w:rsidTr="009B0C0B">
        <w:trPr>
          <w:trHeight w:val="2027"/>
        </w:trPr>
        <w:tc>
          <w:tcPr>
            <w:tcW w:w="5664" w:type="dxa"/>
            <w:shd w:val="clear" w:color="auto" w:fill="auto"/>
          </w:tcPr>
          <w:p w14:paraId="2972D609" w14:textId="77777777" w:rsidR="009B0C0B" w:rsidRPr="00A5304D" w:rsidRDefault="009B0C0B" w:rsidP="00ED1143">
            <w:pPr>
              <w:pStyle w:val="TableNListnumbered"/>
              <w:keepLines/>
              <w:suppressAutoHyphens w:val="0"/>
              <w:spacing w:before="0" w:after="0"/>
              <w:ind w:left="593" w:hanging="593"/>
            </w:pPr>
            <w:r w:rsidRPr="006D1BBD">
              <w:rPr>
                <w:rFonts w:asciiTheme="majorHAnsi" w:hAnsiTheme="majorHAnsi" w:cstheme="majorHAnsi"/>
              </w:rPr>
              <w:t xml:space="preserve">Explore avenues to increase challenge agency buy-in to </w:t>
            </w:r>
            <w:r>
              <w:rPr>
                <w:rFonts w:asciiTheme="majorHAnsi" w:hAnsiTheme="majorHAnsi" w:cstheme="majorHAnsi"/>
              </w:rPr>
              <w:t xml:space="preserve">the </w:t>
            </w:r>
            <w:r w:rsidRPr="006D1BBD">
              <w:rPr>
                <w:rFonts w:asciiTheme="majorHAnsi" w:hAnsiTheme="majorHAnsi" w:cstheme="majorHAnsi"/>
              </w:rPr>
              <w:t>BRII projects</w:t>
            </w:r>
            <w:r w:rsidRPr="0078197C">
              <w:t xml:space="preserve"> – for example</w:t>
            </w:r>
            <w:r>
              <w:t>,</w:t>
            </w:r>
            <w:r w:rsidRPr="0078197C">
              <w:t xml:space="preserve"> through requirements for financial </w:t>
            </w:r>
            <w:r>
              <w:t>co-</w:t>
            </w:r>
            <w:r w:rsidRPr="0078197C">
              <w:t>contributions</w:t>
            </w:r>
            <w:r>
              <w:t xml:space="preserve">, allocated budgets for implementation or dedicated resources within agency budgets. </w:t>
            </w:r>
            <w:r w:rsidRPr="00A97CFC">
              <w:t>This should also help mitigate the impact of staff turnover in challenge agencies on the SME experience and program outcomes. Additionally, DISER should consider how it can ensure the effective handover of information and relationships when there is the inevitable staff turnover.</w:t>
            </w:r>
          </w:p>
        </w:tc>
        <w:tc>
          <w:tcPr>
            <w:tcW w:w="3256" w:type="dxa"/>
          </w:tcPr>
          <w:p w14:paraId="3589F023" w14:textId="77777777" w:rsidR="009B0C0B" w:rsidRPr="006D1BBD" w:rsidRDefault="009B0C0B" w:rsidP="00ED1143">
            <w:pPr>
              <w:pStyle w:val="TableNText"/>
            </w:pPr>
            <w:r>
              <w:t>There are currently varying levels of engagement and buy-in across challenge agencies. Both SMEs and challenge agency delivery staff noted that poor engagement and buy-in had negative impacts on their experience.</w:t>
            </w:r>
          </w:p>
        </w:tc>
      </w:tr>
      <w:tr w:rsidR="009B0C0B" w:rsidRPr="00616213" w14:paraId="51497AC2" w14:textId="77777777" w:rsidTr="009B0C0B">
        <w:trPr>
          <w:trHeight w:val="1624"/>
        </w:trPr>
        <w:tc>
          <w:tcPr>
            <w:tcW w:w="5664" w:type="dxa"/>
            <w:shd w:val="clear" w:color="auto" w:fill="auto"/>
          </w:tcPr>
          <w:p w14:paraId="0C752748" w14:textId="77777777" w:rsidR="009B0C0B" w:rsidRPr="00A5304D" w:rsidRDefault="009B0C0B" w:rsidP="00ED1143">
            <w:pPr>
              <w:pStyle w:val="TableNListnumbered"/>
              <w:spacing w:before="0" w:after="0"/>
              <w:ind w:left="601" w:hanging="601"/>
              <w:rPr>
                <w:rFonts w:asciiTheme="majorHAnsi" w:hAnsiTheme="majorHAnsi" w:cstheme="majorHAnsi"/>
                <w:bCs/>
              </w:rPr>
            </w:pPr>
            <w:r>
              <w:rPr>
                <w:rFonts w:asciiTheme="majorHAnsi" w:hAnsiTheme="majorHAnsi" w:cstheme="majorHAnsi"/>
                <w:bCs/>
              </w:rPr>
              <w:lastRenderedPageBreak/>
              <w:t>Build on current project related data collection</w:t>
            </w:r>
            <w:r w:rsidRPr="005E0F6F">
              <w:rPr>
                <w:rFonts w:asciiTheme="majorHAnsi" w:hAnsiTheme="majorHAnsi" w:cstheme="majorHAnsi"/>
                <w:bCs/>
              </w:rPr>
              <w:t xml:space="preserve"> </w:t>
            </w:r>
            <w:r>
              <w:rPr>
                <w:rFonts w:asciiTheme="majorHAnsi" w:hAnsiTheme="majorHAnsi" w:cstheme="majorHAnsi"/>
                <w:bCs/>
              </w:rPr>
              <w:t xml:space="preserve">and develop </w:t>
            </w:r>
            <w:r w:rsidRPr="005E0F6F">
              <w:rPr>
                <w:rFonts w:asciiTheme="majorHAnsi" w:hAnsiTheme="majorHAnsi" w:cstheme="majorHAnsi"/>
                <w:bCs/>
              </w:rPr>
              <w:t xml:space="preserve">ongoing </w:t>
            </w:r>
            <w:r>
              <w:rPr>
                <w:rFonts w:asciiTheme="majorHAnsi" w:hAnsiTheme="majorHAnsi" w:cstheme="majorHAnsi"/>
                <w:bCs/>
              </w:rPr>
              <w:t xml:space="preserve">program related </w:t>
            </w:r>
            <w:r w:rsidRPr="005E0F6F">
              <w:rPr>
                <w:rFonts w:asciiTheme="majorHAnsi" w:hAnsiTheme="majorHAnsi" w:cstheme="majorHAnsi"/>
                <w:bCs/>
              </w:rPr>
              <w:t xml:space="preserve">data collection to measure the experience, outcomes and impact of </w:t>
            </w:r>
            <w:r>
              <w:rPr>
                <w:rFonts w:asciiTheme="majorHAnsi" w:hAnsiTheme="majorHAnsi" w:cstheme="majorHAnsi"/>
                <w:bCs/>
              </w:rPr>
              <w:t xml:space="preserve">the </w:t>
            </w:r>
            <w:r w:rsidRPr="005E0F6F">
              <w:rPr>
                <w:rFonts w:asciiTheme="majorHAnsi" w:hAnsiTheme="majorHAnsi" w:cstheme="majorHAnsi"/>
                <w:bCs/>
              </w:rPr>
              <w:t>BRII for participating SMEs</w:t>
            </w:r>
            <w:r>
              <w:rPr>
                <w:rFonts w:asciiTheme="majorHAnsi" w:hAnsiTheme="majorHAnsi" w:cstheme="majorHAnsi"/>
                <w:bCs/>
              </w:rPr>
              <w:t xml:space="preserve"> and challenge agencies</w:t>
            </w:r>
            <w:r w:rsidRPr="005E0F6F">
              <w:rPr>
                <w:rFonts w:asciiTheme="majorHAnsi" w:hAnsiTheme="majorHAnsi" w:cstheme="majorHAnsi"/>
                <w:bCs/>
              </w:rPr>
              <w:t>.</w:t>
            </w:r>
            <w:r w:rsidRPr="005E0F6F">
              <w:rPr>
                <w:rFonts w:asciiTheme="minorHAnsi" w:hAnsiTheme="minorHAnsi" w:cstheme="minorHAnsi"/>
                <w:bCs/>
              </w:rPr>
              <w:t xml:space="preserve"> The ongoing, systematised collection of data will support ongoing program improvements and future evaluations. DISER could use the surveys </w:t>
            </w:r>
            <w:r>
              <w:rPr>
                <w:rFonts w:asciiTheme="minorHAnsi" w:hAnsiTheme="minorHAnsi" w:cstheme="minorHAnsi"/>
                <w:bCs/>
              </w:rPr>
              <w:t xml:space="preserve">and interview guides </w:t>
            </w:r>
            <w:r w:rsidRPr="005E0F6F">
              <w:rPr>
                <w:rFonts w:asciiTheme="minorHAnsi" w:hAnsiTheme="minorHAnsi" w:cstheme="minorHAnsi"/>
                <w:bCs/>
              </w:rPr>
              <w:t xml:space="preserve">developed to support this evaluation as a starting point. </w:t>
            </w:r>
          </w:p>
        </w:tc>
        <w:tc>
          <w:tcPr>
            <w:tcW w:w="3256" w:type="dxa"/>
          </w:tcPr>
          <w:p w14:paraId="0570BE84" w14:textId="77777777" w:rsidR="009B0C0B" w:rsidRPr="00616213" w:rsidRDefault="009B0C0B" w:rsidP="00ED1143">
            <w:pPr>
              <w:pStyle w:val="TableNText"/>
              <w:rPr>
                <w:highlight w:val="yellow"/>
              </w:rPr>
            </w:pPr>
            <w:r w:rsidRPr="00BF3327">
              <w:t xml:space="preserve">Throughout the evaluation, it was clear that </w:t>
            </w:r>
            <w:r>
              <w:t>DISER had not collected formal data from SMEs and challenge agencies on their experience with the BRII program. This evaluation developed bespoke survey and interview data collection tools to fill these data collection gaps. DISER had collected some data on round one SME and challenge agency outcomes, however, this was through ad hoc processes and not a formal monitoring data collection approach</w:t>
            </w:r>
            <w:r w:rsidRPr="00BF3327">
              <w:t>.</w:t>
            </w:r>
          </w:p>
        </w:tc>
      </w:tr>
      <w:tr w:rsidR="009B0C0B" w:rsidRPr="006D1BBD" w14:paraId="54AC4D2B" w14:textId="77777777" w:rsidTr="009B0C0B">
        <w:trPr>
          <w:trHeight w:val="2269"/>
        </w:trPr>
        <w:tc>
          <w:tcPr>
            <w:tcW w:w="5664" w:type="dxa"/>
            <w:shd w:val="clear" w:color="auto" w:fill="auto"/>
          </w:tcPr>
          <w:p w14:paraId="0AF75625" w14:textId="77777777" w:rsidR="009B0C0B" w:rsidRPr="007B5931" w:rsidRDefault="009B0C0B" w:rsidP="00ED1143">
            <w:pPr>
              <w:pStyle w:val="TableNListnumbered"/>
              <w:spacing w:before="0" w:after="0"/>
              <w:ind w:left="601" w:hanging="601"/>
              <w:rPr>
                <w:bCs/>
              </w:rPr>
            </w:pPr>
            <w:r w:rsidRPr="006D6A86">
              <w:rPr>
                <w:rFonts w:asciiTheme="majorHAnsi" w:hAnsiTheme="majorHAnsi" w:cstheme="majorHAnsi"/>
              </w:rPr>
              <w:t xml:space="preserve">Build a longitudinal dataset of </w:t>
            </w:r>
            <w:r>
              <w:rPr>
                <w:rFonts w:asciiTheme="majorHAnsi" w:hAnsiTheme="majorHAnsi" w:cstheme="majorHAnsi"/>
              </w:rPr>
              <w:t xml:space="preserve">the </w:t>
            </w:r>
            <w:r w:rsidRPr="006D6A86">
              <w:rPr>
                <w:rFonts w:asciiTheme="majorHAnsi" w:hAnsiTheme="majorHAnsi" w:cstheme="majorHAnsi"/>
              </w:rPr>
              <w:t xml:space="preserve">BRII participants to demonstrate the program’s impact on business performance and their spill over </w:t>
            </w:r>
            <w:r>
              <w:rPr>
                <w:rFonts w:asciiTheme="majorHAnsi" w:hAnsiTheme="majorHAnsi" w:cstheme="majorHAnsi"/>
              </w:rPr>
              <w:t>e</w:t>
            </w:r>
            <w:r w:rsidRPr="006D6A86">
              <w:rPr>
                <w:rFonts w:asciiTheme="majorHAnsi" w:hAnsiTheme="majorHAnsi" w:cstheme="majorHAnsi"/>
              </w:rPr>
              <w:t>ffects</w:t>
            </w:r>
            <w:r w:rsidRPr="006D6A86">
              <w:rPr>
                <w:rFonts w:asciiTheme="majorHAnsi" w:hAnsiTheme="majorHAnsi" w:cstheme="majorHAnsi"/>
                <w:bCs/>
              </w:rPr>
              <w:t>.</w:t>
            </w:r>
            <w:r w:rsidRPr="007B5931">
              <w:rPr>
                <w:bCs/>
              </w:rPr>
              <w:t xml:space="preserve"> This should include:</w:t>
            </w:r>
          </w:p>
          <w:p w14:paraId="4DB091F9" w14:textId="77777777" w:rsidR="009B0C0B" w:rsidRPr="007C7038" w:rsidRDefault="009B0C0B" w:rsidP="00ED1143">
            <w:pPr>
              <w:pStyle w:val="TableNBullet"/>
              <w:spacing w:before="0" w:after="0"/>
              <w:ind w:left="885"/>
            </w:pPr>
            <w:r>
              <w:t>M</w:t>
            </w:r>
            <w:r w:rsidRPr="006D6A86">
              <w:t xml:space="preserve">aintaining the CBA model (and relevant guidance material) completed for this evaluation and </w:t>
            </w:r>
            <w:r>
              <w:t xml:space="preserve">integrating </w:t>
            </w:r>
            <w:r w:rsidRPr="006D6A86">
              <w:t xml:space="preserve">more SMEs </w:t>
            </w:r>
            <w:r>
              <w:t xml:space="preserve">into the CBA model </w:t>
            </w:r>
            <w:r w:rsidRPr="006D6A86">
              <w:t>across subsequent rounds, starting with round two SMEs.</w:t>
            </w:r>
          </w:p>
          <w:p w14:paraId="09DCD0B5" w14:textId="77777777" w:rsidR="009B0C0B" w:rsidRPr="00A5304D" w:rsidRDefault="009B0C0B" w:rsidP="00ED1143">
            <w:pPr>
              <w:pStyle w:val="TableNBullet"/>
              <w:spacing w:before="0" w:after="0"/>
              <w:ind w:left="885"/>
            </w:pPr>
            <w:r>
              <w:t>Exploring the ongoing use of the datasets developed through the evaluation to create a synthetic ‘control group’ for CBAs of future rounds.</w:t>
            </w:r>
          </w:p>
        </w:tc>
        <w:tc>
          <w:tcPr>
            <w:tcW w:w="3256" w:type="dxa"/>
          </w:tcPr>
          <w:p w14:paraId="773F5BA9" w14:textId="77777777" w:rsidR="009B0C0B" w:rsidRPr="006D1BBD" w:rsidRDefault="009B0C0B" w:rsidP="00ED1143">
            <w:pPr>
              <w:pStyle w:val="TableNText"/>
            </w:pPr>
            <w:r w:rsidRPr="00397910">
              <w:t xml:space="preserve">There is an opportunity to extend the above methodology so that an increasingly robust evidence base for the costs and benefits of the BRII can be developed over time. The BRII policy and program teams could work closely with the Evaluation and Research Branch </w:t>
            </w:r>
            <w:r>
              <w:t>in DISER</w:t>
            </w:r>
            <w:r w:rsidRPr="00397910">
              <w:t xml:space="preserve"> to engage challenge agencies and SMEs to collect the right data to support the CBA model</w:t>
            </w:r>
            <w:r>
              <w:t>.</w:t>
            </w:r>
          </w:p>
        </w:tc>
      </w:tr>
      <w:tr w:rsidR="009B0C0B" w:rsidRPr="006D1BBD" w14:paraId="59B2807D" w14:textId="77777777" w:rsidTr="009B0C0B">
        <w:trPr>
          <w:trHeight w:val="332"/>
        </w:trPr>
        <w:tc>
          <w:tcPr>
            <w:tcW w:w="5664" w:type="dxa"/>
            <w:shd w:val="clear" w:color="auto" w:fill="auto"/>
          </w:tcPr>
          <w:p w14:paraId="71193E50" w14:textId="77777777" w:rsidR="009B0C0B" w:rsidRPr="006D1BBD" w:rsidRDefault="009B0C0B" w:rsidP="00ED1143">
            <w:pPr>
              <w:pStyle w:val="TableNListnumbered"/>
              <w:keepLines/>
              <w:suppressAutoHyphens w:val="0"/>
              <w:spacing w:before="0" w:after="0"/>
              <w:ind w:left="593" w:hanging="593"/>
              <w:rPr>
                <w:rFonts w:asciiTheme="majorHAnsi" w:hAnsiTheme="majorHAnsi" w:cstheme="majorHAnsi"/>
              </w:rPr>
            </w:pPr>
            <w:r w:rsidRPr="006D6A86">
              <w:rPr>
                <w:rFonts w:asciiTheme="majorHAnsi" w:hAnsiTheme="majorHAnsi" w:cstheme="majorHAnsi"/>
              </w:rPr>
              <w:t>Develop a benefits realisation framework to monitor the benefits realised through successful challenge solutions.</w:t>
            </w:r>
            <w:r>
              <w:rPr>
                <w:rFonts w:asciiTheme="majorHAnsi" w:hAnsiTheme="majorHAnsi" w:cstheme="majorHAnsi"/>
              </w:rPr>
              <w:t xml:space="preserve"> </w:t>
            </w:r>
            <w:r>
              <w:t>The benefits realisation framework should be flexible so that it can capture the outcomes of the BRII solutions across the various challenges. DISER should consider providing targeted support to challenge agencies to use the benefits realisation framework to develop approaches to measure the impact of successful BRII solutions over time.</w:t>
            </w:r>
          </w:p>
        </w:tc>
        <w:tc>
          <w:tcPr>
            <w:tcW w:w="3256" w:type="dxa"/>
          </w:tcPr>
          <w:p w14:paraId="70787F24" w14:textId="77777777" w:rsidR="009B0C0B" w:rsidRPr="006D1BBD" w:rsidRDefault="009B0C0B" w:rsidP="00ED1143">
            <w:pPr>
              <w:pStyle w:val="TableNText"/>
            </w:pPr>
            <w:r w:rsidRPr="00637318">
              <w:t xml:space="preserve">To measure the impact of </w:t>
            </w:r>
            <w:r>
              <w:t>the BRII</w:t>
            </w:r>
            <w:r w:rsidRPr="00637318">
              <w:t xml:space="preserve"> solutions required longitudinal data that shows the benefits and costs of the various solutions. Due to the unavailability of data or the immaturity of some solutions the evaluation could only provide a high-level assessment of the benefits for three of the </w:t>
            </w:r>
            <w:r w:rsidRPr="00637318">
              <w:lastRenderedPageBreak/>
              <w:t>ten round one solutions. All three of the quantified solutions are also in the early stages of commercialisation. This limited the quantified benefits, which are expected to increase over time if the solutions continue to gain commercial traction</w:t>
            </w:r>
            <w:r>
              <w:t>.</w:t>
            </w:r>
          </w:p>
        </w:tc>
      </w:tr>
    </w:tbl>
    <w:p w14:paraId="3BA35740" w14:textId="77777777" w:rsidR="009B0C0B" w:rsidRPr="009B0C0B" w:rsidRDefault="009B0C0B" w:rsidP="009B0C0B">
      <w:pPr>
        <w:rPr>
          <w:lang w:eastAsia="en-AU"/>
        </w:rPr>
      </w:pPr>
    </w:p>
    <w:p w14:paraId="0EDF629B" w14:textId="03332699" w:rsidR="001E6F04" w:rsidRDefault="001E6F04" w:rsidP="009B0C0B">
      <w:pPr>
        <w:pStyle w:val="Heading2"/>
      </w:pPr>
      <w:bookmarkStart w:id="17" w:name="_Toc124435140"/>
      <w:r>
        <w:t>The future of the BRII</w:t>
      </w:r>
      <w:bookmarkEnd w:id="16"/>
      <w:bookmarkEnd w:id="17"/>
    </w:p>
    <w:p w14:paraId="2AD69247" w14:textId="03FFA34F" w:rsidR="001E6F04" w:rsidRDefault="001E6F04" w:rsidP="001E6F04">
      <w:pPr>
        <w:rPr>
          <w:lang w:eastAsia="en-AU"/>
        </w:rPr>
      </w:pPr>
      <w:r>
        <w:rPr>
          <w:lang w:eastAsia="en-AU"/>
        </w:rPr>
        <w:t xml:space="preserve">One of the purposes of this evaluation was to inform a decision on whether the </w:t>
      </w:r>
      <w:r w:rsidR="00FB72E0">
        <w:rPr>
          <w:lang w:eastAsia="en-AU"/>
        </w:rPr>
        <w:t xml:space="preserve">Australian </w:t>
      </w:r>
      <w:r>
        <w:rPr>
          <w:lang w:eastAsia="en-AU"/>
        </w:rPr>
        <w:t>Government should scale-up the BRII</w:t>
      </w:r>
      <w:r w:rsidR="003D703D">
        <w:rPr>
          <w:lang w:eastAsia="en-AU"/>
        </w:rPr>
        <w:t>, which remains in its pilot phase</w:t>
      </w:r>
      <w:r>
        <w:rPr>
          <w:lang w:eastAsia="en-AU"/>
        </w:rPr>
        <w:t xml:space="preserve">. This evaluation was also asked to provide views on future models to support scaling up the BRII. </w:t>
      </w:r>
    </w:p>
    <w:p w14:paraId="04B66997" w14:textId="68DDFADB" w:rsidR="00B708EB" w:rsidRDefault="00BE6311" w:rsidP="002549A2">
      <w:r>
        <w:rPr>
          <w:lang w:eastAsia="en-AU"/>
        </w:rPr>
        <w:t xml:space="preserve">This evaluation found that the BRII has </w:t>
      </w:r>
      <w:r w:rsidR="00635F1A">
        <w:rPr>
          <w:lang w:eastAsia="en-AU"/>
        </w:rPr>
        <w:t xml:space="preserve">delivered </w:t>
      </w:r>
      <w:r w:rsidR="00B75288">
        <w:rPr>
          <w:lang w:eastAsia="en-AU"/>
        </w:rPr>
        <w:t>positive</w:t>
      </w:r>
      <w:r w:rsidR="00635F1A">
        <w:rPr>
          <w:lang w:eastAsia="en-AU"/>
        </w:rPr>
        <w:t xml:space="preserve"> outcomes for both SMEs and </w:t>
      </w:r>
      <w:r w:rsidR="00350777">
        <w:rPr>
          <w:lang w:eastAsia="en-AU"/>
        </w:rPr>
        <w:t>government</w:t>
      </w:r>
      <w:r w:rsidR="001E6F04">
        <w:rPr>
          <w:lang w:eastAsia="en-AU"/>
        </w:rPr>
        <w:t xml:space="preserve"> </w:t>
      </w:r>
      <w:r w:rsidR="00635F1A">
        <w:rPr>
          <w:lang w:eastAsia="en-AU"/>
        </w:rPr>
        <w:t xml:space="preserve">agencies that has </w:t>
      </w:r>
      <w:r>
        <w:rPr>
          <w:lang w:eastAsia="en-AU"/>
        </w:rPr>
        <w:t xml:space="preserve">produced a </w:t>
      </w:r>
      <w:r w:rsidR="00635F1A">
        <w:rPr>
          <w:lang w:eastAsia="en-AU"/>
        </w:rPr>
        <w:t xml:space="preserve">considerable </w:t>
      </w:r>
      <w:r>
        <w:rPr>
          <w:lang w:eastAsia="en-AU"/>
        </w:rPr>
        <w:t>net economic benefit for Australia</w:t>
      </w:r>
      <w:r w:rsidR="004C63EB">
        <w:rPr>
          <w:lang w:eastAsia="en-AU"/>
        </w:rPr>
        <w:t xml:space="preserve">. </w:t>
      </w:r>
      <w:r w:rsidR="001E6F04" w:rsidRPr="00635F1A">
        <w:rPr>
          <w:lang w:eastAsia="en-AU"/>
        </w:rPr>
        <w:t>This evaluation therefore recommends that the</w:t>
      </w:r>
      <w:r w:rsidR="00635F1A" w:rsidRPr="00635F1A">
        <w:rPr>
          <w:lang w:eastAsia="en-AU"/>
        </w:rPr>
        <w:t xml:space="preserve"> </w:t>
      </w:r>
      <w:r w:rsidR="0008758B">
        <w:rPr>
          <w:lang w:eastAsia="en-AU"/>
        </w:rPr>
        <w:t>g</w:t>
      </w:r>
      <w:r w:rsidR="00635F1A" w:rsidRPr="00635F1A">
        <w:rPr>
          <w:lang w:eastAsia="en-AU"/>
        </w:rPr>
        <w:t>overnment consider scaling up the BRII to increase its reach and impact.</w:t>
      </w:r>
    </w:p>
    <w:p w14:paraId="684AEF7E" w14:textId="2EC3D9AD" w:rsidR="00451D67" w:rsidRDefault="007A0411" w:rsidP="002549A2">
      <w:pPr>
        <w:rPr>
          <w:lang w:eastAsia="en-AU"/>
        </w:rPr>
      </w:pPr>
      <w:r>
        <w:rPr>
          <w:lang w:eastAsia="en-AU"/>
        </w:rPr>
        <w:t xml:space="preserve">Although much smaller in scale to the </w:t>
      </w:r>
      <w:r w:rsidR="003D703D">
        <w:rPr>
          <w:lang w:eastAsia="en-AU"/>
        </w:rPr>
        <w:t xml:space="preserve">more mature </w:t>
      </w:r>
      <w:r>
        <w:rPr>
          <w:lang w:eastAsia="en-AU"/>
        </w:rPr>
        <w:t xml:space="preserve">UK and US programs, the BRII has achieved similar or better outcomes for participating SMEs and challenge agencies. </w:t>
      </w:r>
      <w:r w:rsidR="009466DA">
        <w:rPr>
          <w:lang w:eastAsia="en-AU"/>
        </w:rPr>
        <w:t>This highlights the potential for the impact of the BRII to continue as it scales</w:t>
      </w:r>
      <w:r w:rsidR="00767AEA">
        <w:rPr>
          <w:lang w:eastAsia="en-AU"/>
        </w:rPr>
        <w:t>-</w:t>
      </w:r>
      <w:r w:rsidR="009466DA">
        <w:rPr>
          <w:lang w:eastAsia="en-AU"/>
        </w:rPr>
        <w:t xml:space="preserve">up in size. </w:t>
      </w:r>
      <w:r w:rsidR="00D835AA" w:rsidRPr="00D835AA">
        <w:rPr>
          <w:lang w:eastAsia="en-AU"/>
        </w:rPr>
        <w:t xml:space="preserve">However, </w:t>
      </w:r>
      <w:r w:rsidR="00D835AA">
        <w:rPr>
          <w:lang w:eastAsia="en-AU"/>
        </w:rPr>
        <w:t xml:space="preserve">compared to the Canadian equivalent program - </w:t>
      </w:r>
      <w:r w:rsidR="00D835AA" w:rsidRPr="00D835AA">
        <w:rPr>
          <w:lang w:eastAsia="en-AU"/>
        </w:rPr>
        <w:t xml:space="preserve">Innovative Solutions </w:t>
      </w:r>
      <w:r w:rsidR="009C59A3" w:rsidRPr="00D835AA">
        <w:rPr>
          <w:lang w:eastAsia="en-AU"/>
        </w:rPr>
        <w:t>Canada</w:t>
      </w:r>
      <w:r w:rsidR="009C59A3">
        <w:rPr>
          <w:lang w:eastAsia="en-AU"/>
        </w:rPr>
        <w:t xml:space="preserve"> (</w:t>
      </w:r>
      <w:r w:rsidR="00D835AA">
        <w:rPr>
          <w:lang w:eastAsia="en-AU"/>
        </w:rPr>
        <w:t xml:space="preserve">ISC) - </w:t>
      </w:r>
      <w:r w:rsidR="00D835AA" w:rsidRPr="00D835AA">
        <w:rPr>
          <w:lang w:eastAsia="en-AU"/>
        </w:rPr>
        <w:t xml:space="preserve">the BRII has not significantly increased its scale across the first five years of operation. </w:t>
      </w:r>
      <w:r w:rsidR="00736C19">
        <w:rPr>
          <w:lang w:eastAsia="en-AU"/>
        </w:rPr>
        <w:t xml:space="preserve">ISC </w:t>
      </w:r>
      <w:r w:rsidR="00D835AA" w:rsidRPr="00D835AA">
        <w:rPr>
          <w:lang w:eastAsia="en-AU"/>
        </w:rPr>
        <w:t xml:space="preserve">already </w:t>
      </w:r>
      <w:r w:rsidR="00736C19">
        <w:rPr>
          <w:lang w:eastAsia="en-AU"/>
        </w:rPr>
        <w:t>has an available budget 17</w:t>
      </w:r>
      <w:r w:rsidR="00D835AA" w:rsidRPr="00D835AA">
        <w:rPr>
          <w:lang w:eastAsia="en-AU"/>
        </w:rPr>
        <w:t xml:space="preserve"> times larger than the BRII even </w:t>
      </w:r>
      <w:r w:rsidR="009C59A3" w:rsidRPr="00D835AA">
        <w:rPr>
          <w:lang w:eastAsia="en-AU"/>
        </w:rPr>
        <w:t>though</w:t>
      </w:r>
      <w:r w:rsidR="00D835AA" w:rsidRPr="00D835AA">
        <w:rPr>
          <w:lang w:eastAsia="en-AU"/>
        </w:rPr>
        <w:t xml:space="preserve"> it launched one year later than the BRII. </w:t>
      </w:r>
      <w:r w:rsidR="00F850EC">
        <w:rPr>
          <w:lang w:eastAsia="en-AU"/>
        </w:rPr>
        <w:t>I</w:t>
      </w:r>
      <w:r w:rsidR="004566DE">
        <w:rPr>
          <w:lang w:eastAsia="en-AU"/>
        </w:rPr>
        <w:t>n</w:t>
      </w:r>
      <w:r w:rsidR="00F850EC">
        <w:rPr>
          <w:lang w:eastAsia="en-AU"/>
        </w:rPr>
        <w:t xml:space="preserve"> its first two years of operation t</w:t>
      </w:r>
      <w:r w:rsidR="00736C19">
        <w:rPr>
          <w:lang w:eastAsia="en-AU"/>
        </w:rPr>
        <w:t xml:space="preserve">he ISC has already supported over 140 SMEs </w:t>
      </w:r>
      <w:r w:rsidR="00F850EC">
        <w:rPr>
          <w:lang w:eastAsia="en-AU"/>
        </w:rPr>
        <w:t xml:space="preserve">work towards solving </w:t>
      </w:r>
      <w:r w:rsidR="00736C19">
        <w:rPr>
          <w:lang w:eastAsia="en-AU"/>
        </w:rPr>
        <w:t xml:space="preserve">70 challenges </w:t>
      </w:r>
      <w:r w:rsidR="00F850EC">
        <w:rPr>
          <w:lang w:eastAsia="en-AU"/>
        </w:rPr>
        <w:t xml:space="preserve">for 17 different </w:t>
      </w:r>
      <w:r w:rsidR="00350777">
        <w:rPr>
          <w:lang w:eastAsia="en-AU"/>
        </w:rPr>
        <w:t>government</w:t>
      </w:r>
      <w:r w:rsidR="00F850EC">
        <w:rPr>
          <w:lang w:eastAsia="en-AU"/>
        </w:rPr>
        <w:t xml:space="preserve"> agencies.</w:t>
      </w:r>
      <w:r w:rsidR="00E137FC">
        <w:rPr>
          <w:rStyle w:val="FootnoteReference"/>
          <w:lang w:eastAsia="en-AU"/>
        </w:rPr>
        <w:footnoteReference w:id="10"/>
      </w:r>
      <w:r w:rsidR="00F850EC">
        <w:rPr>
          <w:lang w:eastAsia="en-AU"/>
        </w:rPr>
        <w:t xml:space="preserve"> </w:t>
      </w:r>
      <w:r w:rsidR="00D62CEE">
        <w:rPr>
          <w:lang w:eastAsia="en-AU"/>
        </w:rPr>
        <w:t>If the BRII is to</w:t>
      </w:r>
      <w:r w:rsidR="00D835AA" w:rsidRPr="00D835AA">
        <w:rPr>
          <w:lang w:eastAsia="en-AU"/>
        </w:rPr>
        <w:t xml:space="preserve"> achieve </w:t>
      </w:r>
      <w:r w:rsidR="00D62CEE">
        <w:rPr>
          <w:lang w:eastAsia="en-AU"/>
        </w:rPr>
        <w:t xml:space="preserve">a similar scale </w:t>
      </w:r>
      <w:r w:rsidR="00736C19" w:rsidRPr="00D835AA">
        <w:rPr>
          <w:lang w:eastAsia="en-AU"/>
        </w:rPr>
        <w:t>and maintain the impact of the program the</w:t>
      </w:r>
      <w:r w:rsidR="00D835AA" w:rsidRPr="00D835AA">
        <w:rPr>
          <w:lang w:eastAsia="en-AU"/>
        </w:rPr>
        <w:t xml:space="preserve"> </w:t>
      </w:r>
      <w:r w:rsidR="00336B02">
        <w:rPr>
          <w:lang w:eastAsia="en-AU"/>
        </w:rPr>
        <w:t xml:space="preserve">Australian </w:t>
      </w:r>
      <w:r w:rsidR="00D835AA" w:rsidRPr="00D835AA">
        <w:rPr>
          <w:lang w:eastAsia="en-AU"/>
        </w:rPr>
        <w:t>Government will need to make some considered decisions on the funding, design and delivery of the BRII</w:t>
      </w:r>
      <w:r w:rsidR="00BE41CB">
        <w:rPr>
          <w:lang w:eastAsia="en-AU"/>
        </w:rPr>
        <w:t>.</w:t>
      </w:r>
    </w:p>
    <w:p w14:paraId="6AD9C6E9" w14:textId="5B6A838C" w:rsidR="00FC1D8C" w:rsidRPr="00654F08" w:rsidRDefault="00E22A84" w:rsidP="00A34532">
      <w:pPr>
        <w:rPr>
          <w:lang w:eastAsia="en-AU"/>
        </w:rPr>
      </w:pPr>
      <w:r w:rsidRPr="00654F08">
        <w:rPr>
          <w:lang w:eastAsia="en-AU"/>
        </w:rPr>
        <w:t xml:space="preserve">The BRII is one of the few demand side levers that </w:t>
      </w:r>
      <w:r w:rsidR="003B4CBC">
        <w:rPr>
          <w:lang w:eastAsia="en-AU"/>
        </w:rPr>
        <w:t xml:space="preserve">the </w:t>
      </w:r>
      <w:r w:rsidR="0008758B">
        <w:rPr>
          <w:lang w:eastAsia="en-AU"/>
        </w:rPr>
        <w:t>g</w:t>
      </w:r>
      <w:r w:rsidR="003B4CBC">
        <w:rPr>
          <w:lang w:eastAsia="en-AU"/>
        </w:rPr>
        <w:t>overnment</w:t>
      </w:r>
      <w:r w:rsidRPr="00654F08">
        <w:rPr>
          <w:lang w:eastAsia="en-AU"/>
        </w:rPr>
        <w:t xml:space="preserve"> has used to stimulate </w:t>
      </w:r>
      <w:r w:rsidR="0065459C" w:rsidRPr="00654F08">
        <w:rPr>
          <w:lang w:eastAsia="en-AU"/>
        </w:rPr>
        <w:t xml:space="preserve">business </w:t>
      </w:r>
      <w:r w:rsidR="00654F08" w:rsidRPr="00654F08">
        <w:rPr>
          <w:lang w:eastAsia="en-AU"/>
        </w:rPr>
        <w:t>innovation</w:t>
      </w:r>
      <w:r w:rsidR="00654F08">
        <w:rPr>
          <w:lang w:eastAsia="en-AU"/>
        </w:rPr>
        <w:t xml:space="preserve"> and</w:t>
      </w:r>
      <w:r w:rsidR="007F4D08">
        <w:rPr>
          <w:lang w:eastAsia="en-AU"/>
        </w:rPr>
        <w:t xml:space="preserve"> is therefore an important and unique part of </w:t>
      </w:r>
      <w:r w:rsidR="007118B8">
        <w:rPr>
          <w:lang w:eastAsia="en-AU"/>
        </w:rPr>
        <w:t xml:space="preserve">the </w:t>
      </w:r>
      <w:r w:rsidR="0008758B">
        <w:rPr>
          <w:lang w:eastAsia="en-AU"/>
        </w:rPr>
        <w:t>g</w:t>
      </w:r>
      <w:r w:rsidR="007118B8">
        <w:rPr>
          <w:lang w:eastAsia="en-AU"/>
        </w:rPr>
        <w:t>overnment’s suite of innovation programs</w:t>
      </w:r>
      <w:r w:rsidR="0065459C" w:rsidRPr="00654F08">
        <w:rPr>
          <w:lang w:eastAsia="en-AU"/>
        </w:rPr>
        <w:t>.</w:t>
      </w:r>
      <w:r w:rsidR="0065459C" w:rsidRPr="00336F28">
        <w:rPr>
          <w:lang w:eastAsia="en-AU"/>
        </w:rPr>
        <w:t xml:space="preserve"> </w:t>
      </w:r>
      <w:r w:rsidR="003D703D">
        <w:rPr>
          <w:lang w:eastAsia="en-AU"/>
        </w:rPr>
        <w:t xml:space="preserve">Industry </w:t>
      </w:r>
      <w:r w:rsidR="00A34532" w:rsidRPr="00B75288">
        <w:rPr>
          <w:lang w:eastAsia="en-AU"/>
        </w:rPr>
        <w:t xml:space="preserve">Innovation </w:t>
      </w:r>
      <w:r w:rsidR="003D703D">
        <w:rPr>
          <w:lang w:eastAsia="en-AU"/>
        </w:rPr>
        <w:t xml:space="preserve">and </w:t>
      </w:r>
      <w:r w:rsidR="00A34532" w:rsidRPr="00B75288">
        <w:rPr>
          <w:lang w:eastAsia="en-AU"/>
        </w:rPr>
        <w:t xml:space="preserve">Science Australia </w:t>
      </w:r>
      <w:r w:rsidR="001D4B2F" w:rsidRPr="00654F08">
        <w:rPr>
          <w:lang w:eastAsia="en-AU"/>
        </w:rPr>
        <w:t>(I</w:t>
      </w:r>
      <w:r w:rsidR="003D703D">
        <w:rPr>
          <w:lang w:eastAsia="en-AU"/>
        </w:rPr>
        <w:t>I</w:t>
      </w:r>
      <w:r w:rsidR="001D4B2F" w:rsidRPr="00654F08">
        <w:rPr>
          <w:lang w:eastAsia="en-AU"/>
        </w:rPr>
        <w:t>SA)</w:t>
      </w:r>
      <w:r w:rsidR="00A34532" w:rsidRPr="00654F08">
        <w:rPr>
          <w:lang w:eastAsia="en-AU"/>
        </w:rPr>
        <w:t xml:space="preserve"> </w:t>
      </w:r>
      <w:r w:rsidR="00A34532" w:rsidRPr="00B75288">
        <w:rPr>
          <w:lang w:eastAsia="en-AU"/>
        </w:rPr>
        <w:t xml:space="preserve">recommended </w:t>
      </w:r>
      <w:r w:rsidR="00494990" w:rsidRPr="00B75288">
        <w:rPr>
          <w:lang w:eastAsia="en-AU"/>
        </w:rPr>
        <w:t xml:space="preserve">in 2020 </w:t>
      </w:r>
      <w:r w:rsidR="00A34532" w:rsidRPr="00B75288">
        <w:rPr>
          <w:lang w:eastAsia="en-AU"/>
        </w:rPr>
        <w:t xml:space="preserve">that, where appropriate, government leverage its procurement of products and services to promote a more innovation-oriented response from business and build business capability. </w:t>
      </w:r>
      <w:r w:rsidR="00C076D4" w:rsidRPr="00B75288">
        <w:rPr>
          <w:lang w:eastAsia="en-AU"/>
        </w:rPr>
        <w:t xml:space="preserve">ISA particularly noted the need to </w:t>
      </w:r>
      <w:r w:rsidR="00A34532" w:rsidRPr="00B75288">
        <w:rPr>
          <w:lang w:eastAsia="en-AU"/>
        </w:rPr>
        <w:t xml:space="preserve">focus on procurement policy that can deliver innovative solutions for </w:t>
      </w:r>
      <w:r w:rsidR="003B4CBC">
        <w:rPr>
          <w:lang w:eastAsia="en-AU"/>
        </w:rPr>
        <w:t xml:space="preserve">the </w:t>
      </w:r>
      <w:r w:rsidR="0008758B">
        <w:rPr>
          <w:lang w:eastAsia="en-AU"/>
        </w:rPr>
        <w:t>g</w:t>
      </w:r>
      <w:r w:rsidR="00A34532" w:rsidRPr="00B75288">
        <w:rPr>
          <w:lang w:eastAsia="en-AU"/>
        </w:rPr>
        <w:t>overnment and growth opportunities for innovative firms.</w:t>
      </w:r>
      <w:r w:rsidR="00B75288">
        <w:rPr>
          <w:rStyle w:val="FootnoteReference"/>
          <w:lang w:eastAsia="en-AU"/>
        </w:rPr>
        <w:footnoteReference w:id="11"/>
      </w:r>
    </w:p>
    <w:p w14:paraId="3FB0D075" w14:textId="1A28CDAD" w:rsidR="00BF0F43" w:rsidRDefault="00D53477" w:rsidP="002549A2">
      <w:pPr>
        <w:rPr>
          <w:lang w:eastAsia="en-AU"/>
        </w:rPr>
      </w:pPr>
      <w:r w:rsidRPr="00654F08">
        <w:rPr>
          <w:lang w:eastAsia="en-AU"/>
        </w:rPr>
        <w:lastRenderedPageBreak/>
        <w:t xml:space="preserve">This </w:t>
      </w:r>
      <w:r w:rsidR="00494990" w:rsidRPr="00B75288">
        <w:rPr>
          <w:lang w:eastAsia="en-AU"/>
        </w:rPr>
        <w:t xml:space="preserve">ISA recommendation </w:t>
      </w:r>
      <w:r w:rsidRPr="00654F08">
        <w:rPr>
          <w:lang w:eastAsia="en-AU"/>
        </w:rPr>
        <w:t xml:space="preserve">also aligns with the </w:t>
      </w:r>
      <w:r w:rsidR="002220AF" w:rsidRPr="00654F08">
        <w:rPr>
          <w:lang w:eastAsia="en-AU"/>
        </w:rPr>
        <w:t>recent</w:t>
      </w:r>
      <w:r w:rsidR="00B75288">
        <w:rPr>
          <w:lang w:eastAsia="en-AU"/>
        </w:rPr>
        <w:t xml:space="preserve"> Department of </w:t>
      </w:r>
      <w:r w:rsidR="00654F08">
        <w:rPr>
          <w:lang w:eastAsia="en-AU"/>
        </w:rPr>
        <w:t>Education, Skills and Employment</w:t>
      </w:r>
      <w:r w:rsidR="002220AF" w:rsidRPr="00654F08">
        <w:rPr>
          <w:lang w:eastAsia="en-AU"/>
        </w:rPr>
        <w:t xml:space="preserve"> discussion paper to support the design of the </w:t>
      </w:r>
      <w:r w:rsidR="00844CF0" w:rsidRPr="00B75288">
        <w:rPr>
          <w:lang w:eastAsia="en-AU"/>
        </w:rPr>
        <w:t>University Research Commercialisation Scheme</w:t>
      </w:r>
      <w:r w:rsidR="00BB7D80" w:rsidRPr="00B75288">
        <w:rPr>
          <w:lang w:eastAsia="en-AU"/>
        </w:rPr>
        <w:t xml:space="preserve"> (URCS)</w:t>
      </w:r>
      <w:r w:rsidR="00844CF0" w:rsidRPr="00B75288">
        <w:rPr>
          <w:lang w:eastAsia="en-AU"/>
        </w:rPr>
        <w:t>.</w:t>
      </w:r>
      <w:r w:rsidR="001E6F04">
        <w:rPr>
          <w:rStyle w:val="FootnoteReference"/>
          <w:lang w:eastAsia="en-AU"/>
        </w:rPr>
        <w:footnoteReference w:id="12"/>
      </w:r>
      <w:r w:rsidR="00844CF0" w:rsidRPr="00B75288">
        <w:rPr>
          <w:lang w:eastAsia="en-AU"/>
        </w:rPr>
        <w:t xml:space="preserve"> The consultation paper highlights </w:t>
      </w:r>
      <w:r w:rsidR="00A864B9" w:rsidRPr="00B75288">
        <w:rPr>
          <w:lang w:eastAsia="en-AU"/>
        </w:rPr>
        <w:t>both challenge</w:t>
      </w:r>
      <w:r w:rsidR="00654F08">
        <w:rPr>
          <w:lang w:eastAsia="en-AU"/>
        </w:rPr>
        <w:t>-</w:t>
      </w:r>
      <w:r w:rsidR="00A864B9" w:rsidRPr="00B75288">
        <w:rPr>
          <w:lang w:eastAsia="en-AU"/>
        </w:rPr>
        <w:t>based research and stage gated scheme design as two</w:t>
      </w:r>
      <w:r w:rsidR="00FB4FE6" w:rsidRPr="00B75288">
        <w:rPr>
          <w:lang w:eastAsia="en-AU"/>
        </w:rPr>
        <w:t xml:space="preserve"> important factors </w:t>
      </w:r>
      <w:r w:rsidR="00671374" w:rsidRPr="00B75288">
        <w:rPr>
          <w:lang w:eastAsia="en-AU"/>
        </w:rPr>
        <w:t xml:space="preserve">to support </w:t>
      </w:r>
      <w:r w:rsidR="00CB04E0" w:rsidRPr="00B75288">
        <w:rPr>
          <w:lang w:eastAsia="en-AU"/>
        </w:rPr>
        <w:t xml:space="preserve">innovation. The BRII has shown itself to be a model that can successfully leverage </w:t>
      </w:r>
      <w:r w:rsidR="00654F08" w:rsidRPr="00B75288">
        <w:rPr>
          <w:lang w:eastAsia="en-AU"/>
        </w:rPr>
        <w:t>both</w:t>
      </w:r>
      <w:r w:rsidR="00CB04E0" w:rsidRPr="00B75288">
        <w:rPr>
          <w:lang w:eastAsia="en-AU"/>
        </w:rPr>
        <w:t xml:space="preserve"> factors to deliver significant value.</w:t>
      </w:r>
      <w:r w:rsidR="005877F5" w:rsidRPr="00B75288">
        <w:rPr>
          <w:lang w:eastAsia="en-AU"/>
        </w:rPr>
        <w:t xml:space="preserve"> However, any decision to scale-up the BRII must consider how it will </w:t>
      </w:r>
      <w:r w:rsidR="00667179" w:rsidRPr="00B75288">
        <w:rPr>
          <w:lang w:eastAsia="en-AU"/>
        </w:rPr>
        <w:t xml:space="preserve">augment other </w:t>
      </w:r>
      <w:r w:rsidR="00BB7D80" w:rsidRPr="00B75288">
        <w:rPr>
          <w:lang w:eastAsia="en-AU"/>
        </w:rPr>
        <w:t>focus areas for government, such as the URCS</w:t>
      </w:r>
      <w:r w:rsidR="00B63B29" w:rsidRPr="00B75288">
        <w:rPr>
          <w:lang w:eastAsia="en-AU"/>
        </w:rPr>
        <w:t>.</w:t>
      </w:r>
      <w:r w:rsidR="00A50461" w:rsidRPr="00B75288">
        <w:rPr>
          <w:lang w:eastAsia="en-AU"/>
        </w:rPr>
        <w:t xml:space="preserve"> More detail on </w:t>
      </w:r>
      <w:r w:rsidR="00D84C32" w:rsidRPr="00B75288">
        <w:rPr>
          <w:lang w:eastAsia="en-AU"/>
        </w:rPr>
        <w:t>scale</w:t>
      </w:r>
      <w:r w:rsidR="007060BE">
        <w:rPr>
          <w:lang w:eastAsia="en-AU"/>
        </w:rPr>
        <w:t>d</w:t>
      </w:r>
      <w:r w:rsidR="00D84C32" w:rsidRPr="00B75288">
        <w:rPr>
          <w:lang w:eastAsia="en-AU"/>
        </w:rPr>
        <w:t xml:space="preserve">-up </w:t>
      </w:r>
      <w:r w:rsidR="00654F08" w:rsidRPr="00B75288">
        <w:rPr>
          <w:lang w:eastAsia="en-AU"/>
        </w:rPr>
        <w:t>considerations</w:t>
      </w:r>
      <w:r w:rsidR="00D84C32" w:rsidRPr="00B75288">
        <w:rPr>
          <w:lang w:eastAsia="en-AU"/>
        </w:rPr>
        <w:t xml:space="preserve"> </w:t>
      </w:r>
      <w:r w:rsidR="00654F08" w:rsidRPr="00B75288">
        <w:rPr>
          <w:lang w:eastAsia="en-AU"/>
        </w:rPr>
        <w:t>is</w:t>
      </w:r>
      <w:r w:rsidR="00D84C32" w:rsidRPr="00B75288">
        <w:rPr>
          <w:lang w:eastAsia="en-AU"/>
        </w:rPr>
        <w:t xml:space="preserve"> provided below.</w:t>
      </w:r>
    </w:p>
    <w:p w14:paraId="7D39DD0F" w14:textId="77777777" w:rsidR="00804D95" w:rsidRDefault="00804D95" w:rsidP="00EA4234">
      <w:pPr>
        <w:pStyle w:val="Heading3"/>
      </w:pPr>
      <w:r>
        <w:t>T</w:t>
      </w:r>
      <w:r w:rsidR="00530FDA">
        <w:t xml:space="preserve">he </w:t>
      </w:r>
      <w:r w:rsidR="00A61B6E">
        <w:t>design, funding</w:t>
      </w:r>
      <w:r w:rsidR="00804866">
        <w:t xml:space="preserve"> and delivery of the BRII must evolve to enable greater scale. </w:t>
      </w:r>
    </w:p>
    <w:p w14:paraId="2FE2905F" w14:textId="0CB63302" w:rsidR="00804866" w:rsidRPr="00C50B5E" w:rsidRDefault="009719B0" w:rsidP="009719B0">
      <w:r w:rsidRPr="009719B0">
        <w:t>Th</w:t>
      </w:r>
      <w:r w:rsidR="00C25728">
        <w:t>is</w:t>
      </w:r>
      <w:r w:rsidRPr="009719B0">
        <w:t xml:space="preserve"> evaluation has identified four areas </w:t>
      </w:r>
      <w:r w:rsidR="00095EBE">
        <w:t xml:space="preserve">that </w:t>
      </w:r>
      <w:r w:rsidR="007F4071">
        <w:t xml:space="preserve">the Australian </w:t>
      </w:r>
      <w:r w:rsidR="00095EBE">
        <w:t xml:space="preserve">Government could </w:t>
      </w:r>
      <w:r w:rsidRPr="009719B0">
        <w:t>consider</w:t>
      </w:r>
      <w:r w:rsidR="00095EBE">
        <w:t xml:space="preserve"> if it were to </w:t>
      </w:r>
      <w:r w:rsidRPr="009719B0">
        <w:t>scale-up</w:t>
      </w:r>
      <w:r>
        <w:t xml:space="preserve"> of</w:t>
      </w:r>
      <w:r w:rsidRPr="009719B0">
        <w:t xml:space="preserve"> the BRII</w:t>
      </w:r>
      <w:r w:rsidR="00654F08">
        <w:t xml:space="preserve">. Each </w:t>
      </w:r>
      <w:r w:rsidR="007F4071">
        <w:t>area</w:t>
      </w:r>
      <w:r w:rsidR="00654F08">
        <w:t xml:space="preserve"> is outlined below:</w:t>
      </w:r>
    </w:p>
    <w:p w14:paraId="21C9532C" w14:textId="18D38C15" w:rsidR="00804866" w:rsidRPr="00EF4D0B" w:rsidRDefault="00EF4D0B">
      <w:pPr>
        <w:pStyle w:val="Bullet"/>
        <w:rPr>
          <w:rFonts w:asciiTheme="majorHAnsi" w:hAnsiTheme="majorHAnsi" w:cstheme="majorHAnsi"/>
        </w:rPr>
      </w:pPr>
      <w:r w:rsidRPr="00EF4D0B">
        <w:rPr>
          <w:rFonts w:asciiTheme="majorHAnsi" w:hAnsiTheme="majorHAnsi" w:cstheme="majorHAnsi"/>
        </w:rPr>
        <w:t>There are several options for funding a scale</w:t>
      </w:r>
      <w:r w:rsidR="00674645">
        <w:rPr>
          <w:rFonts w:asciiTheme="majorHAnsi" w:hAnsiTheme="majorHAnsi" w:cstheme="majorHAnsi"/>
        </w:rPr>
        <w:t>d</w:t>
      </w:r>
      <w:r w:rsidR="00EE3BF2">
        <w:rPr>
          <w:rFonts w:asciiTheme="majorHAnsi" w:hAnsiTheme="majorHAnsi" w:cstheme="majorHAnsi"/>
        </w:rPr>
        <w:t>-</w:t>
      </w:r>
      <w:r w:rsidRPr="00EF4D0B">
        <w:rPr>
          <w:rFonts w:asciiTheme="majorHAnsi" w:hAnsiTheme="majorHAnsi" w:cstheme="majorHAnsi"/>
        </w:rPr>
        <w:t>up BRII.</w:t>
      </w:r>
      <w:r w:rsidR="00804866" w:rsidRPr="00EF4D0B">
        <w:rPr>
          <w:rFonts w:asciiTheme="majorHAnsi" w:hAnsiTheme="majorHAnsi" w:cstheme="majorHAnsi"/>
        </w:rPr>
        <w:t xml:space="preserve"> </w:t>
      </w:r>
      <w:r w:rsidR="00804866" w:rsidRPr="00C50B5E">
        <w:t xml:space="preserve">DISER could set broad expenditure targets and </w:t>
      </w:r>
      <w:r w:rsidR="00F2768F">
        <w:t xml:space="preserve">then </w:t>
      </w:r>
      <w:r w:rsidR="00804866" w:rsidRPr="00C50B5E">
        <w:t xml:space="preserve">support </w:t>
      </w:r>
      <w:r w:rsidR="00F2768F">
        <w:t xml:space="preserve">government </w:t>
      </w:r>
      <w:r w:rsidR="00804866" w:rsidRPr="00C50B5E">
        <w:t xml:space="preserve">agencies to engage </w:t>
      </w:r>
      <w:r w:rsidR="002D0725">
        <w:t>with</w:t>
      </w:r>
      <w:r w:rsidR="00804866" w:rsidRPr="00C50B5E">
        <w:t xml:space="preserve"> </w:t>
      </w:r>
      <w:r w:rsidR="00630224">
        <w:t>the</w:t>
      </w:r>
      <w:r w:rsidR="00804866" w:rsidRPr="00C50B5E">
        <w:t xml:space="preserve"> BRII to reach the target expenditure, like the approach taken in the UK. </w:t>
      </w:r>
      <w:r w:rsidR="001E6F04" w:rsidRPr="00C50B5E">
        <w:t xml:space="preserve">However, this </w:t>
      </w:r>
      <w:r w:rsidR="001E6F04">
        <w:t>approach</w:t>
      </w:r>
      <w:r w:rsidR="00804866">
        <w:t xml:space="preserve"> has often led to missed targets</w:t>
      </w:r>
      <w:r w:rsidR="00804866" w:rsidRPr="00C50B5E">
        <w:t xml:space="preserve">. A more effective model </w:t>
      </w:r>
      <w:r w:rsidR="00804866">
        <w:t xml:space="preserve">is to mandate </w:t>
      </w:r>
      <w:r w:rsidR="00804866" w:rsidRPr="00C50B5E">
        <w:t xml:space="preserve">targets as a proportion of </w:t>
      </w:r>
      <w:r w:rsidR="00804866">
        <w:t xml:space="preserve">departmental </w:t>
      </w:r>
      <w:r w:rsidR="003F223D">
        <w:t xml:space="preserve">expense </w:t>
      </w:r>
      <w:r w:rsidR="00804866">
        <w:t>budgets</w:t>
      </w:r>
      <w:r w:rsidR="00804866" w:rsidRPr="00C50B5E">
        <w:t>, like the approach taken in Canada and the US.</w:t>
      </w:r>
      <w:r w:rsidR="00E053AC">
        <w:t xml:space="preserve"> </w:t>
      </w:r>
      <w:r w:rsidR="00E053AC" w:rsidRPr="00E053AC">
        <w:t>The US SBIR and the ISC</w:t>
      </w:r>
      <w:r w:rsidR="00E053AC">
        <w:t xml:space="preserve"> in Canada</w:t>
      </w:r>
      <w:r w:rsidR="00E053AC" w:rsidRPr="00E053AC">
        <w:t xml:space="preserve"> also offer good benchmarks for the Australian Government to consider what expansion pathway is possible for the BRII. The SBIR experience offers a moderate and steady benchmark as it saw moderate growth in its first ten years of operation, growing from $38 million to $517 million (USD) (normalised CAGR of 34 per cent). Meanwhile, the ISC offers a mode ambitious benchmark as it has increased its funding to SMEs from $6.6 million in year one to almost $15 million in year two (growth rate of 123 per cent). The ISC’s ambition is to reach $100 million in challenge funding per annum as quickly as possible.</w:t>
      </w:r>
    </w:p>
    <w:p w14:paraId="43887D7A" w14:textId="204568B4" w:rsidR="00804866" w:rsidRPr="00C30323" w:rsidRDefault="00C30323">
      <w:pPr>
        <w:pStyle w:val="Bullet"/>
        <w:rPr>
          <w:rFonts w:asciiTheme="majorHAnsi" w:hAnsiTheme="majorHAnsi" w:cstheme="majorHAnsi"/>
        </w:rPr>
      </w:pPr>
      <w:r>
        <w:rPr>
          <w:rFonts w:asciiTheme="majorHAnsi" w:hAnsiTheme="majorHAnsi" w:cstheme="majorHAnsi"/>
        </w:rPr>
        <w:t xml:space="preserve">Program delivery will need to evolve to enable greater scale. </w:t>
      </w:r>
      <w:r w:rsidR="00804866" w:rsidRPr="00C50B5E">
        <w:t>Current governance and management arrangements will need to change, for example through new EPC arrangements and a centralised governance, administration and policy unit. The program will also need to increase the frequency and nature of challenges</w:t>
      </w:r>
      <w:r w:rsidR="00F502CF">
        <w:t>,</w:t>
      </w:r>
      <w:r w:rsidR="00804866" w:rsidRPr="00C50B5E">
        <w:t xml:space="preserve"> a rolling challenge model is typical in other comparable programs. Workflows and manual process</w:t>
      </w:r>
      <w:r w:rsidR="00804866">
        <w:t>es</w:t>
      </w:r>
      <w:r w:rsidR="00804866" w:rsidRPr="00C50B5E">
        <w:t xml:space="preserve"> will also need to be streamlined and automated. A dedicated online portal</w:t>
      </w:r>
      <w:r>
        <w:t xml:space="preserve">, </w:t>
      </w:r>
      <w:r w:rsidR="00607DC0">
        <w:t>like</w:t>
      </w:r>
      <w:r>
        <w:t xml:space="preserve"> that used by ISC, </w:t>
      </w:r>
      <w:r w:rsidR="00804866" w:rsidRPr="00C50B5E">
        <w:t>could support this</w:t>
      </w:r>
      <w:r w:rsidR="00804866">
        <w:t xml:space="preserve"> and other efficiencies.</w:t>
      </w:r>
    </w:p>
    <w:p w14:paraId="66427787" w14:textId="77777777" w:rsidR="00804866" w:rsidRDefault="001E6F04">
      <w:pPr>
        <w:pStyle w:val="Bullet"/>
      </w:pPr>
      <w:r>
        <w:rPr>
          <w:rFonts w:asciiTheme="majorHAnsi" w:hAnsiTheme="majorHAnsi" w:cstheme="majorHAnsi"/>
        </w:rPr>
        <w:t>A</w:t>
      </w:r>
      <w:r w:rsidRPr="00825391">
        <w:rPr>
          <w:rFonts w:asciiTheme="majorHAnsi" w:hAnsiTheme="majorHAnsi" w:cstheme="majorHAnsi"/>
        </w:rPr>
        <w:t>PS capability will need to improve to support a scaled-up BRII</w:t>
      </w:r>
      <w:r>
        <w:rPr>
          <w:rFonts w:asciiTheme="majorHAnsi" w:hAnsiTheme="majorHAnsi" w:cstheme="majorHAnsi"/>
        </w:rPr>
        <w:t>.</w:t>
      </w:r>
      <w:r w:rsidR="00804866">
        <w:rPr>
          <w:rFonts w:asciiTheme="majorHAnsi" w:hAnsiTheme="majorHAnsi" w:cstheme="majorHAnsi"/>
        </w:rPr>
        <w:t xml:space="preserve"> </w:t>
      </w:r>
      <w:r w:rsidR="00804866" w:rsidRPr="00931CB3">
        <w:t xml:space="preserve">New embedded roles across participating portfolios that support the administration of the BRII can help to address current workload issues and help to deliver more challenges. Similarly, capability uplift in commercialisation assessment to help the assessment and delivery stages is critical </w:t>
      </w:r>
      <w:r w:rsidR="00804866" w:rsidRPr="00931CB3">
        <w:lastRenderedPageBreak/>
        <w:t>to support a scaled-up BRII. Such uplift may involve the use of dedicated commercialisation advisers.</w:t>
      </w:r>
    </w:p>
    <w:p w14:paraId="1EF05774" w14:textId="71A116B7" w:rsidR="00804866" w:rsidRPr="00804866" w:rsidRDefault="00BD3275">
      <w:pPr>
        <w:pStyle w:val="Bullet"/>
      </w:pPr>
      <w:r>
        <w:rPr>
          <w:rFonts w:asciiTheme="majorHAnsi" w:hAnsiTheme="majorHAnsi" w:cstheme="majorHAnsi"/>
        </w:rPr>
        <w:t xml:space="preserve">Continued focus </w:t>
      </w:r>
      <w:r w:rsidR="00793D88">
        <w:rPr>
          <w:rFonts w:asciiTheme="majorHAnsi" w:hAnsiTheme="majorHAnsi" w:cstheme="majorHAnsi"/>
        </w:rPr>
        <w:t xml:space="preserve">on improving SME engagement and support </w:t>
      </w:r>
      <w:r w:rsidR="003743C4">
        <w:rPr>
          <w:rFonts w:asciiTheme="majorHAnsi" w:hAnsiTheme="majorHAnsi" w:cstheme="majorHAnsi"/>
        </w:rPr>
        <w:t>will be vital to success at scale.</w:t>
      </w:r>
      <w:r w:rsidR="00804866" w:rsidRPr="00804866">
        <w:rPr>
          <w:rFonts w:asciiTheme="majorHAnsi" w:hAnsiTheme="majorHAnsi" w:cstheme="majorHAnsi"/>
        </w:rPr>
        <w:t xml:space="preserve"> </w:t>
      </w:r>
      <w:r w:rsidR="00804866" w:rsidRPr="00931CB3">
        <w:t>A pillar of the BRII’s success is the quality of participating SME’s. This requires focus on early and effective communication to garner interest from the right businesses</w:t>
      </w:r>
      <w:r w:rsidR="00804866">
        <w:t xml:space="preserve">. </w:t>
      </w:r>
      <w:r w:rsidR="001E6F04">
        <w:t>This would be even more critical if</w:t>
      </w:r>
      <w:r w:rsidR="001E6F04" w:rsidRPr="00931CB3">
        <w:t xml:space="preserve"> </w:t>
      </w:r>
      <w:r w:rsidR="001E6F04">
        <w:t xml:space="preserve">the </w:t>
      </w:r>
      <w:r w:rsidR="000F4B51">
        <w:t>Australian</w:t>
      </w:r>
      <w:r w:rsidR="001E6F04">
        <w:t xml:space="preserve"> Government is inclined to expand </w:t>
      </w:r>
      <w:r w:rsidR="001E6F04" w:rsidRPr="00931CB3">
        <w:t>the BRII</w:t>
      </w:r>
      <w:r w:rsidR="001E6F04">
        <w:t>, noting a comparable size to the ISC would</w:t>
      </w:r>
      <w:r w:rsidR="001E6F04" w:rsidRPr="00931CB3">
        <w:t xml:space="preserve"> reach up to 2000 applicants per annum. </w:t>
      </w:r>
      <w:r w:rsidR="001E6F04">
        <w:t xml:space="preserve">Maintaining quality </w:t>
      </w:r>
      <w:r w:rsidR="001E6F04" w:rsidRPr="00931CB3">
        <w:t>alongside growth is challenging and will require a</w:t>
      </w:r>
      <w:r w:rsidR="001E6F04">
        <w:t xml:space="preserve">n efficient and effective SME </w:t>
      </w:r>
      <w:r w:rsidR="001E6F04" w:rsidRPr="00931CB3">
        <w:t xml:space="preserve">engagement approach. </w:t>
      </w:r>
      <w:r w:rsidR="001E6F04">
        <w:t xml:space="preserve">Maintaining positive SME outcomes and impact, as shown through this evaluation, </w:t>
      </w:r>
      <w:r w:rsidR="001E6F04" w:rsidRPr="00931CB3">
        <w:t xml:space="preserve">will also require greater support for SMEs to understand both </w:t>
      </w:r>
      <w:r w:rsidR="00CB0CEA">
        <w:t>Australian G</w:t>
      </w:r>
      <w:r w:rsidR="001E6F04" w:rsidRPr="00931CB3">
        <w:t>overnment</w:t>
      </w:r>
      <w:r w:rsidR="00804866" w:rsidRPr="00931CB3">
        <w:t xml:space="preserve"> procurement requirements and commercialisation pathways.</w:t>
      </w:r>
    </w:p>
    <w:p w14:paraId="0557B5B7" w14:textId="5D131519" w:rsidR="00CF4053" w:rsidRDefault="006D5AB9" w:rsidP="00EA4234">
      <w:pPr>
        <w:pStyle w:val="Heading3"/>
      </w:pPr>
      <w:r>
        <w:t>DISER should consider three recommendations to scale</w:t>
      </w:r>
      <w:r w:rsidR="008C404E">
        <w:t>-</w:t>
      </w:r>
      <w:r>
        <w:t>up the BRII</w:t>
      </w:r>
      <w:r w:rsidR="003913DA">
        <w:t>.</w:t>
      </w:r>
    </w:p>
    <w:p w14:paraId="10E2E648" w14:textId="1A6AE3C9" w:rsidR="0024201A" w:rsidRDefault="006D5AB9" w:rsidP="0024201A">
      <w:pPr>
        <w:rPr>
          <w:lang w:eastAsia="en-AU"/>
        </w:rPr>
      </w:pPr>
      <w:r>
        <w:rPr>
          <w:lang w:eastAsia="en-AU"/>
        </w:rPr>
        <w:t>The three recommendations cover funding and changes to program design and implementation.</w:t>
      </w:r>
    </w:p>
    <w:p w14:paraId="11B16393" w14:textId="3378E9A5" w:rsidR="00D31331" w:rsidRDefault="00D31331" w:rsidP="0024201A">
      <w:pPr>
        <w:rPr>
          <w:lang w:eastAsia="en-AU"/>
        </w:rPr>
      </w:pPr>
      <w:r>
        <w:rPr>
          <w:noProof/>
          <w:lang w:eastAsia="en-AU"/>
        </w:rPr>
        <w:drawing>
          <wp:inline distT="0" distB="0" distL="0" distR="0" wp14:anchorId="40A82CCB" wp14:editId="1B5736FC">
            <wp:extent cx="5670550" cy="478810"/>
            <wp:effectExtent l="0" t="0" r="6350" b="0"/>
            <wp:docPr id="453" name="Picture 453" descr="Recommendation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Picture 453" descr="Recommendations">
                      <a:extLst>
                        <a:ext uri="{C183D7F6-B498-43B3-948B-1728B52AA6E4}">
                          <adec:decorative xmlns:adec="http://schemas.microsoft.com/office/drawing/2017/decorative" val="0"/>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70550" cy="478810"/>
                    </a:xfrm>
                    <a:prstGeom prst="rect">
                      <a:avLst/>
                    </a:prstGeom>
                    <a:noFill/>
                  </pic:spPr>
                </pic:pic>
              </a:graphicData>
            </a:graphic>
          </wp:inline>
        </w:drawing>
      </w:r>
    </w:p>
    <w:tbl>
      <w:tblPr>
        <w:tblStyle w:val="NousLongformcallout"/>
        <w:tblW w:w="5000" w:type="pct"/>
        <w:tblBorders>
          <w:top w:val="single" w:sz="4" w:space="0" w:color="00264D" w:themeColor="background2"/>
          <w:left w:val="single" w:sz="4" w:space="0" w:color="00264D" w:themeColor="background2"/>
          <w:bottom w:val="single" w:sz="4" w:space="0" w:color="00264D" w:themeColor="background2"/>
          <w:right w:val="single" w:sz="4" w:space="0" w:color="00264D" w:themeColor="background2"/>
          <w:insideH w:val="single" w:sz="4" w:space="0" w:color="00264D" w:themeColor="background2"/>
          <w:insideV w:val="single" w:sz="4" w:space="0" w:color="00264D" w:themeColor="background2"/>
        </w:tblBorders>
        <w:tblLayout w:type="fixed"/>
        <w:tblCellMar>
          <w:top w:w="170" w:type="dxa"/>
          <w:bottom w:w="170" w:type="dxa"/>
        </w:tblCellMar>
        <w:tblLook w:val="0620" w:firstRow="1" w:lastRow="0" w:firstColumn="0" w:lastColumn="0" w:noHBand="1" w:noVBand="1"/>
      </w:tblPr>
      <w:tblGrid>
        <w:gridCol w:w="5422"/>
        <w:gridCol w:w="3498"/>
      </w:tblGrid>
      <w:tr w:rsidR="001E6F04" w14:paraId="4C7CB22E" w14:textId="77777777" w:rsidTr="009B0C0B">
        <w:trPr>
          <w:cantSplit/>
          <w:trHeight w:val="20"/>
        </w:trPr>
        <w:tc>
          <w:tcPr>
            <w:tcW w:w="3039" w:type="pct"/>
            <w:tcBorders>
              <w:right w:val="single" w:sz="4" w:space="0" w:color="FFFFFF" w:themeColor="background1"/>
            </w:tcBorders>
            <w:shd w:val="clear" w:color="auto" w:fill="00264D" w:themeFill="background2"/>
            <w:vAlign w:val="center"/>
          </w:tcPr>
          <w:p w14:paraId="3A7446C8" w14:textId="14EA536D" w:rsidR="001E6F04" w:rsidRPr="00BD0126" w:rsidRDefault="001E6F04" w:rsidP="00BD0126">
            <w:pPr>
              <w:pStyle w:val="TableNheader"/>
              <w:rPr>
                <w:rFonts w:cstheme="majorHAnsi"/>
                <w:noProof/>
                <w:color w:val="FFFFFF" w:themeColor="background1"/>
              </w:rPr>
            </w:pPr>
            <w:r w:rsidRPr="00BD0126">
              <w:rPr>
                <w:color w:val="FFFFFF" w:themeColor="background1"/>
              </w:rPr>
              <w:t>Scale-up</w:t>
            </w:r>
          </w:p>
        </w:tc>
        <w:tc>
          <w:tcPr>
            <w:tcW w:w="1961" w:type="pct"/>
            <w:tcBorders>
              <w:left w:val="single" w:sz="4" w:space="0" w:color="FFFFFF" w:themeColor="background1"/>
            </w:tcBorders>
            <w:shd w:val="clear" w:color="auto" w:fill="00264D" w:themeFill="background2"/>
            <w:vAlign w:val="center"/>
          </w:tcPr>
          <w:p w14:paraId="19CC44EB" w14:textId="77777777" w:rsidR="001E6F04" w:rsidRPr="00BD0126" w:rsidRDefault="001E6F04" w:rsidP="00BD0126">
            <w:pPr>
              <w:pStyle w:val="TableNheader"/>
              <w:rPr>
                <w:color w:val="FFFFFF" w:themeColor="background1"/>
              </w:rPr>
            </w:pPr>
            <w:r w:rsidRPr="00BD0126">
              <w:rPr>
                <w:color w:val="FFFFFF" w:themeColor="background1"/>
              </w:rPr>
              <w:t xml:space="preserve">Supporting findings </w:t>
            </w:r>
          </w:p>
        </w:tc>
      </w:tr>
      <w:tr w:rsidR="001E6F04" w14:paraId="1C79B228" w14:textId="77777777" w:rsidTr="009B0C0B">
        <w:trPr>
          <w:cantSplit/>
          <w:trHeight w:val="2352"/>
        </w:trPr>
        <w:tc>
          <w:tcPr>
            <w:tcW w:w="3039" w:type="pct"/>
            <w:shd w:val="clear" w:color="auto" w:fill="auto"/>
          </w:tcPr>
          <w:p w14:paraId="66CC5B23" w14:textId="3F2F42C8" w:rsidR="001E6F04" w:rsidRPr="00390669" w:rsidRDefault="001E6F04">
            <w:pPr>
              <w:pStyle w:val="TableNListnumbered"/>
              <w:spacing w:before="0" w:after="0" w:line="257" w:lineRule="auto"/>
              <w:ind w:left="601" w:hanging="601"/>
              <w:rPr>
                <w:rFonts w:asciiTheme="majorHAnsi" w:hAnsiTheme="majorHAnsi" w:cstheme="majorHAnsi"/>
              </w:rPr>
            </w:pPr>
            <w:r>
              <w:rPr>
                <w:rFonts w:asciiTheme="majorHAnsi" w:hAnsiTheme="majorHAnsi" w:cstheme="majorHAnsi"/>
              </w:rPr>
              <w:t>Consider expanding</w:t>
            </w:r>
            <w:r w:rsidRPr="0048461E">
              <w:rPr>
                <w:rFonts w:asciiTheme="majorHAnsi" w:hAnsiTheme="majorHAnsi" w:cstheme="majorHAnsi"/>
              </w:rPr>
              <w:t xml:space="preserve"> the scale of </w:t>
            </w:r>
            <w:r>
              <w:rPr>
                <w:rFonts w:asciiTheme="majorHAnsi" w:hAnsiTheme="majorHAnsi" w:cstheme="majorHAnsi"/>
              </w:rPr>
              <w:t xml:space="preserve">the </w:t>
            </w:r>
            <w:r w:rsidRPr="0048461E">
              <w:rPr>
                <w:rFonts w:asciiTheme="majorHAnsi" w:hAnsiTheme="majorHAnsi" w:cstheme="majorHAnsi"/>
              </w:rPr>
              <w:t xml:space="preserve">BRII </w:t>
            </w:r>
            <w:r>
              <w:rPr>
                <w:rFonts w:asciiTheme="majorHAnsi" w:hAnsiTheme="majorHAnsi" w:cstheme="majorHAnsi"/>
              </w:rPr>
              <w:t>and the potential impact of a larger BRII program</w:t>
            </w:r>
            <w:r w:rsidRPr="0048461E">
              <w:rPr>
                <w:rFonts w:asciiTheme="majorHAnsi" w:hAnsiTheme="majorHAnsi" w:cstheme="majorHAnsi"/>
              </w:rPr>
              <w:t>.</w:t>
            </w:r>
            <w:r>
              <w:rPr>
                <w:rFonts w:asciiTheme="majorHAnsi" w:hAnsiTheme="majorHAnsi" w:cstheme="majorHAnsi"/>
              </w:rPr>
              <w:t xml:space="preserve"> </w:t>
            </w:r>
            <w:r>
              <w:rPr>
                <w:rFonts w:asciiTheme="minorHAnsi" w:hAnsiTheme="minorHAnsi" w:cstheme="minorHAnsi"/>
              </w:rPr>
              <w:t>The Australian Government can use the ISC example to provide a yardstick on the higher end target for scale. If the Australian Government chooses to scale the BRII it should identify a clear target within a defined period that allows for a steady scale</w:t>
            </w:r>
            <w:r w:rsidR="008C404E">
              <w:rPr>
                <w:rFonts w:asciiTheme="minorHAnsi" w:hAnsiTheme="minorHAnsi" w:cstheme="minorHAnsi"/>
              </w:rPr>
              <w:t>-</w:t>
            </w:r>
            <w:r>
              <w:rPr>
                <w:rFonts w:asciiTheme="minorHAnsi" w:hAnsiTheme="minorHAnsi" w:cstheme="minorHAnsi"/>
              </w:rPr>
              <w:t>up of the program.</w:t>
            </w:r>
          </w:p>
        </w:tc>
        <w:tc>
          <w:tcPr>
            <w:tcW w:w="1961" w:type="pct"/>
          </w:tcPr>
          <w:p w14:paraId="48D1320B" w14:textId="62111A6C" w:rsidR="001E6F04" w:rsidRDefault="00215B71" w:rsidP="00AA384D">
            <w:pPr>
              <w:pStyle w:val="TableNText"/>
            </w:pPr>
            <w:r>
              <w:t xml:space="preserve">The BRII has achieved strong outcomes that are comparable to the larger US SBIR and a return on investment comparable to the larger UK SBRI. This shows the potential for the BRII to achieve the same outcomes it has so far but at a much larger scale. The ISC program should be used as </w:t>
            </w:r>
            <w:r w:rsidRPr="00850A0B">
              <w:t xml:space="preserve">a good benchmark to consider </w:t>
            </w:r>
            <w:r>
              <w:t>how much larger the BRII could become as it has reached a much larger scale than the BRII in a short timeframe.</w:t>
            </w:r>
          </w:p>
        </w:tc>
      </w:tr>
      <w:tr w:rsidR="001225EB" w14:paraId="0679E17E" w14:textId="77777777" w:rsidTr="009B0C0B">
        <w:trPr>
          <w:cantSplit/>
        </w:trPr>
        <w:tc>
          <w:tcPr>
            <w:tcW w:w="3039" w:type="pct"/>
            <w:shd w:val="clear" w:color="auto" w:fill="auto"/>
          </w:tcPr>
          <w:p w14:paraId="7632DB36" w14:textId="77777777" w:rsidR="001225EB" w:rsidRPr="000D3467" w:rsidRDefault="001225EB">
            <w:pPr>
              <w:pStyle w:val="TableNListnumbered"/>
              <w:spacing w:before="0" w:after="0" w:line="257" w:lineRule="auto"/>
              <w:ind w:left="601" w:hanging="601"/>
              <w:rPr>
                <w:rFonts w:asciiTheme="majorHAnsi" w:hAnsiTheme="majorHAnsi" w:cstheme="majorHAnsi"/>
              </w:rPr>
            </w:pPr>
            <w:r w:rsidRPr="00BC7547">
              <w:rPr>
                <w:rFonts w:asciiTheme="majorHAnsi" w:hAnsiTheme="majorHAnsi" w:cstheme="majorHAnsi"/>
              </w:rPr>
              <w:lastRenderedPageBreak/>
              <w:t>Identify</w:t>
            </w:r>
            <w:r w:rsidRPr="006D5AB9">
              <w:rPr>
                <w:rFonts w:asciiTheme="majorHAnsi" w:hAnsiTheme="majorHAnsi" w:cstheme="majorHAnsi"/>
              </w:rPr>
              <w:t xml:space="preserve"> the right funding model</w:t>
            </w:r>
            <w:r w:rsidRPr="000D3467">
              <w:rPr>
                <w:rFonts w:asciiTheme="majorHAnsi" w:hAnsiTheme="majorHAnsi" w:cstheme="majorHAnsi"/>
              </w:rPr>
              <w:t xml:space="preserve"> </w:t>
            </w:r>
            <w:r w:rsidRPr="006D5AB9">
              <w:rPr>
                <w:rFonts w:asciiTheme="majorHAnsi" w:hAnsiTheme="majorHAnsi" w:cstheme="majorHAnsi"/>
              </w:rPr>
              <w:t>to scale</w:t>
            </w:r>
            <w:r>
              <w:rPr>
                <w:rFonts w:asciiTheme="majorHAnsi" w:hAnsiTheme="majorHAnsi" w:cstheme="majorHAnsi"/>
              </w:rPr>
              <w:t>-</w:t>
            </w:r>
            <w:r w:rsidRPr="006D5AB9">
              <w:rPr>
                <w:rFonts w:asciiTheme="majorHAnsi" w:hAnsiTheme="majorHAnsi" w:cstheme="majorHAnsi"/>
              </w:rPr>
              <w:t>up the BRII and support agency buy-in.</w:t>
            </w:r>
            <w:r w:rsidRPr="000D3467">
              <w:rPr>
                <w:rFonts w:asciiTheme="majorHAnsi" w:hAnsiTheme="majorHAnsi" w:cstheme="majorHAnsi"/>
              </w:rPr>
              <w:t xml:space="preserve"> </w:t>
            </w:r>
            <w:r w:rsidRPr="00BC7547">
              <w:rPr>
                <w:rFonts w:asciiTheme="minorHAnsi" w:hAnsiTheme="minorHAnsi" w:cstheme="minorHAnsi"/>
              </w:rPr>
              <w:t>The Australian Government should consider several funding approaches, including but not limited to:</w:t>
            </w:r>
          </w:p>
          <w:p w14:paraId="1810A04E" w14:textId="636770DA" w:rsidR="001225EB" w:rsidRPr="00D805CE" w:rsidRDefault="001225EB">
            <w:pPr>
              <w:pStyle w:val="TableNBullet"/>
              <w:keepLines/>
              <w:numPr>
                <w:ilvl w:val="1"/>
                <w:numId w:val="1"/>
              </w:numPr>
              <w:suppressAutoHyphens w:val="0"/>
              <w:spacing w:before="0" w:after="0"/>
              <w:ind w:left="1030" w:hanging="284"/>
            </w:pPr>
            <w:r>
              <w:t xml:space="preserve">Setting aside a small percentage </w:t>
            </w:r>
            <w:r w:rsidRPr="00102660">
              <w:t xml:space="preserve">of each portfolio’s annual operating and capital budget </w:t>
            </w:r>
            <w:r>
              <w:t xml:space="preserve">for </w:t>
            </w:r>
            <w:r w:rsidR="00A019AE">
              <w:t>CBI</w:t>
            </w:r>
            <w:r>
              <w:t xml:space="preserve">. The percentage of allocated budget could </w:t>
            </w:r>
            <w:r w:rsidRPr="00D805CE">
              <w:t xml:space="preserve">start low and </w:t>
            </w:r>
            <w:r>
              <w:t>increase over time based on an agreed process to review the scale and timing of the funding.</w:t>
            </w:r>
          </w:p>
          <w:p w14:paraId="50E28336" w14:textId="77777777" w:rsidR="001225EB" w:rsidRPr="00D805CE" w:rsidRDefault="001225EB">
            <w:pPr>
              <w:pStyle w:val="TableNBullet"/>
              <w:keepLines/>
              <w:numPr>
                <w:ilvl w:val="1"/>
                <w:numId w:val="1"/>
              </w:numPr>
              <w:suppressAutoHyphens w:val="0"/>
              <w:spacing w:before="0" w:after="0"/>
              <w:ind w:left="1030" w:hanging="284"/>
            </w:pPr>
            <w:r>
              <w:t>Setting portfolio specific targets for either expenditure or number of challenges. In both cases the targets could again start low and increase over time.</w:t>
            </w:r>
            <w:r w:rsidRPr="00241B87">
              <w:t xml:space="preserve"> </w:t>
            </w:r>
          </w:p>
          <w:p w14:paraId="1CD09545" w14:textId="77777777" w:rsidR="001225EB" w:rsidRDefault="001225EB">
            <w:pPr>
              <w:pStyle w:val="TableNBullet"/>
              <w:keepLines/>
              <w:numPr>
                <w:ilvl w:val="1"/>
                <w:numId w:val="1"/>
              </w:numPr>
              <w:suppressAutoHyphens w:val="0"/>
              <w:spacing w:before="0" w:after="0"/>
              <w:ind w:left="1030" w:hanging="284"/>
            </w:pPr>
            <w:r>
              <w:t>Increasing the funding currently available and administered through DISER for other agencies to access through the BRII challenge application process.</w:t>
            </w:r>
          </w:p>
          <w:p w14:paraId="08FB4C11" w14:textId="77777777" w:rsidR="001225EB" w:rsidRDefault="001225EB" w:rsidP="001225EB">
            <w:pPr>
              <w:pStyle w:val="TableNBullet"/>
              <w:keepLines/>
              <w:numPr>
                <w:ilvl w:val="0"/>
                <w:numId w:val="0"/>
              </w:numPr>
              <w:suppressAutoHyphens w:val="0"/>
              <w:spacing w:before="0" w:after="0"/>
              <w:ind w:left="746"/>
            </w:pPr>
            <w:r>
              <w:t xml:space="preserve">The chosen funding model should support a defined expansion pathway. </w:t>
            </w:r>
            <w:r w:rsidRPr="006054EA">
              <w:t xml:space="preserve">The Australian Government </w:t>
            </w:r>
            <w:r>
              <w:t xml:space="preserve">could consider </w:t>
            </w:r>
            <w:r w:rsidRPr="006054EA">
              <w:t xml:space="preserve">three potential expansion pathways: </w:t>
            </w:r>
          </w:p>
          <w:p w14:paraId="2BA1CD0B" w14:textId="76C0F863" w:rsidR="001225EB" w:rsidRDefault="00904B46">
            <w:pPr>
              <w:pStyle w:val="TableNBullet"/>
              <w:numPr>
                <w:ilvl w:val="2"/>
                <w:numId w:val="1"/>
              </w:numPr>
              <w:ind w:left="1024"/>
            </w:pPr>
            <w:r>
              <w:t>A</w:t>
            </w:r>
            <w:r w:rsidR="001225EB" w:rsidRPr="006054EA">
              <w:t>n ambitions pathway modelled off the experience and ambitions of the ISC</w:t>
            </w:r>
            <w:r>
              <w:t>.</w:t>
            </w:r>
          </w:p>
          <w:p w14:paraId="10A47AB9" w14:textId="3D86C85A" w:rsidR="001225EB" w:rsidRDefault="00904B46">
            <w:pPr>
              <w:pStyle w:val="TableNBullet"/>
              <w:numPr>
                <w:ilvl w:val="2"/>
                <w:numId w:val="1"/>
              </w:numPr>
              <w:ind w:left="1024"/>
            </w:pPr>
            <w:r>
              <w:t>A</w:t>
            </w:r>
            <w:r w:rsidR="001225EB" w:rsidRPr="006054EA">
              <w:t xml:space="preserve"> moderate and steady pathway modelled off the early expansion of the US SBIR</w:t>
            </w:r>
            <w:r>
              <w:t>.</w:t>
            </w:r>
          </w:p>
          <w:p w14:paraId="1DECDB14" w14:textId="6DFDD2A4" w:rsidR="001225EB" w:rsidRPr="001225EB" w:rsidRDefault="00904B46">
            <w:pPr>
              <w:pStyle w:val="TableNBullet"/>
              <w:numPr>
                <w:ilvl w:val="2"/>
                <w:numId w:val="1"/>
              </w:numPr>
              <w:ind w:left="1024"/>
            </w:pPr>
            <w:r>
              <w:t>A</w:t>
            </w:r>
            <w:r w:rsidR="001225EB" w:rsidRPr="001225EB">
              <w:t xml:space="preserve"> middle ground expansion that sits between the moderate and ambitious pathways.</w:t>
            </w:r>
          </w:p>
        </w:tc>
        <w:tc>
          <w:tcPr>
            <w:tcW w:w="1961" w:type="pct"/>
          </w:tcPr>
          <w:p w14:paraId="166D273C" w14:textId="3B043323" w:rsidR="00E053AC" w:rsidRDefault="00D23A26" w:rsidP="00E053AC">
            <w:pPr>
              <w:pStyle w:val="TableNText"/>
            </w:pPr>
            <w:r>
              <w:t xml:space="preserve">There are a range of potential funding approaches for the BRII. </w:t>
            </w:r>
            <w:r w:rsidR="001225EB">
              <w:t xml:space="preserve">The experience of the US SBIR ad the </w:t>
            </w:r>
            <w:r w:rsidR="001225EB" w:rsidRPr="00021DB7">
              <w:t>ISC</w:t>
            </w:r>
            <w:r w:rsidR="001225EB">
              <w:t xml:space="preserve"> program from Canada support mandated targets. Both programs have achieved broad agency buy-in and substantial funding commitments through this funding model. </w:t>
            </w:r>
            <w:r>
              <w:t xml:space="preserve">However, the </w:t>
            </w:r>
            <w:r w:rsidR="00F45D3B">
              <w:t>chosen funding model needs to support the Australian context.</w:t>
            </w:r>
          </w:p>
          <w:p w14:paraId="229D4557" w14:textId="36323786" w:rsidR="001225EB" w:rsidRPr="00021DB7" w:rsidRDefault="001225EB" w:rsidP="00E053AC">
            <w:pPr>
              <w:pStyle w:val="TableNText"/>
            </w:pPr>
            <w:r>
              <w:t>The US SBIR and the ISC also offer good benchmarks for the Australian Government to consider what expansion pathway is possible for the BRII.</w:t>
            </w:r>
            <w:r w:rsidR="00D23A26">
              <w:t xml:space="preserve"> This ranges from a moderate scale up through to a fast paced and ambitious scale up.</w:t>
            </w:r>
          </w:p>
        </w:tc>
      </w:tr>
      <w:tr w:rsidR="001225EB" w14:paraId="17FAD298" w14:textId="77777777" w:rsidTr="009B0C0B">
        <w:trPr>
          <w:cantSplit/>
        </w:trPr>
        <w:tc>
          <w:tcPr>
            <w:tcW w:w="3039" w:type="pct"/>
            <w:shd w:val="clear" w:color="auto" w:fill="auto"/>
          </w:tcPr>
          <w:p w14:paraId="315FDAE3" w14:textId="130531EF" w:rsidR="001225EB" w:rsidRPr="00D805CE" w:rsidRDefault="001225EB">
            <w:pPr>
              <w:pStyle w:val="TableNListnumbered"/>
              <w:keepLines/>
              <w:suppressAutoHyphens w:val="0"/>
              <w:spacing w:before="0" w:after="0" w:line="257" w:lineRule="auto"/>
              <w:ind w:left="601" w:hanging="601"/>
            </w:pPr>
            <w:r w:rsidRPr="006D1BBD">
              <w:rPr>
                <w:rFonts w:asciiTheme="majorHAnsi" w:hAnsiTheme="majorHAnsi" w:cstheme="majorHAnsi"/>
              </w:rPr>
              <w:lastRenderedPageBreak/>
              <w:t>Develop the systems, processes, capability and capacity to scale</w:t>
            </w:r>
            <w:r>
              <w:rPr>
                <w:rFonts w:asciiTheme="majorHAnsi" w:hAnsiTheme="majorHAnsi" w:cstheme="majorHAnsi"/>
              </w:rPr>
              <w:t>-</w:t>
            </w:r>
            <w:r w:rsidRPr="006D1BBD">
              <w:rPr>
                <w:rFonts w:asciiTheme="majorHAnsi" w:hAnsiTheme="majorHAnsi" w:cstheme="majorHAnsi"/>
              </w:rPr>
              <w:t xml:space="preserve">up </w:t>
            </w:r>
            <w:r>
              <w:rPr>
                <w:rFonts w:asciiTheme="majorHAnsi" w:hAnsiTheme="majorHAnsi" w:cstheme="majorHAnsi"/>
              </w:rPr>
              <w:t xml:space="preserve">the </w:t>
            </w:r>
            <w:r w:rsidRPr="006D1BBD">
              <w:rPr>
                <w:rFonts w:asciiTheme="majorHAnsi" w:hAnsiTheme="majorHAnsi" w:cstheme="majorHAnsi"/>
              </w:rPr>
              <w:t>BRII.</w:t>
            </w:r>
            <w:r>
              <w:t xml:space="preserve"> This should include</w:t>
            </w:r>
            <w:r w:rsidRPr="00D805CE">
              <w:t xml:space="preserve">: </w:t>
            </w:r>
          </w:p>
          <w:p w14:paraId="455CF70E" w14:textId="77777777" w:rsidR="001225EB" w:rsidRPr="00962C2C" w:rsidRDefault="001225EB" w:rsidP="00BD0126">
            <w:pPr>
              <w:pStyle w:val="TableNBullet"/>
              <w:ind w:left="873"/>
            </w:pPr>
            <w:r w:rsidRPr="00D805CE">
              <w:t>Using a</w:t>
            </w:r>
            <w:r>
              <w:t>n</w:t>
            </w:r>
            <w:r w:rsidRPr="00D805CE">
              <w:t xml:space="preserve"> online platform </w:t>
            </w:r>
            <w:r>
              <w:t xml:space="preserve">that can act as </w:t>
            </w:r>
            <w:r w:rsidRPr="00D805CE">
              <w:t>a database of potential applicant</w:t>
            </w:r>
            <w:r>
              <w:t xml:space="preserve">s, </w:t>
            </w:r>
            <w:r w:rsidRPr="00D805CE">
              <w:t>deliver direct communications for relevant challenges</w:t>
            </w:r>
            <w:r>
              <w:t xml:space="preserve"> and streamline and automate the end-to-end workflow from challenge application and SME application through to the delivery of the feasibility and proof of concept stages</w:t>
            </w:r>
            <w:r w:rsidRPr="00D805CE">
              <w:t>.</w:t>
            </w:r>
            <w:r>
              <w:t xml:space="preserve"> The online platform could be modelled on the ISC platform that has enabled rapid scale-up in a small amount of time.</w:t>
            </w:r>
          </w:p>
          <w:p w14:paraId="1A7E9D98" w14:textId="77777777" w:rsidR="001225EB" w:rsidRPr="00C73A03" w:rsidRDefault="001225EB" w:rsidP="00BD0126">
            <w:pPr>
              <w:pStyle w:val="TableNBullet"/>
              <w:ind w:left="873"/>
            </w:pPr>
            <w:r>
              <w:t xml:space="preserve">Transitioning to a rolling challenge model to increase </w:t>
            </w:r>
            <w:r w:rsidRPr="00D805CE">
              <w:t>the frequency of challenge</w:t>
            </w:r>
            <w:r>
              <w:t>s and the flexibility for challenge agencies</w:t>
            </w:r>
            <w:r w:rsidRPr="00D805CE">
              <w:t>.</w:t>
            </w:r>
          </w:p>
          <w:p w14:paraId="06708AF7" w14:textId="77777777" w:rsidR="001225EB" w:rsidRPr="00BD0126" w:rsidRDefault="001225EB" w:rsidP="00BD0126">
            <w:pPr>
              <w:pStyle w:val="TableNBullet"/>
              <w:ind w:left="873"/>
            </w:pPr>
            <w:r w:rsidRPr="00BD0126">
              <w:t>Creating new program delivery roles – including Portfolio Liaison Officers embedded in challenge agencies and DISER central BRII program account managers - to increase challenge agency capacity and capability.</w:t>
            </w:r>
          </w:p>
          <w:p w14:paraId="268FE8CB" w14:textId="77777777" w:rsidR="001225EB" w:rsidRPr="00390669" w:rsidRDefault="001225EB" w:rsidP="00BD0126">
            <w:pPr>
              <w:pStyle w:val="TableNBullet"/>
              <w:ind w:left="873"/>
            </w:pPr>
            <w:r w:rsidRPr="00BD0126">
              <w:t>Implementing a new model to engage the EPC (or equivalent) across a larger number of challenges. The new model should leverage the online platform to streamline the assessment process.</w:t>
            </w:r>
          </w:p>
        </w:tc>
        <w:tc>
          <w:tcPr>
            <w:tcW w:w="1961" w:type="pct"/>
          </w:tcPr>
          <w:p w14:paraId="79E27D06" w14:textId="16B350AF" w:rsidR="001225EB" w:rsidRDefault="001225EB" w:rsidP="001225EB">
            <w:pPr>
              <w:pStyle w:val="TableNText"/>
            </w:pPr>
            <w:r w:rsidRPr="00021DB7">
              <w:t xml:space="preserve">Critical to </w:t>
            </w:r>
            <w:r>
              <w:t>scale-up</w:t>
            </w:r>
            <w:r w:rsidRPr="00021DB7">
              <w:t xml:space="preserve"> will be an online portal and end</w:t>
            </w:r>
            <w:r>
              <w:t>-</w:t>
            </w:r>
            <w:r w:rsidRPr="00021DB7">
              <w:t>to</w:t>
            </w:r>
            <w:r>
              <w:t>-</w:t>
            </w:r>
            <w:r w:rsidRPr="00021DB7">
              <w:t xml:space="preserve">end workflow system that simplifies and reduces any manual handling. According to </w:t>
            </w:r>
            <w:r>
              <w:t xml:space="preserve">DISER </w:t>
            </w:r>
            <w:r w:rsidRPr="00021DB7">
              <w:t xml:space="preserve">stakeholders, the ISC platform is best practice. The ISC platform manages the whole challenge process, including developing challenges, assessment, and managing grant agreements and reporting requirements. </w:t>
            </w:r>
          </w:p>
          <w:p w14:paraId="00E341C0" w14:textId="77777777" w:rsidR="001225EB" w:rsidRDefault="001225EB" w:rsidP="001225EB">
            <w:pPr>
              <w:pStyle w:val="TableNText"/>
            </w:pPr>
            <w:r>
              <w:t>Further, t</w:t>
            </w:r>
            <w:r w:rsidRPr="00021DB7">
              <w:t>o manage the increased frequency of challenges the comparison international programs release challenges on a rolling basis across the year.</w:t>
            </w:r>
            <w:r>
              <w:t xml:space="preserve"> </w:t>
            </w:r>
          </w:p>
          <w:p w14:paraId="295E0BE3" w14:textId="77777777" w:rsidR="001225EB" w:rsidRPr="006D1BBD" w:rsidRDefault="001225EB" w:rsidP="001225EB">
            <w:pPr>
              <w:pStyle w:val="TableNText"/>
            </w:pPr>
            <w:r>
              <w:t>Lastly, s</w:t>
            </w:r>
            <w:r w:rsidRPr="00021DB7">
              <w:t xml:space="preserve">takeholders across </w:t>
            </w:r>
            <w:r>
              <w:t>DISER</w:t>
            </w:r>
            <w:r w:rsidRPr="00021DB7">
              <w:t xml:space="preserve">, IISA and challenge agencies identified the need to embed an innovative culture across </w:t>
            </w:r>
            <w:r>
              <w:t xml:space="preserve">the APS </w:t>
            </w:r>
            <w:r w:rsidRPr="00021DB7">
              <w:t>to ensure the success of a scaled-up the BRII</w:t>
            </w:r>
            <w:r>
              <w:t>.</w:t>
            </w:r>
          </w:p>
        </w:tc>
      </w:tr>
    </w:tbl>
    <w:p w14:paraId="565A33A5" w14:textId="77777777" w:rsidR="00486044" w:rsidRPr="0024201A" w:rsidRDefault="00486044" w:rsidP="0024201A">
      <w:pPr>
        <w:rPr>
          <w:lang w:eastAsia="en-AU"/>
        </w:rPr>
      </w:pPr>
    </w:p>
    <w:p w14:paraId="312C5561" w14:textId="34BCBD77" w:rsidR="00A36EC9" w:rsidRPr="00E87E06" w:rsidRDefault="00E87E06">
      <w:pPr>
        <w:pStyle w:val="Heading1"/>
      </w:pPr>
      <w:bookmarkStart w:id="18" w:name="_Toc124435141"/>
      <w:r>
        <w:rPr>
          <w:b w:val="0"/>
          <w:noProof/>
        </w:rPr>
        <w:lastRenderedPageBreak/>
        <w:drawing>
          <wp:anchor distT="0" distB="0" distL="114300" distR="114300" simplePos="0" relativeHeight="251661824" behindDoc="0" locked="0" layoutInCell="1" allowOverlap="1" wp14:anchorId="17C6A3B7" wp14:editId="738E4F82">
            <wp:simplePos x="0" y="0"/>
            <wp:positionH relativeFrom="margin">
              <wp:posOffset>-985462</wp:posOffset>
            </wp:positionH>
            <wp:positionV relativeFrom="paragraph">
              <wp:posOffset>-785495</wp:posOffset>
            </wp:positionV>
            <wp:extent cx="7626985" cy="1530350"/>
            <wp:effectExtent l="0" t="0" r="0" b="0"/>
            <wp:wrapNone/>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26985" cy="1530350"/>
                    </a:xfrm>
                    <a:prstGeom prst="rect">
                      <a:avLst/>
                    </a:prstGeom>
                    <a:noFill/>
                  </pic:spPr>
                </pic:pic>
              </a:graphicData>
            </a:graphic>
          </wp:anchor>
        </w:drawing>
      </w:r>
      <w:r w:rsidR="00936DC8" w:rsidRPr="00E87E06">
        <w:t>About the evaluation</w:t>
      </w:r>
      <w:bookmarkEnd w:id="18"/>
      <w:r w:rsidRPr="00E87E06">
        <w:rPr>
          <w:b w:val="0"/>
        </w:rPr>
        <w:t xml:space="preserve">  </w:t>
      </w:r>
    </w:p>
    <w:p w14:paraId="01093ADD" w14:textId="328FCE61" w:rsidR="000170D6" w:rsidRDefault="00BD0126" w:rsidP="000170D6">
      <w:pPr>
        <w:rPr>
          <w:b/>
          <w:noProof/>
        </w:rPr>
      </w:pPr>
      <w:r>
        <w:rPr>
          <w:b/>
          <w:noProof/>
        </w:rPr>
        <w:drawing>
          <wp:inline distT="0" distB="0" distL="0" distR="0" wp14:anchorId="16F2B86A" wp14:editId="508403E4">
            <wp:extent cx="5700395" cy="481330"/>
            <wp:effectExtent l="0" t="0" r="0" b="0"/>
            <wp:docPr id="454" name="Picture 454" descr="Summary Call ou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Picture 454" descr="Summary Call out">
                      <a:extLst>
                        <a:ext uri="{C183D7F6-B498-43B3-948B-1728B52AA6E4}">
                          <adec:decorative xmlns:adec="http://schemas.microsoft.com/office/drawing/2017/decorative" val="0"/>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00395" cy="481330"/>
                    </a:xfrm>
                    <a:prstGeom prst="rect">
                      <a:avLst/>
                    </a:prstGeom>
                    <a:noFill/>
                  </pic:spPr>
                </pic:pic>
              </a:graphicData>
            </a:graphic>
          </wp:inline>
        </w:drawing>
      </w:r>
    </w:p>
    <w:p w14:paraId="1D998A17" w14:textId="31C06CCA" w:rsidR="00BD0126" w:rsidRPr="00BD0126" w:rsidRDefault="00BD0126" w:rsidP="00BD0126">
      <w:pPr>
        <w:pStyle w:val="Longformcallout"/>
        <w:pBdr>
          <w:top w:val="single" w:sz="4" w:space="1" w:color="00264D" w:themeColor="background2"/>
          <w:bottom w:val="single" w:sz="4" w:space="1" w:color="00264D" w:themeColor="background2"/>
        </w:pBdr>
        <w:shd w:val="clear" w:color="auto" w:fill="E6E6E1" w:themeFill="accent5"/>
        <w:rPr>
          <w:rFonts w:asciiTheme="majorHAnsi" w:hAnsiTheme="majorHAnsi" w:cstheme="majorHAnsi"/>
        </w:rPr>
      </w:pPr>
      <w:r w:rsidRPr="00BD0126">
        <w:rPr>
          <w:rFonts w:asciiTheme="majorHAnsi" w:hAnsiTheme="majorHAnsi" w:cstheme="majorHAnsi"/>
        </w:rPr>
        <w:t>Summary</w:t>
      </w:r>
    </w:p>
    <w:p w14:paraId="2653685A" w14:textId="77777777" w:rsidR="00BD0126" w:rsidRPr="00226E37" w:rsidRDefault="00BD0126" w:rsidP="00BD0126">
      <w:pPr>
        <w:pBdr>
          <w:top w:val="single" w:sz="4" w:space="1" w:color="00264D" w:themeColor="background2"/>
          <w:bottom w:val="single" w:sz="4" w:space="1" w:color="00264D" w:themeColor="background2"/>
        </w:pBdr>
        <w:shd w:val="clear" w:color="auto" w:fill="E6E6E1" w:themeFill="accent5"/>
        <w:rPr>
          <w:rFonts w:asciiTheme="majorHAnsi" w:hAnsiTheme="majorHAnsi" w:cstheme="majorHAnsi"/>
        </w:rPr>
      </w:pPr>
      <w:r w:rsidRPr="00026326">
        <w:rPr>
          <w:rFonts w:asciiTheme="majorHAnsi" w:hAnsiTheme="majorHAnsi" w:cstheme="majorHAnsi"/>
        </w:rPr>
        <w:fldChar w:fldCharType="begin"/>
      </w:r>
      <w:r w:rsidRPr="00026326">
        <w:rPr>
          <w:rFonts w:asciiTheme="majorHAnsi" w:hAnsiTheme="majorHAnsi" w:cstheme="majorHAnsi"/>
        </w:rPr>
        <w:instrText xml:space="preserve"> REF _Ref79504795 \h </w:instrText>
      </w:r>
      <w:r>
        <w:rPr>
          <w:rFonts w:asciiTheme="majorHAnsi" w:hAnsiTheme="majorHAnsi" w:cstheme="majorHAnsi"/>
        </w:rPr>
        <w:instrText xml:space="preserve"> \* MERGEFORMAT </w:instrText>
      </w:r>
      <w:r w:rsidRPr="00026326">
        <w:rPr>
          <w:rFonts w:asciiTheme="majorHAnsi" w:hAnsiTheme="majorHAnsi" w:cstheme="majorHAnsi"/>
        </w:rPr>
      </w:r>
      <w:r w:rsidRPr="00026326">
        <w:rPr>
          <w:rFonts w:asciiTheme="majorHAnsi" w:hAnsiTheme="majorHAnsi" w:cstheme="majorHAnsi"/>
        </w:rPr>
        <w:fldChar w:fldCharType="separate"/>
      </w:r>
      <w:r w:rsidRPr="00AE607F">
        <w:rPr>
          <w:rFonts w:asciiTheme="majorHAnsi" w:hAnsiTheme="majorHAnsi" w:cstheme="majorHAnsi"/>
        </w:rPr>
        <w:t>This evaluation focussed on the outcomes and impact, delivery and design of the BRII</w:t>
      </w:r>
      <w:r w:rsidRPr="00026326">
        <w:rPr>
          <w:rFonts w:asciiTheme="majorHAnsi" w:hAnsiTheme="majorHAnsi" w:cstheme="majorHAnsi"/>
        </w:rPr>
        <w:fldChar w:fldCharType="end"/>
      </w:r>
      <w:r w:rsidRPr="00F2768F">
        <w:rPr>
          <w:rFonts w:asciiTheme="majorHAnsi" w:hAnsiTheme="majorHAnsi" w:cstheme="majorHAnsi"/>
        </w:rPr>
        <w:t>.</w:t>
      </w:r>
      <w:r>
        <w:rPr>
          <w:rFonts w:asciiTheme="majorHAnsi" w:hAnsiTheme="majorHAnsi" w:cstheme="majorHAnsi"/>
        </w:rPr>
        <w:t xml:space="preserve"> </w:t>
      </w:r>
      <w:r>
        <w:t xml:space="preserve">The evaluation was directed towards a set of key evaluation questions relating to the effectiveness and efficiency of the program’s design, the outcomes the program generated for SMEs and challenge agencies, and the costs and benefits of the BRII. </w:t>
      </w:r>
    </w:p>
    <w:p w14:paraId="68D70FEC" w14:textId="77777777" w:rsidR="00BD0126" w:rsidRPr="00536BBF" w:rsidRDefault="00BD0126" w:rsidP="00BD0126">
      <w:pPr>
        <w:pBdr>
          <w:top w:val="single" w:sz="4" w:space="1" w:color="00264D" w:themeColor="background2"/>
          <w:bottom w:val="single" w:sz="4" w:space="1" w:color="00264D" w:themeColor="background2"/>
        </w:pBdr>
        <w:shd w:val="clear" w:color="auto" w:fill="E6E6E1" w:themeFill="accent5"/>
      </w:pPr>
      <w:r w:rsidRPr="00226E37">
        <w:rPr>
          <w:rFonts w:asciiTheme="majorHAnsi" w:hAnsiTheme="majorHAnsi" w:cstheme="majorHAnsi"/>
        </w:rPr>
        <w:fldChar w:fldCharType="begin"/>
      </w:r>
      <w:r w:rsidRPr="00226E37">
        <w:rPr>
          <w:rFonts w:asciiTheme="majorHAnsi" w:hAnsiTheme="majorHAnsi" w:cstheme="majorHAnsi"/>
        </w:rPr>
        <w:instrText xml:space="preserve"> REF _Ref75274439 \h </w:instrText>
      </w:r>
      <w:r>
        <w:rPr>
          <w:rFonts w:asciiTheme="majorHAnsi" w:hAnsiTheme="majorHAnsi" w:cstheme="majorHAnsi"/>
        </w:rPr>
        <w:instrText xml:space="preserve"> \* MERGEFORMAT </w:instrText>
      </w:r>
      <w:r w:rsidRPr="00226E37">
        <w:rPr>
          <w:rFonts w:asciiTheme="majorHAnsi" w:hAnsiTheme="majorHAnsi" w:cstheme="majorHAnsi"/>
        </w:rPr>
      </w:r>
      <w:r w:rsidRPr="00226E37">
        <w:rPr>
          <w:rFonts w:asciiTheme="majorHAnsi" w:hAnsiTheme="majorHAnsi" w:cstheme="majorHAnsi"/>
        </w:rPr>
        <w:fldChar w:fldCharType="separate"/>
      </w:r>
      <w:r w:rsidRPr="00AE607F">
        <w:rPr>
          <w:rFonts w:asciiTheme="majorHAnsi" w:hAnsiTheme="majorHAnsi" w:cstheme="majorHAnsi"/>
        </w:rPr>
        <w:t>This evaluation looked at the first three rounds of the BRII.</w:t>
      </w:r>
      <w:r w:rsidRPr="00226E37">
        <w:rPr>
          <w:rFonts w:asciiTheme="majorHAnsi" w:hAnsiTheme="majorHAnsi" w:cstheme="majorHAnsi"/>
        </w:rPr>
        <w:fldChar w:fldCharType="end"/>
      </w:r>
      <w:r>
        <w:rPr>
          <w:rFonts w:asciiTheme="majorHAnsi" w:hAnsiTheme="majorHAnsi" w:cstheme="majorHAnsi"/>
        </w:rPr>
        <w:t xml:space="preserve"> </w:t>
      </w:r>
      <w:r w:rsidRPr="00536BBF">
        <w:t>Th</w:t>
      </w:r>
      <w:r>
        <w:t>is</w:t>
      </w:r>
      <w:r w:rsidRPr="00536BBF">
        <w:t xml:space="preserve"> evaluation examined each of the phases of a BRII round, from challenge design through to proof of concept. The most recent (RegTech) round was out of scope for this evaluation.</w:t>
      </w:r>
    </w:p>
    <w:p w14:paraId="51ED339B" w14:textId="1D8AB8AA" w:rsidR="00BD0126" w:rsidRDefault="00BD0126" w:rsidP="00BD0126">
      <w:pPr>
        <w:pBdr>
          <w:top w:val="single" w:sz="4" w:space="1" w:color="00264D" w:themeColor="background2"/>
          <w:bottom w:val="single" w:sz="4" w:space="1" w:color="00264D" w:themeColor="background2"/>
        </w:pBdr>
        <w:shd w:val="clear" w:color="auto" w:fill="E6E6E1" w:themeFill="accent5"/>
        <w:rPr>
          <w:b/>
          <w:noProof/>
        </w:rPr>
      </w:pPr>
      <w:r w:rsidRPr="00226E37">
        <w:rPr>
          <w:rFonts w:asciiTheme="majorHAnsi" w:hAnsiTheme="majorHAnsi" w:cstheme="majorHAnsi"/>
        </w:rPr>
        <w:fldChar w:fldCharType="begin"/>
      </w:r>
      <w:r w:rsidRPr="00226E37">
        <w:rPr>
          <w:rFonts w:asciiTheme="majorHAnsi" w:hAnsiTheme="majorHAnsi" w:cstheme="majorHAnsi"/>
        </w:rPr>
        <w:instrText xml:space="preserve"> REF _Ref75274393 \h </w:instrText>
      </w:r>
      <w:r>
        <w:rPr>
          <w:rFonts w:asciiTheme="majorHAnsi" w:hAnsiTheme="majorHAnsi" w:cstheme="majorHAnsi"/>
        </w:rPr>
        <w:instrText xml:space="preserve"> \* MERGEFORMAT </w:instrText>
      </w:r>
      <w:r w:rsidRPr="00226E37">
        <w:rPr>
          <w:rFonts w:asciiTheme="majorHAnsi" w:hAnsiTheme="majorHAnsi" w:cstheme="majorHAnsi"/>
        </w:rPr>
      </w:r>
      <w:r w:rsidRPr="00226E37">
        <w:rPr>
          <w:rFonts w:asciiTheme="majorHAnsi" w:hAnsiTheme="majorHAnsi" w:cstheme="majorHAnsi"/>
        </w:rPr>
        <w:fldChar w:fldCharType="separate"/>
      </w:r>
      <w:r w:rsidRPr="00AE607F">
        <w:rPr>
          <w:rFonts w:asciiTheme="majorHAnsi" w:hAnsiTheme="majorHAnsi" w:cstheme="majorHAnsi"/>
        </w:rPr>
        <w:t>Three limitations impacted the evaluation</w:t>
      </w:r>
      <w:r w:rsidRPr="00226E37">
        <w:rPr>
          <w:rFonts w:asciiTheme="majorHAnsi" w:hAnsiTheme="majorHAnsi" w:cstheme="majorHAnsi"/>
        </w:rPr>
        <w:fldChar w:fldCharType="end"/>
      </w:r>
      <w:r w:rsidRPr="00226E37">
        <w:rPr>
          <w:rFonts w:asciiTheme="majorHAnsi" w:hAnsiTheme="majorHAnsi" w:cstheme="majorHAnsi"/>
        </w:rPr>
        <w:t>.</w:t>
      </w:r>
      <w:r>
        <w:t xml:space="preserve"> Namely, the small size of the program, the response rate from participants and the maturity of solutions developed through the BRII.</w:t>
      </w:r>
    </w:p>
    <w:p w14:paraId="3001025E" w14:textId="33885FF2" w:rsidR="00A23149" w:rsidRPr="00742311" w:rsidRDefault="00A36EC9">
      <w:pPr>
        <w:pStyle w:val="Heading2"/>
      </w:pPr>
      <w:bookmarkStart w:id="19" w:name="_Ref75266434"/>
      <w:bookmarkStart w:id="20" w:name="_Ref75274438"/>
      <w:bookmarkStart w:id="21" w:name="_Ref79438456"/>
      <w:bookmarkStart w:id="22" w:name="_Ref79504795"/>
      <w:bookmarkStart w:id="23" w:name="_Toc124435142"/>
      <w:r w:rsidRPr="00742311">
        <w:t xml:space="preserve">This evaluation focussed on </w:t>
      </w:r>
      <w:bookmarkEnd w:id="19"/>
      <w:r w:rsidR="000E0952" w:rsidRPr="00742311">
        <w:t xml:space="preserve">the </w:t>
      </w:r>
      <w:r w:rsidR="00F51BCF" w:rsidRPr="00742311">
        <w:t xml:space="preserve">outcomes and impact, </w:t>
      </w:r>
      <w:r w:rsidR="0098798B" w:rsidRPr="00742311">
        <w:t>delivery</w:t>
      </w:r>
      <w:r w:rsidR="00496D8A" w:rsidRPr="00742311">
        <w:t xml:space="preserve"> and design of the </w:t>
      </w:r>
      <w:bookmarkEnd w:id="20"/>
      <w:bookmarkEnd w:id="21"/>
      <w:r w:rsidR="00026326">
        <w:t>BRII</w:t>
      </w:r>
      <w:bookmarkEnd w:id="22"/>
      <w:bookmarkEnd w:id="23"/>
    </w:p>
    <w:p w14:paraId="1407AA78" w14:textId="2BE8C468" w:rsidR="00122904" w:rsidRDefault="00A40DBC" w:rsidP="00400BEB">
      <w:pPr>
        <w:rPr>
          <w:lang w:eastAsia="en-AU"/>
        </w:rPr>
      </w:pPr>
      <w:r>
        <w:rPr>
          <w:lang w:eastAsia="en-AU"/>
        </w:rPr>
        <w:t xml:space="preserve">The BRII is a demand-side </w:t>
      </w:r>
      <w:r w:rsidR="00122904">
        <w:rPr>
          <w:lang w:eastAsia="en-AU"/>
        </w:rPr>
        <w:t xml:space="preserve">government innovation program. </w:t>
      </w:r>
      <w:r w:rsidR="00122904" w:rsidRPr="00B16F20">
        <w:rPr>
          <w:lang w:eastAsia="en-AU"/>
        </w:rPr>
        <w:t xml:space="preserve">The BRII </w:t>
      </w:r>
      <w:r w:rsidR="00122904">
        <w:rPr>
          <w:lang w:eastAsia="en-AU"/>
        </w:rPr>
        <w:t xml:space="preserve">has two goals: </w:t>
      </w:r>
      <w:r w:rsidR="00122904" w:rsidRPr="00B16F20">
        <w:rPr>
          <w:lang w:eastAsia="en-AU"/>
        </w:rPr>
        <w:t>to help Australian Government agencies find novel solutions to otherwise intractable public policy and service delivery problems</w:t>
      </w:r>
      <w:r w:rsidR="000A0A83">
        <w:rPr>
          <w:lang w:eastAsia="en-AU"/>
        </w:rPr>
        <w:t>,</w:t>
      </w:r>
      <w:r w:rsidR="00122904" w:rsidRPr="00B16F20">
        <w:rPr>
          <w:lang w:eastAsia="en-AU"/>
        </w:rPr>
        <w:t xml:space="preserve"> and to foster innovation among SMEs</w:t>
      </w:r>
      <w:r w:rsidR="00122904">
        <w:rPr>
          <w:lang w:eastAsia="en-AU"/>
        </w:rPr>
        <w:t>.</w:t>
      </w:r>
    </w:p>
    <w:p w14:paraId="12782CEA" w14:textId="33F92B5A" w:rsidR="00545AAA" w:rsidRDefault="00545AAA" w:rsidP="00400BEB">
      <w:pPr>
        <w:rPr>
          <w:lang w:eastAsia="en-AU"/>
        </w:rPr>
      </w:pPr>
      <w:r>
        <w:rPr>
          <w:lang w:eastAsia="en-AU"/>
        </w:rPr>
        <w:t xml:space="preserve">The impact evaluation followed on from the post-commencement evaluation that Nous also completed in 2019. The post-commencement evaluation was completed prior to the end of round one (see </w:t>
      </w:r>
      <w:r w:rsidR="00E71E21">
        <w:rPr>
          <w:lang w:eastAsia="en-AU"/>
        </w:rPr>
        <w:fldChar w:fldCharType="begin"/>
      </w:r>
      <w:r w:rsidR="00E71E21">
        <w:rPr>
          <w:lang w:eastAsia="en-AU"/>
        </w:rPr>
        <w:instrText xml:space="preserve"> REF _Ref75986305 \r \h </w:instrText>
      </w:r>
      <w:r w:rsidR="00E71E21">
        <w:rPr>
          <w:lang w:eastAsia="en-AU"/>
        </w:rPr>
      </w:r>
      <w:r w:rsidR="00E71E21">
        <w:rPr>
          <w:lang w:eastAsia="en-AU"/>
        </w:rPr>
        <w:fldChar w:fldCharType="separate"/>
      </w:r>
      <w:r w:rsidR="00AE607F">
        <w:rPr>
          <w:lang w:eastAsia="en-AU"/>
        </w:rPr>
        <w:t>Appendix F</w:t>
      </w:r>
      <w:r w:rsidR="00E71E21">
        <w:rPr>
          <w:lang w:eastAsia="en-AU"/>
        </w:rPr>
        <w:fldChar w:fldCharType="end"/>
      </w:r>
      <w:r>
        <w:rPr>
          <w:lang w:eastAsia="en-AU"/>
        </w:rPr>
        <w:t xml:space="preserve"> for the set of</w:t>
      </w:r>
      <w:r w:rsidR="008D297C">
        <w:rPr>
          <w:lang w:eastAsia="en-AU"/>
        </w:rPr>
        <w:t xml:space="preserve"> eight</w:t>
      </w:r>
      <w:r>
        <w:rPr>
          <w:lang w:eastAsia="en-AU"/>
        </w:rPr>
        <w:t xml:space="preserve"> recommendations from the post-commencement evaluation).</w:t>
      </w:r>
    </w:p>
    <w:p w14:paraId="1DBEF600" w14:textId="327CB59A" w:rsidR="00122904" w:rsidRDefault="00545AAA" w:rsidP="00122904">
      <w:pPr>
        <w:rPr>
          <w:lang w:eastAsia="en-AU"/>
        </w:rPr>
      </w:pPr>
      <w:r>
        <w:rPr>
          <w:lang w:eastAsia="en-AU"/>
        </w:rPr>
        <w:t>This</w:t>
      </w:r>
      <w:r w:rsidR="00743BAB" w:rsidRPr="00743BAB">
        <w:rPr>
          <w:lang w:eastAsia="en-AU"/>
        </w:rPr>
        <w:t xml:space="preserve"> evaluation assess</w:t>
      </w:r>
      <w:r w:rsidR="0098798B">
        <w:rPr>
          <w:lang w:eastAsia="en-AU"/>
        </w:rPr>
        <w:t>ed</w:t>
      </w:r>
      <w:r w:rsidR="00743BAB" w:rsidRPr="00743BAB">
        <w:rPr>
          <w:lang w:eastAsia="en-AU"/>
        </w:rPr>
        <w:t xml:space="preserve"> the outcomes and impact, the delivery and </w:t>
      </w:r>
      <w:r w:rsidR="00241A41">
        <w:rPr>
          <w:lang w:eastAsia="en-AU"/>
        </w:rPr>
        <w:t xml:space="preserve">the </w:t>
      </w:r>
      <w:r w:rsidR="00743BAB" w:rsidRPr="00743BAB">
        <w:rPr>
          <w:lang w:eastAsia="en-AU"/>
        </w:rPr>
        <w:t xml:space="preserve">design of the BRII. </w:t>
      </w:r>
      <w:r w:rsidR="00241A41">
        <w:rPr>
          <w:lang w:eastAsia="en-AU"/>
        </w:rPr>
        <w:t xml:space="preserve">A key consideration </w:t>
      </w:r>
      <w:r w:rsidR="00BE0A1B">
        <w:rPr>
          <w:lang w:eastAsia="en-AU"/>
        </w:rPr>
        <w:t xml:space="preserve">for the evaluation </w:t>
      </w:r>
      <w:r w:rsidR="00241A41">
        <w:rPr>
          <w:lang w:eastAsia="en-AU"/>
        </w:rPr>
        <w:t xml:space="preserve">was the </w:t>
      </w:r>
      <w:r w:rsidR="00BE0A1B">
        <w:rPr>
          <w:lang w:eastAsia="en-AU"/>
        </w:rPr>
        <w:t xml:space="preserve">future design of a scaled up version of </w:t>
      </w:r>
      <w:r w:rsidR="006E263A">
        <w:rPr>
          <w:lang w:eastAsia="en-AU"/>
        </w:rPr>
        <w:t xml:space="preserve">the </w:t>
      </w:r>
      <w:r w:rsidR="00BE0A1B">
        <w:rPr>
          <w:lang w:eastAsia="en-AU"/>
        </w:rPr>
        <w:t xml:space="preserve">BRII. </w:t>
      </w:r>
      <w:r w:rsidR="00743BAB" w:rsidRPr="00743BAB">
        <w:rPr>
          <w:lang w:eastAsia="en-AU"/>
        </w:rPr>
        <w:t xml:space="preserve">The key evaluation questions </w:t>
      </w:r>
      <w:r w:rsidR="006156B0">
        <w:rPr>
          <w:lang w:eastAsia="en-AU"/>
        </w:rPr>
        <w:t xml:space="preserve">from the terms of reference for the evaluation </w:t>
      </w:r>
      <w:r w:rsidR="001908FD">
        <w:rPr>
          <w:lang w:eastAsia="en-AU"/>
        </w:rPr>
        <w:t>and wher</w:t>
      </w:r>
      <w:r w:rsidR="00317A0E">
        <w:rPr>
          <w:lang w:eastAsia="en-AU"/>
        </w:rPr>
        <w:t xml:space="preserve">e they are addressed in the report </w:t>
      </w:r>
      <w:r w:rsidR="00743BAB" w:rsidRPr="00743BAB">
        <w:rPr>
          <w:lang w:eastAsia="en-AU"/>
        </w:rPr>
        <w:t xml:space="preserve">are outlined </w:t>
      </w:r>
      <w:r w:rsidR="00F97CD5" w:rsidRPr="003653B1">
        <w:rPr>
          <w:lang w:eastAsia="en-AU"/>
        </w:rPr>
        <w:t>in</w:t>
      </w:r>
      <w:r w:rsidR="003653B1" w:rsidRPr="003653B1">
        <w:rPr>
          <w:lang w:eastAsia="en-AU"/>
        </w:rPr>
        <w:t xml:space="preserve"> </w:t>
      </w:r>
      <w:r w:rsidR="003653B1">
        <w:rPr>
          <w:lang w:eastAsia="en-AU"/>
        </w:rPr>
        <w:t xml:space="preserve">Appendix </w:t>
      </w:r>
      <w:r w:rsidR="003653B1">
        <w:rPr>
          <w:lang w:eastAsia="en-AU"/>
        </w:rPr>
        <w:fldChar w:fldCharType="begin"/>
      </w:r>
      <w:r w:rsidR="003653B1">
        <w:rPr>
          <w:lang w:eastAsia="en-AU"/>
        </w:rPr>
        <w:instrText xml:space="preserve"> REF _Ref78965336 \n \h </w:instrText>
      </w:r>
      <w:r w:rsidR="003653B1">
        <w:rPr>
          <w:lang w:eastAsia="en-AU"/>
        </w:rPr>
      </w:r>
      <w:r w:rsidR="003653B1">
        <w:rPr>
          <w:lang w:eastAsia="en-AU"/>
        </w:rPr>
        <w:fldChar w:fldCharType="separate"/>
      </w:r>
      <w:r w:rsidR="00AE607F">
        <w:rPr>
          <w:lang w:eastAsia="en-AU"/>
        </w:rPr>
        <w:t>C.1</w:t>
      </w:r>
      <w:r w:rsidR="003653B1">
        <w:rPr>
          <w:lang w:eastAsia="en-AU"/>
        </w:rPr>
        <w:fldChar w:fldCharType="end"/>
      </w:r>
      <w:r w:rsidR="00743BAB" w:rsidRPr="003653B1">
        <w:rPr>
          <w:lang w:eastAsia="en-AU"/>
        </w:rPr>
        <w:t>.</w:t>
      </w:r>
    </w:p>
    <w:p w14:paraId="2E4652F8" w14:textId="5FD0BE39" w:rsidR="00E745AA" w:rsidRPr="00E745AA" w:rsidRDefault="00E745AA" w:rsidP="00122904">
      <w:r w:rsidRPr="00E745AA">
        <w:t xml:space="preserve">This document outlines findings </w:t>
      </w:r>
      <w:r w:rsidRPr="00EF6E29">
        <w:t xml:space="preserve">and </w:t>
      </w:r>
      <w:r w:rsidR="00EF6E29" w:rsidRPr="00EF6E29">
        <w:t>recommendations</w:t>
      </w:r>
      <w:r w:rsidRPr="00EF6E29">
        <w:t xml:space="preserve"> from this evaluation. </w:t>
      </w:r>
      <w:r w:rsidR="00EF6E29">
        <w:t>The evaluation</w:t>
      </w:r>
      <w:r>
        <w:t xml:space="preserve"> </w:t>
      </w:r>
      <w:r w:rsidRPr="00EF6E29">
        <w:t>findings are based on a review of program data and documentation, a survey of a cross</w:t>
      </w:r>
      <w:r w:rsidRPr="00E745AA">
        <w:t>-section of BRII applicants and participants, and a series of interviews with key program and policy stakeholders, challenge agencies and participating SMEs</w:t>
      </w:r>
      <w:r w:rsidR="00FE70AD">
        <w:t xml:space="preserve"> (see </w:t>
      </w:r>
      <w:r w:rsidR="00BB7598">
        <w:fldChar w:fldCharType="begin"/>
      </w:r>
      <w:r w:rsidR="00BB7598">
        <w:instrText xml:space="preserve"> REF _Ref75963517 \r \h </w:instrText>
      </w:r>
      <w:r w:rsidR="00BB7598">
        <w:fldChar w:fldCharType="separate"/>
      </w:r>
      <w:r w:rsidR="00AE607F">
        <w:t>Appendix C</w:t>
      </w:r>
      <w:r w:rsidR="00BB7598">
        <w:fldChar w:fldCharType="end"/>
      </w:r>
      <w:r w:rsidR="00BB7598">
        <w:t xml:space="preserve"> and </w:t>
      </w:r>
      <w:r w:rsidR="00BB7598">
        <w:fldChar w:fldCharType="begin"/>
      </w:r>
      <w:r w:rsidR="00BB7598">
        <w:instrText xml:space="preserve"> REF _Ref75963532 \r \h </w:instrText>
      </w:r>
      <w:r w:rsidR="00BB7598">
        <w:fldChar w:fldCharType="separate"/>
      </w:r>
      <w:r w:rsidR="00AE607F">
        <w:t>Appendix D</w:t>
      </w:r>
      <w:r w:rsidR="00BB7598">
        <w:fldChar w:fldCharType="end"/>
      </w:r>
      <w:r w:rsidR="00BB7598">
        <w:t xml:space="preserve"> </w:t>
      </w:r>
      <w:r w:rsidR="00FE70AD">
        <w:t>for further details)</w:t>
      </w:r>
      <w:r w:rsidRPr="00E745AA">
        <w:t xml:space="preserve">. </w:t>
      </w:r>
    </w:p>
    <w:p w14:paraId="5AE9C551" w14:textId="3C065F33" w:rsidR="00E745AA" w:rsidRPr="00E755DF" w:rsidRDefault="00E745AA" w:rsidP="00E745AA">
      <w:r w:rsidRPr="00BA4956">
        <w:t>This evaluation also include</w:t>
      </w:r>
      <w:r w:rsidR="00BA4956" w:rsidRPr="00BA4956">
        <w:t>s</w:t>
      </w:r>
      <w:r w:rsidRPr="00BA4956">
        <w:t xml:space="preserve"> a CBA</w:t>
      </w:r>
      <w:r w:rsidR="00342A85">
        <w:t xml:space="preserve">. A </w:t>
      </w:r>
      <w:r w:rsidR="00BB7598">
        <w:t>CBA</w:t>
      </w:r>
      <w:r w:rsidR="00342A85">
        <w:t xml:space="preserve"> </w:t>
      </w:r>
      <w:r w:rsidR="00FB5BA1">
        <w:t>assesses and quantifies</w:t>
      </w:r>
      <w:r w:rsidRPr="00BA4956">
        <w:t xml:space="preserve"> the </w:t>
      </w:r>
      <w:r w:rsidR="00FB5BA1">
        <w:t>direct and indirect benefits that a program creates against</w:t>
      </w:r>
      <w:r w:rsidRPr="00BA4956">
        <w:t xml:space="preserve"> the </w:t>
      </w:r>
      <w:r w:rsidR="00FB5BA1">
        <w:t xml:space="preserve">costs to deliver </w:t>
      </w:r>
      <w:r w:rsidRPr="00BA4956">
        <w:t xml:space="preserve">the program. The CBA </w:t>
      </w:r>
      <w:r w:rsidR="00FB5BA1">
        <w:t xml:space="preserve">in this evaluation </w:t>
      </w:r>
      <w:r w:rsidRPr="00BA4956">
        <w:t>estimate</w:t>
      </w:r>
      <w:r w:rsidR="00FB5BA1">
        <w:t>d</w:t>
      </w:r>
      <w:r w:rsidRPr="00E745AA">
        <w:t xml:space="preserve"> the benefits </w:t>
      </w:r>
      <w:r w:rsidR="0021018E">
        <w:t xml:space="preserve">that </w:t>
      </w:r>
      <w:r w:rsidR="009A2469">
        <w:t xml:space="preserve">the SMEs </w:t>
      </w:r>
      <w:r w:rsidRPr="00E745AA">
        <w:t xml:space="preserve">that </w:t>
      </w:r>
      <w:r w:rsidRPr="00E755DF">
        <w:t xml:space="preserve">participated in the </w:t>
      </w:r>
      <w:r w:rsidR="00FB5BA1">
        <w:t>first</w:t>
      </w:r>
      <w:r w:rsidRPr="00E755DF">
        <w:t xml:space="preserve"> round of the BRII</w:t>
      </w:r>
      <w:r w:rsidR="0021018E">
        <w:t xml:space="preserve"> </w:t>
      </w:r>
      <w:r w:rsidR="0021018E">
        <w:lastRenderedPageBreak/>
        <w:t>created</w:t>
      </w:r>
      <w:r w:rsidRPr="00E755DF">
        <w:t xml:space="preserve">. </w:t>
      </w:r>
      <w:r w:rsidR="00147C34">
        <w:t xml:space="preserve">The CBA </w:t>
      </w:r>
      <w:r w:rsidR="00FB5BA1">
        <w:t xml:space="preserve">also </w:t>
      </w:r>
      <w:r w:rsidR="00147C34">
        <w:t>included</w:t>
      </w:r>
      <w:r w:rsidRPr="00E755DF">
        <w:t xml:space="preserve"> discrete analysis of the broader impacts to government and society from </w:t>
      </w:r>
      <w:r w:rsidR="0021018E">
        <w:t xml:space="preserve">three </w:t>
      </w:r>
      <w:r w:rsidRPr="00E755DF">
        <w:t>challenge solutions</w:t>
      </w:r>
      <w:r w:rsidR="00147C34">
        <w:t xml:space="preserve"> that had available data to quantify the </w:t>
      </w:r>
      <w:r w:rsidR="00DC6F0F">
        <w:t>benefits</w:t>
      </w:r>
      <w:r w:rsidR="00466C9B">
        <w:t xml:space="preserve"> (see </w:t>
      </w:r>
      <w:r w:rsidR="00466C9B">
        <w:fldChar w:fldCharType="begin"/>
      </w:r>
      <w:r w:rsidR="00466C9B">
        <w:instrText xml:space="preserve"> REF _Ref76056850 \n \h </w:instrText>
      </w:r>
      <w:r w:rsidR="00466C9B">
        <w:fldChar w:fldCharType="separate"/>
      </w:r>
      <w:r w:rsidR="00AE607F">
        <w:t>Appendix G</w:t>
      </w:r>
      <w:r w:rsidR="00466C9B">
        <w:fldChar w:fldCharType="end"/>
      </w:r>
      <w:r w:rsidR="00466C9B">
        <w:t xml:space="preserve"> for technical </w:t>
      </w:r>
      <w:r w:rsidR="00D51CB1">
        <w:t>details)</w:t>
      </w:r>
      <w:r w:rsidRPr="00E755DF">
        <w:t>.</w:t>
      </w:r>
    </w:p>
    <w:p w14:paraId="1162060A" w14:textId="1BF68601" w:rsidR="00A36EC9" w:rsidRPr="008700F4" w:rsidRDefault="00936DC8">
      <w:pPr>
        <w:pStyle w:val="Heading3"/>
      </w:pPr>
      <w:bookmarkStart w:id="24" w:name="_Ref75266436"/>
      <w:bookmarkStart w:id="25" w:name="_Ref75274439"/>
      <w:r w:rsidRPr="00E755DF">
        <w:t xml:space="preserve">This evaluation </w:t>
      </w:r>
      <w:r w:rsidR="003C06BA" w:rsidRPr="00E755DF">
        <w:t>looked at</w:t>
      </w:r>
      <w:r w:rsidRPr="00E755DF">
        <w:t xml:space="preserve"> the first three rounds of the BRII</w:t>
      </w:r>
      <w:bookmarkEnd w:id="24"/>
      <w:r w:rsidR="003500B5" w:rsidRPr="00E755DF">
        <w:t>.</w:t>
      </w:r>
      <w:bookmarkEnd w:id="25"/>
    </w:p>
    <w:p w14:paraId="5F990B4D" w14:textId="3F3D9FB5" w:rsidR="00523585" w:rsidRDefault="00523585" w:rsidP="00AC212B">
      <w:pPr>
        <w:rPr>
          <w:lang w:eastAsia="en-AU"/>
        </w:rPr>
      </w:pPr>
      <w:r w:rsidRPr="00AC212B">
        <w:rPr>
          <w:lang w:eastAsia="en-AU"/>
        </w:rPr>
        <w:t xml:space="preserve">Each </w:t>
      </w:r>
      <w:r>
        <w:rPr>
          <w:lang w:eastAsia="en-AU"/>
        </w:rPr>
        <w:t xml:space="preserve">of the first three </w:t>
      </w:r>
      <w:r w:rsidRPr="00AC212B">
        <w:rPr>
          <w:lang w:eastAsia="en-AU"/>
        </w:rPr>
        <w:t>round</w:t>
      </w:r>
      <w:r>
        <w:rPr>
          <w:lang w:eastAsia="en-AU"/>
        </w:rPr>
        <w:t>s</w:t>
      </w:r>
      <w:r w:rsidRPr="00AC212B">
        <w:rPr>
          <w:lang w:eastAsia="en-AU"/>
        </w:rPr>
        <w:t xml:space="preserve"> </w:t>
      </w:r>
      <w:r>
        <w:rPr>
          <w:lang w:eastAsia="en-AU"/>
        </w:rPr>
        <w:t xml:space="preserve">of </w:t>
      </w:r>
      <w:r w:rsidR="005005AE">
        <w:rPr>
          <w:lang w:eastAsia="en-AU"/>
        </w:rPr>
        <w:t xml:space="preserve">the </w:t>
      </w:r>
      <w:r>
        <w:rPr>
          <w:lang w:eastAsia="en-AU"/>
        </w:rPr>
        <w:t xml:space="preserve">BRII have </w:t>
      </w:r>
      <w:r w:rsidRPr="00AC212B">
        <w:rPr>
          <w:lang w:eastAsia="en-AU"/>
        </w:rPr>
        <w:t>followed the same three phases: challenge selection; feasibility study; and proof of concept stage</w:t>
      </w:r>
      <w:r>
        <w:rPr>
          <w:lang w:eastAsia="en-AU"/>
        </w:rPr>
        <w:t xml:space="preserve"> (see </w:t>
      </w:r>
      <w:r w:rsidR="00A71CB0">
        <w:rPr>
          <w:lang w:eastAsia="en-AU"/>
        </w:rPr>
        <w:fldChar w:fldCharType="begin"/>
      </w:r>
      <w:r w:rsidR="00A71CB0">
        <w:rPr>
          <w:lang w:eastAsia="en-AU"/>
        </w:rPr>
        <w:instrText xml:space="preserve"> REF _Ref75505699 \h </w:instrText>
      </w:r>
      <w:r w:rsidR="00A71CB0">
        <w:rPr>
          <w:lang w:eastAsia="en-AU"/>
        </w:rPr>
      </w:r>
      <w:r w:rsidR="00A71CB0">
        <w:rPr>
          <w:lang w:eastAsia="en-AU"/>
        </w:rPr>
        <w:fldChar w:fldCharType="separate"/>
      </w:r>
      <w:r w:rsidR="00AE607F">
        <w:t xml:space="preserve">Figure </w:t>
      </w:r>
      <w:r w:rsidR="00AE607F">
        <w:rPr>
          <w:noProof/>
        </w:rPr>
        <w:t>4</w:t>
      </w:r>
      <w:r w:rsidR="00A71CB0">
        <w:rPr>
          <w:lang w:eastAsia="en-AU"/>
        </w:rPr>
        <w:fldChar w:fldCharType="end"/>
      </w:r>
      <w:r>
        <w:rPr>
          <w:lang w:eastAsia="en-AU"/>
        </w:rPr>
        <w:t>)</w:t>
      </w:r>
      <w:r w:rsidRPr="00AC212B">
        <w:rPr>
          <w:lang w:eastAsia="en-AU"/>
        </w:rPr>
        <w:t xml:space="preserve">. </w:t>
      </w:r>
    </w:p>
    <w:p w14:paraId="3F59D98F" w14:textId="3F55EB0A" w:rsidR="00151E7D" w:rsidRDefault="00A71CB0" w:rsidP="00151E7D">
      <w:pPr>
        <w:pStyle w:val="Caption"/>
      </w:pPr>
      <w:bookmarkStart w:id="26" w:name="_Ref75505699"/>
      <w:r>
        <w:t xml:space="preserve">Figure </w:t>
      </w:r>
      <w:r>
        <w:fldChar w:fldCharType="begin"/>
      </w:r>
      <w:r>
        <w:instrText xml:space="preserve"> SEQ Figure \* ARABIC </w:instrText>
      </w:r>
      <w:r>
        <w:fldChar w:fldCharType="separate"/>
      </w:r>
      <w:r w:rsidR="00870ADB">
        <w:rPr>
          <w:noProof/>
        </w:rPr>
        <w:t>5</w:t>
      </w:r>
      <w:r>
        <w:fldChar w:fldCharType="end"/>
      </w:r>
      <w:bookmarkEnd w:id="26"/>
      <w:r>
        <w:t xml:space="preserve"> | The three phases of a BRII round</w:t>
      </w:r>
    </w:p>
    <w:p w14:paraId="320EFE88" w14:textId="3D0508BE" w:rsidR="00A2606C" w:rsidRPr="00A2606C" w:rsidRDefault="00A2606C" w:rsidP="00A2606C">
      <w:r w:rsidRPr="00A2606C">
        <w:rPr>
          <w:noProof/>
        </w:rPr>
        <w:drawing>
          <wp:inline distT="0" distB="0" distL="0" distR="0" wp14:anchorId="28F7281B" wp14:editId="27FCC305">
            <wp:extent cx="5670550" cy="3038475"/>
            <wp:effectExtent l="0" t="0" r="6350" b="9525"/>
            <wp:docPr id="6" name="Picture 6" descr="Phase 1 Challenge selection. Australian Government agencies propose challenges, through expression of interest and full application. EPC complete merit assessment; Minister announces successful challenges.&#10;Phase 2 Feasibility study. SMEs propose solutions to challenges. DISER completes eligibility check; agencies shortlist applicants and the EPC complete merit assessment. Up to one hundred thousand dollars is awarded for a three month feasibility study.&#10;Phase 3, Proof of concept. SMEs submit feasibility reports and are invited to apply for a proof of concept grant. Agencies and the EPC complete merit assessment. Up to one million dollars is awarded for an eighteen month proof of concept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hase 1 Challenge selection. Australian Government agencies propose challenges, through expression of interest and full application. EPC complete merit assessment; Minister announces successful challenges.&#10;Phase 2 Feasibility study. SMEs propose solutions to challenges. DISER completes eligibility check; agencies shortlist applicants and the EPC complete merit assessment. Up to one hundred thousand dollars is awarded for a three month feasibility study.&#10;Phase 3, Proof of concept. SMEs submit feasibility reports and are invited to apply for a proof of concept grant. Agencies and the EPC complete merit assessment. Up to one million dollars is awarded for an eighteen month proof of concept stud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70550" cy="3038475"/>
                    </a:xfrm>
                    <a:prstGeom prst="rect">
                      <a:avLst/>
                    </a:prstGeom>
                    <a:noFill/>
                    <a:ln>
                      <a:noFill/>
                    </a:ln>
                  </pic:spPr>
                </pic:pic>
              </a:graphicData>
            </a:graphic>
          </wp:inline>
        </w:drawing>
      </w:r>
    </w:p>
    <w:p w14:paraId="657FE90B" w14:textId="16251700" w:rsidR="00F07393" w:rsidRDefault="00AC212B" w:rsidP="00374FF6">
      <w:pPr>
        <w:spacing w:before="240"/>
        <w:rPr>
          <w:lang w:eastAsia="en-AU"/>
        </w:rPr>
      </w:pPr>
      <w:r w:rsidRPr="00AC212B">
        <w:rPr>
          <w:lang w:eastAsia="en-AU"/>
        </w:rPr>
        <w:t>Round one of the BRII was completed in April 2019</w:t>
      </w:r>
      <w:r w:rsidR="00EF6543">
        <w:rPr>
          <w:lang w:eastAsia="en-AU"/>
        </w:rPr>
        <w:t>.</w:t>
      </w:r>
      <w:r w:rsidRPr="00AC212B">
        <w:rPr>
          <w:lang w:eastAsia="en-AU"/>
        </w:rPr>
        <w:t xml:space="preserve"> </w:t>
      </w:r>
      <w:r w:rsidR="00EF6543">
        <w:rPr>
          <w:lang w:eastAsia="en-AU"/>
        </w:rPr>
        <w:t>A</w:t>
      </w:r>
      <w:r w:rsidR="003C06BA">
        <w:rPr>
          <w:lang w:eastAsia="en-AU"/>
        </w:rPr>
        <w:t xml:space="preserve">t the time of the evaluation </w:t>
      </w:r>
      <w:r w:rsidRPr="00AC212B">
        <w:rPr>
          <w:lang w:eastAsia="en-AU"/>
        </w:rPr>
        <w:t xml:space="preserve">round two </w:t>
      </w:r>
      <w:r w:rsidR="00EF6543">
        <w:rPr>
          <w:lang w:eastAsia="en-AU"/>
        </w:rPr>
        <w:t>was</w:t>
      </w:r>
      <w:r w:rsidR="00EF6543" w:rsidRPr="00AC212B">
        <w:rPr>
          <w:lang w:eastAsia="en-AU"/>
        </w:rPr>
        <w:t xml:space="preserve"> coming to the end of the proof</w:t>
      </w:r>
      <w:r w:rsidR="00D65E94">
        <w:rPr>
          <w:lang w:eastAsia="en-AU"/>
        </w:rPr>
        <w:t xml:space="preserve"> </w:t>
      </w:r>
      <w:r w:rsidR="00EF6543" w:rsidRPr="00AC212B">
        <w:rPr>
          <w:lang w:eastAsia="en-AU"/>
        </w:rPr>
        <w:t>of</w:t>
      </w:r>
      <w:r w:rsidR="00D65E94">
        <w:rPr>
          <w:lang w:eastAsia="en-AU"/>
        </w:rPr>
        <w:t xml:space="preserve"> </w:t>
      </w:r>
      <w:r w:rsidR="00EF6543" w:rsidRPr="00AC212B">
        <w:rPr>
          <w:lang w:eastAsia="en-AU"/>
        </w:rPr>
        <w:t>concept stage</w:t>
      </w:r>
      <w:r w:rsidR="00EF6543">
        <w:rPr>
          <w:lang w:eastAsia="en-AU"/>
        </w:rPr>
        <w:t xml:space="preserve"> </w:t>
      </w:r>
      <w:r w:rsidRPr="00AC212B">
        <w:rPr>
          <w:lang w:eastAsia="en-AU"/>
        </w:rPr>
        <w:t xml:space="preserve">and round three </w:t>
      </w:r>
      <w:r w:rsidR="00683DD4">
        <w:rPr>
          <w:lang w:eastAsia="en-AU"/>
        </w:rPr>
        <w:t>was</w:t>
      </w:r>
      <w:r w:rsidRPr="00AC212B">
        <w:rPr>
          <w:lang w:eastAsia="en-AU"/>
        </w:rPr>
        <w:t xml:space="preserve"> coming to the end of the feasibility stage. </w:t>
      </w:r>
      <w:r w:rsidR="00E84F38">
        <w:rPr>
          <w:lang w:eastAsia="en-AU"/>
        </w:rPr>
        <w:t xml:space="preserve">The timeline of BRII since inception </w:t>
      </w:r>
      <w:r w:rsidR="005F5318">
        <w:rPr>
          <w:lang w:eastAsia="en-AU"/>
        </w:rPr>
        <w:t>is outlined in</w:t>
      </w:r>
      <w:r w:rsidR="004764E9">
        <w:rPr>
          <w:lang w:eastAsia="en-AU"/>
        </w:rPr>
        <w:t xml:space="preserve"> </w:t>
      </w:r>
      <w:r w:rsidR="004764E9">
        <w:rPr>
          <w:lang w:eastAsia="en-AU"/>
        </w:rPr>
        <w:fldChar w:fldCharType="begin"/>
      </w:r>
      <w:r w:rsidR="004764E9">
        <w:rPr>
          <w:lang w:eastAsia="en-AU"/>
        </w:rPr>
        <w:instrText xml:space="preserve"> REF _Ref75809353 \h </w:instrText>
      </w:r>
      <w:r w:rsidR="004764E9">
        <w:rPr>
          <w:lang w:eastAsia="en-AU"/>
        </w:rPr>
      </w:r>
      <w:r w:rsidR="004764E9">
        <w:rPr>
          <w:lang w:eastAsia="en-AU"/>
        </w:rPr>
        <w:fldChar w:fldCharType="separate"/>
      </w:r>
      <w:r w:rsidR="00AE607F">
        <w:t xml:space="preserve">Figure </w:t>
      </w:r>
      <w:r w:rsidR="00AE607F">
        <w:rPr>
          <w:noProof/>
        </w:rPr>
        <w:t>5</w:t>
      </w:r>
      <w:r w:rsidR="004764E9">
        <w:rPr>
          <w:lang w:eastAsia="en-AU"/>
        </w:rPr>
        <w:fldChar w:fldCharType="end"/>
      </w:r>
      <w:r w:rsidR="004764E9">
        <w:rPr>
          <w:lang w:eastAsia="en-AU"/>
        </w:rPr>
        <w:t xml:space="preserve"> overleaf</w:t>
      </w:r>
      <w:r w:rsidR="005F5318">
        <w:rPr>
          <w:lang w:eastAsia="en-AU"/>
        </w:rPr>
        <w:t>.</w:t>
      </w:r>
    </w:p>
    <w:p w14:paraId="01575E29" w14:textId="5D40F1E6" w:rsidR="000862CD" w:rsidRDefault="000862CD" w:rsidP="000862CD">
      <w:pPr>
        <w:pStyle w:val="Caption"/>
        <w:rPr>
          <w:vertAlign w:val="superscript"/>
        </w:rPr>
      </w:pPr>
      <w:bookmarkStart w:id="27" w:name="_Ref75809353"/>
      <w:r>
        <w:lastRenderedPageBreak/>
        <w:t xml:space="preserve">Figure </w:t>
      </w:r>
      <w:r>
        <w:fldChar w:fldCharType="begin"/>
      </w:r>
      <w:r>
        <w:instrText xml:space="preserve"> SEQ Figure \* ARABIC </w:instrText>
      </w:r>
      <w:r>
        <w:fldChar w:fldCharType="separate"/>
      </w:r>
      <w:r w:rsidR="00870ADB">
        <w:rPr>
          <w:noProof/>
        </w:rPr>
        <w:t>6</w:t>
      </w:r>
      <w:r>
        <w:fldChar w:fldCharType="end"/>
      </w:r>
      <w:bookmarkEnd w:id="27"/>
      <w:r>
        <w:t xml:space="preserve"> | Timeline of the BRII</w:t>
      </w:r>
      <w:r>
        <w:rPr>
          <w:rStyle w:val="FootnoteReference"/>
          <w:lang w:eastAsia="en-AU"/>
        </w:rPr>
        <w:footnoteReference w:id="13"/>
      </w:r>
      <w:r w:rsidR="00FB0728">
        <w:rPr>
          <w:vertAlign w:val="superscript"/>
        </w:rPr>
        <w:t>,</w:t>
      </w:r>
      <w:r w:rsidR="00FB0728">
        <w:rPr>
          <w:rStyle w:val="FootnoteReference"/>
        </w:rPr>
        <w:footnoteReference w:id="14"/>
      </w:r>
    </w:p>
    <w:p w14:paraId="5153B9BB" w14:textId="6495A545" w:rsidR="00CD2684" w:rsidRPr="00CD2684" w:rsidRDefault="00CD2684" w:rsidP="00CD2684">
      <w:r w:rsidRPr="00CD2684">
        <w:rPr>
          <w:noProof/>
        </w:rPr>
        <w:drawing>
          <wp:inline distT="0" distB="0" distL="0" distR="0" wp14:anchorId="0502DCBD" wp14:editId="367D40FF">
            <wp:extent cx="5670550" cy="3622040"/>
            <wp:effectExtent l="0" t="0" r="6350" b="0"/>
            <wp:docPr id="44" name="Picture 44" descr="Round 1. Challenge selection, March 2 thousand and sixteen to August 2 thousand and sixteen. Feasibility study, August 2 thousand and sixteen to July 2 thousand and seventeen. Proof of concept study, September 2 thousand and seventeen to April 2 thousand and nineteen. Round 2. Challenge selection, September 2 thousand and eighteen to February 2 thousand and nineteen. Feasibility study, February 2 thousand and nineteen to August 2 thousand and nineteen. Proof of concept stage, October 2 thousand and nineteen to June twenty, twenty one. Priority sectors (round 3). Challenge selection, December 2 thousand and nineteen to May twenty, twenty. Feasibility study, July twenty, twenty to April twenty, twenty one. Proof of concept stage, April twenty, twenty one to April twenty, twenty three International challenge-based procurement forum takes place early 2 thousand and nineteen, at the end of round 1 and start of round 2. Learnings from forum implemented for priority sectors round, including challenge expression of interest and shift in communications approach. This takes place towards the end of 2 thousand and nineteen, during round 2 and before priority sectors, roun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Round 1. Challenge selection, March 2 thousand and sixteen to August 2 thousand and sixteen. Feasibility study, August 2 thousand and sixteen to July 2 thousand and seventeen. Proof of concept study, September 2 thousand and seventeen to April 2 thousand and nineteen. Round 2. Challenge selection, September 2 thousand and eighteen to February 2 thousand and nineteen. Feasibility study, February 2 thousand and nineteen to August 2 thousand and nineteen. Proof of concept stage, October 2 thousand and nineteen to June twenty, twenty one. Priority sectors (round 3). Challenge selection, December 2 thousand and nineteen to May twenty, twenty. Feasibility study, July twenty, twenty to April twenty, twenty one. Proof of concept stage, April twenty, twenty one to April twenty, twenty three International challenge-based procurement forum takes place early 2 thousand and nineteen, at the end of round 1 and start of round 2. Learnings from forum implemented for priority sectors round, including challenge expression of interest and shift in communications approach. This takes place towards the end of 2 thousand and nineteen, during round 2 and before priority sectors, round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70550" cy="3622040"/>
                    </a:xfrm>
                    <a:prstGeom prst="rect">
                      <a:avLst/>
                    </a:prstGeom>
                    <a:noFill/>
                    <a:ln>
                      <a:noFill/>
                    </a:ln>
                  </pic:spPr>
                </pic:pic>
              </a:graphicData>
            </a:graphic>
          </wp:inline>
        </w:drawing>
      </w:r>
    </w:p>
    <w:p w14:paraId="3D0A0BE4" w14:textId="31ADEAB3" w:rsidR="00F252C0" w:rsidRDefault="00397B35">
      <w:pPr>
        <w:pStyle w:val="Heading2"/>
      </w:pPr>
      <w:bookmarkStart w:id="28" w:name="_Ref75274393"/>
      <w:bookmarkStart w:id="29" w:name="_Toc124435143"/>
      <w:r>
        <w:t>Three</w:t>
      </w:r>
      <w:r w:rsidR="00413875">
        <w:t xml:space="preserve"> </w:t>
      </w:r>
      <w:r w:rsidR="000613E1">
        <w:t xml:space="preserve">limitations </w:t>
      </w:r>
      <w:r w:rsidR="00157CC8">
        <w:t>impacted the evaluation</w:t>
      </w:r>
      <w:bookmarkEnd w:id="28"/>
      <w:bookmarkEnd w:id="29"/>
    </w:p>
    <w:p w14:paraId="6B4DB781" w14:textId="6208290B" w:rsidR="00FE0886" w:rsidRPr="00995F8D" w:rsidRDefault="004101E9" w:rsidP="00EA4234">
      <w:pPr>
        <w:pStyle w:val="Heading3"/>
      </w:pPr>
      <w:r w:rsidRPr="00995F8D">
        <w:t xml:space="preserve">The </w:t>
      </w:r>
      <w:r w:rsidR="00FE0886" w:rsidRPr="00995F8D">
        <w:t>BRII</w:t>
      </w:r>
      <w:r w:rsidR="00397B35" w:rsidRPr="00995F8D">
        <w:t xml:space="preserve"> is a small</w:t>
      </w:r>
      <w:r w:rsidRPr="00995F8D">
        <w:t>-</w:t>
      </w:r>
      <w:r w:rsidR="00FE0886" w:rsidRPr="00995F8D">
        <w:t>scale</w:t>
      </w:r>
      <w:r w:rsidRPr="00995F8D">
        <w:t xml:space="preserve"> pilot</w:t>
      </w:r>
      <w:r w:rsidR="004A45E0" w:rsidRPr="00995F8D">
        <w:t>.</w:t>
      </w:r>
    </w:p>
    <w:p w14:paraId="25BCDB30" w14:textId="7D7B5058" w:rsidR="00A65465" w:rsidRDefault="00764F90" w:rsidP="00B31F90">
      <w:pPr>
        <w:rPr>
          <w:lang w:eastAsia="en-AU"/>
        </w:rPr>
      </w:pPr>
      <w:r w:rsidRPr="00995F8D">
        <w:rPr>
          <w:lang w:eastAsia="en-AU"/>
        </w:rPr>
        <w:t>Over the past five years t</w:t>
      </w:r>
      <w:r w:rsidR="006C2A5A" w:rsidRPr="00995F8D">
        <w:rPr>
          <w:lang w:eastAsia="en-AU"/>
        </w:rPr>
        <w:t xml:space="preserve">he program </w:t>
      </w:r>
      <w:r w:rsidRPr="00995F8D">
        <w:rPr>
          <w:lang w:eastAsia="en-AU"/>
        </w:rPr>
        <w:t xml:space="preserve">has supported only </w:t>
      </w:r>
      <w:r w:rsidR="00051E9B" w:rsidRPr="00995F8D">
        <w:rPr>
          <w:lang w:eastAsia="en-AU"/>
        </w:rPr>
        <w:t>1</w:t>
      </w:r>
      <w:r w:rsidR="00875539">
        <w:rPr>
          <w:lang w:eastAsia="en-AU"/>
        </w:rPr>
        <w:t>5</w:t>
      </w:r>
      <w:r w:rsidR="00051E9B" w:rsidRPr="00995F8D">
        <w:rPr>
          <w:lang w:eastAsia="en-AU"/>
        </w:rPr>
        <w:t xml:space="preserve"> </w:t>
      </w:r>
      <w:r w:rsidR="00921F0A">
        <w:rPr>
          <w:lang w:eastAsia="en-AU"/>
        </w:rPr>
        <w:t xml:space="preserve">SMEs </w:t>
      </w:r>
      <w:r w:rsidR="00E45A36">
        <w:rPr>
          <w:lang w:eastAsia="en-AU"/>
        </w:rPr>
        <w:t xml:space="preserve">from rounds one and two </w:t>
      </w:r>
      <w:r w:rsidR="00921F0A">
        <w:rPr>
          <w:lang w:eastAsia="en-AU"/>
        </w:rPr>
        <w:t xml:space="preserve">that progressed through to </w:t>
      </w:r>
      <w:r w:rsidR="00051E9B" w:rsidRPr="00995F8D">
        <w:rPr>
          <w:lang w:eastAsia="en-AU"/>
        </w:rPr>
        <w:t xml:space="preserve">proof of concept </w:t>
      </w:r>
      <w:r w:rsidR="00995F8D" w:rsidRPr="00995F8D">
        <w:rPr>
          <w:lang w:eastAsia="en-AU"/>
        </w:rPr>
        <w:t xml:space="preserve">and </w:t>
      </w:r>
      <w:r w:rsidR="00A52AE9">
        <w:rPr>
          <w:lang w:eastAsia="en-AU"/>
        </w:rPr>
        <w:t>40</w:t>
      </w:r>
      <w:r w:rsidR="00995F8D" w:rsidRPr="00995F8D">
        <w:rPr>
          <w:lang w:eastAsia="en-AU"/>
        </w:rPr>
        <w:t xml:space="preserve"> </w:t>
      </w:r>
      <w:r w:rsidR="00921F0A">
        <w:rPr>
          <w:lang w:eastAsia="en-AU"/>
        </w:rPr>
        <w:t xml:space="preserve">SMEs that only </w:t>
      </w:r>
      <w:r w:rsidR="00E75405">
        <w:rPr>
          <w:lang w:eastAsia="en-AU"/>
        </w:rPr>
        <w:t xml:space="preserve">participated in </w:t>
      </w:r>
      <w:r w:rsidR="00CE1C75">
        <w:rPr>
          <w:lang w:eastAsia="en-AU"/>
        </w:rPr>
        <w:t xml:space="preserve">the </w:t>
      </w:r>
      <w:r w:rsidR="00995F8D" w:rsidRPr="00995F8D">
        <w:rPr>
          <w:lang w:eastAsia="en-AU"/>
        </w:rPr>
        <w:t xml:space="preserve">feasibility </w:t>
      </w:r>
      <w:r w:rsidR="00CE1C75">
        <w:rPr>
          <w:lang w:eastAsia="en-AU"/>
        </w:rPr>
        <w:t>phase</w:t>
      </w:r>
      <w:r w:rsidR="00E75405">
        <w:rPr>
          <w:lang w:eastAsia="en-AU"/>
        </w:rPr>
        <w:t xml:space="preserve"> at the time of the evaluation</w:t>
      </w:r>
      <w:r w:rsidR="006A32BE" w:rsidRPr="00995F8D">
        <w:rPr>
          <w:lang w:eastAsia="en-AU"/>
        </w:rPr>
        <w:t>.</w:t>
      </w:r>
      <w:r w:rsidR="006F1B68">
        <w:rPr>
          <w:rStyle w:val="FootnoteReference"/>
          <w:lang w:eastAsia="en-AU"/>
        </w:rPr>
        <w:footnoteReference w:id="15"/>
      </w:r>
      <w:r w:rsidR="006A32BE" w:rsidRPr="00995F8D">
        <w:rPr>
          <w:lang w:eastAsia="en-AU"/>
        </w:rPr>
        <w:t xml:space="preserve"> Consequently, there </w:t>
      </w:r>
      <w:r w:rsidR="00953801" w:rsidRPr="00995F8D">
        <w:rPr>
          <w:lang w:eastAsia="en-AU"/>
        </w:rPr>
        <w:t xml:space="preserve">was a very small population to analyse, both for </w:t>
      </w:r>
      <w:r w:rsidR="00096172" w:rsidRPr="00995F8D">
        <w:rPr>
          <w:lang w:eastAsia="en-AU"/>
        </w:rPr>
        <w:t>general findings</w:t>
      </w:r>
      <w:r w:rsidR="0067773E" w:rsidRPr="00995F8D">
        <w:rPr>
          <w:lang w:eastAsia="en-AU"/>
        </w:rPr>
        <w:t xml:space="preserve"> (from surveys and interviews)</w:t>
      </w:r>
      <w:r w:rsidR="00096172" w:rsidRPr="00995F8D">
        <w:rPr>
          <w:lang w:eastAsia="en-AU"/>
        </w:rPr>
        <w:t xml:space="preserve"> and the </w:t>
      </w:r>
      <w:r w:rsidR="008A5609">
        <w:rPr>
          <w:lang w:eastAsia="en-AU"/>
        </w:rPr>
        <w:t>CBA</w:t>
      </w:r>
      <w:r w:rsidR="00096172" w:rsidRPr="00995F8D">
        <w:rPr>
          <w:lang w:eastAsia="en-AU"/>
        </w:rPr>
        <w:t xml:space="preserve">. </w:t>
      </w:r>
      <w:r w:rsidR="003B5EC1">
        <w:rPr>
          <w:lang w:eastAsia="en-AU"/>
        </w:rPr>
        <w:t xml:space="preserve">These shortcomings were mitigated </w:t>
      </w:r>
      <w:r w:rsidR="00A35CF5">
        <w:rPr>
          <w:lang w:eastAsia="en-AU"/>
        </w:rPr>
        <w:t>through</w:t>
      </w:r>
      <w:r w:rsidR="003B5EC1">
        <w:rPr>
          <w:lang w:eastAsia="en-AU"/>
        </w:rPr>
        <w:t xml:space="preserve"> the </w:t>
      </w:r>
      <w:r w:rsidR="00A35CF5">
        <w:rPr>
          <w:lang w:eastAsia="en-AU"/>
        </w:rPr>
        <w:t xml:space="preserve">comparison of </w:t>
      </w:r>
      <w:r w:rsidR="00875083">
        <w:rPr>
          <w:lang w:eastAsia="en-AU"/>
        </w:rPr>
        <w:t xml:space="preserve">the findings from this evaluation against evaluations completed for </w:t>
      </w:r>
      <w:r w:rsidR="003B5EC1">
        <w:rPr>
          <w:lang w:eastAsia="en-AU"/>
        </w:rPr>
        <w:t>similar, larger programs</w:t>
      </w:r>
      <w:r w:rsidR="00F419E6">
        <w:rPr>
          <w:lang w:eastAsia="en-AU"/>
        </w:rPr>
        <w:t>, namely the</w:t>
      </w:r>
      <w:r w:rsidR="009C156C">
        <w:rPr>
          <w:lang w:eastAsia="en-AU"/>
        </w:rPr>
        <w:t xml:space="preserve"> </w:t>
      </w:r>
      <w:r w:rsidR="00F419E6">
        <w:rPr>
          <w:lang w:eastAsia="en-AU"/>
        </w:rPr>
        <w:t>SBIR</w:t>
      </w:r>
      <w:r w:rsidR="00760CE3">
        <w:rPr>
          <w:lang w:eastAsia="en-AU"/>
        </w:rPr>
        <w:t xml:space="preserve"> in the </w:t>
      </w:r>
      <w:r w:rsidR="00757EDF">
        <w:rPr>
          <w:lang w:eastAsia="en-AU"/>
        </w:rPr>
        <w:t>USA</w:t>
      </w:r>
      <w:r w:rsidR="00760CE3">
        <w:rPr>
          <w:lang w:eastAsia="en-AU"/>
        </w:rPr>
        <w:t xml:space="preserve"> and the SBRI in the </w:t>
      </w:r>
      <w:r w:rsidR="00757EDF">
        <w:rPr>
          <w:lang w:eastAsia="en-AU"/>
        </w:rPr>
        <w:t>UK</w:t>
      </w:r>
      <w:r w:rsidR="003E4F24">
        <w:rPr>
          <w:lang w:eastAsia="en-AU"/>
        </w:rPr>
        <w:t xml:space="preserve">. </w:t>
      </w:r>
      <w:r w:rsidR="006723AD">
        <w:rPr>
          <w:lang w:eastAsia="en-AU"/>
        </w:rPr>
        <w:t xml:space="preserve">Using this technique </w:t>
      </w:r>
      <w:r w:rsidR="00AF6E1E">
        <w:rPr>
          <w:lang w:eastAsia="en-AU"/>
        </w:rPr>
        <w:t xml:space="preserve">allows us to extrapolate the </w:t>
      </w:r>
      <w:r w:rsidR="00EC295B">
        <w:rPr>
          <w:lang w:eastAsia="en-AU"/>
        </w:rPr>
        <w:t>evaluation findings for a larger population size.</w:t>
      </w:r>
      <w:r w:rsidR="003B5EC1">
        <w:rPr>
          <w:lang w:eastAsia="en-AU"/>
        </w:rPr>
        <w:t xml:space="preserve"> Nonetheless, t</w:t>
      </w:r>
      <w:r w:rsidR="004D7F67">
        <w:rPr>
          <w:lang w:eastAsia="en-AU"/>
        </w:rPr>
        <w:t xml:space="preserve">he findings of this evaluation must be considered </w:t>
      </w:r>
      <w:r w:rsidR="00D14695">
        <w:rPr>
          <w:lang w:eastAsia="en-AU"/>
        </w:rPr>
        <w:t>against</w:t>
      </w:r>
      <w:r w:rsidR="004D7F67">
        <w:rPr>
          <w:lang w:eastAsia="en-AU"/>
        </w:rPr>
        <w:t xml:space="preserve"> the impact of </w:t>
      </w:r>
      <w:r w:rsidR="00A866F2">
        <w:rPr>
          <w:lang w:eastAsia="en-AU"/>
        </w:rPr>
        <w:t xml:space="preserve">a </w:t>
      </w:r>
      <w:r w:rsidR="004D7F67">
        <w:rPr>
          <w:lang w:eastAsia="en-AU"/>
        </w:rPr>
        <w:t xml:space="preserve">small </w:t>
      </w:r>
      <w:r w:rsidR="0057507E">
        <w:rPr>
          <w:lang w:eastAsia="en-AU"/>
        </w:rPr>
        <w:t>population</w:t>
      </w:r>
      <w:r w:rsidR="004D7F67">
        <w:rPr>
          <w:lang w:eastAsia="en-AU"/>
        </w:rPr>
        <w:t xml:space="preserve"> size on the </w:t>
      </w:r>
      <w:r w:rsidR="001C3CE9">
        <w:rPr>
          <w:lang w:eastAsia="en-AU"/>
        </w:rPr>
        <w:t>replicability and scalability of the program’s outcomes</w:t>
      </w:r>
      <w:r w:rsidR="001826D3">
        <w:rPr>
          <w:lang w:eastAsia="en-AU"/>
        </w:rPr>
        <w:t xml:space="preserve">. </w:t>
      </w:r>
    </w:p>
    <w:p w14:paraId="4EA4398F" w14:textId="6A41CC27" w:rsidR="003B3911" w:rsidRPr="00963DCF" w:rsidRDefault="003B3911" w:rsidP="00EA4234">
      <w:pPr>
        <w:pStyle w:val="Heading3"/>
      </w:pPr>
      <w:r w:rsidRPr="00963DCF">
        <w:lastRenderedPageBreak/>
        <w:t>There</w:t>
      </w:r>
      <w:r w:rsidRPr="00EC622A">
        <w:t xml:space="preserve"> </w:t>
      </w:r>
      <w:r w:rsidRPr="003521CF">
        <w:t>was a</w:t>
      </w:r>
      <w:r w:rsidRPr="00BA45BB">
        <w:t xml:space="preserve"> </w:t>
      </w:r>
      <w:r w:rsidRPr="00F5696B">
        <w:t>l</w:t>
      </w:r>
      <w:r w:rsidRPr="004F0963">
        <w:t>ow response rate from</w:t>
      </w:r>
      <w:r w:rsidRPr="00F47BB6">
        <w:t xml:space="preserve"> </w:t>
      </w:r>
      <w:r w:rsidRPr="0026352C">
        <w:t>feasibili</w:t>
      </w:r>
      <w:r w:rsidRPr="007B1045">
        <w:t>t</w:t>
      </w:r>
      <w:r w:rsidRPr="00683079">
        <w:t>y SMEs</w:t>
      </w:r>
      <w:r w:rsidR="002F6BD6">
        <w:t>.</w:t>
      </w:r>
    </w:p>
    <w:p w14:paraId="4D928780" w14:textId="70BD254D" w:rsidR="00B31F90" w:rsidRPr="00995F8D" w:rsidRDefault="00096172" w:rsidP="00B31F90">
      <w:pPr>
        <w:rPr>
          <w:lang w:eastAsia="en-AU"/>
        </w:rPr>
      </w:pPr>
      <w:r w:rsidRPr="00995F8D">
        <w:rPr>
          <w:lang w:eastAsia="en-AU"/>
        </w:rPr>
        <w:t xml:space="preserve">Of this population, </w:t>
      </w:r>
      <w:r w:rsidR="00623A2F">
        <w:rPr>
          <w:lang w:eastAsia="en-AU"/>
        </w:rPr>
        <w:t xml:space="preserve">21 </w:t>
      </w:r>
      <w:r w:rsidR="001C3CE9">
        <w:rPr>
          <w:lang w:eastAsia="en-AU"/>
        </w:rPr>
        <w:t xml:space="preserve">of </w:t>
      </w:r>
      <w:r w:rsidR="005C72DB">
        <w:rPr>
          <w:lang w:eastAsia="en-AU"/>
        </w:rPr>
        <w:t xml:space="preserve">a possible </w:t>
      </w:r>
      <w:r w:rsidR="00623A2F">
        <w:rPr>
          <w:lang w:eastAsia="en-AU"/>
        </w:rPr>
        <w:t>33</w:t>
      </w:r>
      <w:r w:rsidR="00F278D1">
        <w:rPr>
          <w:rStyle w:val="FootnoteReference"/>
          <w:lang w:eastAsia="en-AU"/>
        </w:rPr>
        <w:footnoteReference w:id="16"/>
      </w:r>
      <w:r w:rsidR="001C3CE9">
        <w:rPr>
          <w:lang w:eastAsia="en-AU"/>
        </w:rPr>
        <w:t xml:space="preserve"> </w:t>
      </w:r>
      <w:r w:rsidR="00623A2F">
        <w:rPr>
          <w:lang w:eastAsia="en-AU"/>
        </w:rPr>
        <w:t>SMEs from rounds one and two were interviewed (</w:t>
      </w:r>
      <w:r w:rsidR="001C3CE9">
        <w:rPr>
          <w:lang w:eastAsia="en-AU"/>
        </w:rPr>
        <w:t>14 of 15</w:t>
      </w:r>
      <w:r w:rsidR="004D5A01" w:rsidRPr="00995F8D">
        <w:rPr>
          <w:lang w:eastAsia="en-AU"/>
        </w:rPr>
        <w:t xml:space="preserve"> proof of concept SMEs </w:t>
      </w:r>
      <w:r w:rsidR="0034324D">
        <w:rPr>
          <w:lang w:eastAsia="en-AU"/>
        </w:rPr>
        <w:t xml:space="preserve">and </w:t>
      </w:r>
      <w:r w:rsidR="00071170">
        <w:rPr>
          <w:lang w:eastAsia="en-AU"/>
        </w:rPr>
        <w:t>seven</w:t>
      </w:r>
      <w:r w:rsidR="0034324D">
        <w:rPr>
          <w:lang w:eastAsia="en-AU"/>
        </w:rPr>
        <w:t xml:space="preserve"> of </w:t>
      </w:r>
      <w:r w:rsidR="00071170">
        <w:rPr>
          <w:lang w:eastAsia="en-AU"/>
        </w:rPr>
        <w:t>18</w:t>
      </w:r>
      <w:r w:rsidR="0034324D">
        <w:rPr>
          <w:lang w:eastAsia="en-AU"/>
        </w:rPr>
        <w:t xml:space="preserve"> </w:t>
      </w:r>
      <w:r w:rsidR="0067773E" w:rsidRPr="00995F8D">
        <w:rPr>
          <w:lang w:eastAsia="en-AU"/>
        </w:rPr>
        <w:t>feasibility SMEs</w:t>
      </w:r>
      <w:r w:rsidR="00623A2F">
        <w:rPr>
          <w:lang w:eastAsia="en-AU"/>
        </w:rPr>
        <w:t>)</w:t>
      </w:r>
      <w:r w:rsidR="006A3CA6">
        <w:rPr>
          <w:lang w:eastAsia="en-AU"/>
        </w:rPr>
        <w:t xml:space="preserve"> and only </w:t>
      </w:r>
      <w:r w:rsidR="001B3E61" w:rsidRPr="00BD57BB">
        <w:rPr>
          <w:lang w:eastAsia="en-AU"/>
        </w:rPr>
        <w:t>23</w:t>
      </w:r>
      <w:r w:rsidR="001B3E61">
        <w:rPr>
          <w:lang w:eastAsia="en-AU"/>
        </w:rPr>
        <w:t xml:space="preserve"> of </w:t>
      </w:r>
      <w:r w:rsidR="00CA548F">
        <w:rPr>
          <w:lang w:eastAsia="en-AU"/>
        </w:rPr>
        <w:t>5</w:t>
      </w:r>
      <w:r w:rsidR="002F0389">
        <w:rPr>
          <w:lang w:eastAsia="en-AU"/>
        </w:rPr>
        <w:t>5</w:t>
      </w:r>
      <w:r w:rsidR="00CA548F">
        <w:rPr>
          <w:lang w:eastAsia="en-AU"/>
        </w:rPr>
        <w:t xml:space="preserve"> SMEs</w:t>
      </w:r>
      <w:r w:rsidR="00ED0E96">
        <w:rPr>
          <w:rStyle w:val="FootnoteReference"/>
          <w:lang w:eastAsia="en-AU"/>
        </w:rPr>
        <w:footnoteReference w:id="17"/>
      </w:r>
      <w:r w:rsidR="00CA548F">
        <w:rPr>
          <w:lang w:eastAsia="en-AU"/>
        </w:rPr>
        <w:t xml:space="preserve"> from rounds one, two and three completed the survey (</w:t>
      </w:r>
      <w:r w:rsidR="001B447D">
        <w:rPr>
          <w:lang w:eastAsia="en-AU"/>
        </w:rPr>
        <w:t xml:space="preserve">10 of 15 proof of concept </w:t>
      </w:r>
      <w:r w:rsidR="00993BDE">
        <w:rPr>
          <w:lang w:eastAsia="en-AU"/>
        </w:rPr>
        <w:t>SMEs</w:t>
      </w:r>
      <w:r w:rsidR="00CE1C75">
        <w:rPr>
          <w:rStyle w:val="FootnoteReference"/>
          <w:lang w:eastAsia="en-AU"/>
        </w:rPr>
        <w:footnoteReference w:id="18"/>
      </w:r>
      <w:r w:rsidR="00104141">
        <w:rPr>
          <w:lang w:eastAsia="en-AU"/>
        </w:rPr>
        <w:t xml:space="preserve"> and </w:t>
      </w:r>
      <w:r w:rsidR="00847E39">
        <w:rPr>
          <w:lang w:eastAsia="en-AU"/>
        </w:rPr>
        <w:t>13</w:t>
      </w:r>
      <w:r w:rsidR="002347E2">
        <w:rPr>
          <w:lang w:eastAsia="en-AU"/>
        </w:rPr>
        <w:t xml:space="preserve"> of </w:t>
      </w:r>
      <w:r w:rsidR="00AB5D02">
        <w:rPr>
          <w:lang w:eastAsia="en-AU"/>
        </w:rPr>
        <w:t>40</w:t>
      </w:r>
      <w:r w:rsidR="00117886">
        <w:rPr>
          <w:lang w:eastAsia="en-AU"/>
        </w:rPr>
        <w:t xml:space="preserve"> feasibility SMEs</w:t>
      </w:r>
      <w:r w:rsidR="00993BDE">
        <w:rPr>
          <w:lang w:eastAsia="en-AU"/>
        </w:rPr>
        <w:t>)</w:t>
      </w:r>
      <w:r w:rsidR="001A4D10">
        <w:rPr>
          <w:lang w:eastAsia="en-AU"/>
        </w:rPr>
        <w:t>.</w:t>
      </w:r>
      <w:r w:rsidR="001A4D10" w:rsidRPr="00562DE1">
        <w:rPr>
          <w:rStyle w:val="FootnoteReference"/>
          <w:lang w:eastAsia="en-AU"/>
        </w:rPr>
        <w:t xml:space="preserve"> </w:t>
      </w:r>
      <w:r w:rsidR="00656A19">
        <w:rPr>
          <w:lang w:eastAsia="en-AU"/>
        </w:rPr>
        <w:t xml:space="preserve">This sample </w:t>
      </w:r>
      <w:r w:rsidR="0086034A">
        <w:rPr>
          <w:lang w:eastAsia="en-AU"/>
        </w:rPr>
        <w:t xml:space="preserve">was reduced </w:t>
      </w:r>
      <w:r w:rsidR="0067773E" w:rsidRPr="00995F8D">
        <w:rPr>
          <w:lang w:eastAsia="en-AU"/>
        </w:rPr>
        <w:t xml:space="preserve">as some </w:t>
      </w:r>
      <w:r w:rsidR="00993BDE">
        <w:rPr>
          <w:lang w:eastAsia="en-AU"/>
        </w:rPr>
        <w:t xml:space="preserve">SMEs </w:t>
      </w:r>
      <w:r w:rsidR="0067773E" w:rsidRPr="00995F8D">
        <w:rPr>
          <w:lang w:eastAsia="en-AU"/>
        </w:rPr>
        <w:t>were reluctant to provide the relevant commercial data.</w:t>
      </w:r>
      <w:r w:rsidR="0057507E">
        <w:rPr>
          <w:lang w:eastAsia="en-AU"/>
        </w:rPr>
        <w:t xml:space="preserve"> </w:t>
      </w:r>
      <w:r w:rsidR="003C4828">
        <w:rPr>
          <w:lang w:eastAsia="en-AU"/>
        </w:rPr>
        <w:t>Feasibility SMEs were also generally unresponsive</w:t>
      </w:r>
      <w:r w:rsidR="00864A7B">
        <w:rPr>
          <w:lang w:eastAsia="en-AU"/>
        </w:rPr>
        <w:t>.</w:t>
      </w:r>
      <w:r w:rsidR="003C4828">
        <w:rPr>
          <w:lang w:eastAsia="en-AU"/>
        </w:rPr>
        <w:t xml:space="preserve"> </w:t>
      </w:r>
      <w:r w:rsidR="006B3DCC">
        <w:rPr>
          <w:lang w:eastAsia="en-AU"/>
        </w:rPr>
        <w:t xml:space="preserve">The small sample size, especially for feasibility SMEs, </w:t>
      </w:r>
      <w:r w:rsidR="00D668D4">
        <w:rPr>
          <w:lang w:eastAsia="en-AU"/>
        </w:rPr>
        <w:t xml:space="preserve">is an important consideration for </w:t>
      </w:r>
      <w:r w:rsidR="0012240E">
        <w:rPr>
          <w:lang w:eastAsia="en-AU"/>
        </w:rPr>
        <w:t xml:space="preserve">the </w:t>
      </w:r>
      <w:r w:rsidR="00E077FD">
        <w:rPr>
          <w:lang w:eastAsia="en-AU"/>
        </w:rPr>
        <w:t xml:space="preserve">replicability of the </w:t>
      </w:r>
      <w:r w:rsidR="00740323">
        <w:rPr>
          <w:lang w:eastAsia="en-AU"/>
        </w:rPr>
        <w:t>evaluation findings</w:t>
      </w:r>
      <w:r w:rsidR="00250E46">
        <w:rPr>
          <w:lang w:eastAsia="en-AU"/>
        </w:rPr>
        <w:t xml:space="preserve">. </w:t>
      </w:r>
      <w:r w:rsidR="00282CB5">
        <w:rPr>
          <w:lang w:eastAsia="en-AU"/>
        </w:rPr>
        <w:t xml:space="preserve">However, due to the high </w:t>
      </w:r>
      <w:r w:rsidR="00792583">
        <w:rPr>
          <w:lang w:eastAsia="en-AU"/>
        </w:rPr>
        <w:t>response rate</w:t>
      </w:r>
      <w:r w:rsidR="00282CB5">
        <w:rPr>
          <w:lang w:eastAsia="en-AU"/>
        </w:rPr>
        <w:t xml:space="preserve"> from proof</w:t>
      </w:r>
      <w:r w:rsidR="00A76B83">
        <w:rPr>
          <w:lang w:eastAsia="en-AU"/>
        </w:rPr>
        <w:t xml:space="preserve"> </w:t>
      </w:r>
      <w:r w:rsidR="00282CB5">
        <w:rPr>
          <w:lang w:eastAsia="en-AU"/>
        </w:rPr>
        <w:t>of</w:t>
      </w:r>
      <w:r w:rsidR="00A76B83">
        <w:rPr>
          <w:lang w:eastAsia="en-AU"/>
        </w:rPr>
        <w:t xml:space="preserve"> </w:t>
      </w:r>
      <w:r w:rsidR="00282CB5">
        <w:rPr>
          <w:lang w:eastAsia="en-AU"/>
        </w:rPr>
        <w:t xml:space="preserve">concept SMEs, which receive </w:t>
      </w:r>
      <w:r w:rsidR="00C33DA8">
        <w:rPr>
          <w:lang w:eastAsia="en-AU"/>
        </w:rPr>
        <w:t xml:space="preserve">roughly </w:t>
      </w:r>
      <w:r w:rsidR="00F3730B">
        <w:rPr>
          <w:lang w:eastAsia="en-AU"/>
        </w:rPr>
        <w:t>80 per</w:t>
      </w:r>
      <w:r w:rsidR="00F321E5">
        <w:rPr>
          <w:lang w:eastAsia="en-AU"/>
        </w:rPr>
        <w:t xml:space="preserve"> </w:t>
      </w:r>
      <w:r w:rsidR="00F3730B">
        <w:rPr>
          <w:lang w:eastAsia="en-AU"/>
        </w:rPr>
        <w:t xml:space="preserve">cent of program funding, </w:t>
      </w:r>
      <w:r w:rsidR="00706921">
        <w:rPr>
          <w:lang w:eastAsia="en-AU"/>
        </w:rPr>
        <w:t xml:space="preserve">the impact and outcomes data of the evaluation </w:t>
      </w:r>
      <w:r w:rsidR="00792583">
        <w:rPr>
          <w:lang w:eastAsia="en-AU"/>
        </w:rPr>
        <w:t xml:space="preserve">should be </w:t>
      </w:r>
      <w:r w:rsidR="0039688B">
        <w:rPr>
          <w:lang w:eastAsia="en-AU"/>
        </w:rPr>
        <w:t xml:space="preserve">viewed with a </w:t>
      </w:r>
      <w:r w:rsidR="00356A9A">
        <w:rPr>
          <w:lang w:eastAsia="en-AU"/>
        </w:rPr>
        <w:t xml:space="preserve">high </w:t>
      </w:r>
      <w:r w:rsidR="0039688B">
        <w:rPr>
          <w:lang w:eastAsia="en-AU"/>
        </w:rPr>
        <w:t xml:space="preserve">level of </w:t>
      </w:r>
      <w:r w:rsidR="00356A9A">
        <w:rPr>
          <w:lang w:eastAsia="en-AU"/>
        </w:rPr>
        <w:t>validity.</w:t>
      </w:r>
    </w:p>
    <w:p w14:paraId="16F3B13F" w14:textId="526DEA0A" w:rsidR="00205248" w:rsidRDefault="001814F8" w:rsidP="00EA4234">
      <w:pPr>
        <w:pStyle w:val="Heading3"/>
      </w:pPr>
      <w:r>
        <w:t xml:space="preserve">Only a small number of </w:t>
      </w:r>
      <w:r w:rsidR="000A3278">
        <w:t xml:space="preserve">the </w:t>
      </w:r>
      <w:r>
        <w:t>BRII solutions were mature enough to quantify their benefits</w:t>
      </w:r>
      <w:r w:rsidR="001B046B">
        <w:t xml:space="preserve">. </w:t>
      </w:r>
    </w:p>
    <w:p w14:paraId="4BA366AF" w14:textId="6A74E8F2" w:rsidR="00DF4383" w:rsidRPr="00DF4383" w:rsidRDefault="00514CD7" w:rsidP="00B31F90">
      <w:pPr>
        <w:rPr>
          <w:lang w:eastAsia="en-AU"/>
        </w:rPr>
      </w:pPr>
      <w:r>
        <w:rPr>
          <w:lang w:eastAsia="en-AU"/>
        </w:rPr>
        <w:t xml:space="preserve">A key objective of this evaluation was to measure the impact of </w:t>
      </w:r>
      <w:r w:rsidR="00A76B83">
        <w:rPr>
          <w:lang w:eastAsia="en-AU"/>
        </w:rPr>
        <w:t xml:space="preserve">the </w:t>
      </w:r>
      <w:r>
        <w:rPr>
          <w:lang w:eastAsia="en-AU"/>
        </w:rPr>
        <w:t xml:space="preserve">BRII </w:t>
      </w:r>
      <w:r w:rsidR="00426F50">
        <w:rPr>
          <w:lang w:eastAsia="en-AU"/>
        </w:rPr>
        <w:t>for</w:t>
      </w:r>
      <w:r>
        <w:rPr>
          <w:lang w:eastAsia="en-AU"/>
        </w:rPr>
        <w:t xml:space="preserve"> participating challenge agencies. </w:t>
      </w:r>
      <w:r w:rsidR="0075178A">
        <w:rPr>
          <w:lang w:eastAsia="en-AU"/>
        </w:rPr>
        <w:t xml:space="preserve">This included </w:t>
      </w:r>
      <w:r w:rsidR="00FE5323">
        <w:rPr>
          <w:lang w:eastAsia="en-AU"/>
        </w:rPr>
        <w:t xml:space="preserve">the long-term impact of the solutions </w:t>
      </w:r>
      <w:r w:rsidR="0075178A">
        <w:rPr>
          <w:lang w:eastAsia="en-AU"/>
        </w:rPr>
        <w:t>that SMEs developed to address BRII challenges</w:t>
      </w:r>
      <w:r>
        <w:rPr>
          <w:lang w:eastAsia="en-AU"/>
        </w:rPr>
        <w:t xml:space="preserve">. </w:t>
      </w:r>
      <w:r w:rsidR="008A1B4C">
        <w:rPr>
          <w:lang w:eastAsia="en-AU"/>
        </w:rPr>
        <w:t>Measuring</w:t>
      </w:r>
      <w:r w:rsidR="00CE2D8C">
        <w:rPr>
          <w:lang w:eastAsia="en-AU"/>
        </w:rPr>
        <w:t xml:space="preserve"> the impact of these solutions required </w:t>
      </w:r>
      <w:r w:rsidR="001814F8">
        <w:rPr>
          <w:lang w:eastAsia="en-AU"/>
        </w:rPr>
        <w:t xml:space="preserve">longitudinal </w:t>
      </w:r>
      <w:r w:rsidR="00DF746F" w:rsidRPr="00995F8D">
        <w:rPr>
          <w:lang w:eastAsia="en-AU"/>
        </w:rPr>
        <w:t xml:space="preserve">data </w:t>
      </w:r>
      <w:r w:rsidR="00E16C24" w:rsidRPr="00995F8D">
        <w:rPr>
          <w:lang w:eastAsia="en-AU"/>
        </w:rPr>
        <w:t xml:space="preserve">that shows the </w:t>
      </w:r>
      <w:r w:rsidR="00723378">
        <w:rPr>
          <w:lang w:eastAsia="en-AU"/>
        </w:rPr>
        <w:t xml:space="preserve">benefits and </w:t>
      </w:r>
      <w:r w:rsidR="00E16C24" w:rsidRPr="00995F8D">
        <w:rPr>
          <w:lang w:eastAsia="en-AU"/>
        </w:rPr>
        <w:t xml:space="preserve">costs </w:t>
      </w:r>
      <w:r w:rsidR="00BC3FC1">
        <w:rPr>
          <w:lang w:eastAsia="en-AU"/>
        </w:rPr>
        <w:t xml:space="preserve">of the various solutions. </w:t>
      </w:r>
      <w:r w:rsidR="00944C84">
        <w:rPr>
          <w:lang w:eastAsia="en-AU"/>
        </w:rPr>
        <w:t xml:space="preserve">Due to the unavailability of data or the immaturity of </w:t>
      </w:r>
      <w:r w:rsidR="006127DC">
        <w:rPr>
          <w:lang w:eastAsia="en-AU"/>
        </w:rPr>
        <w:t>some solutions t</w:t>
      </w:r>
      <w:r w:rsidR="00BC3FC1">
        <w:rPr>
          <w:lang w:eastAsia="en-AU"/>
        </w:rPr>
        <w:t xml:space="preserve">he evaluation could only </w:t>
      </w:r>
      <w:r w:rsidR="00EB1017">
        <w:rPr>
          <w:lang w:eastAsia="en-AU"/>
        </w:rPr>
        <w:t xml:space="preserve">provide a high-level assessment of </w:t>
      </w:r>
      <w:r w:rsidR="00BC3FC1">
        <w:rPr>
          <w:lang w:eastAsia="en-AU"/>
        </w:rPr>
        <w:t xml:space="preserve">the benefits for </w:t>
      </w:r>
      <w:r w:rsidR="00BD5776">
        <w:rPr>
          <w:lang w:eastAsia="en-AU"/>
        </w:rPr>
        <w:t xml:space="preserve">three of the </w:t>
      </w:r>
      <w:r w:rsidR="00944C84">
        <w:rPr>
          <w:lang w:eastAsia="en-AU"/>
        </w:rPr>
        <w:t>ten</w:t>
      </w:r>
      <w:r w:rsidR="00BD5776">
        <w:rPr>
          <w:lang w:eastAsia="en-AU"/>
        </w:rPr>
        <w:t xml:space="preserve"> round one </w:t>
      </w:r>
      <w:r w:rsidR="001814F8">
        <w:rPr>
          <w:lang w:eastAsia="en-AU"/>
        </w:rPr>
        <w:t>solutions</w:t>
      </w:r>
      <w:r w:rsidR="00BD5776">
        <w:rPr>
          <w:lang w:eastAsia="en-AU"/>
        </w:rPr>
        <w:t>.</w:t>
      </w:r>
      <w:r w:rsidR="00396D12">
        <w:rPr>
          <w:lang w:eastAsia="en-AU"/>
        </w:rPr>
        <w:t xml:space="preserve"> All three of the quantified solutions are </w:t>
      </w:r>
      <w:r w:rsidR="00563036">
        <w:rPr>
          <w:lang w:eastAsia="en-AU"/>
        </w:rPr>
        <w:t>also</w:t>
      </w:r>
      <w:r w:rsidR="00396D12">
        <w:rPr>
          <w:lang w:eastAsia="en-AU"/>
        </w:rPr>
        <w:t xml:space="preserve"> in the early stages of commercialisation. This limited the </w:t>
      </w:r>
      <w:r w:rsidR="000B5958">
        <w:rPr>
          <w:lang w:eastAsia="en-AU"/>
        </w:rPr>
        <w:t>quantified benefits, which are expected to increase over time if the solutions continue to gain commercial traction.</w:t>
      </w:r>
    </w:p>
    <w:p w14:paraId="48D28099" w14:textId="4485DE9A" w:rsidR="00936DC8" w:rsidRPr="00EC3F32" w:rsidRDefault="00EC3F32">
      <w:pPr>
        <w:pStyle w:val="Heading1"/>
      </w:pPr>
      <w:bookmarkStart w:id="30" w:name="_Ref79408262"/>
      <w:bookmarkStart w:id="31" w:name="_Toc124435144"/>
      <w:r>
        <w:rPr>
          <w:b w:val="0"/>
          <w:noProof/>
        </w:rPr>
        <w:lastRenderedPageBreak/>
        <w:drawing>
          <wp:anchor distT="0" distB="0" distL="114300" distR="114300" simplePos="0" relativeHeight="251676160" behindDoc="0" locked="0" layoutInCell="1" allowOverlap="1" wp14:anchorId="3A97D6A6" wp14:editId="1CBCD5BF">
            <wp:simplePos x="0" y="0"/>
            <wp:positionH relativeFrom="page">
              <wp:posOffset>-78105</wp:posOffset>
            </wp:positionH>
            <wp:positionV relativeFrom="paragraph">
              <wp:posOffset>-786130</wp:posOffset>
            </wp:positionV>
            <wp:extent cx="7632700" cy="1530350"/>
            <wp:effectExtent l="0" t="0" r="635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32700" cy="1530350"/>
                    </a:xfrm>
                    <a:prstGeom prst="rect">
                      <a:avLst/>
                    </a:prstGeom>
                    <a:noFill/>
                  </pic:spPr>
                </pic:pic>
              </a:graphicData>
            </a:graphic>
          </wp:anchor>
        </w:drawing>
      </w:r>
      <w:r w:rsidR="002C30E1" w:rsidRPr="00EC3F32">
        <w:t>Overview of the BRII</w:t>
      </w:r>
      <w:bookmarkEnd w:id="30"/>
      <w:bookmarkEnd w:id="31"/>
      <w:r w:rsidRPr="00EC3F32">
        <w:rPr>
          <w:b w:val="0"/>
        </w:rPr>
        <w:t xml:space="preserve"> </w:t>
      </w:r>
    </w:p>
    <w:p w14:paraId="6B4B09A1" w14:textId="52ECB2E0" w:rsidR="000170D6" w:rsidRDefault="00A76FDD" w:rsidP="000170D6">
      <w:pPr>
        <w:rPr>
          <w:b/>
          <w:noProof/>
        </w:rPr>
      </w:pPr>
      <w:r>
        <w:rPr>
          <w:b/>
          <w:noProof/>
        </w:rPr>
        <w:drawing>
          <wp:inline distT="0" distB="0" distL="0" distR="0" wp14:anchorId="483F5606" wp14:editId="24646ACD">
            <wp:extent cx="5700395" cy="481330"/>
            <wp:effectExtent l="0" t="0" r="0" b="0"/>
            <wp:docPr id="456" name="Picture 456" descr="Summary call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Picture 456" descr="Summary call ou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00395" cy="481330"/>
                    </a:xfrm>
                    <a:prstGeom prst="rect">
                      <a:avLst/>
                    </a:prstGeom>
                    <a:noFill/>
                  </pic:spPr>
                </pic:pic>
              </a:graphicData>
            </a:graphic>
          </wp:inline>
        </w:drawing>
      </w:r>
    </w:p>
    <w:p w14:paraId="77729911" w14:textId="77777777" w:rsidR="00A76FDD" w:rsidRPr="00525DFA" w:rsidRDefault="00A76FDD" w:rsidP="00A76FDD">
      <w:pPr>
        <w:pStyle w:val="Bullet"/>
        <w:pBdr>
          <w:top w:val="single" w:sz="12" w:space="1" w:color="00264D" w:themeColor="background2"/>
          <w:bottom w:val="single" w:sz="12" w:space="1" w:color="00264D" w:themeColor="background2"/>
        </w:pBdr>
        <w:shd w:val="clear" w:color="auto" w:fill="E6E6E1" w:themeFill="accent5"/>
      </w:pPr>
      <w:r w:rsidRPr="00800EF9">
        <w:rPr>
          <w:rFonts w:asciiTheme="majorHAnsi" w:hAnsiTheme="majorHAnsi" w:cstheme="majorHAnsi"/>
        </w:rPr>
        <w:fldChar w:fldCharType="begin"/>
      </w:r>
      <w:r w:rsidRPr="00800EF9">
        <w:rPr>
          <w:rFonts w:asciiTheme="majorHAnsi" w:hAnsiTheme="majorHAnsi" w:cstheme="majorHAnsi"/>
        </w:rPr>
        <w:instrText xml:space="preserve"> REF _Ref79397768 \h </w:instrText>
      </w:r>
      <w:r>
        <w:rPr>
          <w:rFonts w:asciiTheme="majorHAnsi" w:hAnsiTheme="majorHAnsi" w:cstheme="majorHAnsi"/>
        </w:rPr>
        <w:instrText xml:space="preserve"> \* MERGEFORMAT </w:instrText>
      </w:r>
      <w:r w:rsidRPr="00800EF9">
        <w:rPr>
          <w:rFonts w:asciiTheme="majorHAnsi" w:hAnsiTheme="majorHAnsi" w:cstheme="majorHAnsi"/>
        </w:rPr>
      </w:r>
      <w:r w:rsidRPr="00800EF9">
        <w:rPr>
          <w:rFonts w:asciiTheme="majorHAnsi" w:hAnsiTheme="majorHAnsi" w:cstheme="majorHAnsi"/>
        </w:rPr>
        <w:fldChar w:fldCharType="separate"/>
      </w:r>
      <w:r w:rsidRPr="00AE607F">
        <w:rPr>
          <w:rFonts w:asciiTheme="majorHAnsi" w:hAnsiTheme="majorHAnsi" w:cstheme="majorHAnsi"/>
        </w:rPr>
        <w:t>The BRII was designed to achieve two complementary objectives</w:t>
      </w:r>
      <w:r w:rsidRPr="00800EF9">
        <w:rPr>
          <w:rFonts w:asciiTheme="majorHAnsi" w:hAnsiTheme="majorHAnsi" w:cstheme="majorHAnsi"/>
        </w:rPr>
        <w:fldChar w:fldCharType="end"/>
      </w:r>
      <w:r w:rsidRPr="00355E72">
        <w:rPr>
          <w:rFonts w:asciiTheme="majorHAnsi" w:hAnsiTheme="majorHAnsi" w:cstheme="majorHAnsi"/>
        </w:rPr>
        <w:t>.</w:t>
      </w:r>
      <w:r>
        <w:rPr>
          <w:rFonts w:asciiTheme="majorHAnsi" w:hAnsiTheme="majorHAnsi" w:cstheme="majorHAnsi"/>
        </w:rPr>
        <w:t xml:space="preserve"> </w:t>
      </w:r>
      <w:r>
        <w:t>To</w:t>
      </w:r>
      <w:r w:rsidRPr="00525DFA">
        <w:t xml:space="preserve"> drive innovation and commercialisation within Australian SMEs</w:t>
      </w:r>
      <w:r>
        <w:t>,</w:t>
      </w:r>
      <w:r w:rsidRPr="00525DFA">
        <w:t xml:space="preserve"> and to change the nature of </w:t>
      </w:r>
      <w:r>
        <w:t>Australian G</w:t>
      </w:r>
      <w:r w:rsidRPr="00525DFA">
        <w:t>overnment procurement through procuring innovative solutions.</w:t>
      </w:r>
    </w:p>
    <w:p w14:paraId="02671372" w14:textId="77777777" w:rsidR="00A76FDD" w:rsidRPr="00AA1AA8" w:rsidRDefault="00A76FDD" w:rsidP="00A76FDD">
      <w:pPr>
        <w:pStyle w:val="Bullet"/>
        <w:pBdr>
          <w:top w:val="single" w:sz="12" w:space="1" w:color="00264D" w:themeColor="background2"/>
          <w:bottom w:val="single" w:sz="12" w:space="1" w:color="00264D" w:themeColor="background2"/>
        </w:pBdr>
        <w:shd w:val="clear" w:color="auto" w:fill="E6E6E1" w:themeFill="accent5"/>
        <w:rPr>
          <w:rFonts w:asciiTheme="majorHAnsi" w:hAnsiTheme="majorHAnsi" w:cstheme="majorHAnsi"/>
        </w:rPr>
      </w:pPr>
      <w:r w:rsidRPr="0096726B">
        <w:rPr>
          <w:rFonts w:asciiTheme="majorHAnsi" w:hAnsiTheme="majorHAnsi" w:cstheme="majorHAnsi"/>
        </w:rPr>
        <w:fldChar w:fldCharType="begin"/>
      </w:r>
      <w:r w:rsidRPr="0096726B">
        <w:rPr>
          <w:rFonts w:asciiTheme="majorHAnsi" w:hAnsiTheme="majorHAnsi" w:cstheme="majorHAnsi"/>
        </w:rPr>
        <w:instrText xml:space="preserve"> REF _Ref75964120 \h </w:instrText>
      </w:r>
      <w:r>
        <w:rPr>
          <w:rFonts w:asciiTheme="majorHAnsi" w:hAnsiTheme="majorHAnsi" w:cstheme="majorHAnsi"/>
        </w:rPr>
        <w:instrText xml:space="preserve"> \* MERGEFORMAT </w:instrText>
      </w:r>
      <w:r w:rsidRPr="0096726B">
        <w:rPr>
          <w:rFonts w:asciiTheme="majorHAnsi" w:hAnsiTheme="majorHAnsi" w:cstheme="majorHAnsi"/>
        </w:rPr>
      </w:r>
      <w:r w:rsidRPr="0096726B">
        <w:rPr>
          <w:rFonts w:asciiTheme="majorHAnsi" w:hAnsiTheme="majorHAnsi" w:cstheme="majorHAnsi"/>
        </w:rPr>
        <w:fldChar w:fldCharType="separate"/>
      </w:r>
      <w:r w:rsidRPr="00AE607F">
        <w:rPr>
          <w:rFonts w:asciiTheme="majorHAnsi" w:hAnsiTheme="majorHAnsi" w:cstheme="majorHAnsi"/>
        </w:rPr>
        <w:t>The BRII has experienced some variance in applications and funding dispersed across the first three rounds</w:t>
      </w:r>
      <w:r w:rsidRPr="0096726B">
        <w:rPr>
          <w:rFonts w:asciiTheme="majorHAnsi" w:hAnsiTheme="majorHAnsi" w:cstheme="majorHAnsi"/>
        </w:rPr>
        <w:fldChar w:fldCharType="end"/>
      </w:r>
      <w:r>
        <w:rPr>
          <w:rFonts w:asciiTheme="majorHAnsi" w:hAnsiTheme="majorHAnsi" w:cstheme="majorHAnsi"/>
        </w:rPr>
        <w:t xml:space="preserve">. </w:t>
      </w:r>
      <w:r>
        <w:t>R</w:t>
      </w:r>
      <w:r w:rsidRPr="00664F49">
        <w:t xml:space="preserve">ound </w:t>
      </w:r>
      <w:r>
        <w:t>three</w:t>
      </w:r>
      <w:r w:rsidRPr="00664F49">
        <w:t xml:space="preserve"> attracted significantly more applicants than rounds </w:t>
      </w:r>
      <w:r>
        <w:t>one</w:t>
      </w:r>
      <w:r w:rsidRPr="00664F49">
        <w:t xml:space="preserve"> and </w:t>
      </w:r>
      <w:r>
        <w:t>two</w:t>
      </w:r>
      <w:r w:rsidRPr="00664F49">
        <w:t>.</w:t>
      </w:r>
      <w:r>
        <w:t xml:space="preserve"> This was most likely the result of the focused nature of round three as a priority sector round compared with rounds one and two. </w:t>
      </w:r>
      <w:r w:rsidRPr="00664F49">
        <w:t xml:space="preserve">Meanwhile, rounds </w:t>
      </w:r>
      <w:r>
        <w:t>one</w:t>
      </w:r>
      <w:r w:rsidRPr="00664F49">
        <w:t xml:space="preserve"> and </w:t>
      </w:r>
      <w:r>
        <w:t>three</w:t>
      </w:r>
      <w:r w:rsidRPr="00664F49">
        <w:t xml:space="preserve"> involved five and eight more feasibility SMEs than round </w:t>
      </w:r>
      <w:r>
        <w:t>two</w:t>
      </w:r>
      <w:r w:rsidRPr="00664F49">
        <w:t>, respectively.</w:t>
      </w:r>
      <w:r>
        <w:t xml:space="preserve"> The lower number of feasibility SMEs in round two resulted from two round two challenges that had a low number of successful feasibility applicants. Both challenges also did not progress to the proof of concept round. Stakeholders attributed this to poor challenge design.</w:t>
      </w:r>
    </w:p>
    <w:p w14:paraId="4761B00A" w14:textId="77777777" w:rsidR="00A76FDD" w:rsidRPr="00355E72" w:rsidRDefault="00A76FDD" w:rsidP="00A76FDD">
      <w:pPr>
        <w:pStyle w:val="Bullet"/>
        <w:pBdr>
          <w:top w:val="single" w:sz="12" w:space="1" w:color="00264D" w:themeColor="background2"/>
          <w:bottom w:val="single" w:sz="12" w:space="1" w:color="00264D" w:themeColor="background2"/>
        </w:pBdr>
        <w:shd w:val="clear" w:color="auto" w:fill="E6E6E1" w:themeFill="accent5"/>
        <w:rPr>
          <w:rFonts w:asciiTheme="majorHAnsi" w:hAnsiTheme="majorHAnsi" w:cstheme="majorHAnsi"/>
        </w:rPr>
      </w:pPr>
      <w:r w:rsidRPr="00BA69F0">
        <w:rPr>
          <w:rFonts w:asciiTheme="majorHAnsi" w:hAnsiTheme="majorHAnsi" w:cstheme="majorHAnsi"/>
        </w:rPr>
        <w:fldChar w:fldCharType="begin"/>
      </w:r>
      <w:r w:rsidRPr="00BA69F0">
        <w:rPr>
          <w:rFonts w:asciiTheme="majorHAnsi" w:hAnsiTheme="majorHAnsi" w:cstheme="majorHAnsi"/>
        </w:rPr>
        <w:instrText xml:space="preserve"> REF _Ref77663118 \h </w:instrText>
      </w:r>
      <w:r>
        <w:rPr>
          <w:rFonts w:asciiTheme="majorHAnsi" w:hAnsiTheme="majorHAnsi" w:cstheme="majorHAnsi"/>
        </w:rPr>
        <w:instrText xml:space="preserve"> \* MERGEFORMAT </w:instrText>
      </w:r>
      <w:r w:rsidRPr="00BA69F0">
        <w:rPr>
          <w:rFonts w:asciiTheme="majorHAnsi" w:hAnsiTheme="majorHAnsi" w:cstheme="majorHAnsi"/>
        </w:rPr>
      </w:r>
      <w:r w:rsidRPr="00BA69F0">
        <w:rPr>
          <w:rFonts w:asciiTheme="majorHAnsi" w:hAnsiTheme="majorHAnsi" w:cstheme="majorHAnsi"/>
        </w:rPr>
        <w:fldChar w:fldCharType="separate"/>
      </w:r>
      <w:r w:rsidRPr="00AE607F">
        <w:rPr>
          <w:rFonts w:asciiTheme="majorHAnsi" w:hAnsiTheme="majorHAnsi" w:cstheme="majorHAnsi"/>
        </w:rPr>
        <w:t>The BRII has attracted a range of SMEs with different characteristics</w:t>
      </w:r>
      <w:r w:rsidRPr="00BA69F0">
        <w:rPr>
          <w:rFonts w:asciiTheme="majorHAnsi" w:hAnsiTheme="majorHAnsi" w:cstheme="majorHAnsi"/>
        </w:rPr>
        <w:fldChar w:fldCharType="end"/>
      </w:r>
      <w:r w:rsidRPr="00355E72">
        <w:rPr>
          <w:rFonts w:asciiTheme="majorHAnsi" w:hAnsiTheme="majorHAnsi" w:cstheme="majorHAnsi"/>
        </w:rPr>
        <w:t>.</w:t>
      </w:r>
      <w:r>
        <w:rPr>
          <w:rFonts w:asciiTheme="majorHAnsi" w:hAnsiTheme="majorHAnsi" w:cstheme="majorHAnsi"/>
        </w:rPr>
        <w:t xml:space="preserve"> </w:t>
      </w:r>
      <w:r w:rsidRPr="00EF04B0">
        <w:t>Many applicant SMEs were small and young. Over 55 per</w:t>
      </w:r>
      <w:r>
        <w:t xml:space="preserve"> </w:t>
      </w:r>
      <w:r w:rsidRPr="00EF04B0">
        <w:t xml:space="preserve">cent of applicants were </w:t>
      </w:r>
      <w:r>
        <w:t>start-up</w:t>
      </w:r>
      <w:r w:rsidRPr="00EF04B0">
        <w:t>s or young firms. Almost 50 per</w:t>
      </w:r>
      <w:r>
        <w:t xml:space="preserve"> </w:t>
      </w:r>
      <w:r w:rsidRPr="00EF04B0">
        <w:t xml:space="preserve">cent had four of fewer employees. </w:t>
      </w:r>
      <w:r>
        <w:t>Approximately 20 per cent of</w:t>
      </w:r>
      <w:r w:rsidRPr="00EF04B0">
        <w:t xml:space="preserve"> applications </w:t>
      </w:r>
      <w:r>
        <w:t xml:space="preserve">(117) were </w:t>
      </w:r>
      <w:r w:rsidRPr="00EF04B0">
        <w:t>from businesses that formed specifically for the program.</w:t>
      </w:r>
      <w:r>
        <w:t xml:space="preserve"> A similar percentage (17 per cent) of new firms made up the total number of SMEs that won feasibility grants.</w:t>
      </w:r>
    </w:p>
    <w:p w14:paraId="5D971C8E" w14:textId="09AB4F3F" w:rsidR="00A76FDD" w:rsidRDefault="00A76FDD" w:rsidP="00A76FDD">
      <w:pPr>
        <w:pBdr>
          <w:top w:val="single" w:sz="12" w:space="1" w:color="00264D" w:themeColor="background2"/>
          <w:bottom w:val="single" w:sz="12" w:space="1" w:color="00264D" w:themeColor="background2"/>
        </w:pBdr>
        <w:shd w:val="clear" w:color="auto" w:fill="E6E6E1" w:themeFill="accent5"/>
        <w:rPr>
          <w:b/>
          <w:noProof/>
        </w:rPr>
      </w:pPr>
      <w:r w:rsidRPr="00355E72">
        <w:rPr>
          <w:rFonts w:asciiTheme="majorHAnsi" w:hAnsiTheme="majorHAnsi" w:cstheme="majorHAnsi"/>
        </w:rPr>
        <w:fldChar w:fldCharType="begin"/>
      </w:r>
      <w:r>
        <w:instrText xml:space="preserve"> REF _Ref75266261 \h  \* MERGEFORMAT </w:instrText>
      </w:r>
      <w:r w:rsidRPr="00355E72">
        <w:rPr>
          <w:rFonts w:asciiTheme="majorHAnsi" w:hAnsiTheme="majorHAnsi" w:cstheme="majorHAnsi"/>
        </w:rPr>
      </w:r>
      <w:r w:rsidRPr="00355E72">
        <w:rPr>
          <w:rFonts w:asciiTheme="majorHAnsi" w:hAnsiTheme="majorHAnsi" w:cstheme="majorHAnsi"/>
        </w:rPr>
        <w:fldChar w:fldCharType="separate"/>
      </w:r>
      <w:r w:rsidRPr="00AE607F">
        <w:rPr>
          <w:rFonts w:asciiTheme="majorHAnsi" w:hAnsiTheme="majorHAnsi" w:cstheme="majorHAnsi"/>
        </w:rPr>
        <w:t>The BRII has partnered with many diverse agencies on a range of difficult problems</w:t>
      </w:r>
      <w:r w:rsidRPr="00355E72">
        <w:rPr>
          <w:rFonts w:asciiTheme="majorHAnsi" w:hAnsiTheme="majorHAnsi" w:cstheme="majorHAnsi"/>
        </w:rPr>
        <w:fldChar w:fldCharType="end"/>
      </w:r>
      <w:r w:rsidRPr="00355E72">
        <w:rPr>
          <w:rFonts w:asciiTheme="majorHAnsi" w:hAnsiTheme="majorHAnsi" w:cstheme="majorHAnsi"/>
        </w:rPr>
        <w:t>.</w:t>
      </w:r>
      <w:r>
        <w:rPr>
          <w:rFonts w:asciiTheme="majorHAnsi" w:hAnsiTheme="majorHAnsi" w:cstheme="majorHAnsi"/>
        </w:rPr>
        <w:t xml:space="preserve"> </w:t>
      </w:r>
      <w:r w:rsidRPr="00F8488E">
        <w:t>The BRII has attracted agencies with challenges across energy, agriculture and environment, tourism, data and digital, human services and information management. Overall, 14 government agencies have participated in the BRII. There has been a good spread of challenges across policy, operational, regulatory and specialist agencies, and Commonwealth corporate entities. The diverse spread of agencies is reflected in the fact that only one of the 14 challenge agencies has been involved in multiple rounds.</w:t>
      </w:r>
    </w:p>
    <w:p w14:paraId="176FFADD" w14:textId="77777777" w:rsidR="00A76FDD" w:rsidRDefault="00A76FDD" w:rsidP="000170D6">
      <w:pPr>
        <w:rPr>
          <w:b/>
          <w:noProof/>
        </w:rPr>
      </w:pPr>
    </w:p>
    <w:p w14:paraId="3049403F" w14:textId="2B97DF6D" w:rsidR="00936DC8" w:rsidRDefault="00936DC8">
      <w:pPr>
        <w:pStyle w:val="Heading2"/>
      </w:pPr>
      <w:bookmarkStart w:id="32" w:name="_Ref75266249"/>
      <w:bookmarkStart w:id="33" w:name="_Ref79397768"/>
      <w:bookmarkStart w:id="34" w:name="_Toc124435145"/>
      <w:r>
        <w:t>The BRII was designed to achieve two complementary objectives</w:t>
      </w:r>
      <w:bookmarkEnd w:id="32"/>
      <w:bookmarkEnd w:id="33"/>
      <w:bookmarkEnd w:id="34"/>
    </w:p>
    <w:p w14:paraId="39BB8D7D" w14:textId="3E02543B" w:rsidR="00FC7AE4" w:rsidRDefault="00B16F20" w:rsidP="00FC7AE4">
      <w:pPr>
        <w:rPr>
          <w:lang w:eastAsia="en-AU"/>
        </w:rPr>
      </w:pPr>
      <w:r w:rsidRPr="00B16F20">
        <w:rPr>
          <w:lang w:eastAsia="en-AU"/>
        </w:rPr>
        <w:t>The BRII pilot was announced in December 2015 as part of the ‘Government as Exemplar’ pillar of the NISA. Since then, the BRII has completed two full cycles</w:t>
      </w:r>
      <w:r w:rsidR="00B135E3">
        <w:rPr>
          <w:lang w:eastAsia="en-AU"/>
        </w:rPr>
        <w:t xml:space="preserve"> and </w:t>
      </w:r>
      <w:r w:rsidRPr="00B16F20">
        <w:rPr>
          <w:lang w:eastAsia="en-AU"/>
        </w:rPr>
        <w:t>reached the proof of concept phase in a third</w:t>
      </w:r>
      <w:r w:rsidR="00B135E3">
        <w:rPr>
          <w:lang w:eastAsia="en-AU"/>
        </w:rPr>
        <w:t xml:space="preserve">. DISER also </w:t>
      </w:r>
      <w:r w:rsidRPr="00B16F20">
        <w:rPr>
          <w:lang w:eastAsia="en-AU"/>
        </w:rPr>
        <w:t>recently launched a fourth round</w:t>
      </w:r>
      <w:r w:rsidR="0084190E">
        <w:rPr>
          <w:lang w:eastAsia="en-AU"/>
        </w:rPr>
        <w:t>, which was outside the scope of this evaluation</w:t>
      </w:r>
      <w:r w:rsidRPr="00B16F20">
        <w:rPr>
          <w:lang w:eastAsia="en-AU"/>
        </w:rPr>
        <w:t>.</w:t>
      </w:r>
    </w:p>
    <w:p w14:paraId="6E57C14E" w14:textId="1C34E6FE" w:rsidR="00B16F20" w:rsidRDefault="00B16F20" w:rsidP="00B16F20">
      <w:pPr>
        <w:rPr>
          <w:lang w:eastAsia="en-AU"/>
        </w:rPr>
      </w:pPr>
      <w:r w:rsidRPr="00B16F20">
        <w:rPr>
          <w:lang w:eastAsia="en-AU"/>
        </w:rPr>
        <w:lastRenderedPageBreak/>
        <w:t xml:space="preserve">The BRII aims to help Australian Government agencies find novel solutions to otherwise intractable public policy and service delivery problems and to foster innovation among SMEs. </w:t>
      </w:r>
      <w:r w:rsidR="0076211F">
        <w:rPr>
          <w:lang w:eastAsia="en-AU"/>
        </w:rPr>
        <w:t xml:space="preserve">Underneath each objective are specific outcomes for SMEs and Government (see </w:t>
      </w:r>
      <w:r w:rsidR="00B352A2">
        <w:rPr>
          <w:lang w:eastAsia="en-AU"/>
        </w:rPr>
        <w:fldChar w:fldCharType="begin"/>
      </w:r>
      <w:r w:rsidR="00B352A2">
        <w:rPr>
          <w:lang w:eastAsia="en-AU"/>
        </w:rPr>
        <w:instrText xml:space="preserve"> REF _Ref79164178 \h </w:instrText>
      </w:r>
      <w:r w:rsidR="00B352A2">
        <w:rPr>
          <w:lang w:eastAsia="en-AU"/>
        </w:rPr>
      </w:r>
      <w:r w:rsidR="00B352A2">
        <w:rPr>
          <w:lang w:eastAsia="en-AU"/>
        </w:rPr>
        <w:fldChar w:fldCharType="separate"/>
      </w:r>
      <w:r w:rsidR="00AE607F">
        <w:t xml:space="preserve">Figure </w:t>
      </w:r>
      <w:r w:rsidR="00AE607F">
        <w:rPr>
          <w:noProof/>
        </w:rPr>
        <w:t>6</w:t>
      </w:r>
      <w:r w:rsidR="00B352A2">
        <w:rPr>
          <w:lang w:eastAsia="en-AU"/>
        </w:rPr>
        <w:fldChar w:fldCharType="end"/>
      </w:r>
      <w:r w:rsidR="00B352A2">
        <w:rPr>
          <w:lang w:eastAsia="en-AU"/>
        </w:rPr>
        <w:t>).</w:t>
      </w:r>
    </w:p>
    <w:p w14:paraId="19FC760E" w14:textId="16B113FC" w:rsidR="000C0E1D" w:rsidRPr="00B16F20" w:rsidRDefault="000C0E1D" w:rsidP="000C0E1D">
      <w:pPr>
        <w:pStyle w:val="Caption"/>
        <w:rPr>
          <w:lang w:eastAsia="en-AU"/>
        </w:rPr>
      </w:pPr>
      <w:bookmarkStart w:id="35" w:name="_Ref79164178"/>
      <w:r>
        <w:t xml:space="preserve">Figure </w:t>
      </w:r>
      <w:r>
        <w:fldChar w:fldCharType="begin"/>
      </w:r>
      <w:r>
        <w:instrText xml:space="preserve"> SEQ Figure \* ARABIC </w:instrText>
      </w:r>
      <w:r>
        <w:fldChar w:fldCharType="separate"/>
      </w:r>
      <w:r w:rsidR="00870ADB">
        <w:rPr>
          <w:noProof/>
        </w:rPr>
        <w:t>7</w:t>
      </w:r>
      <w:r>
        <w:fldChar w:fldCharType="end"/>
      </w:r>
      <w:bookmarkEnd w:id="35"/>
      <w:r>
        <w:t xml:space="preserve"> | </w:t>
      </w:r>
      <w:r w:rsidR="00B90642">
        <w:t xml:space="preserve">The </w:t>
      </w:r>
      <w:r>
        <w:t>BRII's dual objective</w:t>
      </w:r>
      <w:r w:rsidR="0084190E">
        <w:t>s</w:t>
      </w:r>
    </w:p>
    <w:p w14:paraId="61C7D358" w14:textId="24307686" w:rsidR="00CF7A5C" w:rsidRDefault="00433DE8" w:rsidP="00CF7A5C">
      <w:pPr>
        <w:rPr>
          <w:lang w:eastAsia="en-AU"/>
        </w:rPr>
      </w:pPr>
      <w:r w:rsidRPr="00433DE8">
        <w:rPr>
          <w:noProof/>
          <w:lang w:eastAsia="en-AU"/>
        </w:rPr>
        <w:drawing>
          <wp:inline distT="0" distB="0" distL="0" distR="0" wp14:anchorId="693805B4" wp14:editId="3070D638">
            <wp:extent cx="5670550" cy="3120390"/>
            <wp:effectExtent l="0" t="0" r="6350" b="3810"/>
            <wp:docPr id="27865" name="Picture 27865" descr="Objectives. Objective one. Drive innovation and commercialisation within Australian SMEs. Objective one intended SME outcomes. 1. Stimulate the innovative capacity of SMEs.&#10;2. Improve business capability to access national and international markets. 3. Develop SMEs confidence and awareness when working with government as a possible customer.&#10;Objective 2 Change the nature &#10;of government procurement through sourcing innovative solutions. Objective 2 intended Government outcomes. 1. Stimulate the innovative capacity of Australian Government agencies.&#10;2. Encourage Australian Government agencies to participate in sourcing innovative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5" name="Picture 27865" descr="Objectives. Objective one. Drive innovation and commercialisation within Australian SMEs. Objective one intended SME outcomes. 1. Stimulate the innovative capacity of SMEs.&#10;2. Improve business capability to access national and international markets. 3. Develop SMEs confidence and awareness when working with government as a possible customer.&#10;Objective 2 Change the nature &#10;of government procurement through sourcing innovative solutions. Objective 2 intended Government outcomes. 1. Stimulate the innovative capacity of Australian Government agencies.&#10;2. Encourage Australian Government agencies to participate in sourcing innovative solution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70550" cy="3120390"/>
                    </a:xfrm>
                    <a:prstGeom prst="rect">
                      <a:avLst/>
                    </a:prstGeom>
                    <a:noFill/>
                    <a:ln>
                      <a:noFill/>
                    </a:ln>
                  </pic:spPr>
                </pic:pic>
              </a:graphicData>
            </a:graphic>
          </wp:inline>
        </w:drawing>
      </w:r>
    </w:p>
    <w:p w14:paraId="72A68DCB" w14:textId="77C6E889" w:rsidR="00823537" w:rsidRDefault="00823537" w:rsidP="00823537">
      <w:pPr>
        <w:pStyle w:val="Source"/>
      </w:pPr>
      <w:r>
        <w:t>Source: BRII Program Logic 2018, BRII New Policy Proposal</w:t>
      </w:r>
    </w:p>
    <w:p w14:paraId="07FCB883" w14:textId="1036A3A4" w:rsidR="00E57D93" w:rsidRDefault="00E57D93">
      <w:pPr>
        <w:pStyle w:val="Heading2"/>
      </w:pPr>
      <w:bookmarkStart w:id="36" w:name="_Ref75964120"/>
      <w:bookmarkStart w:id="37" w:name="_Toc124435146"/>
      <w:bookmarkStart w:id="38" w:name="_Ref75266252"/>
      <w:r>
        <w:t xml:space="preserve">The BRII has experienced some variance in applications and funding dispersed across </w:t>
      </w:r>
      <w:r w:rsidR="00724BB8">
        <w:t xml:space="preserve">the first three </w:t>
      </w:r>
      <w:r>
        <w:t>round</w:t>
      </w:r>
      <w:r w:rsidR="00455833">
        <w:t>s</w:t>
      </w:r>
      <w:bookmarkEnd w:id="36"/>
      <w:bookmarkEnd w:id="37"/>
    </w:p>
    <w:bookmarkEnd w:id="38"/>
    <w:p w14:paraId="4B482A5E" w14:textId="6CE384A6" w:rsidR="00E57D93" w:rsidRDefault="00B27C30" w:rsidP="00E57D93">
      <w:pPr>
        <w:rPr>
          <w:lang w:eastAsia="en-AU"/>
        </w:rPr>
      </w:pPr>
      <w:r>
        <w:rPr>
          <w:lang w:eastAsia="en-AU"/>
        </w:rPr>
        <w:t>T</w:t>
      </w:r>
      <w:r w:rsidR="00E57D93" w:rsidRPr="00E57D93">
        <w:rPr>
          <w:lang w:eastAsia="en-AU"/>
        </w:rPr>
        <w:t>he BRII has given $20.4</w:t>
      </w:r>
      <w:r w:rsidR="00F04833">
        <w:rPr>
          <w:lang w:eastAsia="en-AU"/>
        </w:rPr>
        <w:t xml:space="preserve"> million</w:t>
      </w:r>
      <w:r w:rsidR="00E57D93" w:rsidRPr="00E57D93">
        <w:rPr>
          <w:lang w:eastAsia="en-AU"/>
        </w:rPr>
        <w:t xml:space="preserve"> to 58 SMEs </w:t>
      </w:r>
      <w:r>
        <w:rPr>
          <w:lang w:eastAsia="en-AU"/>
        </w:rPr>
        <w:t xml:space="preserve">to solve </w:t>
      </w:r>
      <w:r w:rsidR="00E57D93" w:rsidRPr="00E57D93">
        <w:rPr>
          <w:lang w:eastAsia="en-AU"/>
        </w:rPr>
        <w:t>15 challenges</w:t>
      </w:r>
      <w:r>
        <w:rPr>
          <w:lang w:eastAsia="en-AU"/>
        </w:rPr>
        <w:t xml:space="preserve"> across the first three rounds of the BRII</w:t>
      </w:r>
      <w:r w:rsidR="00E57D93" w:rsidRPr="00E57D93">
        <w:rPr>
          <w:lang w:eastAsia="en-AU"/>
        </w:rPr>
        <w:t>. This funding has been distributed across a diverse group of agencies and SME’s, with very few SMEs in the program (see</w:t>
      </w:r>
      <w:r w:rsidR="00E57D93">
        <w:rPr>
          <w:lang w:eastAsia="en-AU"/>
        </w:rPr>
        <w:t xml:space="preserve"> </w:t>
      </w:r>
      <w:r w:rsidR="00C452DD">
        <w:rPr>
          <w:lang w:eastAsia="en-AU"/>
        </w:rPr>
        <w:fldChar w:fldCharType="begin"/>
      </w:r>
      <w:r w:rsidR="00C452DD">
        <w:rPr>
          <w:lang w:eastAsia="en-AU"/>
        </w:rPr>
        <w:instrText xml:space="preserve"> REF _Ref75383461 \h </w:instrText>
      </w:r>
      <w:r w:rsidR="00C452DD">
        <w:rPr>
          <w:lang w:eastAsia="en-AU"/>
        </w:rPr>
      </w:r>
      <w:r w:rsidR="00C452DD">
        <w:rPr>
          <w:lang w:eastAsia="en-AU"/>
        </w:rPr>
        <w:fldChar w:fldCharType="separate"/>
      </w:r>
      <w:r w:rsidR="00AE607F">
        <w:t xml:space="preserve">Figure </w:t>
      </w:r>
      <w:r w:rsidR="00AE607F">
        <w:rPr>
          <w:noProof/>
        </w:rPr>
        <w:t>7</w:t>
      </w:r>
      <w:r w:rsidR="00C452DD">
        <w:rPr>
          <w:lang w:eastAsia="en-AU"/>
        </w:rPr>
        <w:fldChar w:fldCharType="end"/>
      </w:r>
      <w:r w:rsidR="00E57D93" w:rsidRPr="00E57D93">
        <w:rPr>
          <w:lang w:eastAsia="en-AU"/>
        </w:rPr>
        <w:t>).</w:t>
      </w:r>
      <w:r w:rsidR="00681E2B">
        <w:rPr>
          <w:lang w:eastAsia="en-AU"/>
        </w:rPr>
        <w:t xml:space="preserve"> Repeat challenge agencies </w:t>
      </w:r>
      <w:r w:rsidR="00DE1DD3">
        <w:rPr>
          <w:lang w:eastAsia="en-AU"/>
        </w:rPr>
        <w:t>were also</w:t>
      </w:r>
      <w:r w:rsidR="00681E2B">
        <w:rPr>
          <w:lang w:eastAsia="en-AU"/>
        </w:rPr>
        <w:t xml:space="preserve"> scarce, </w:t>
      </w:r>
      <w:r w:rsidR="00DE1DD3">
        <w:rPr>
          <w:lang w:eastAsia="en-AU"/>
        </w:rPr>
        <w:t>even though</w:t>
      </w:r>
      <w:r w:rsidR="00681E2B">
        <w:rPr>
          <w:lang w:eastAsia="en-AU"/>
        </w:rPr>
        <w:t xml:space="preserve"> there were many repeat applicants. </w:t>
      </w:r>
    </w:p>
    <w:p w14:paraId="7AD9AF68" w14:textId="7E997CD4" w:rsidR="000C0E1D" w:rsidRPr="001D67C6" w:rsidRDefault="000C0E1D" w:rsidP="000C0E1D">
      <w:pPr>
        <w:pStyle w:val="Caption"/>
      </w:pPr>
      <w:bookmarkStart w:id="39" w:name="_Ref75383461"/>
      <w:r>
        <w:t xml:space="preserve">Figure </w:t>
      </w:r>
      <w:r>
        <w:fldChar w:fldCharType="begin"/>
      </w:r>
      <w:r>
        <w:instrText xml:space="preserve"> SEQ Figure \* ARABIC </w:instrText>
      </w:r>
      <w:r>
        <w:fldChar w:fldCharType="separate"/>
      </w:r>
      <w:r w:rsidR="00870ADB">
        <w:rPr>
          <w:noProof/>
        </w:rPr>
        <w:t>8</w:t>
      </w:r>
      <w:r>
        <w:fldChar w:fldCharType="end"/>
      </w:r>
      <w:bookmarkEnd w:id="39"/>
      <w:r>
        <w:t xml:space="preserve"> | Summary of BRII to date</w:t>
      </w:r>
      <w:r w:rsidR="004C668F">
        <w:rPr>
          <w:rStyle w:val="FootnoteReference"/>
        </w:rPr>
        <w:footnoteReference w:id="19"/>
      </w:r>
      <w:r>
        <w:t xml:space="preserve"> </w:t>
      </w:r>
    </w:p>
    <w:p w14:paraId="579A9D84" w14:textId="1B66D210" w:rsidR="00936DC8" w:rsidRDefault="00CF7A5C" w:rsidP="00936DC8">
      <w:pPr>
        <w:rPr>
          <w:lang w:eastAsia="en-AU"/>
        </w:rPr>
      </w:pPr>
      <w:r w:rsidRPr="00CF7A5C">
        <w:rPr>
          <w:noProof/>
          <w:lang w:eastAsia="en-AU"/>
        </w:rPr>
        <w:drawing>
          <wp:inline distT="0" distB="0" distL="0" distR="0" wp14:anchorId="2858138C" wp14:editId="5A48CF8F">
            <wp:extent cx="5670550" cy="765810"/>
            <wp:effectExtent l="0" t="0" r="6350" b="0"/>
            <wp:docPr id="41" name="Picture 41" descr="20.4 million dollars of funding awarded. fifteen challenges. fourteen agencies. fifty eight feasibility study SMEs. Fifteen proof of concept S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20.4 million dollars of funding awarded. fifteen challenges. fourteen agencies. fifty eight feasibility study SMEs. Fifteen proof of concept SM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70550" cy="765810"/>
                    </a:xfrm>
                    <a:prstGeom prst="rect">
                      <a:avLst/>
                    </a:prstGeom>
                    <a:noFill/>
                    <a:ln>
                      <a:noFill/>
                    </a:ln>
                  </pic:spPr>
                </pic:pic>
              </a:graphicData>
            </a:graphic>
          </wp:inline>
        </w:drawing>
      </w:r>
    </w:p>
    <w:p w14:paraId="25680BFD" w14:textId="610B563C" w:rsidR="00823537" w:rsidRDefault="00823537" w:rsidP="00823537">
      <w:pPr>
        <w:pStyle w:val="Source"/>
      </w:pPr>
      <w:r>
        <w:t>Source: BRII administrative data</w:t>
      </w:r>
    </w:p>
    <w:p w14:paraId="513850BC" w14:textId="79AB16B7" w:rsidR="00075E70" w:rsidRDefault="00075E70" w:rsidP="00936DC8">
      <w:pPr>
        <w:rPr>
          <w:lang w:eastAsia="en-AU"/>
        </w:rPr>
      </w:pPr>
      <w:r w:rsidRPr="00075E70">
        <w:rPr>
          <w:lang w:eastAsia="en-AU"/>
        </w:rPr>
        <w:t xml:space="preserve">Across the first three rounds there has been considerable variability in challenge applications and SME applications. The </w:t>
      </w:r>
      <w:r w:rsidR="00CB38D2">
        <w:rPr>
          <w:lang w:eastAsia="en-AU"/>
        </w:rPr>
        <w:t xml:space="preserve">variance in </w:t>
      </w:r>
      <w:r w:rsidR="00CB38D2" w:rsidRPr="00075E70">
        <w:rPr>
          <w:lang w:eastAsia="en-AU"/>
        </w:rPr>
        <w:t>challenge applications and</w:t>
      </w:r>
      <w:r w:rsidRPr="00075E70">
        <w:rPr>
          <w:lang w:eastAsia="en-AU"/>
        </w:rPr>
        <w:t xml:space="preserve"> SME applications has impacted the amount of funding the BRII dispersed </w:t>
      </w:r>
      <w:r w:rsidR="004D03C4">
        <w:rPr>
          <w:lang w:eastAsia="en-AU"/>
        </w:rPr>
        <w:t>for each round</w:t>
      </w:r>
      <w:r w:rsidRPr="00075E70">
        <w:rPr>
          <w:lang w:eastAsia="en-AU"/>
        </w:rPr>
        <w:t>. More detail is provided below.</w:t>
      </w:r>
    </w:p>
    <w:p w14:paraId="52957139" w14:textId="473C0425" w:rsidR="00E7464A" w:rsidRPr="00EA4234" w:rsidRDefault="00E7464A" w:rsidP="00EA4234">
      <w:pPr>
        <w:pStyle w:val="Heading3"/>
      </w:pPr>
      <w:r w:rsidRPr="00EA4234">
        <w:lastRenderedPageBreak/>
        <w:t xml:space="preserve">The BRII has received 39 challenge applications from 18 separate </w:t>
      </w:r>
      <w:r w:rsidR="00EE4E84" w:rsidRPr="00EA4234">
        <w:t xml:space="preserve">Australian Government </w:t>
      </w:r>
      <w:r w:rsidRPr="00EA4234">
        <w:t>agencies.</w:t>
      </w:r>
    </w:p>
    <w:p w14:paraId="694ED9B7" w14:textId="4B28E811" w:rsidR="00F6603F" w:rsidRPr="00F6603F" w:rsidRDefault="00F6603F" w:rsidP="00936DC8">
      <w:pPr>
        <w:rPr>
          <w:lang w:eastAsia="en-AU"/>
        </w:rPr>
      </w:pPr>
      <w:r w:rsidRPr="00F6603F">
        <w:rPr>
          <w:lang w:eastAsia="en-AU"/>
        </w:rPr>
        <w:t>Although the number of applicants has stayed steady, the number of challenge applications have varied considerably</w:t>
      </w:r>
      <w:r w:rsidR="00B70688">
        <w:rPr>
          <w:lang w:eastAsia="en-AU"/>
        </w:rPr>
        <w:t xml:space="preserve"> (see </w:t>
      </w:r>
      <w:r w:rsidR="00B70688">
        <w:rPr>
          <w:lang w:eastAsia="en-AU"/>
        </w:rPr>
        <w:fldChar w:fldCharType="begin"/>
      </w:r>
      <w:r w:rsidR="00B70688">
        <w:rPr>
          <w:lang w:eastAsia="en-AU"/>
        </w:rPr>
        <w:instrText xml:space="preserve"> REF _Ref79504903 \h </w:instrText>
      </w:r>
      <w:r w:rsidR="00B70688">
        <w:rPr>
          <w:lang w:eastAsia="en-AU"/>
        </w:rPr>
      </w:r>
      <w:r w:rsidR="00B70688">
        <w:rPr>
          <w:lang w:eastAsia="en-AU"/>
        </w:rPr>
        <w:fldChar w:fldCharType="separate"/>
      </w:r>
      <w:r w:rsidR="00AE607F">
        <w:t xml:space="preserve">Figure </w:t>
      </w:r>
      <w:r w:rsidR="00AE607F">
        <w:rPr>
          <w:noProof/>
        </w:rPr>
        <w:t>8</w:t>
      </w:r>
      <w:r w:rsidR="00B70688">
        <w:rPr>
          <w:lang w:eastAsia="en-AU"/>
        </w:rPr>
        <w:fldChar w:fldCharType="end"/>
      </w:r>
      <w:r w:rsidR="00B70688">
        <w:rPr>
          <w:lang w:eastAsia="en-AU"/>
        </w:rPr>
        <w:t>)</w:t>
      </w:r>
      <w:r w:rsidRPr="00F6603F">
        <w:rPr>
          <w:lang w:eastAsia="en-AU"/>
        </w:rPr>
        <w:t>.</w:t>
      </w:r>
      <w:r w:rsidR="00347A34">
        <w:rPr>
          <w:lang w:eastAsia="en-AU"/>
        </w:rPr>
        <w:t xml:space="preserve"> </w:t>
      </w:r>
      <w:r w:rsidR="00CD0158">
        <w:t>R</w:t>
      </w:r>
      <w:r w:rsidR="00CD0158" w:rsidRPr="00664F49">
        <w:t xml:space="preserve">ound </w:t>
      </w:r>
      <w:r w:rsidR="00CD0158">
        <w:t>three</w:t>
      </w:r>
      <w:r w:rsidR="00CD0158" w:rsidRPr="00664F49">
        <w:t xml:space="preserve"> </w:t>
      </w:r>
      <w:r w:rsidR="00E67C73">
        <w:t>attracted</w:t>
      </w:r>
      <w:r w:rsidR="00CD0158" w:rsidRPr="00664F49">
        <w:t xml:space="preserve"> significantly more </w:t>
      </w:r>
      <w:r w:rsidR="00E67C73">
        <w:t xml:space="preserve">applications </w:t>
      </w:r>
      <w:r w:rsidR="00CD0158" w:rsidRPr="00664F49">
        <w:t xml:space="preserve">than rounds </w:t>
      </w:r>
      <w:r w:rsidR="00CD0158">
        <w:t>one</w:t>
      </w:r>
      <w:r w:rsidR="00CD0158" w:rsidRPr="00664F49">
        <w:t xml:space="preserve"> and </w:t>
      </w:r>
      <w:r w:rsidR="00CD0158">
        <w:t>two</w:t>
      </w:r>
      <w:r w:rsidR="00CD0158" w:rsidRPr="00664F49">
        <w:t>.</w:t>
      </w:r>
      <w:r w:rsidR="00CD0158">
        <w:t xml:space="preserve"> This was most likely the result of the focused nature of round three as a priority sector round</w:t>
      </w:r>
      <w:r w:rsidR="00CD3CE5">
        <w:t>.</w:t>
      </w:r>
      <w:r w:rsidR="00CD0158">
        <w:t xml:space="preserve"> </w:t>
      </w:r>
    </w:p>
    <w:p w14:paraId="499F2A9E" w14:textId="2777E4EA" w:rsidR="00A65A33" w:rsidRPr="001D67C6" w:rsidRDefault="000B1783" w:rsidP="000B1783">
      <w:pPr>
        <w:pStyle w:val="Caption"/>
      </w:pPr>
      <w:bookmarkStart w:id="40" w:name="_Ref79504903"/>
      <w:r>
        <w:t xml:space="preserve">Figure </w:t>
      </w:r>
      <w:r>
        <w:fldChar w:fldCharType="begin"/>
      </w:r>
      <w:r>
        <w:instrText xml:space="preserve"> SEQ Figure \* ARABIC </w:instrText>
      </w:r>
      <w:r>
        <w:fldChar w:fldCharType="separate"/>
      </w:r>
      <w:r w:rsidR="00870ADB">
        <w:rPr>
          <w:noProof/>
        </w:rPr>
        <w:t>9</w:t>
      </w:r>
      <w:r>
        <w:fldChar w:fldCharType="end"/>
      </w:r>
      <w:bookmarkEnd w:id="40"/>
      <w:r>
        <w:t xml:space="preserve"> | Applications for challenges from agencies by round</w:t>
      </w:r>
      <w:r w:rsidR="00F83615">
        <w:rPr>
          <w:rStyle w:val="FootnoteReference"/>
        </w:rPr>
        <w:footnoteReference w:id="20"/>
      </w:r>
    </w:p>
    <w:p w14:paraId="0839C807" w14:textId="75D95ADD" w:rsidR="00A65A33" w:rsidRDefault="00273F76" w:rsidP="00936DC8">
      <w:pPr>
        <w:rPr>
          <w:lang w:eastAsia="en-AU"/>
        </w:rPr>
      </w:pPr>
      <w:r w:rsidRPr="00273F76">
        <w:rPr>
          <w:noProof/>
          <w:lang w:eastAsia="en-AU"/>
        </w:rPr>
        <w:drawing>
          <wp:inline distT="0" distB="0" distL="0" distR="0" wp14:anchorId="0C0D9E94" wp14:editId="67BE449E">
            <wp:extent cx="5670550" cy="1836420"/>
            <wp:effectExtent l="0" t="0" r="6350" b="0"/>
            <wp:docPr id="10" name="Picture 10" descr="Round 1. Thirteen total challenge applications. 9 agency applicants. 5 final BRII challenges. Round 2. 9 total challenge applications. 7 agency applicants. 5 final BRII challenges. Round 3. Seventeen total challenge applicants. 8 agency applicants. 5 final BRII challe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Round 1. Thirteen total challenge applications. 9 agency applicants. 5 final BRII challenges. Round 2. 9 total challenge applications. 7 agency applicants. 5 final BRII challenges. Round 3. Seventeen total challenge applicants. 8 agency applicants. 5 final BRII challeng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70550" cy="1836420"/>
                    </a:xfrm>
                    <a:prstGeom prst="rect">
                      <a:avLst/>
                    </a:prstGeom>
                    <a:noFill/>
                    <a:ln>
                      <a:noFill/>
                    </a:ln>
                  </pic:spPr>
                </pic:pic>
              </a:graphicData>
            </a:graphic>
          </wp:inline>
        </w:drawing>
      </w:r>
    </w:p>
    <w:p w14:paraId="4CE1D2D2" w14:textId="071C002F" w:rsidR="00823537" w:rsidRDefault="00823537" w:rsidP="00823537">
      <w:pPr>
        <w:pStyle w:val="Source"/>
      </w:pPr>
      <w:r>
        <w:t>Source: BRII administrative data</w:t>
      </w:r>
    </w:p>
    <w:p w14:paraId="5E4C86D3" w14:textId="496BD768" w:rsidR="00A33486" w:rsidRPr="004D03C4" w:rsidRDefault="00A33486" w:rsidP="00EA4234">
      <w:pPr>
        <w:pStyle w:val="Heading3"/>
      </w:pPr>
      <w:r w:rsidRPr="004D03C4">
        <w:t xml:space="preserve">The BRII delivery team has </w:t>
      </w:r>
      <w:r w:rsidRPr="008A79BB">
        <w:t>processed 552 eligible</w:t>
      </w:r>
      <w:r w:rsidRPr="004D03C4">
        <w:t xml:space="preserve"> applicants since the first round.</w:t>
      </w:r>
    </w:p>
    <w:p w14:paraId="774E57A7" w14:textId="57FBB956" w:rsidR="004037DC" w:rsidRDefault="00D4579D" w:rsidP="00936DC8">
      <w:pPr>
        <w:rPr>
          <w:lang w:eastAsia="en-AU"/>
        </w:rPr>
      </w:pPr>
      <w:r w:rsidRPr="00D4579D">
        <w:rPr>
          <w:lang w:eastAsia="en-AU"/>
        </w:rPr>
        <w:t xml:space="preserve">There has been significant variance in applications </w:t>
      </w:r>
      <w:r w:rsidR="00FD1935">
        <w:rPr>
          <w:lang w:eastAsia="en-AU"/>
        </w:rPr>
        <w:t xml:space="preserve">and participating SMEs </w:t>
      </w:r>
      <w:r w:rsidRPr="00D4579D">
        <w:rPr>
          <w:lang w:eastAsia="en-AU"/>
        </w:rPr>
        <w:t>by round</w:t>
      </w:r>
      <w:r w:rsidR="00FD1935">
        <w:rPr>
          <w:lang w:eastAsia="en-AU"/>
        </w:rPr>
        <w:t xml:space="preserve"> (see </w:t>
      </w:r>
      <w:r w:rsidR="00FD1935">
        <w:rPr>
          <w:lang w:eastAsia="en-AU"/>
        </w:rPr>
        <w:fldChar w:fldCharType="begin"/>
      </w:r>
      <w:r w:rsidR="00FD1935">
        <w:rPr>
          <w:lang w:eastAsia="en-AU"/>
        </w:rPr>
        <w:instrText xml:space="preserve"> REF _Ref75509834 \h </w:instrText>
      </w:r>
      <w:r w:rsidR="00FD1935">
        <w:rPr>
          <w:lang w:eastAsia="en-AU"/>
        </w:rPr>
      </w:r>
      <w:r w:rsidR="00FD1935">
        <w:rPr>
          <w:lang w:eastAsia="en-AU"/>
        </w:rPr>
        <w:fldChar w:fldCharType="separate"/>
      </w:r>
      <w:r w:rsidR="00AE607F">
        <w:t xml:space="preserve">Figure </w:t>
      </w:r>
      <w:r w:rsidR="00AE607F">
        <w:rPr>
          <w:noProof/>
        </w:rPr>
        <w:t>9</w:t>
      </w:r>
      <w:r w:rsidR="00FD1935">
        <w:rPr>
          <w:lang w:eastAsia="en-AU"/>
        </w:rPr>
        <w:fldChar w:fldCharType="end"/>
      </w:r>
      <w:r w:rsidR="00FD1935">
        <w:rPr>
          <w:lang w:eastAsia="en-AU"/>
        </w:rPr>
        <w:t>)</w:t>
      </w:r>
      <w:r w:rsidRPr="00D4579D">
        <w:rPr>
          <w:lang w:eastAsia="en-AU"/>
        </w:rPr>
        <w:t xml:space="preserve">. </w:t>
      </w:r>
      <w:r w:rsidR="007B6272">
        <w:rPr>
          <w:lang w:eastAsia="en-AU"/>
        </w:rPr>
        <w:t xml:space="preserve">There was a significant growth in applications in round </w:t>
      </w:r>
      <w:r w:rsidR="00CF4D83">
        <w:rPr>
          <w:lang w:eastAsia="en-AU"/>
        </w:rPr>
        <w:t>three</w:t>
      </w:r>
      <w:r w:rsidR="007B6272">
        <w:rPr>
          <w:lang w:eastAsia="en-AU"/>
        </w:rPr>
        <w:t xml:space="preserve">, largely attributed by stakeholders to a revamped marketing and communications approach. This is discussed in more depth in </w:t>
      </w:r>
      <w:r w:rsidR="000673BF">
        <w:rPr>
          <w:lang w:eastAsia="en-AU"/>
        </w:rPr>
        <w:t>Section</w:t>
      </w:r>
      <w:r w:rsidR="00864284">
        <w:rPr>
          <w:lang w:eastAsia="en-AU"/>
        </w:rPr>
        <w:t xml:space="preserve"> </w:t>
      </w:r>
      <w:r w:rsidR="00D01CDA">
        <w:rPr>
          <w:lang w:eastAsia="en-AU"/>
        </w:rPr>
        <w:fldChar w:fldCharType="begin"/>
      </w:r>
      <w:r w:rsidR="00D01CDA">
        <w:rPr>
          <w:lang w:eastAsia="en-AU"/>
        </w:rPr>
        <w:instrText xml:space="preserve"> REF _Ref76042599 \r \h </w:instrText>
      </w:r>
      <w:r w:rsidR="00D01CDA">
        <w:rPr>
          <w:lang w:eastAsia="en-AU"/>
        </w:rPr>
      </w:r>
      <w:r w:rsidR="00D01CDA">
        <w:rPr>
          <w:lang w:eastAsia="en-AU"/>
        </w:rPr>
        <w:fldChar w:fldCharType="separate"/>
      </w:r>
      <w:r w:rsidR="00AE607F">
        <w:rPr>
          <w:lang w:eastAsia="en-AU"/>
        </w:rPr>
        <w:t>7.2.2</w:t>
      </w:r>
      <w:r w:rsidR="00D01CDA">
        <w:rPr>
          <w:lang w:eastAsia="en-AU"/>
        </w:rPr>
        <w:fldChar w:fldCharType="end"/>
      </w:r>
      <w:r w:rsidR="00D01CDA">
        <w:rPr>
          <w:lang w:eastAsia="en-AU"/>
        </w:rPr>
        <w:t>.</w:t>
      </w:r>
    </w:p>
    <w:p w14:paraId="13858DA5" w14:textId="7F5377BD" w:rsidR="004037DC" w:rsidRDefault="004037DC" w:rsidP="004037DC">
      <w:pPr>
        <w:rPr>
          <w:lang w:eastAsia="en-AU"/>
        </w:rPr>
      </w:pPr>
      <w:r w:rsidRPr="00D4579D">
        <w:rPr>
          <w:lang w:eastAsia="en-AU"/>
        </w:rPr>
        <w:t>A total of 58 SMEs have progressed to the feasibility stage across three round</w:t>
      </w:r>
      <w:r w:rsidR="00587003">
        <w:rPr>
          <w:lang w:eastAsia="en-AU"/>
        </w:rPr>
        <w:t>s</w:t>
      </w:r>
      <w:r>
        <w:rPr>
          <w:lang w:eastAsia="en-AU"/>
        </w:rPr>
        <w:t xml:space="preserve"> and</w:t>
      </w:r>
      <w:r w:rsidRPr="00D4579D">
        <w:rPr>
          <w:lang w:eastAsia="en-AU"/>
        </w:rPr>
        <w:t xml:space="preserve"> 15 SMEs have progressed to the proof of concept stage across two rounds.</w:t>
      </w:r>
      <w:r w:rsidR="00481AC2">
        <w:rPr>
          <w:lang w:eastAsia="en-AU"/>
        </w:rPr>
        <w:t xml:space="preserve"> The lower number of feasibility SMEs in round two is due to two challenges that </w:t>
      </w:r>
      <w:r w:rsidR="00840F62">
        <w:rPr>
          <w:lang w:eastAsia="en-AU"/>
        </w:rPr>
        <w:t>only had two and one successful feasibility application respectively</w:t>
      </w:r>
      <w:r w:rsidR="004E1274">
        <w:rPr>
          <w:lang w:eastAsia="en-AU"/>
        </w:rPr>
        <w:t xml:space="preserve">. These same two challenges did not progress to the </w:t>
      </w:r>
      <w:r w:rsidR="00792E65">
        <w:rPr>
          <w:lang w:eastAsia="en-AU"/>
        </w:rPr>
        <w:t xml:space="preserve">round two </w:t>
      </w:r>
      <w:r w:rsidR="004E1274">
        <w:rPr>
          <w:lang w:eastAsia="en-AU"/>
        </w:rPr>
        <w:t xml:space="preserve">proof of concept stage, which </w:t>
      </w:r>
      <w:r w:rsidR="00792E65">
        <w:rPr>
          <w:lang w:eastAsia="en-AU"/>
        </w:rPr>
        <w:t xml:space="preserve">also </w:t>
      </w:r>
      <w:r w:rsidR="00481AC2">
        <w:rPr>
          <w:lang w:eastAsia="en-AU"/>
        </w:rPr>
        <w:t xml:space="preserve">had </w:t>
      </w:r>
      <w:r w:rsidR="00B57F52">
        <w:rPr>
          <w:lang w:eastAsia="en-AU"/>
        </w:rPr>
        <w:t xml:space="preserve">a smaller number of </w:t>
      </w:r>
      <w:r w:rsidR="00792E65">
        <w:rPr>
          <w:lang w:eastAsia="en-AU"/>
        </w:rPr>
        <w:t>participants than round one.</w:t>
      </w:r>
      <w:r w:rsidR="004434F2">
        <w:rPr>
          <w:lang w:eastAsia="en-AU"/>
        </w:rPr>
        <w:t xml:space="preserve"> Stakeholder</w:t>
      </w:r>
      <w:r w:rsidR="000673BF">
        <w:rPr>
          <w:lang w:eastAsia="en-AU"/>
        </w:rPr>
        <w:t>s</w:t>
      </w:r>
      <w:r w:rsidR="004434F2">
        <w:rPr>
          <w:lang w:eastAsia="en-AU"/>
        </w:rPr>
        <w:t xml:space="preserve"> indicated that this was due to poor challenge design for the two respective challenges.</w:t>
      </w:r>
    </w:p>
    <w:p w14:paraId="4C9F2070" w14:textId="2C85719E" w:rsidR="00322A01" w:rsidRDefault="00EE2B13" w:rsidP="00EE2B13">
      <w:pPr>
        <w:pStyle w:val="Caption"/>
      </w:pPr>
      <w:bookmarkStart w:id="41" w:name="_Ref75509834"/>
      <w:r>
        <w:lastRenderedPageBreak/>
        <w:t xml:space="preserve">Figure </w:t>
      </w:r>
      <w:r>
        <w:fldChar w:fldCharType="begin"/>
      </w:r>
      <w:r>
        <w:instrText xml:space="preserve"> SEQ Figure \* ARABIC </w:instrText>
      </w:r>
      <w:r>
        <w:fldChar w:fldCharType="separate"/>
      </w:r>
      <w:r w:rsidR="00870ADB">
        <w:rPr>
          <w:noProof/>
        </w:rPr>
        <w:t>10</w:t>
      </w:r>
      <w:r>
        <w:fldChar w:fldCharType="end"/>
      </w:r>
      <w:bookmarkEnd w:id="41"/>
      <w:r>
        <w:t xml:space="preserve"> | Eligible program applications </w:t>
      </w:r>
      <w:r w:rsidR="005679C7">
        <w:t>and participant</w:t>
      </w:r>
      <w:r>
        <w:t xml:space="preserve"> SMEs by round and stage</w:t>
      </w:r>
    </w:p>
    <w:p w14:paraId="349A5DA9" w14:textId="4FD036C0" w:rsidR="00545A6D" w:rsidRPr="00545A6D" w:rsidRDefault="00545A6D" w:rsidP="00545A6D">
      <w:r w:rsidRPr="00545A6D">
        <w:rPr>
          <w:noProof/>
        </w:rPr>
        <w:drawing>
          <wp:inline distT="0" distB="0" distL="0" distR="0" wp14:anchorId="3E4C3A23" wp14:editId="6F44EDEC">
            <wp:extent cx="5670550" cy="1899285"/>
            <wp:effectExtent l="0" t="0" r="6350" b="5715"/>
            <wp:docPr id="61" name="Picture 61" descr="Round 1. One hundred and eighty applications, twenty feasibility SMEs, 9 proof of concept SMEs. Round 2. One hundred and fifty one applications, fifteen feasibility SMEs, 6 proof of concept SMEs. Round 3. 2 hundred and twenty 1 applications, twenty 3 feasibility SMEs. Proof of concept SMEs to be confirmed for roun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Round 1. One hundred and eighty applications, twenty feasibility SMEs, 9 proof of concept SMEs. Round 2. One hundred and fifty one applications, fifteen feasibility SMEs, 6 proof of concept SMEs. Round 3. 2 hundred and twenty 1 applications, twenty 3 feasibility SMEs. Proof of concept SMEs to be confirmed for round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70550" cy="1899285"/>
                    </a:xfrm>
                    <a:prstGeom prst="rect">
                      <a:avLst/>
                    </a:prstGeom>
                    <a:noFill/>
                    <a:ln>
                      <a:noFill/>
                    </a:ln>
                  </pic:spPr>
                </pic:pic>
              </a:graphicData>
            </a:graphic>
          </wp:inline>
        </w:drawing>
      </w:r>
    </w:p>
    <w:p w14:paraId="49A74947" w14:textId="5DCF2823" w:rsidR="00823537" w:rsidRDefault="00823537" w:rsidP="00823537">
      <w:pPr>
        <w:pStyle w:val="Source"/>
      </w:pPr>
      <w:r>
        <w:t>Source: BRII administrative data</w:t>
      </w:r>
    </w:p>
    <w:p w14:paraId="3DE31314" w14:textId="679CEFC2" w:rsidR="00375C40" w:rsidRPr="003315D5" w:rsidRDefault="00375C40" w:rsidP="00EA4234">
      <w:pPr>
        <w:pStyle w:val="Heading3"/>
      </w:pPr>
      <w:r w:rsidRPr="003315D5">
        <w:t>The BRII has provided SMEs with a combined $20.4</w:t>
      </w:r>
      <w:r w:rsidR="00F04833">
        <w:t xml:space="preserve"> million</w:t>
      </w:r>
      <w:r w:rsidRPr="003315D5">
        <w:t xml:space="preserve"> in funding.</w:t>
      </w:r>
    </w:p>
    <w:p w14:paraId="635E8246" w14:textId="1AD5A8CC" w:rsidR="00E560B6" w:rsidRDefault="00025C0B" w:rsidP="00E560B6">
      <w:pPr>
        <w:rPr>
          <w:lang w:eastAsia="en-AU"/>
        </w:rPr>
      </w:pPr>
      <w:r w:rsidRPr="00025C0B">
        <w:rPr>
          <w:lang w:eastAsia="en-AU"/>
        </w:rPr>
        <w:t>Roughly 80 per cent of funding is reserved for the proof of concept stage in each round</w:t>
      </w:r>
      <w:r w:rsidR="005679C7">
        <w:rPr>
          <w:lang w:eastAsia="en-AU"/>
        </w:rPr>
        <w:t xml:space="preserve"> (see </w:t>
      </w:r>
      <w:r w:rsidR="005679C7">
        <w:rPr>
          <w:lang w:eastAsia="en-AU"/>
        </w:rPr>
        <w:fldChar w:fldCharType="begin"/>
      </w:r>
      <w:r w:rsidR="005679C7">
        <w:rPr>
          <w:lang w:eastAsia="en-AU"/>
        </w:rPr>
        <w:instrText xml:space="preserve"> REF _Ref75509909 \h </w:instrText>
      </w:r>
      <w:r w:rsidR="005679C7">
        <w:rPr>
          <w:lang w:eastAsia="en-AU"/>
        </w:rPr>
      </w:r>
      <w:r w:rsidR="005679C7">
        <w:rPr>
          <w:lang w:eastAsia="en-AU"/>
        </w:rPr>
        <w:fldChar w:fldCharType="separate"/>
      </w:r>
      <w:r w:rsidR="00AE607F">
        <w:t xml:space="preserve">Figure </w:t>
      </w:r>
      <w:r w:rsidR="00AE607F">
        <w:rPr>
          <w:noProof/>
        </w:rPr>
        <w:t>10</w:t>
      </w:r>
      <w:r w:rsidR="005679C7">
        <w:rPr>
          <w:lang w:eastAsia="en-AU"/>
        </w:rPr>
        <w:fldChar w:fldCharType="end"/>
      </w:r>
      <w:r w:rsidR="005679C7">
        <w:rPr>
          <w:lang w:eastAsia="en-AU"/>
        </w:rPr>
        <w:t>)</w:t>
      </w:r>
      <w:r w:rsidRPr="00025C0B">
        <w:rPr>
          <w:lang w:eastAsia="en-AU"/>
        </w:rPr>
        <w:t>.</w:t>
      </w:r>
      <w:r w:rsidR="006F6AA6">
        <w:rPr>
          <w:lang w:eastAsia="en-AU"/>
        </w:rPr>
        <w:t xml:space="preserve"> </w:t>
      </w:r>
      <w:r w:rsidR="00E560B6">
        <w:rPr>
          <w:lang w:eastAsia="en-AU"/>
        </w:rPr>
        <w:t>T</w:t>
      </w:r>
      <w:r w:rsidR="00E560B6" w:rsidRPr="005A32BA">
        <w:rPr>
          <w:lang w:eastAsia="en-AU"/>
        </w:rPr>
        <w:t xml:space="preserve">he reduction in total funding for </w:t>
      </w:r>
      <w:r w:rsidR="00F53020">
        <w:rPr>
          <w:lang w:eastAsia="en-AU"/>
        </w:rPr>
        <w:t>r</w:t>
      </w:r>
      <w:r w:rsidR="00E560B6" w:rsidRPr="005A32BA">
        <w:rPr>
          <w:lang w:eastAsia="en-AU"/>
        </w:rPr>
        <w:t xml:space="preserve">ound two is due to the </w:t>
      </w:r>
      <w:r w:rsidR="00E560B6">
        <w:rPr>
          <w:lang w:eastAsia="en-AU"/>
        </w:rPr>
        <w:t xml:space="preserve">termination </w:t>
      </w:r>
      <w:r w:rsidR="00E560B6" w:rsidRPr="005A32BA">
        <w:rPr>
          <w:lang w:eastAsia="en-AU"/>
        </w:rPr>
        <w:t>of two challenges after the feasibility stage</w:t>
      </w:r>
      <w:r w:rsidR="00E560B6">
        <w:rPr>
          <w:lang w:eastAsia="en-AU"/>
        </w:rPr>
        <w:t>. There was also a smaller number of feasibility SME</w:t>
      </w:r>
      <w:r w:rsidR="000673BF">
        <w:rPr>
          <w:lang w:eastAsia="en-AU"/>
        </w:rPr>
        <w:t>s</w:t>
      </w:r>
      <w:r w:rsidR="00182C12">
        <w:rPr>
          <w:lang w:eastAsia="en-AU"/>
        </w:rPr>
        <w:t>,</w:t>
      </w:r>
      <w:r w:rsidR="00E560B6">
        <w:rPr>
          <w:lang w:eastAsia="en-AU"/>
        </w:rPr>
        <w:t xml:space="preserve"> as </w:t>
      </w:r>
      <w:r w:rsidR="00182C12">
        <w:rPr>
          <w:lang w:eastAsia="en-AU"/>
        </w:rPr>
        <w:t>outlined above.</w:t>
      </w:r>
      <w:r w:rsidR="00E560B6">
        <w:rPr>
          <w:lang w:eastAsia="en-AU"/>
        </w:rPr>
        <w:t xml:space="preserve"> Lastly, </w:t>
      </w:r>
      <w:r w:rsidR="005679C7">
        <w:rPr>
          <w:lang w:eastAsia="en-AU"/>
        </w:rPr>
        <w:t xml:space="preserve">there has been an increase in feasibility funding in </w:t>
      </w:r>
      <w:r w:rsidR="0092128B">
        <w:rPr>
          <w:lang w:eastAsia="en-AU"/>
        </w:rPr>
        <w:t>r</w:t>
      </w:r>
      <w:r w:rsidR="005679C7">
        <w:rPr>
          <w:lang w:eastAsia="en-AU"/>
        </w:rPr>
        <w:t xml:space="preserve">ound </w:t>
      </w:r>
      <w:r w:rsidR="00CF4D83">
        <w:rPr>
          <w:lang w:eastAsia="en-AU"/>
        </w:rPr>
        <w:t>three</w:t>
      </w:r>
      <w:r w:rsidR="005679C7">
        <w:rPr>
          <w:lang w:eastAsia="en-AU"/>
        </w:rPr>
        <w:t xml:space="preserve"> compared to </w:t>
      </w:r>
      <w:r w:rsidR="0092128B">
        <w:rPr>
          <w:lang w:eastAsia="en-AU"/>
        </w:rPr>
        <w:t>r</w:t>
      </w:r>
      <w:r w:rsidR="005679C7">
        <w:rPr>
          <w:lang w:eastAsia="en-AU"/>
        </w:rPr>
        <w:t xml:space="preserve">ounds </w:t>
      </w:r>
      <w:r w:rsidR="00CF4D83">
        <w:rPr>
          <w:lang w:eastAsia="en-AU"/>
        </w:rPr>
        <w:t>one</w:t>
      </w:r>
      <w:r w:rsidR="005679C7">
        <w:rPr>
          <w:lang w:eastAsia="en-AU"/>
        </w:rPr>
        <w:t xml:space="preserve"> and </w:t>
      </w:r>
      <w:r w:rsidR="00CF4D83">
        <w:rPr>
          <w:lang w:eastAsia="en-AU"/>
        </w:rPr>
        <w:t>two</w:t>
      </w:r>
      <w:r w:rsidR="000673BF">
        <w:rPr>
          <w:lang w:eastAsia="en-AU"/>
        </w:rPr>
        <w:t xml:space="preserve">. This was </w:t>
      </w:r>
      <w:r w:rsidR="005679C7">
        <w:rPr>
          <w:lang w:eastAsia="en-AU"/>
        </w:rPr>
        <w:t xml:space="preserve">due </w:t>
      </w:r>
      <w:r w:rsidR="000673BF">
        <w:rPr>
          <w:lang w:eastAsia="en-AU"/>
        </w:rPr>
        <w:t xml:space="preserve">mainly </w:t>
      </w:r>
      <w:r w:rsidR="005679C7">
        <w:rPr>
          <w:lang w:eastAsia="en-AU"/>
        </w:rPr>
        <w:t xml:space="preserve">to </w:t>
      </w:r>
      <w:r w:rsidR="000673BF">
        <w:rPr>
          <w:lang w:eastAsia="en-AU"/>
        </w:rPr>
        <w:t>two challenge agencies selecting to work with 6 and 5 SMEs respectively as opposed to the usual four SMEs.</w:t>
      </w:r>
      <w:r w:rsidR="005679C7">
        <w:rPr>
          <w:lang w:eastAsia="en-AU"/>
        </w:rPr>
        <w:t xml:space="preserve"> </w:t>
      </w:r>
      <w:r w:rsidR="00EA10C6">
        <w:rPr>
          <w:lang w:eastAsia="en-AU"/>
        </w:rPr>
        <w:t>F</w:t>
      </w:r>
      <w:r w:rsidR="00E560B6">
        <w:rPr>
          <w:lang w:eastAsia="en-AU"/>
        </w:rPr>
        <w:t xml:space="preserve">unding for </w:t>
      </w:r>
      <w:r w:rsidR="000673BF">
        <w:rPr>
          <w:lang w:eastAsia="en-AU"/>
        </w:rPr>
        <w:t>r</w:t>
      </w:r>
      <w:r w:rsidR="00E560B6">
        <w:rPr>
          <w:lang w:eastAsia="en-AU"/>
        </w:rPr>
        <w:t xml:space="preserve">ound </w:t>
      </w:r>
      <w:r w:rsidR="00CF4D83">
        <w:rPr>
          <w:lang w:eastAsia="en-AU"/>
        </w:rPr>
        <w:t>three</w:t>
      </w:r>
      <w:r w:rsidR="00E560B6">
        <w:rPr>
          <w:lang w:eastAsia="en-AU"/>
        </w:rPr>
        <w:t xml:space="preserve"> proof of concept is marked as ‘TBC’ as this </w:t>
      </w:r>
      <w:r w:rsidR="000673BF">
        <w:rPr>
          <w:lang w:eastAsia="en-AU"/>
        </w:rPr>
        <w:t>was not known when the evaluation was completed</w:t>
      </w:r>
      <w:r w:rsidR="00E560B6">
        <w:rPr>
          <w:lang w:eastAsia="en-AU"/>
        </w:rPr>
        <w:t xml:space="preserve">. </w:t>
      </w:r>
    </w:p>
    <w:p w14:paraId="18675758" w14:textId="38BA7E40" w:rsidR="005C1526" w:rsidRDefault="005C1526" w:rsidP="005C1526">
      <w:pPr>
        <w:pStyle w:val="Caption"/>
      </w:pPr>
      <w:bookmarkStart w:id="42" w:name="_Ref75509909"/>
      <w:r>
        <w:t xml:space="preserve">Figure </w:t>
      </w:r>
      <w:r>
        <w:fldChar w:fldCharType="begin"/>
      </w:r>
      <w:r>
        <w:instrText xml:space="preserve"> SEQ Figure \* ARABIC </w:instrText>
      </w:r>
      <w:r>
        <w:fldChar w:fldCharType="separate"/>
      </w:r>
      <w:r w:rsidR="00870ADB">
        <w:rPr>
          <w:noProof/>
        </w:rPr>
        <w:t>11</w:t>
      </w:r>
      <w:r>
        <w:fldChar w:fldCharType="end"/>
      </w:r>
      <w:bookmarkEnd w:id="42"/>
      <w:r>
        <w:t xml:space="preserve"> | Program funding by round and stage</w:t>
      </w:r>
    </w:p>
    <w:p w14:paraId="7A5C9EF7" w14:textId="3594AB73" w:rsidR="000819AE" w:rsidRDefault="00526A13" w:rsidP="00936DC8">
      <w:pPr>
        <w:rPr>
          <w:lang w:eastAsia="en-AU"/>
        </w:rPr>
      </w:pPr>
      <w:r w:rsidRPr="00526A13">
        <w:rPr>
          <w:noProof/>
        </w:rPr>
        <w:drawing>
          <wp:inline distT="0" distB="0" distL="0" distR="0" wp14:anchorId="0E18E8A0" wp14:editId="7FF8A53B">
            <wp:extent cx="5670550" cy="1864995"/>
            <wp:effectExtent l="0" t="0" r="6350" b="1905"/>
            <wp:docPr id="43" name="Picture 43" descr="Round 1 program funding, ten million, 6 hundred and eleven thousand, 8 hundred and eighteen dollars. eighteen per cent feasibility funding. eighty two per cent proof of concept funding. Round 2 program funding, 7 million, 4 hundred and sixty 5 thousand, 5 hundred and ninety 7 dollars. Twenty per cent feasibility funding. Eighty pre cent proof of concept funding. Round 3 program funding for feasibility study, 2 million, 2 hundred seventy 4 thousand, 5 hundred and forty 3 dollars. Proof of concept funding to be confir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Round 1 program funding, ten million, 6 hundred and eleven thousand, 8 hundred and eighteen dollars. eighteen per cent feasibility funding. eighty two per cent proof of concept funding. Round 2 program funding, 7 million, 4 hundred and sixty 5 thousand, 5 hundred and ninety 7 dollars. Twenty per cent feasibility funding. Eighty pre cent proof of concept funding. Round 3 program funding for feasibility study, 2 million, 2 hundred seventy 4 thousand, 5 hundred and forty 3 dollars. Proof of concept funding to be confirm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70550" cy="1864995"/>
                    </a:xfrm>
                    <a:prstGeom prst="rect">
                      <a:avLst/>
                    </a:prstGeom>
                    <a:noFill/>
                    <a:ln>
                      <a:noFill/>
                    </a:ln>
                  </pic:spPr>
                </pic:pic>
              </a:graphicData>
            </a:graphic>
          </wp:inline>
        </w:drawing>
      </w:r>
    </w:p>
    <w:p w14:paraId="3DB8909F" w14:textId="77777777" w:rsidR="00823537" w:rsidRDefault="00823537" w:rsidP="00823537">
      <w:pPr>
        <w:pStyle w:val="Source"/>
      </w:pPr>
      <w:bookmarkStart w:id="43" w:name="_Ref75266256"/>
      <w:r>
        <w:t>Source: BRII administrative data</w:t>
      </w:r>
    </w:p>
    <w:p w14:paraId="1E1C95CD" w14:textId="639E0317" w:rsidR="00936DC8" w:rsidRDefault="00936DC8">
      <w:pPr>
        <w:pStyle w:val="Heading2"/>
      </w:pPr>
      <w:bookmarkStart w:id="44" w:name="_Ref77663118"/>
      <w:bookmarkStart w:id="45" w:name="_Toc124435147"/>
      <w:r w:rsidRPr="00936DC8">
        <w:t>The BRII has attracted a range of SMEs with different characteristics</w:t>
      </w:r>
      <w:bookmarkEnd w:id="43"/>
      <w:bookmarkEnd w:id="44"/>
      <w:bookmarkEnd w:id="45"/>
    </w:p>
    <w:p w14:paraId="1A812C25" w14:textId="76D66322" w:rsidR="00852F42" w:rsidRDefault="007D5C89" w:rsidP="00852F42">
      <w:pPr>
        <w:rPr>
          <w:lang w:eastAsia="en-AU"/>
        </w:rPr>
      </w:pPr>
      <w:r w:rsidRPr="007A56EC">
        <w:rPr>
          <w:lang w:eastAsia="en-AU"/>
        </w:rPr>
        <w:t xml:space="preserve">Applicants to the BRII </w:t>
      </w:r>
      <w:r w:rsidR="00B32E86" w:rsidRPr="007A56EC">
        <w:rPr>
          <w:lang w:eastAsia="en-AU"/>
        </w:rPr>
        <w:t>were</w:t>
      </w:r>
      <w:r w:rsidRPr="007A56EC">
        <w:rPr>
          <w:lang w:eastAsia="en-AU"/>
        </w:rPr>
        <w:t xml:space="preserve"> diverse in </w:t>
      </w:r>
      <w:r w:rsidR="00270338" w:rsidRPr="007A56EC">
        <w:rPr>
          <w:lang w:eastAsia="en-AU"/>
        </w:rPr>
        <w:t>business age</w:t>
      </w:r>
      <w:r w:rsidR="00F22D4F" w:rsidRPr="007A56EC">
        <w:rPr>
          <w:lang w:eastAsia="en-AU"/>
        </w:rPr>
        <w:t xml:space="preserve"> and size. </w:t>
      </w:r>
      <w:r w:rsidR="00B32E86" w:rsidRPr="007A56EC">
        <w:rPr>
          <w:lang w:eastAsia="en-AU"/>
        </w:rPr>
        <w:t>There were some prevalent trends, particularly in industry</w:t>
      </w:r>
      <w:r w:rsidR="000234E8" w:rsidRPr="007A56EC">
        <w:rPr>
          <w:lang w:eastAsia="en-AU"/>
        </w:rPr>
        <w:t xml:space="preserve"> type</w:t>
      </w:r>
      <w:r w:rsidR="00EB5EFE" w:rsidRPr="007A56EC">
        <w:rPr>
          <w:lang w:eastAsia="en-AU"/>
        </w:rPr>
        <w:t>.</w:t>
      </w:r>
      <w:r w:rsidR="000234E8" w:rsidRPr="007A56EC">
        <w:rPr>
          <w:lang w:eastAsia="en-AU"/>
        </w:rPr>
        <w:t xml:space="preserve"> Further, while a range of different sized business applied for BRII, almost half employed four or fewer people. These trends are outlined </w:t>
      </w:r>
      <w:r w:rsidR="007A56EC">
        <w:rPr>
          <w:lang w:eastAsia="en-AU"/>
        </w:rPr>
        <w:t xml:space="preserve">in </w:t>
      </w:r>
      <w:r w:rsidR="007A56EC">
        <w:rPr>
          <w:lang w:eastAsia="en-AU"/>
        </w:rPr>
        <w:fldChar w:fldCharType="begin"/>
      </w:r>
      <w:r w:rsidR="007A56EC">
        <w:rPr>
          <w:lang w:eastAsia="en-AU"/>
        </w:rPr>
        <w:instrText xml:space="preserve"> REF _Ref75510000 \h </w:instrText>
      </w:r>
      <w:r w:rsidR="007A56EC">
        <w:rPr>
          <w:lang w:eastAsia="en-AU"/>
        </w:rPr>
      </w:r>
      <w:r w:rsidR="007A56EC">
        <w:rPr>
          <w:lang w:eastAsia="en-AU"/>
        </w:rPr>
        <w:fldChar w:fldCharType="separate"/>
      </w:r>
      <w:r w:rsidR="00AE607F">
        <w:t xml:space="preserve">Figure </w:t>
      </w:r>
      <w:r w:rsidR="00AE607F">
        <w:rPr>
          <w:noProof/>
        </w:rPr>
        <w:t>11</w:t>
      </w:r>
      <w:r w:rsidR="007A56EC">
        <w:rPr>
          <w:lang w:eastAsia="en-AU"/>
        </w:rPr>
        <w:fldChar w:fldCharType="end"/>
      </w:r>
      <w:r w:rsidR="000234E8" w:rsidRPr="007A56EC">
        <w:rPr>
          <w:lang w:eastAsia="en-AU"/>
        </w:rPr>
        <w:t>.</w:t>
      </w:r>
      <w:r w:rsidR="000234E8">
        <w:rPr>
          <w:lang w:eastAsia="en-AU"/>
        </w:rPr>
        <w:t xml:space="preserve"> </w:t>
      </w:r>
      <w:r w:rsidR="00EB5EFE">
        <w:rPr>
          <w:lang w:eastAsia="en-AU"/>
        </w:rPr>
        <w:t xml:space="preserve"> </w:t>
      </w:r>
    </w:p>
    <w:p w14:paraId="2765443B" w14:textId="5E40097B" w:rsidR="007A56EC" w:rsidRDefault="007A56EC" w:rsidP="007A56EC">
      <w:pPr>
        <w:pStyle w:val="Caption"/>
        <w:rPr>
          <w:vertAlign w:val="superscript"/>
        </w:rPr>
      </w:pPr>
      <w:bookmarkStart w:id="46" w:name="_Ref75510000"/>
      <w:r>
        <w:lastRenderedPageBreak/>
        <w:t xml:space="preserve">Figure </w:t>
      </w:r>
      <w:r>
        <w:fldChar w:fldCharType="begin"/>
      </w:r>
      <w:r>
        <w:instrText xml:space="preserve"> SEQ Figure \* ARABIC </w:instrText>
      </w:r>
      <w:r>
        <w:fldChar w:fldCharType="separate"/>
      </w:r>
      <w:r w:rsidR="00870ADB">
        <w:rPr>
          <w:noProof/>
        </w:rPr>
        <w:t>12</w:t>
      </w:r>
      <w:r>
        <w:fldChar w:fldCharType="end"/>
      </w:r>
      <w:bookmarkEnd w:id="46"/>
      <w:r>
        <w:t xml:space="preserve"> | Summary of BRII applicant characteristics</w:t>
      </w:r>
      <w:r w:rsidR="00BC6B9C">
        <w:rPr>
          <w:rStyle w:val="FootnoteReference"/>
        </w:rPr>
        <w:footnoteReference w:id="21"/>
      </w:r>
      <w:r w:rsidR="00BC6B9C">
        <w:rPr>
          <w:vertAlign w:val="superscript"/>
        </w:rPr>
        <w:t xml:space="preserve">, </w:t>
      </w:r>
      <w:r w:rsidR="00BC6B9C">
        <w:rPr>
          <w:rStyle w:val="FootnoteReference"/>
        </w:rPr>
        <w:footnoteReference w:id="22"/>
      </w:r>
    </w:p>
    <w:p w14:paraId="06B1A88E" w14:textId="2287AA3D" w:rsidR="00186DDD" w:rsidRDefault="005F0CFF" w:rsidP="00D56249">
      <w:pPr>
        <w:spacing w:after="0"/>
      </w:pPr>
      <w:r w:rsidRPr="005F0CFF">
        <w:rPr>
          <w:noProof/>
        </w:rPr>
        <w:drawing>
          <wp:inline distT="0" distB="0" distL="0" distR="0" wp14:anchorId="6FC693B3" wp14:editId="4D7782D8">
            <wp:extent cx="5670550" cy="534035"/>
            <wp:effectExtent l="0" t="0" r="6350" b="0"/>
            <wp:docPr id="27840" name="Picture 27840" descr="48% of successful BRII applicants had four or fewer employees at time of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40" name="Picture 27840" descr="48% of successful BRII applicants had four or fewer employees at time of applicatio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70550" cy="534035"/>
                    </a:xfrm>
                    <a:prstGeom prst="rect">
                      <a:avLst/>
                    </a:prstGeom>
                    <a:noFill/>
                    <a:ln>
                      <a:noFill/>
                    </a:ln>
                  </pic:spPr>
                </pic:pic>
              </a:graphicData>
            </a:graphic>
          </wp:inline>
        </w:drawing>
      </w:r>
    </w:p>
    <w:p w14:paraId="499A9F7B" w14:textId="3A7FC350" w:rsidR="0065564A" w:rsidRPr="00186DDD" w:rsidRDefault="0065564A" w:rsidP="00D56249">
      <w:pPr>
        <w:spacing w:after="0"/>
      </w:pPr>
      <w:r w:rsidRPr="0065564A">
        <w:rPr>
          <w:noProof/>
        </w:rPr>
        <w:drawing>
          <wp:inline distT="0" distB="0" distL="0" distR="0" wp14:anchorId="760D6E58" wp14:editId="0C183606">
            <wp:extent cx="5670550" cy="534035"/>
            <wp:effectExtent l="0" t="0" r="6350" b="0"/>
            <wp:docPr id="27853" name="Picture 27853" descr="90% of BRII applicants (or 450 out of 501) were first-time applic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53" name="Picture 27853" descr="90% of BRII applicants (or 450 out of 501) were first-time applicant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70550" cy="534035"/>
                    </a:xfrm>
                    <a:prstGeom prst="rect">
                      <a:avLst/>
                    </a:prstGeom>
                    <a:noFill/>
                    <a:ln>
                      <a:noFill/>
                    </a:ln>
                  </pic:spPr>
                </pic:pic>
              </a:graphicData>
            </a:graphic>
          </wp:inline>
        </w:drawing>
      </w:r>
    </w:p>
    <w:p w14:paraId="27C3B719" w14:textId="7CE384D0" w:rsidR="00E36682" w:rsidRDefault="00D0522D" w:rsidP="00D56249">
      <w:pPr>
        <w:spacing w:after="0"/>
        <w:rPr>
          <w:lang w:eastAsia="en-AU"/>
        </w:rPr>
      </w:pPr>
      <w:r w:rsidRPr="00D0522D">
        <w:rPr>
          <w:noProof/>
          <w:lang w:eastAsia="en-AU"/>
        </w:rPr>
        <w:drawing>
          <wp:inline distT="0" distB="0" distL="0" distR="0" wp14:anchorId="47BB944D" wp14:editId="5884F590">
            <wp:extent cx="5670550" cy="544830"/>
            <wp:effectExtent l="0" t="0" r="6350" b="7620"/>
            <wp:docPr id="80" name="Picture 80" descr="SMEs that receive funding range from less than fifty thousand dollars to over 2 million dollars in annual reve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SMEs that receive funding range from less than fifty thousand dollars to over 2 million dollars in annual revenu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70550" cy="544830"/>
                    </a:xfrm>
                    <a:prstGeom prst="rect">
                      <a:avLst/>
                    </a:prstGeom>
                    <a:noFill/>
                    <a:ln>
                      <a:noFill/>
                    </a:ln>
                  </pic:spPr>
                </pic:pic>
              </a:graphicData>
            </a:graphic>
          </wp:inline>
        </w:drawing>
      </w:r>
      <w:r w:rsidR="00393CF7" w:rsidRPr="00393CF7">
        <w:rPr>
          <w:noProof/>
        </w:rPr>
        <w:drawing>
          <wp:inline distT="0" distB="0" distL="0" distR="0" wp14:anchorId="1F6E5A6A" wp14:editId="5BEF88F7">
            <wp:extent cx="5670550" cy="538480"/>
            <wp:effectExtent l="0" t="0" r="6350" b="0"/>
            <wp:docPr id="49" name="Picture 49" descr="Three SMEs (Silverpond, Iugotec and Factil) received funding as part of two different challenge r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hree SMEs (Silverpond, Iugotec and Factil) received funding as part of two different challenge round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70550" cy="538480"/>
                    </a:xfrm>
                    <a:prstGeom prst="rect">
                      <a:avLst/>
                    </a:prstGeom>
                    <a:noFill/>
                    <a:ln>
                      <a:noFill/>
                    </a:ln>
                  </pic:spPr>
                </pic:pic>
              </a:graphicData>
            </a:graphic>
          </wp:inline>
        </w:drawing>
      </w:r>
      <w:r w:rsidR="00E36682" w:rsidRPr="00E36682">
        <w:rPr>
          <w:noProof/>
          <w:lang w:eastAsia="en-AU"/>
        </w:rPr>
        <w:drawing>
          <wp:inline distT="0" distB="0" distL="0" distR="0" wp14:anchorId="466A0D74" wp14:editId="70978992">
            <wp:extent cx="5670550" cy="541655"/>
            <wp:effectExtent l="0" t="0" r="6350" b="0"/>
            <wp:docPr id="86" name="Picture 86" descr="Most successful SMEs come from Professional, Scientific and Technica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Most successful SMEs come from Professional, Scientific and Technical Service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70550" cy="541655"/>
                    </a:xfrm>
                    <a:prstGeom prst="rect">
                      <a:avLst/>
                    </a:prstGeom>
                    <a:noFill/>
                    <a:ln>
                      <a:noFill/>
                    </a:ln>
                  </pic:spPr>
                </pic:pic>
              </a:graphicData>
            </a:graphic>
          </wp:inline>
        </w:drawing>
      </w:r>
    </w:p>
    <w:p w14:paraId="1E3F1AE3" w14:textId="6C3F9895" w:rsidR="00823537" w:rsidRDefault="00823537" w:rsidP="00823537">
      <w:pPr>
        <w:pStyle w:val="Source"/>
      </w:pPr>
      <w:r>
        <w:t>Source: BRII administrative data</w:t>
      </w:r>
    </w:p>
    <w:p w14:paraId="328B180A" w14:textId="59A9BC35" w:rsidR="00852F42" w:rsidRDefault="00053B4F" w:rsidP="00A44EC1">
      <w:pPr>
        <w:spacing w:before="240" w:line="257" w:lineRule="auto"/>
        <w:rPr>
          <w:lang w:eastAsia="en-AU"/>
        </w:rPr>
      </w:pPr>
      <w:r w:rsidRPr="004739A1">
        <w:rPr>
          <w:lang w:eastAsia="en-AU"/>
        </w:rPr>
        <w:t>The BR</w:t>
      </w:r>
      <w:r w:rsidR="008D4414" w:rsidRPr="004739A1">
        <w:rPr>
          <w:lang w:eastAsia="en-AU"/>
        </w:rPr>
        <w:t xml:space="preserve">II appeared to be most attractive to </w:t>
      </w:r>
      <w:r w:rsidR="00A44EC1" w:rsidRPr="004739A1">
        <w:rPr>
          <w:lang w:eastAsia="en-AU"/>
        </w:rPr>
        <w:t>start-ups</w:t>
      </w:r>
      <w:r w:rsidR="00A4254B" w:rsidRPr="004739A1">
        <w:rPr>
          <w:lang w:eastAsia="en-AU"/>
        </w:rPr>
        <w:t xml:space="preserve"> or young firms</w:t>
      </w:r>
      <w:r w:rsidR="00966A11">
        <w:rPr>
          <w:lang w:eastAsia="en-AU"/>
        </w:rPr>
        <w:t xml:space="preserve"> (see </w:t>
      </w:r>
      <w:r w:rsidR="00966A11">
        <w:rPr>
          <w:lang w:eastAsia="en-AU"/>
        </w:rPr>
        <w:fldChar w:fldCharType="begin"/>
      </w:r>
      <w:r w:rsidR="00966A11">
        <w:rPr>
          <w:lang w:eastAsia="en-AU"/>
        </w:rPr>
        <w:instrText xml:space="preserve"> REF _Ref79504964 \h </w:instrText>
      </w:r>
      <w:r w:rsidR="00966A11">
        <w:rPr>
          <w:lang w:eastAsia="en-AU"/>
        </w:rPr>
      </w:r>
      <w:r w:rsidR="00966A11">
        <w:rPr>
          <w:lang w:eastAsia="en-AU"/>
        </w:rPr>
        <w:fldChar w:fldCharType="separate"/>
      </w:r>
      <w:r w:rsidR="00AE607F">
        <w:t xml:space="preserve">Figure </w:t>
      </w:r>
      <w:r w:rsidR="00AE607F">
        <w:rPr>
          <w:noProof/>
        </w:rPr>
        <w:t>12</w:t>
      </w:r>
      <w:r w:rsidR="00966A11">
        <w:rPr>
          <w:lang w:eastAsia="en-AU"/>
        </w:rPr>
        <w:fldChar w:fldCharType="end"/>
      </w:r>
      <w:r w:rsidR="00966A11">
        <w:rPr>
          <w:lang w:eastAsia="en-AU"/>
        </w:rPr>
        <w:t>)</w:t>
      </w:r>
      <w:r w:rsidR="000707F9">
        <w:rPr>
          <w:lang w:eastAsia="en-AU"/>
        </w:rPr>
        <w:t>.</w:t>
      </w:r>
      <w:r w:rsidR="0098105D" w:rsidRPr="004739A1">
        <w:rPr>
          <w:rStyle w:val="FootnoteReference"/>
          <w:lang w:eastAsia="en-AU"/>
        </w:rPr>
        <w:footnoteReference w:id="23"/>
      </w:r>
      <w:r w:rsidR="0098105D" w:rsidRPr="004739A1">
        <w:rPr>
          <w:lang w:eastAsia="en-AU"/>
        </w:rPr>
        <w:t xml:space="preserve"> </w:t>
      </w:r>
      <w:r w:rsidR="009348DE" w:rsidRPr="004739A1">
        <w:rPr>
          <w:lang w:eastAsia="en-AU"/>
        </w:rPr>
        <w:t>However, there was still healthy representation from mature firms of various ages.</w:t>
      </w:r>
      <w:r w:rsidR="009348DE">
        <w:rPr>
          <w:lang w:eastAsia="en-AU"/>
        </w:rPr>
        <w:t xml:space="preserve"> </w:t>
      </w:r>
      <w:r w:rsidR="004739A1">
        <w:rPr>
          <w:lang w:eastAsia="en-AU"/>
        </w:rPr>
        <w:t xml:space="preserve">The BRII </w:t>
      </w:r>
      <w:r w:rsidR="00365862">
        <w:rPr>
          <w:lang w:eastAsia="en-AU"/>
        </w:rPr>
        <w:t>also seemed to act as a catalyst for the formation of new entities, with 113 of the 501 total applicants (</w:t>
      </w:r>
      <w:r w:rsidR="002E504F">
        <w:rPr>
          <w:lang w:eastAsia="en-AU"/>
        </w:rPr>
        <w:t>2</w:t>
      </w:r>
      <w:r w:rsidR="00D427A4">
        <w:rPr>
          <w:lang w:eastAsia="en-AU"/>
        </w:rPr>
        <w:t>0</w:t>
      </w:r>
      <w:r w:rsidR="003D73D1">
        <w:rPr>
          <w:lang w:eastAsia="en-AU"/>
        </w:rPr>
        <w:t xml:space="preserve"> per cent</w:t>
      </w:r>
      <w:r w:rsidR="002E504F">
        <w:rPr>
          <w:lang w:eastAsia="en-AU"/>
        </w:rPr>
        <w:t xml:space="preserve">) </w:t>
      </w:r>
      <w:r w:rsidR="00713EDA">
        <w:rPr>
          <w:lang w:eastAsia="en-AU"/>
        </w:rPr>
        <w:t xml:space="preserve">less than </w:t>
      </w:r>
      <w:r w:rsidR="00F65804">
        <w:rPr>
          <w:lang w:eastAsia="en-AU"/>
        </w:rPr>
        <w:t>1</w:t>
      </w:r>
      <w:r w:rsidR="002E504F">
        <w:rPr>
          <w:lang w:eastAsia="en-AU"/>
        </w:rPr>
        <w:t xml:space="preserve"> year old at time of application.</w:t>
      </w:r>
      <w:r w:rsidR="00C345C9">
        <w:rPr>
          <w:lang w:eastAsia="en-AU"/>
        </w:rPr>
        <w:t xml:space="preserve"> </w:t>
      </w:r>
      <w:r w:rsidR="00EC3834">
        <w:rPr>
          <w:lang w:eastAsia="en-AU"/>
        </w:rPr>
        <w:t>A similar percentage (</w:t>
      </w:r>
      <w:r w:rsidR="00463D23">
        <w:rPr>
          <w:lang w:eastAsia="en-AU"/>
        </w:rPr>
        <w:t>17 per cent</w:t>
      </w:r>
      <w:r w:rsidR="00EC3834">
        <w:rPr>
          <w:lang w:eastAsia="en-AU"/>
        </w:rPr>
        <w:t>)</w:t>
      </w:r>
      <w:r w:rsidR="00463D23">
        <w:rPr>
          <w:lang w:eastAsia="en-AU"/>
        </w:rPr>
        <w:t xml:space="preserve"> of </w:t>
      </w:r>
      <w:r w:rsidR="00AF6343">
        <w:rPr>
          <w:lang w:eastAsia="en-AU"/>
        </w:rPr>
        <w:t xml:space="preserve">new firms went on to win </w:t>
      </w:r>
      <w:r w:rsidR="00463D23">
        <w:rPr>
          <w:lang w:eastAsia="en-AU"/>
        </w:rPr>
        <w:t>feasibility grant</w:t>
      </w:r>
      <w:r w:rsidR="00AF6343">
        <w:rPr>
          <w:lang w:eastAsia="en-AU"/>
        </w:rPr>
        <w:t>s</w:t>
      </w:r>
      <w:r w:rsidR="00F16757">
        <w:rPr>
          <w:lang w:eastAsia="en-AU"/>
        </w:rPr>
        <w:t>.</w:t>
      </w:r>
    </w:p>
    <w:p w14:paraId="4D2B1519" w14:textId="73CA4A09" w:rsidR="00C03C0A" w:rsidRDefault="00C03C0A" w:rsidP="00C03C0A">
      <w:pPr>
        <w:pStyle w:val="Caption"/>
      </w:pPr>
      <w:bookmarkStart w:id="47" w:name="_Ref79504964"/>
      <w:r>
        <w:t xml:space="preserve">Figure </w:t>
      </w:r>
      <w:r>
        <w:fldChar w:fldCharType="begin"/>
      </w:r>
      <w:r>
        <w:instrText xml:space="preserve"> SEQ Figure \* ARABIC </w:instrText>
      </w:r>
      <w:r>
        <w:fldChar w:fldCharType="separate"/>
      </w:r>
      <w:r w:rsidR="00870ADB">
        <w:rPr>
          <w:noProof/>
        </w:rPr>
        <w:t>13</w:t>
      </w:r>
      <w:r>
        <w:fldChar w:fldCharType="end"/>
      </w:r>
      <w:bookmarkEnd w:id="47"/>
      <w:r>
        <w:t xml:space="preserve"> | Applicants by business age in years at time of application</w:t>
      </w:r>
      <w:r w:rsidR="006D4B02">
        <w:rPr>
          <w:rStyle w:val="FootnoteReference"/>
        </w:rPr>
        <w:footnoteReference w:id="24"/>
      </w:r>
    </w:p>
    <w:p w14:paraId="00D68F37" w14:textId="5FA616DA" w:rsidR="00DF352A" w:rsidRDefault="008C6F3E" w:rsidP="00936DC8">
      <w:pPr>
        <w:rPr>
          <w:lang w:eastAsia="en-AU"/>
        </w:rPr>
      </w:pPr>
      <w:r w:rsidRPr="008C6F3E">
        <w:rPr>
          <w:noProof/>
          <w:lang w:eastAsia="en-AU"/>
        </w:rPr>
        <w:drawing>
          <wp:inline distT="0" distB="0" distL="0" distR="0" wp14:anchorId="4DF42C27" wp14:editId="74484593">
            <wp:extent cx="5670550" cy="1736725"/>
            <wp:effectExtent l="0" t="0" r="6350" b="0"/>
            <wp:docPr id="46" name="Picture 46" descr="Fifty six per cent of the BRII applicants are start ups or young firms.&#10;Age in years, zero to twenty.&#10;Start ups. zero years has one hundred and thirteen applicants, 1 year has sixty six applicants, 2 years has sixty applicants.&#10;Young firms, 3 years has forty two applicants, 4 years has thirty six applicants, 5 years has thirty 4 applicants.&#10;Mature firms, 6 years has twenty 6 applicants, 7 years has thirteen applicants, 8 years has thirteen applicants, 9 years has seventeen applicants, ten years has 7 applicants, eleven years has forteen applicants, twelve years has eleven applicants, thirteen years has 3 applicants, forteen years has forteen applicants, fifteen years has 6 applicants, sixteen years has twenty eight applicants, seventeen years has ten applicants, eighteen years has 5 applicants, nineteen years has forteen applicants, twenty years has twenty applic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Fifty six per cent of the BRII applicants are start ups or young firms.&#10;Age in years, zero to twenty.&#10;Start ups. zero years has one hundred and thirteen applicants, 1 year has sixty six applicants, 2 years has sixty applicants.&#10;Young firms, 3 years has forty two applicants, 4 years has thirty six applicants, 5 years has thirty 4 applicants.&#10;Mature firms, 6 years has twenty 6 applicants, 7 years has thirteen applicants, 8 years has thirteen applicants, 9 years has seventeen applicants, ten years has 7 applicants, eleven years has forteen applicants, twelve years has eleven applicants, thirteen years has 3 applicants, forteen years has forteen applicants, fifteen years has 6 applicants, sixteen years has twenty eight applicants, seventeen years has ten applicants, eighteen years has 5 applicants, nineteen years has forteen applicants, twenty years has twenty applicant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70550" cy="1736725"/>
                    </a:xfrm>
                    <a:prstGeom prst="rect">
                      <a:avLst/>
                    </a:prstGeom>
                    <a:noFill/>
                    <a:ln>
                      <a:noFill/>
                    </a:ln>
                  </pic:spPr>
                </pic:pic>
              </a:graphicData>
            </a:graphic>
          </wp:inline>
        </w:drawing>
      </w:r>
    </w:p>
    <w:p w14:paraId="600325BB" w14:textId="532E7198" w:rsidR="00823537" w:rsidRDefault="00823537" w:rsidP="00823537">
      <w:pPr>
        <w:pStyle w:val="Source"/>
      </w:pPr>
      <w:r>
        <w:t>Source: BRII administrative data</w:t>
      </w:r>
    </w:p>
    <w:p w14:paraId="12BF5978" w14:textId="05FFD850" w:rsidR="005C5286" w:rsidRDefault="00870ABD" w:rsidP="00A44EC1">
      <w:pPr>
        <w:spacing w:before="240" w:line="257" w:lineRule="auto"/>
        <w:rPr>
          <w:lang w:eastAsia="en-AU"/>
        </w:rPr>
      </w:pPr>
      <w:r>
        <w:rPr>
          <w:lang w:eastAsia="en-AU"/>
        </w:rPr>
        <w:t>There was a good spread of applicants</w:t>
      </w:r>
      <w:r w:rsidR="003066EC">
        <w:rPr>
          <w:lang w:eastAsia="en-AU"/>
        </w:rPr>
        <w:t xml:space="preserve"> from across Australia. </w:t>
      </w:r>
      <w:r w:rsidR="00D9136B" w:rsidRPr="00E00B63">
        <w:rPr>
          <w:lang w:eastAsia="en-AU"/>
        </w:rPr>
        <w:t xml:space="preserve">Applicant SMEs </w:t>
      </w:r>
      <w:r w:rsidR="003066EC">
        <w:rPr>
          <w:lang w:eastAsia="en-AU"/>
        </w:rPr>
        <w:t xml:space="preserve">were </w:t>
      </w:r>
      <w:r w:rsidR="00D9136B" w:rsidRPr="00E00B63">
        <w:rPr>
          <w:lang w:eastAsia="en-AU"/>
        </w:rPr>
        <w:t xml:space="preserve">concentrated in </w:t>
      </w:r>
      <w:r w:rsidR="00A23DC6" w:rsidRPr="00E00B63">
        <w:rPr>
          <w:lang w:eastAsia="en-AU"/>
        </w:rPr>
        <w:t>the Eastern states</w:t>
      </w:r>
      <w:r w:rsidR="000D49B6">
        <w:rPr>
          <w:lang w:eastAsia="en-AU"/>
        </w:rPr>
        <w:t>, which have larger populations of SMEs</w:t>
      </w:r>
      <w:r w:rsidR="00014FF8">
        <w:rPr>
          <w:lang w:eastAsia="en-AU"/>
        </w:rPr>
        <w:t xml:space="preserve">. </w:t>
      </w:r>
      <w:r w:rsidR="00E47355">
        <w:rPr>
          <w:lang w:eastAsia="en-AU"/>
        </w:rPr>
        <w:t>Most</w:t>
      </w:r>
      <w:r w:rsidR="005F69D8">
        <w:rPr>
          <w:lang w:eastAsia="en-AU"/>
        </w:rPr>
        <w:t xml:space="preserve"> SME applicants</w:t>
      </w:r>
      <w:r w:rsidR="00490976">
        <w:rPr>
          <w:lang w:eastAsia="en-AU"/>
        </w:rPr>
        <w:t xml:space="preserve"> also </w:t>
      </w:r>
      <w:r w:rsidR="005F69D8">
        <w:rPr>
          <w:lang w:eastAsia="en-AU"/>
        </w:rPr>
        <w:t xml:space="preserve">came from </w:t>
      </w:r>
      <w:r w:rsidR="00490976">
        <w:rPr>
          <w:lang w:eastAsia="en-AU"/>
        </w:rPr>
        <w:t xml:space="preserve">metropolitan areas </w:t>
      </w:r>
      <w:r w:rsidR="005F69D8">
        <w:rPr>
          <w:lang w:eastAsia="en-AU"/>
        </w:rPr>
        <w:t>–</w:t>
      </w:r>
      <w:r w:rsidR="00490976">
        <w:rPr>
          <w:lang w:eastAsia="en-AU"/>
        </w:rPr>
        <w:t xml:space="preserve"> 89</w:t>
      </w:r>
      <w:r w:rsidR="005F69D8">
        <w:rPr>
          <w:lang w:eastAsia="en-AU"/>
        </w:rPr>
        <w:t xml:space="preserve"> per cent </w:t>
      </w:r>
      <w:r w:rsidR="00490976">
        <w:rPr>
          <w:lang w:eastAsia="en-AU"/>
        </w:rPr>
        <w:t xml:space="preserve">of SMEs awarded funding were </w:t>
      </w:r>
      <w:r w:rsidR="005F69D8">
        <w:rPr>
          <w:lang w:eastAsia="en-AU"/>
        </w:rPr>
        <w:t xml:space="preserve">based </w:t>
      </w:r>
      <w:r w:rsidR="00490976">
        <w:rPr>
          <w:lang w:eastAsia="en-AU"/>
        </w:rPr>
        <w:t>in major cities</w:t>
      </w:r>
      <w:r w:rsidR="005F69D8">
        <w:rPr>
          <w:lang w:eastAsia="en-AU"/>
        </w:rPr>
        <w:t xml:space="preserve"> </w:t>
      </w:r>
      <w:r w:rsidR="005F69D8">
        <w:rPr>
          <w:lang w:eastAsia="en-AU"/>
        </w:rPr>
        <w:lastRenderedPageBreak/>
        <w:t>compared with</w:t>
      </w:r>
      <w:r w:rsidR="00155217">
        <w:rPr>
          <w:lang w:eastAsia="en-AU"/>
        </w:rPr>
        <w:t xml:space="preserve"> nine and two per cent were from inner and outer regional Australia, respectively. </w:t>
      </w:r>
      <w:r w:rsidR="009E5F2C" w:rsidRPr="00E00B63">
        <w:rPr>
          <w:lang w:eastAsia="en-AU"/>
        </w:rPr>
        <w:t xml:space="preserve">There was </w:t>
      </w:r>
      <w:r w:rsidR="004E59F2" w:rsidRPr="00E00B63">
        <w:rPr>
          <w:lang w:eastAsia="en-AU"/>
        </w:rPr>
        <w:t>little engagement from SMEs</w:t>
      </w:r>
      <w:r w:rsidR="002D37EF" w:rsidRPr="00E00B63">
        <w:rPr>
          <w:lang w:eastAsia="en-AU"/>
        </w:rPr>
        <w:t xml:space="preserve"> in Tasmania and the Northern Territory</w:t>
      </w:r>
      <w:r w:rsidR="00C973D8">
        <w:rPr>
          <w:lang w:eastAsia="en-AU"/>
        </w:rPr>
        <w:t xml:space="preserve"> (NT)</w:t>
      </w:r>
      <w:r w:rsidR="002D37EF" w:rsidRPr="00E00B63">
        <w:rPr>
          <w:lang w:eastAsia="en-AU"/>
        </w:rPr>
        <w:t xml:space="preserve">. </w:t>
      </w:r>
      <w:r w:rsidR="00BC0349">
        <w:rPr>
          <w:lang w:eastAsia="en-AU"/>
        </w:rPr>
        <w:t xml:space="preserve">There does seem to be </w:t>
      </w:r>
      <w:r w:rsidR="00020252" w:rsidRPr="00E00B63">
        <w:rPr>
          <w:lang w:eastAsia="en-AU"/>
        </w:rPr>
        <w:t xml:space="preserve">a </w:t>
      </w:r>
      <w:r w:rsidR="00F61595" w:rsidRPr="00E00B63">
        <w:rPr>
          <w:lang w:eastAsia="en-AU"/>
        </w:rPr>
        <w:t xml:space="preserve">slight overrepresentation </w:t>
      </w:r>
      <w:r w:rsidR="00A55093" w:rsidRPr="00E00B63">
        <w:rPr>
          <w:lang w:eastAsia="en-AU"/>
        </w:rPr>
        <w:t>from ACT S</w:t>
      </w:r>
      <w:r w:rsidR="009E5F2C" w:rsidRPr="00E00B63">
        <w:rPr>
          <w:lang w:eastAsia="en-AU"/>
        </w:rPr>
        <w:t xml:space="preserve">MEs. </w:t>
      </w:r>
      <w:r w:rsidR="00106AFF">
        <w:rPr>
          <w:lang w:eastAsia="en-AU"/>
        </w:rPr>
        <w:t xml:space="preserve">Although SMEs from the ACT only represent </w:t>
      </w:r>
      <w:r w:rsidR="009F0F13">
        <w:rPr>
          <w:lang w:eastAsia="en-AU"/>
        </w:rPr>
        <w:t xml:space="preserve">roughly </w:t>
      </w:r>
      <w:r w:rsidR="004A6544">
        <w:rPr>
          <w:lang w:eastAsia="en-AU"/>
        </w:rPr>
        <w:t xml:space="preserve">one percent of the total number of Australian businesses, they </w:t>
      </w:r>
      <w:r w:rsidR="00F90CEB">
        <w:rPr>
          <w:lang w:eastAsia="en-AU"/>
        </w:rPr>
        <w:t xml:space="preserve">represented seven percent of total </w:t>
      </w:r>
      <w:r w:rsidR="009F0F13">
        <w:rPr>
          <w:lang w:eastAsia="en-AU"/>
        </w:rPr>
        <w:t xml:space="preserve">BRII </w:t>
      </w:r>
      <w:r w:rsidR="00F90CEB">
        <w:rPr>
          <w:lang w:eastAsia="en-AU"/>
        </w:rPr>
        <w:t>applications.</w:t>
      </w:r>
      <w:r w:rsidR="00690959">
        <w:rPr>
          <w:rStyle w:val="FootnoteReference"/>
          <w:lang w:eastAsia="en-AU"/>
        </w:rPr>
        <w:footnoteReference w:id="25"/>
      </w:r>
      <w:r w:rsidR="00F90CEB">
        <w:rPr>
          <w:lang w:eastAsia="en-AU"/>
        </w:rPr>
        <w:t xml:space="preserve"> </w:t>
      </w:r>
      <w:r w:rsidR="00324BDF">
        <w:rPr>
          <w:lang w:eastAsia="en-AU"/>
        </w:rPr>
        <w:t>This might be</w:t>
      </w:r>
      <w:r w:rsidR="002E504F" w:rsidRPr="00E00B63">
        <w:rPr>
          <w:lang w:eastAsia="en-AU"/>
        </w:rPr>
        <w:t xml:space="preserve"> </w:t>
      </w:r>
      <w:r w:rsidR="00E00B63" w:rsidRPr="00E00B63">
        <w:rPr>
          <w:lang w:eastAsia="en-AU"/>
        </w:rPr>
        <w:t xml:space="preserve">because of </w:t>
      </w:r>
      <w:r w:rsidR="00324BDF">
        <w:rPr>
          <w:lang w:eastAsia="en-AU"/>
        </w:rPr>
        <w:t xml:space="preserve">the </w:t>
      </w:r>
      <w:r w:rsidR="00E00B63" w:rsidRPr="00E00B63">
        <w:rPr>
          <w:lang w:eastAsia="en-AU"/>
        </w:rPr>
        <w:t xml:space="preserve">proximity </w:t>
      </w:r>
      <w:r w:rsidR="00324BDF">
        <w:rPr>
          <w:lang w:eastAsia="en-AU"/>
        </w:rPr>
        <w:t xml:space="preserve">of ACT SMEs </w:t>
      </w:r>
      <w:r w:rsidR="00E00B63" w:rsidRPr="00E00B63">
        <w:rPr>
          <w:lang w:eastAsia="en-AU"/>
        </w:rPr>
        <w:t>to most challenge agencies. These firms are also more likely to have had some experience working with</w:t>
      </w:r>
      <w:r w:rsidR="009F0F13">
        <w:rPr>
          <w:lang w:eastAsia="en-AU"/>
        </w:rPr>
        <w:t xml:space="preserve"> the Australian </w:t>
      </w:r>
      <w:r w:rsidR="00E00B63" w:rsidRPr="00E00B63">
        <w:rPr>
          <w:lang w:eastAsia="en-AU"/>
        </w:rPr>
        <w:t>government</w:t>
      </w:r>
      <w:r w:rsidR="00690959">
        <w:rPr>
          <w:lang w:eastAsia="en-AU"/>
        </w:rPr>
        <w:t xml:space="preserve"> prior to application</w:t>
      </w:r>
      <w:r w:rsidR="00E00B63" w:rsidRPr="00E00B63">
        <w:rPr>
          <w:lang w:eastAsia="en-AU"/>
        </w:rPr>
        <w:t>.</w:t>
      </w:r>
      <w:r w:rsidR="00EE13B3">
        <w:rPr>
          <w:lang w:eastAsia="en-AU"/>
        </w:rPr>
        <w:t xml:space="preserve"> </w:t>
      </w:r>
      <w:r w:rsidR="00EE13B3">
        <w:rPr>
          <w:lang w:eastAsia="en-AU"/>
        </w:rPr>
        <w:fldChar w:fldCharType="begin"/>
      </w:r>
      <w:r w:rsidR="00EE13B3">
        <w:rPr>
          <w:lang w:eastAsia="en-AU"/>
        </w:rPr>
        <w:instrText xml:space="preserve"> REF _Ref75511785 \h </w:instrText>
      </w:r>
      <w:r w:rsidR="00EE13B3">
        <w:rPr>
          <w:lang w:eastAsia="en-AU"/>
        </w:rPr>
      </w:r>
      <w:r w:rsidR="00EE13B3">
        <w:rPr>
          <w:lang w:eastAsia="en-AU"/>
        </w:rPr>
        <w:fldChar w:fldCharType="separate"/>
      </w:r>
      <w:r w:rsidR="00AE607F">
        <w:t xml:space="preserve">Figure </w:t>
      </w:r>
      <w:r w:rsidR="00AE607F">
        <w:rPr>
          <w:noProof/>
        </w:rPr>
        <w:t>13</w:t>
      </w:r>
      <w:r w:rsidR="00EE13B3">
        <w:rPr>
          <w:lang w:eastAsia="en-AU"/>
        </w:rPr>
        <w:fldChar w:fldCharType="end"/>
      </w:r>
      <w:r w:rsidR="00F015A4">
        <w:rPr>
          <w:lang w:eastAsia="en-AU"/>
        </w:rPr>
        <w:t xml:space="preserve"> </w:t>
      </w:r>
      <w:r w:rsidR="00C45BF0">
        <w:rPr>
          <w:lang w:eastAsia="en-AU"/>
        </w:rPr>
        <w:t xml:space="preserve">provides data on the </w:t>
      </w:r>
      <w:r w:rsidR="00DF228B">
        <w:rPr>
          <w:lang w:eastAsia="en-AU"/>
        </w:rPr>
        <w:t>geography of BRII applicants.</w:t>
      </w:r>
    </w:p>
    <w:p w14:paraId="0518A817" w14:textId="14586407" w:rsidR="004B2002" w:rsidRDefault="00AC4BBE" w:rsidP="00CF7DDF">
      <w:pPr>
        <w:pStyle w:val="Caption"/>
      </w:pPr>
      <w:bookmarkStart w:id="48" w:name="_Ref75511785"/>
      <w:r>
        <w:t xml:space="preserve">Figure </w:t>
      </w:r>
      <w:r>
        <w:fldChar w:fldCharType="begin"/>
      </w:r>
      <w:r>
        <w:instrText xml:space="preserve"> SEQ Figure \* ARABIC </w:instrText>
      </w:r>
      <w:r>
        <w:fldChar w:fldCharType="separate"/>
      </w:r>
      <w:r w:rsidR="00870ADB">
        <w:rPr>
          <w:noProof/>
        </w:rPr>
        <w:t>14</w:t>
      </w:r>
      <w:r>
        <w:fldChar w:fldCharType="end"/>
      </w:r>
      <w:bookmarkEnd w:id="48"/>
      <w:r>
        <w:t xml:space="preserve"> | Applica</w:t>
      </w:r>
      <w:r w:rsidR="00E027C2">
        <w:t>tions</w:t>
      </w:r>
      <w:r>
        <w:t xml:space="preserve"> by registered head office location</w:t>
      </w:r>
      <w:r w:rsidR="000F1AC5">
        <w:rPr>
          <w:rStyle w:val="FootnoteReference"/>
        </w:rPr>
        <w:footnoteReference w:id="26"/>
      </w:r>
    </w:p>
    <w:p w14:paraId="50C8C135" w14:textId="5E39FF18" w:rsidR="008E02D3" w:rsidRPr="008E02D3" w:rsidRDefault="009C2F32" w:rsidP="008E02D3">
      <w:r w:rsidRPr="009C2F32">
        <w:rPr>
          <w:noProof/>
          <w:lang w:eastAsia="en-AU"/>
        </w:rPr>
        <w:drawing>
          <wp:inline distT="0" distB="0" distL="0" distR="0" wp14:anchorId="5A88E7EE" wp14:editId="182BF419">
            <wp:extent cx="5670550" cy="3123565"/>
            <wp:effectExtent l="0" t="0" r="6350" b="635"/>
            <wp:docPr id="50" name="Picture 50" descr="60% of applicants come from New South Wales and Victoria. ACT SMEs are slightly overrepresented in the applicant pool.&#10;Jurisdiction, New South Wales. Applications, 188. Percentage of applications, 34%. Percentage difference, 0%.&#10;Jurisdiction, Victoria. Applications, 156. Percentage of applications, 28%. Percentage difference, 1%.&#10;Jurisdiction, Queensland. Applications, 85. Percentage of applications, 15%. Percentage difference, negative 4%.&#10;Jurisdiction, Western Australia. Applications, forty 4. Percentage of applications, 9. Percentage difference, negative 1.&#10;Jurisdiction, ACT. Applications, 7. Percentage of applications, 7. Percentage difference, 6.&#10;Jurisdiction, South Australia. Applications, thirty 1. Percentage of applications, 6. Percentage difference, negative 1.&#10;Jurisdiction, Tasmania. Applications, 7. Percentage of applications, 1. Percentage difference, 0.&#10;Jurisdiction, New South Wales. Applications, 1. Percentage of applications, 0. Percentage differenc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60% of applicants come from New South Wales and Victoria. ACT SMEs are slightly overrepresented in the applicant pool.&#10;Jurisdiction, New South Wales. Applications, 188. Percentage of applications, 34%. Percentage difference, 0%.&#10;Jurisdiction, Victoria. Applications, 156. Percentage of applications, 28%. Percentage difference, 1%.&#10;Jurisdiction, Queensland. Applications, 85. Percentage of applications, 15%. Percentage difference, negative 4%.&#10;Jurisdiction, Western Australia. Applications, forty 4. Percentage of applications, 9. Percentage difference, negative 1.&#10;Jurisdiction, ACT. Applications, 7. Percentage of applications, 7. Percentage difference, 6.&#10;Jurisdiction, South Australia. Applications, thirty 1. Percentage of applications, 6. Percentage difference, negative 1.&#10;Jurisdiction, Tasmania. Applications, 7. Percentage of applications, 1. Percentage difference, 0.&#10;Jurisdiction, New South Wales. Applications, 1. Percentage of applications, 0. Percentage difference, 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70550" cy="3123565"/>
                    </a:xfrm>
                    <a:prstGeom prst="rect">
                      <a:avLst/>
                    </a:prstGeom>
                    <a:noFill/>
                    <a:ln>
                      <a:noFill/>
                    </a:ln>
                  </pic:spPr>
                </pic:pic>
              </a:graphicData>
            </a:graphic>
          </wp:inline>
        </w:drawing>
      </w:r>
    </w:p>
    <w:p w14:paraId="2AB629A3" w14:textId="0DA5AF72" w:rsidR="00823537" w:rsidRPr="008E02D3" w:rsidRDefault="00823537" w:rsidP="00823537">
      <w:pPr>
        <w:pStyle w:val="Source"/>
      </w:pPr>
      <w:r>
        <w:t>Source: BRII administrative data</w:t>
      </w:r>
    </w:p>
    <w:p w14:paraId="475F5348" w14:textId="3FE96824" w:rsidR="00936DC8" w:rsidRDefault="00E37CD2">
      <w:pPr>
        <w:pStyle w:val="Heading2"/>
      </w:pPr>
      <w:bookmarkStart w:id="49" w:name="_Ref75266261"/>
      <w:bookmarkStart w:id="50" w:name="_Toc124435148"/>
      <w:r w:rsidRPr="00E37CD2">
        <w:t xml:space="preserve">The BRII has partnered with many diverse agencies on a range of </w:t>
      </w:r>
      <w:r w:rsidR="0093347B" w:rsidRPr="001E76C2">
        <w:t>difficult</w:t>
      </w:r>
      <w:r w:rsidRPr="00E37CD2">
        <w:t xml:space="preserve"> problems</w:t>
      </w:r>
      <w:bookmarkEnd w:id="49"/>
      <w:bookmarkEnd w:id="50"/>
    </w:p>
    <w:p w14:paraId="174246D4" w14:textId="19A0640B" w:rsidR="00AE7CC6" w:rsidRPr="00DE14EE" w:rsidRDefault="00AE7CC6" w:rsidP="00EA4234">
      <w:pPr>
        <w:pStyle w:val="Heading3"/>
      </w:pPr>
      <w:r w:rsidRPr="00DE14EE">
        <w:t>The BRII challenge agencies are many and varied</w:t>
      </w:r>
      <w:r w:rsidR="00E7120C" w:rsidRPr="00DE14EE">
        <w:t>.</w:t>
      </w:r>
    </w:p>
    <w:p w14:paraId="7B8534D2" w14:textId="2C434E7A" w:rsidR="006513B9" w:rsidRDefault="00BC7034" w:rsidP="00755750">
      <w:pPr>
        <w:rPr>
          <w:lang w:eastAsia="en-AU"/>
        </w:rPr>
      </w:pPr>
      <w:r>
        <w:rPr>
          <w:lang w:eastAsia="en-AU"/>
        </w:rPr>
        <w:t>Fourteen</w:t>
      </w:r>
      <w:r w:rsidR="00AE7CC6" w:rsidRPr="00AE7CC6">
        <w:rPr>
          <w:lang w:eastAsia="en-AU"/>
        </w:rPr>
        <w:t xml:space="preserve"> different Australian Government </w:t>
      </w:r>
      <w:r w:rsidR="00EE4E84">
        <w:rPr>
          <w:lang w:eastAsia="en-AU"/>
        </w:rPr>
        <w:t xml:space="preserve">agencies </w:t>
      </w:r>
      <w:r w:rsidR="00AE7CC6" w:rsidRPr="00AE7CC6">
        <w:rPr>
          <w:lang w:eastAsia="en-AU"/>
        </w:rPr>
        <w:t xml:space="preserve">have participated in the BRII </w:t>
      </w:r>
      <w:r w:rsidR="00E5765D">
        <w:rPr>
          <w:lang w:eastAsia="en-AU"/>
        </w:rPr>
        <w:t>as challenge agencies</w:t>
      </w:r>
      <w:r w:rsidR="00AE7CC6" w:rsidRPr="00AE7CC6">
        <w:rPr>
          <w:lang w:eastAsia="en-AU"/>
        </w:rPr>
        <w:t xml:space="preserve"> (excluding round four</w:t>
      </w:r>
      <w:r w:rsidR="001E60A8">
        <w:rPr>
          <w:lang w:eastAsia="en-AU"/>
        </w:rPr>
        <w:t>, which was not considered in the scope of this evaluation</w:t>
      </w:r>
      <w:r w:rsidR="00AE7CC6" w:rsidRPr="00AE7CC6">
        <w:rPr>
          <w:lang w:eastAsia="en-AU"/>
        </w:rPr>
        <w:t xml:space="preserve">). </w:t>
      </w:r>
      <w:r w:rsidR="00E5765D">
        <w:rPr>
          <w:lang w:eastAsia="en-AU"/>
        </w:rPr>
        <w:t xml:space="preserve">Challenge agencies </w:t>
      </w:r>
      <w:r w:rsidR="00692AB4">
        <w:rPr>
          <w:lang w:eastAsia="en-AU"/>
        </w:rPr>
        <w:t xml:space="preserve">are </w:t>
      </w:r>
      <w:r w:rsidR="00297699">
        <w:rPr>
          <w:lang w:eastAsia="en-AU"/>
        </w:rPr>
        <w:t>government bodies</w:t>
      </w:r>
      <w:r w:rsidR="0040334C">
        <w:rPr>
          <w:lang w:eastAsia="en-AU"/>
        </w:rPr>
        <w:t xml:space="preserve"> who propose challenges through </w:t>
      </w:r>
      <w:r w:rsidR="00080326">
        <w:rPr>
          <w:lang w:eastAsia="en-AU"/>
        </w:rPr>
        <w:t>the</w:t>
      </w:r>
      <w:r w:rsidR="0040334C">
        <w:rPr>
          <w:lang w:eastAsia="en-AU"/>
        </w:rPr>
        <w:t xml:space="preserve"> BRII</w:t>
      </w:r>
      <w:r w:rsidR="00013BF4">
        <w:rPr>
          <w:lang w:eastAsia="en-AU"/>
        </w:rPr>
        <w:t xml:space="preserve"> and co-design solutions with successful SMEs.</w:t>
      </w:r>
    </w:p>
    <w:p w14:paraId="730B1E44" w14:textId="1BBADA99" w:rsidR="00275140" w:rsidRDefault="00791BF6" w:rsidP="00755750">
      <w:pPr>
        <w:rPr>
          <w:lang w:eastAsia="en-AU"/>
        </w:rPr>
      </w:pPr>
      <w:r>
        <w:rPr>
          <w:lang w:eastAsia="en-AU"/>
        </w:rPr>
        <w:lastRenderedPageBreak/>
        <w:t xml:space="preserve">There was a good spread of agencies across </w:t>
      </w:r>
      <w:r w:rsidR="00586EAA">
        <w:rPr>
          <w:lang w:eastAsia="en-AU"/>
        </w:rPr>
        <w:t>policy, operational, regulatory and specialist agencies</w:t>
      </w:r>
      <w:r w:rsidR="00B035A6">
        <w:rPr>
          <w:lang w:eastAsia="en-AU"/>
        </w:rPr>
        <w:t xml:space="preserve"> (see </w:t>
      </w:r>
      <w:r w:rsidR="00B035A6">
        <w:rPr>
          <w:lang w:eastAsia="en-AU"/>
        </w:rPr>
        <w:fldChar w:fldCharType="begin"/>
      </w:r>
      <w:r w:rsidR="00B035A6">
        <w:rPr>
          <w:lang w:eastAsia="en-AU"/>
        </w:rPr>
        <w:instrText xml:space="preserve"> REF _Ref79505047 \h </w:instrText>
      </w:r>
      <w:r w:rsidR="00B035A6">
        <w:rPr>
          <w:lang w:eastAsia="en-AU"/>
        </w:rPr>
      </w:r>
      <w:r w:rsidR="00B035A6">
        <w:rPr>
          <w:lang w:eastAsia="en-AU"/>
        </w:rPr>
        <w:fldChar w:fldCharType="separate"/>
      </w:r>
      <w:r w:rsidR="00AE607F">
        <w:t xml:space="preserve">Figure </w:t>
      </w:r>
      <w:r w:rsidR="00AE607F">
        <w:rPr>
          <w:noProof/>
        </w:rPr>
        <w:t>14</w:t>
      </w:r>
      <w:r w:rsidR="00B035A6">
        <w:rPr>
          <w:lang w:eastAsia="en-AU"/>
        </w:rPr>
        <w:fldChar w:fldCharType="end"/>
      </w:r>
      <w:r w:rsidR="00B035A6">
        <w:rPr>
          <w:lang w:eastAsia="en-AU"/>
        </w:rPr>
        <w:t>)</w:t>
      </w:r>
      <w:r w:rsidR="00586EAA">
        <w:rPr>
          <w:lang w:eastAsia="en-AU"/>
        </w:rPr>
        <w:t xml:space="preserve">. Round three saw </w:t>
      </w:r>
      <w:r w:rsidR="00EE4E84">
        <w:rPr>
          <w:lang w:eastAsia="en-AU"/>
        </w:rPr>
        <w:t>four</w:t>
      </w:r>
      <w:r w:rsidR="00586EAA">
        <w:rPr>
          <w:lang w:eastAsia="en-AU"/>
        </w:rPr>
        <w:t xml:space="preserve"> corporate commonwealth </w:t>
      </w:r>
      <w:r w:rsidR="00804F27">
        <w:rPr>
          <w:lang w:eastAsia="en-AU"/>
        </w:rPr>
        <w:t>entities</w:t>
      </w:r>
      <w:r w:rsidR="00997E4A">
        <w:rPr>
          <w:lang w:eastAsia="en-AU"/>
        </w:rPr>
        <w:t xml:space="preserve"> participate in the BRII. </w:t>
      </w:r>
      <w:r w:rsidR="00AE7CC6" w:rsidRPr="00AE7CC6">
        <w:rPr>
          <w:lang w:eastAsia="en-AU"/>
        </w:rPr>
        <w:t>Two agencies – the Department of Agriculture, Water and the Environment (DAWE) and the DSS – have completed multiple challenges</w:t>
      </w:r>
      <w:r w:rsidR="00BC7034">
        <w:rPr>
          <w:lang w:eastAsia="en-AU"/>
        </w:rPr>
        <w:t>. O</w:t>
      </w:r>
      <w:r w:rsidR="00AE7CC6" w:rsidRPr="00AE7CC6">
        <w:rPr>
          <w:lang w:eastAsia="en-AU"/>
        </w:rPr>
        <w:t>nly DAWE</w:t>
      </w:r>
      <w:r w:rsidR="000275C7">
        <w:rPr>
          <w:lang w:eastAsia="en-AU"/>
        </w:rPr>
        <w:t xml:space="preserve"> (and its predecessor </w:t>
      </w:r>
      <w:r w:rsidR="009A5865">
        <w:rPr>
          <w:lang w:eastAsia="en-AU"/>
        </w:rPr>
        <w:t>departments)</w:t>
      </w:r>
      <w:r w:rsidR="00AE7CC6" w:rsidRPr="00AE7CC6">
        <w:rPr>
          <w:lang w:eastAsia="en-AU"/>
        </w:rPr>
        <w:t xml:space="preserve"> has participated in </w:t>
      </w:r>
      <w:r w:rsidR="009B6C35">
        <w:rPr>
          <w:lang w:eastAsia="en-AU"/>
        </w:rPr>
        <w:t>different</w:t>
      </w:r>
      <w:r w:rsidR="00AE7CC6" w:rsidRPr="00AE7CC6">
        <w:rPr>
          <w:lang w:eastAsia="en-AU"/>
        </w:rPr>
        <w:t xml:space="preserve"> challenge rounds.</w:t>
      </w:r>
    </w:p>
    <w:p w14:paraId="260C9866" w14:textId="23D51419" w:rsidR="001526A0" w:rsidRDefault="00AE7CC6" w:rsidP="00755750">
      <w:pPr>
        <w:rPr>
          <w:lang w:eastAsia="en-AU"/>
        </w:rPr>
      </w:pPr>
      <w:r w:rsidRPr="00AE7CC6">
        <w:rPr>
          <w:lang w:eastAsia="en-AU"/>
        </w:rPr>
        <w:t>Challenge agencies vary in their function and typically have relatively small operating budgets, indicating that participation in the BRII is attractive for funding-constrained agencies.</w:t>
      </w:r>
    </w:p>
    <w:p w14:paraId="4070D74D" w14:textId="475A4FCA" w:rsidR="00810FFE" w:rsidRDefault="00810FFE" w:rsidP="00810FFE">
      <w:pPr>
        <w:pStyle w:val="Caption"/>
        <w:rPr>
          <w:lang w:eastAsia="en-AU"/>
        </w:rPr>
      </w:pPr>
      <w:bookmarkStart w:id="51" w:name="_Ref79505047"/>
      <w:r>
        <w:t xml:space="preserve">Figure </w:t>
      </w:r>
      <w:r>
        <w:fldChar w:fldCharType="begin"/>
      </w:r>
      <w:r>
        <w:instrText xml:space="preserve"> SEQ Figure \* ARABIC </w:instrText>
      </w:r>
      <w:r>
        <w:fldChar w:fldCharType="separate"/>
      </w:r>
      <w:r w:rsidR="00870ADB">
        <w:rPr>
          <w:noProof/>
        </w:rPr>
        <w:t>15</w:t>
      </w:r>
      <w:r>
        <w:fldChar w:fldCharType="end"/>
      </w:r>
      <w:bookmarkEnd w:id="51"/>
      <w:r>
        <w:t xml:space="preserve"> | </w:t>
      </w:r>
      <w:r w:rsidRPr="00FF62FE">
        <w:t xml:space="preserve">Summary of </w:t>
      </w:r>
      <w:r w:rsidR="009A7111">
        <w:t xml:space="preserve">successful </w:t>
      </w:r>
      <w:r w:rsidRPr="00FF62FE">
        <w:t>BRII challenge agencies</w:t>
      </w:r>
    </w:p>
    <w:p w14:paraId="6C88EEEE" w14:textId="55F29A04" w:rsidR="0020053C" w:rsidRDefault="00D927AB" w:rsidP="0020053C">
      <w:r w:rsidRPr="00D927AB">
        <w:rPr>
          <w:noProof/>
        </w:rPr>
        <w:drawing>
          <wp:inline distT="0" distB="0" distL="0" distR="0" wp14:anchorId="78EEE478" wp14:editId="1C054F0D">
            <wp:extent cx="5670550" cy="3996690"/>
            <wp:effectExtent l="0" t="0" r="6350" b="3810"/>
            <wp:docPr id="60" name="Picture 60" descr="Policy agencies. Department of Agriculture, Water and the Environment, round 1, 2 times and round 2. Department of Industry, Science, Energy and Resources, round 1. Department of Social Services, round 1, 2 times.&#10;Operational agencies. Digital Transformation Agency, round 2. Services Australia (formerly Department of Human Services), round 2.&#10;Regulatory agencies. Australian Transaction Reports and Analysis Centre (AUSTRAC), round 1. National Offshore Petroleum Safety And Environmental Management Authority, round 3. &#10;Specialist agencies. Australian Trade and Investment Commission (AUSTRADE), round 2. National Archives of Australia, round 2. &#10;Corporate Commonwealth entity. Australian Institute of Marine Science, round 3. Australian Renewable Energy Agency, round 3. Cotton Research and Development Corporation, round 3. Grain Research and Development Corporation, roun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Policy agencies. Department of Agriculture, Water and the Environment, round 1, 2 times and round 2. Department of Industry, Science, Energy and Resources, round 1. Department of Social Services, round 1, 2 times.&#10;Operational agencies. Digital Transformation Agency, round 2. Services Australia (formerly Department of Human Services), round 2.&#10;Regulatory agencies. Australian Transaction Reports and Analysis Centre (AUSTRAC), round 1. National Offshore Petroleum Safety And Environmental Management Authority, round 3. &#10;Specialist agencies. Australian Trade and Investment Commission (AUSTRADE), round 2. National Archives of Australia, round 2. &#10;Corporate Commonwealth entity. Australian Institute of Marine Science, round 3. Australian Renewable Energy Agency, round 3. Cotton Research and Development Corporation, round 3. Grain Research and Development Corporation, round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70550" cy="3996690"/>
                    </a:xfrm>
                    <a:prstGeom prst="rect">
                      <a:avLst/>
                    </a:prstGeom>
                    <a:noFill/>
                    <a:ln>
                      <a:noFill/>
                    </a:ln>
                  </pic:spPr>
                </pic:pic>
              </a:graphicData>
            </a:graphic>
          </wp:inline>
        </w:drawing>
      </w:r>
    </w:p>
    <w:p w14:paraId="540FDBFB" w14:textId="300C6F18" w:rsidR="00823537" w:rsidRPr="0073750A" w:rsidRDefault="00823537" w:rsidP="00823537">
      <w:pPr>
        <w:pStyle w:val="Source"/>
      </w:pPr>
      <w:r>
        <w:t>Source: BRII administrative data</w:t>
      </w:r>
      <w:r w:rsidR="0021753E">
        <w:t>, Australian Public Service Commission</w:t>
      </w:r>
      <w:r w:rsidR="00D314D2">
        <w:t xml:space="preserve"> </w:t>
      </w:r>
      <w:r w:rsidR="0021753E">
        <w:t>APS Agencies – size and function</w:t>
      </w:r>
    </w:p>
    <w:p w14:paraId="18F499AD" w14:textId="77777777" w:rsidR="00F679CC" w:rsidRPr="00EA4234" w:rsidRDefault="00F679CC" w:rsidP="00EA4234">
      <w:pPr>
        <w:pStyle w:val="Heading3"/>
      </w:pPr>
      <w:r w:rsidRPr="00EA4234">
        <w:t>The BRII challenges address a range of difficult problems.</w:t>
      </w:r>
    </w:p>
    <w:p w14:paraId="7AB848CD" w14:textId="2BF94D1E" w:rsidR="00F679CC" w:rsidRDefault="00F679CC" w:rsidP="00F679CC">
      <w:pPr>
        <w:rPr>
          <w:lang w:eastAsia="en-AU"/>
        </w:rPr>
      </w:pPr>
      <w:r w:rsidRPr="008D4299">
        <w:rPr>
          <w:lang w:eastAsia="en-AU"/>
        </w:rPr>
        <w:t xml:space="preserve">The challenges are drawn from diverse areas, with agriculture and environment the most common (see </w:t>
      </w:r>
      <w:r w:rsidR="00DF5E7D">
        <w:rPr>
          <w:lang w:eastAsia="en-AU"/>
        </w:rPr>
        <w:fldChar w:fldCharType="begin"/>
      </w:r>
      <w:r w:rsidR="00DF5E7D">
        <w:rPr>
          <w:lang w:eastAsia="en-AU"/>
        </w:rPr>
        <w:instrText xml:space="preserve"> REF _Ref79402373 \h </w:instrText>
      </w:r>
      <w:r w:rsidR="00DF5E7D">
        <w:rPr>
          <w:lang w:eastAsia="en-AU"/>
        </w:rPr>
      </w:r>
      <w:r w:rsidR="00DF5E7D">
        <w:rPr>
          <w:lang w:eastAsia="en-AU"/>
        </w:rPr>
        <w:fldChar w:fldCharType="separate"/>
      </w:r>
      <w:r w:rsidR="00AE607F">
        <w:t xml:space="preserve">Figure </w:t>
      </w:r>
      <w:r w:rsidR="00AE607F">
        <w:rPr>
          <w:noProof/>
        </w:rPr>
        <w:t>15</w:t>
      </w:r>
      <w:r w:rsidR="00DF5E7D">
        <w:rPr>
          <w:lang w:eastAsia="en-AU"/>
        </w:rPr>
        <w:fldChar w:fldCharType="end"/>
      </w:r>
      <w:r w:rsidRPr="008D4299">
        <w:rPr>
          <w:lang w:eastAsia="en-AU"/>
        </w:rPr>
        <w:t>).</w:t>
      </w:r>
      <w:r>
        <w:rPr>
          <w:lang w:eastAsia="en-AU"/>
        </w:rPr>
        <w:t xml:space="preserve"> </w:t>
      </w:r>
      <w:r w:rsidR="002923F7">
        <w:rPr>
          <w:lang w:eastAsia="en-AU"/>
        </w:rPr>
        <w:t xml:space="preserve">Round three </w:t>
      </w:r>
      <w:r w:rsidRPr="008D4299">
        <w:rPr>
          <w:lang w:eastAsia="en-AU"/>
        </w:rPr>
        <w:t>(also known as the priority sectors round) was the first to focus on a particular subset of ‘priority</w:t>
      </w:r>
      <w:r>
        <w:rPr>
          <w:lang w:eastAsia="en-AU"/>
        </w:rPr>
        <w:t xml:space="preserve"> sector</w:t>
      </w:r>
      <w:r w:rsidRPr="008D4299">
        <w:rPr>
          <w:lang w:eastAsia="en-AU"/>
        </w:rPr>
        <w:t>’ challenge</w:t>
      </w:r>
      <w:r>
        <w:rPr>
          <w:lang w:eastAsia="en-AU"/>
        </w:rPr>
        <w:t>s</w:t>
      </w:r>
      <w:r w:rsidR="00F15C61">
        <w:rPr>
          <w:lang w:eastAsia="en-AU"/>
        </w:rPr>
        <w:t xml:space="preserve">. The </w:t>
      </w:r>
      <w:r w:rsidR="002923F7">
        <w:rPr>
          <w:lang w:eastAsia="en-AU"/>
        </w:rPr>
        <w:t xml:space="preserve">priority </w:t>
      </w:r>
      <w:r w:rsidR="00E0067E">
        <w:rPr>
          <w:lang w:eastAsia="en-AU"/>
        </w:rPr>
        <w:t xml:space="preserve">areas included </w:t>
      </w:r>
      <w:r w:rsidRPr="007A1750">
        <w:rPr>
          <w:lang w:eastAsia="en-AU"/>
        </w:rPr>
        <w:t>oceans, soil and water quality and technologies advancing recycling</w:t>
      </w:r>
      <w:r>
        <w:rPr>
          <w:lang w:eastAsia="en-AU"/>
        </w:rPr>
        <w:t xml:space="preserve">. This is the major driver of the relatively large proportion of Agriculture &amp; Environment projects (six challenges, $7.6 million). </w:t>
      </w:r>
    </w:p>
    <w:p w14:paraId="16104D3F" w14:textId="74F79ADB" w:rsidR="00185014" w:rsidRDefault="00185014" w:rsidP="00185014">
      <w:pPr>
        <w:pStyle w:val="Caption"/>
        <w:spacing w:after="0"/>
        <w:rPr>
          <w:lang w:eastAsia="en-AU"/>
        </w:rPr>
      </w:pPr>
      <w:r>
        <w:lastRenderedPageBreak/>
        <w:t xml:space="preserve">Figure </w:t>
      </w:r>
      <w:r>
        <w:fldChar w:fldCharType="begin"/>
      </w:r>
      <w:r>
        <w:instrText xml:space="preserve"> SEQ Figure \* ARABIC </w:instrText>
      </w:r>
      <w:r>
        <w:fldChar w:fldCharType="separate"/>
      </w:r>
      <w:r>
        <w:rPr>
          <w:noProof/>
        </w:rPr>
        <w:t>16</w:t>
      </w:r>
      <w:r>
        <w:fldChar w:fldCharType="end"/>
      </w:r>
      <w:r>
        <w:t xml:space="preserve"> | Summary of BRII challenge sectors</w:t>
      </w:r>
    </w:p>
    <w:p w14:paraId="0ACDE134" w14:textId="633CBBB0" w:rsidR="00F679CC" w:rsidRPr="00D17236" w:rsidRDefault="00F679CC" w:rsidP="00F679CC">
      <w:pPr>
        <w:pStyle w:val="Caption"/>
        <w:spacing w:after="0"/>
        <w:rPr>
          <w:lang w:eastAsia="en-AU"/>
        </w:rPr>
      </w:pPr>
      <w:bookmarkStart w:id="52" w:name="_Ref79402373"/>
      <w:r w:rsidRPr="00B81F64">
        <w:rPr>
          <w:noProof/>
          <w:lang w:eastAsia="en-AU"/>
        </w:rPr>
        <w:drawing>
          <wp:inline distT="0" distB="0" distL="0" distR="0" wp14:anchorId="565F52AE" wp14:editId="0C2CAB5B">
            <wp:extent cx="5670550" cy="2352040"/>
            <wp:effectExtent l="0" t="0" r="6350" b="0"/>
            <wp:docPr id="69" name="Picture 69" descr="AGRICULTURE &amp; ENVIRONMENT, 7 point 6 million dollars of funding, 6 challenges. &#10;DATA &amp; DIGITAL, 2 point 5 million dollars of funding, 2 challenges.&#10;ENERGY, 0 point 9 million dollars of funding, 2 challenges. HUMAN SERVICES, 2 point 3 million dollars of funding, 2 challenges. INFORMATION MANGEMENT, 4 point 7 million dollars of funding, 2 challenges.&#10;TOURISM, 2 point 4 million dollars of funding, 1 challenge.&#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GRICULTURE &amp; ENVIRONMENT, 7 point 6 million dollars of funding, 6 challenges. &#10;DATA &amp; DIGITAL, 2 point 5 million dollars of funding, 2 challenges.&#10;ENERGY, 0 point 9 million dollars of funding, 2 challenges. HUMAN SERVICES, 2 point 3 million dollars of funding, 2 challenges. INFORMATION MANGEMENT, 4 point 7 million dollars of funding, 2 challenges.&#10;TOURISM, 2 point 4 million dollars of funding, 1 challenge.&#10;&#10;&#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70550" cy="2352040"/>
                    </a:xfrm>
                    <a:prstGeom prst="rect">
                      <a:avLst/>
                    </a:prstGeom>
                    <a:noFill/>
                    <a:ln>
                      <a:noFill/>
                    </a:ln>
                  </pic:spPr>
                </pic:pic>
              </a:graphicData>
            </a:graphic>
          </wp:inline>
        </w:drawing>
      </w:r>
      <w:bookmarkEnd w:id="52"/>
    </w:p>
    <w:p w14:paraId="17453DC4" w14:textId="77777777" w:rsidR="00F679CC" w:rsidRPr="001259D0" w:rsidRDefault="00F679CC" w:rsidP="00F679CC">
      <w:pPr>
        <w:pStyle w:val="Source"/>
      </w:pPr>
      <w:r>
        <w:t>Source: BRII administrative data</w:t>
      </w:r>
    </w:p>
    <w:p w14:paraId="680EC050" w14:textId="77777777" w:rsidR="00F679CC" w:rsidRPr="00F679CC" w:rsidRDefault="00F679CC" w:rsidP="00F679CC">
      <w:pPr>
        <w:rPr>
          <w:lang w:eastAsia="en-AU"/>
        </w:rPr>
      </w:pPr>
    </w:p>
    <w:p w14:paraId="0F993F73" w14:textId="11906B51" w:rsidR="00EF3E77" w:rsidRPr="00EC3F32" w:rsidRDefault="00EC3F32">
      <w:pPr>
        <w:pStyle w:val="Heading1"/>
      </w:pPr>
      <w:bookmarkStart w:id="53" w:name="_Ref79396537"/>
      <w:bookmarkStart w:id="54" w:name="_Toc124435149"/>
      <w:r>
        <w:rPr>
          <w:noProof/>
        </w:rPr>
        <w:lastRenderedPageBreak/>
        <w:drawing>
          <wp:anchor distT="0" distB="0" distL="114300" distR="114300" simplePos="0" relativeHeight="251677184" behindDoc="0" locked="0" layoutInCell="1" allowOverlap="1" wp14:anchorId="71037EAA" wp14:editId="56E23526">
            <wp:simplePos x="0" y="0"/>
            <wp:positionH relativeFrom="margin">
              <wp:posOffset>-985462</wp:posOffset>
            </wp:positionH>
            <wp:positionV relativeFrom="paragraph">
              <wp:posOffset>-785495</wp:posOffset>
            </wp:positionV>
            <wp:extent cx="7626985" cy="1524000"/>
            <wp:effectExtent l="0" t="0" r="0" b="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626985" cy="1524000"/>
                    </a:xfrm>
                    <a:prstGeom prst="rect">
                      <a:avLst/>
                    </a:prstGeom>
                    <a:noFill/>
                  </pic:spPr>
                </pic:pic>
              </a:graphicData>
            </a:graphic>
          </wp:anchor>
        </w:drawing>
      </w:r>
      <w:r w:rsidR="00EF3E77" w:rsidRPr="00EC3F32">
        <w:t>Outcomes and impact</w:t>
      </w:r>
      <w:bookmarkEnd w:id="53"/>
      <w:bookmarkEnd w:id="54"/>
    </w:p>
    <w:p w14:paraId="78B0804D" w14:textId="65698F86" w:rsidR="000170D6" w:rsidRDefault="00A76FDD" w:rsidP="000170D6">
      <w:pPr>
        <w:rPr>
          <w:b/>
          <w:noProof/>
        </w:rPr>
      </w:pPr>
      <w:r>
        <w:rPr>
          <w:b/>
          <w:noProof/>
        </w:rPr>
        <w:drawing>
          <wp:inline distT="0" distB="0" distL="0" distR="0" wp14:anchorId="5834EB71" wp14:editId="5208BDE9">
            <wp:extent cx="5700395" cy="481330"/>
            <wp:effectExtent l="0" t="0" r="0" b="0"/>
            <wp:docPr id="473" name="Picture 473" descr="Summary of fin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Picture 473" descr="Summary of finding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00395" cy="481330"/>
                    </a:xfrm>
                    <a:prstGeom prst="rect">
                      <a:avLst/>
                    </a:prstGeom>
                    <a:noFill/>
                  </pic:spPr>
                </pic:pic>
              </a:graphicData>
            </a:graphic>
          </wp:inline>
        </w:drawing>
      </w:r>
    </w:p>
    <w:p w14:paraId="5A2B482E" w14:textId="77777777" w:rsidR="00A469C5" w:rsidRPr="00A469C5" w:rsidRDefault="00A469C5" w:rsidP="00A469C5">
      <w:pPr>
        <w:pBdr>
          <w:top w:val="single" w:sz="12" w:space="1" w:color="00264D" w:themeColor="background2"/>
          <w:bottom w:val="single" w:sz="12" w:space="1" w:color="00264D" w:themeColor="background2"/>
        </w:pBdr>
        <w:shd w:val="clear" w:color="auto" w:fill="E6E6E1" w:themeFill="accent5"/>
        <w:rPr>
          <w:rFonts w:asciiTheme="majorHAnsi" w:hAnsiTheme="majorHAnsi" w:cstheme="majorHAnsi"/>
        </w:rPr>
      </w:pPr>
      <w:r w:rsidRPr="00A469C5">
        <w:rPr>
          <w:rFonts w:asciiTheme="majorHAnsi" w:hAnsiTheme="majorHAnsi" w:cstheme="majorHAnsi"/>
        </w:rPr>
        <w:fldChar w:fldCharType="begin"/>
      </w:r>
      <w:r w:rsidRPr="00A469C5">
        <w:rPr>
          <w:rFonts w:asciiTheme="majorHAnsi" w:hAnsiTheme="majorHAnsi" w:cstheme="majorHAnsi"/>
        </w:rPr>
        <w:instrText xml:space="preserve"> REF _Ref79330750 \h  \* MERGEFORMAT </w:instrText>
      </w:r>
      <w:r w:rsidRPr="00A469C5">
        <w:rPr>
          <w:rFonts w:asciiTheme="majorHAnsi" w:hAnsiTheme="majorHAnsi" w:cstheme="majorHAnsi"/>
        </w:rPr>
      </w:r>
      <w:r w:rsidRPr="00A469C5">
        <w:rPr>
          <w:rFonts w:asciiTheme="majorHAnsi" w:hAnsiTheme="majorHAnsi" w:cstheme="majorHAnsi"/>
        </w:rPr>
        <w:fldChar w:fldCharType="separate"/>
      </w:r>
      <w:r w:rsidRPr="00A469C5">
        <w:rPr>
          <w:rFonts w:asciiTheme="majorHAnsi" w:hAnsiTheme="majorHAnsi" w:cstheme="majorHAnsi"/>
        </w:rPr>
        <w:t>The BRII has had a positive impact on most participating SMEs</w:t>
      </w:r>
      <w:r w:rsidRPr="00A469C5">
        <w:rPr>
          <w:rFonts w:asciiTheme="majorHAnsi" w:hAnsiTheme="majorHAnsi" w:cstheme="majorHAnsi"/>
        </w:rPr>
        <w:fldChar w:fldCharType="end"/>
      </w:r>
      <w:r w:rsidRPr="00A469C5">
        <w:rPr>
          <w:rFonts w:asciiTheme="majorHAnsi" w:hAnsiTheme="majorHAnsi" w:cstheme="majorHAnsi"/>
        </w:rPr>
        <w:t>.</w:t>
      </w:r>
    </w:p>
    <w:p w14:paraId="497CFEAD" w14:textId="77777777" w:rsidR="00A469C5" w:rsidRPr="00692649" w:rsidRDefault="00A469C5" w:rsidP="00A469C5">
      <w:pPr>
        <w:pStyle w:val="Bullet"/>
        <w:pBdr>
          <w:top w:val="single" w:sz="12" w:space="1" w:color="00264D" w:themeColor="background2"/>
          <w:bottom w:val="single" w:sz="12" w:space="1" w:color="00264D" w:themeColor="background2"/>
        </w:pBdr>
        <w:shd w:val="clear" w:color="auto" w:fill="E6E6E1" w:themeFill="accent5"/>
        <w:rPr>
          <w:rFonts w:asciiTheme="majorHAnsi" w:hAnsiTheme="majorHAnsi" w:cstheme="majorHAnsi"/>
        </w:rPr>
      </w:pPr>
      <w:r w:rsidRPr="003C5E00">
        <w:rPr>
          <w:rFonts w:asciiTheme="majorHAnsi" w:hAnsiTheme="majorHAnsi" w:cstheme="majorHAnsi"/>
          <w:bCs/>
        </w:rPr>
        <w:fldChar w:fldCharType="begin"/>
      </w:r>
      <w:r w:rsidRPr="003C5E00">
        <w:rPr>
          <w:rFonts w:asciiTheme="majorHAnsi" w:hAnsiTheme="majorHAnsi" w:cstheme="majorHAnsi"/>
          <w:bCs/>
        </w:rPr>
        <w:instrText xml:space="preserve"> REF _Ref79330805 \h </w:instrText>
      </w:r>
      <w:r>
        <w:rPr>
          <w:rFonts w:asciiTheme="majorHAnsi" w:hAnsiTheme="majorHAnsi" w:cstheme="majorHAnsi"/>
          <w:bCs/>
        </w:rPr>
        <w:instrText xml:space="preserve"> \* MERGEFORMAT </w:instrText>
      </w:r>
      <w:r w:rsidRPr="003C5E00">
        <w:rPr>
          <w:rFonts w:asciiTheme="majorHAnsi" w:hAnsiTheme="majorHAnsi" w:cstheme="majorHAnsi"/>
          <w:bCs/>
        </w:rPr>
      </w:r>
      <w:r w:rsidRPr="003C5E00">
        <w:rPr>
          <w:rFonts w:asciiTheme="majorHAnsi" w:hAnsiTheme="majorHAnsi" w:cstheme="majorHAnsi"/>
          <w:bCs/>
        </w:rPr>
        <w:fldChar w:fldCharType="separate"/>
      </w:r>
      <w:r w:rsidRPr="00AE607F">
        <w:rPr>
          <w:rFonts w:asciiTheme="majorHAnsi" w:hAnsiTheme="majorHAnsi" w:cstheme="majorHAnsi"/>
        </w:rPr>
        <w:t>The BRII sparked innovation and focused commercial strategy for most participants</w:t>
      </w:r>
      <w:r w:rsidRPr="003C5E00">
        <w:rPr>
          <w:rFonts w:asciiTheme="majorHAnsi" w:hAnsiTheme="majorHAnsi" w:cstheme="majorHAnsi"/>
          <w:bCs/>
        </w:rPr>
        <w:fldChar w:fldCharType="end"/>
      </w:r>
      <w:r>
        <w:rPr>
          <w:rFonts w:asciiTheme="majorHAnsi" w:hAnsiTheme="majorHAnsi" w:cstheme="majorHAnsi"/>
          <w:bCs/>
        </w:rPr>
        <w:t xml:space="preserve">. </w:t>
      </w:r>
      <w:r w:rsidRPr="00481A5F">
        <w:t xml:space="preserve">More than two thirds of the SME survey and interview respondents confirmed that the R&amp;D undertaken during </w:t>
      </w:r>
      <w:r>
        <w:t xml:space="preserve">the </w:t>
      </w:r>
      <w:r w:rsidRPr="00481A5F">
        <w:t>BRII would not have taken place without BRII funding. Half of these SMEs have already begun commercialising the outputs of their BRII projects. Over three quarters are considering commercial opportunities beyond their initial BRII challenge.</w:t>
      </w:r>
    </w:p>
    <w:p w14:paraId="5B431740" w14:textId="77777777" w:rsidR="00A469C5" w:rsidRPr="00692649" w:rsidRDefault="00A469C5" w:rsidP="00A469C5">
      <w:pPr>
        <w:pStyle w:val="Bullet"/>
        <w:pBdr>
          <w:top w:val="single" w:sz="12" w:space="1" w:color="00264D" w:themeColor="background2"/>
          <w:bottom w:val="single" w:sz="12" w:space="1" w:color="00264D" w:themeColor="background2"/>
        </w:pBdr>
        <w:shd w:val="clear" w:color="auto" w:fill="E6E6E1" w:themeFill="accent5"/>
        <w:rPr>
          <w:rFonts w:asciiTheme="majorHAnsi" w:hAnsiTheme="majorHAnsi" w:cstheme="majorHAnsi"/>
        </w:rPr>
      </w:pPr>
      <w:r w:rsidRPr="003C5E00">
        <w:rPr>
          <w:rFonts w:asciiTheme="majorHAnsi" w:hAnsiTheme="majorHAnsi" w:cstheme="majorHAnsi"/>
        </w:rPr>
        <w:fldChar w:fldCharType="begin"/>
      </w:r>
      <w:r w:rsidRPr="003C5E00">
        <w:rPr>
          <w:rFonts w:asciiTheme="majorHAnsi" w:hAnsiTheme="majorHAnsi" w:cstheme="majorHAnsi"/>
        </w:rPr>
        <w:instrText xml:space="preserve"> REF _Ref79330826 \h </w:instrText>
      </w:r>
      <w:r>
        <w:rPr>
          <w:rFonts w:asciiTheme="majorHAnsi" w:hAnsiTheme="majorHAnsi" w:cstheme="majorHAnsi"/>
        </w:rPr>
        <w:instrText xml:space="preserve"> \* MERGEFORMAT </w:instrText>
      </w:r>
      <w:r w:rsidRPr="003C5E00">
        <w:rPr>
          <w:rFonts w:asciiTheme="majorHAnsi" w:hAnsiTheme="majorHAnsi" w:cstheme="majorHAnsi"/>
        </w:rPr>
      </w:r>
      <w:r w:rsidRPr="003C5E00">
        <w:rPr>
          <w:rFonts w:asciiTheme="majorHAnsi" w:hAnsiTheme="majorHAnsi" w:cstheme="majorHAnsi"/>
        </w:rPr>
        <w:fldChar w:fldCharType="separate"/>
      </w:r>
      <w:r w:rsidRPr="00AE607F">
        <w:rPr>
          <w:rFonts w:asciiTheme="majorHAnsi" w:hAnsiTheme="majorHAnsi" w:cstheme="majorHAnsi"/>
        </w:rPr>
        <w:t>The BRII was a catalyst for new partnerships and enhanced SME capability to access national and international markets</w:t>
      </w:r>
      <w:r w:rsidRPr="003C5E00">
        <w:rPr>
          <w:rFonts w:asciiTheme="majorHAnsi" w:hAnsiTheme="majorHAnsi" w:cstheme="majorHAnsi"/>
        </w:rPr>
        <w:fldChar w:fldCharType="end"/>
      </w:r>
      <w:r w:rsidRPr="003C5E00">
        <w:rPr>
          <w:rFonts w:asciiTheme="majorHAnsi" w:hAnsiTheme="majorHAnsi" w:cstheme="majorHAnsi"/>
        </w:rPr>
        <w:t>.</w:t>
      </w:r>
      <w:r>
        <w:rPr>
          <w:rFonts w:asciiTheme="majorHAnsi" w:hAnsiTheme="majorHAnsi" w:cstheme="majorHAnsi"/>
        </w:rPr>
        <w:t xml:space="preserve"> </w:t>
      </w:r>
      <w:r w:rsidRPr="003C14A5">
        <w:t xml:space="preserve">Almost every SME </w:t>
      </w:r>
      <w:r>
        <w:t xml:space="preserve">that participated in the evaluation reported that they </w:t>
      </w:r>
      <w:r w:rsidRPr="003C14A5">
        <w:t xml:space="preserve">entered a new partnership thanks to </w:t>
      </w:r>
      <w:r>
        <w:t xml:space="preserve">the </w:t>
      </w:r>
      <w:r w:rsidRPr="003C14A5">
        <w:t>BRII. More than half felt that the BRII positively influenced their ability to access new markets.</w:t>
      </w:r>
    </w:p>
    <w:p w14:paraId="37DFDB60" w14:textId="77777777" w:rsidR="00A469C5" w:rsidRPr="00692649" w:rsidRDefault="00A469C5" w:rsidP="00A469C5">
      <w:pPr>
        <w:pStyle w:val="Bullet"/>
        <w:pBdr>
          <w:top w:val="single" w:sz="12" w:space="1" w:color="00264D" w:themeColor="background2"/>
          <w:bottom w:val="single" w:sz="12" w:space="1" w:color="00264D" w:themeColor="background2"/>
        </w:pBdr>
        <w:shd w:val="clear" w:color="auto" w:fill="E6E6E1" w:themeFill="accent5"/>
        <w:rPr>
          <w:rFonts w:asciiTheme="majorHAnsi" w:hAnsiTheme="majorHAnsi" w:cstheme="majorHAnsi"/>
        </w:rPr>
      </w:pPr>
      <w:r w:rsidRPr="003C5E00">
        <w:rPr>
          <w:rFonts w:asciiTheme="majorHAnsi" w:hAnsiTheme="majorHAnsi" w:cstheme="majorHAnsi"/>
        </w:rPr>
        <w:fldChar w:fldCharType="begin"/>
      </w:r>
      <w:r w:rsidRPr="003C5E00">
        <w:rPr>
          <w:rFonts w:asciiTheme="majorHAnsi" w:hAnsiTheme="majorHAnsi" w:cstheme="majorHAnsi"/>
        </w:rPr>
        <w:instrText xml:space="preserve"> REF _Ref79330846 \h </w:instrText>
      </w:r>
      <w:r>
        <w:rPr>
          <w:rFonts w:asciiTheme="majorHAnsi" w:hAnsiTheme="majorHAnsi" w:cstheme="majorHAnsi"/>
        </w:rPr>
        <w:instrText xml:space="preserve"> \* MERGEFORMAT </w:instrText>
      </w:r>
      <w:r w:rsidRPr="003C5E00">
        <w:rPr>
          <w:rFonts w:asciiTheme="majorHAnsi" w:hAnsiTheme="majorHAnsi" w:cstheme="majorHAnsi"/>
        </w:rPr>
      </w:r>
      <w:r w:rsidRPr="003C5E00">
        <w:rPr>
          <w:rFonts w:asciiTheme="majorHAnsi" w:hAnsiTheme="majorHAnsi" w:cstheme="majorHAnsi"/>
        </w:rPr>
        <w:fldChar w:fldCharType="separate"/>
      </w:r>
      <w:r w:rsidRPr="00AE607F">
        <w:rPr>
          <w:rFonts w:asciiTheme="majorHAnsi" w:hAnsiTheme="majorHAnsi" w:cstheme="majorHAnsi"/>
        </w:rPr>
        <w:t>Participating in the BRII has enhanced government engagement for many SMEs</w:t>
      </w:r>
      <w:r w:rsidRPr="003C5E00">
        <w:rPr>
          <w:rFonts w:asciiTheme="majorHAnsi" w:hAnsiTheme="majorHAnsi" w:cstheme="majorHAnsi"/>
        </w:rPr>
        <w:fldChar w:fldCharType="end"/>
      </w:r>
      <w:r>
        <w:rPr>
          <w:rFonts w:asciiTheme="majorHAnsi" w:hAnsiTheme="majorHAnsi" w:cstheme="majorHAnsi"/>
        </w:rPr>
        <w:t xml:space="preserve">. </w:t>
      </w:r>
      <w:r w:rsidRPr="00751473">
        <w:t>Half of the SME survey respondents had very little or no prior engagement with Australian Government clients</w:t>
      </w:r>
      <w:r>
        <w:t xml:space="preserve">. Most of the same respondents </w:t>
      </w:r>
      <w:r w:rsidRPr="00751473">
        <w:t xml:space="preserve">felt that the BRII had increased their capacity to </w:t>
      </w:r>
      <w:r>
        <w:t>engage with government</w:t>
      </w:r>
      <w:r w:rsidRPr="00751473">
        <w:t>.</w:t>
      </w:r>
    </w:p>
    <w:p w14:paraId="21EFC5A6" w14:textId="77777777" w:rsidR="00A469C5" w:rsidRPr="002F3F6E" w:rsidRDefault="00A469C5" w:rsidP="00A469C5">
      <w:pPr>
        <w:pStyle w:val="Bullet"/>
        <w:pBdr>
          <w:top w:val="single" w:sz="12" w:space="1" w:color="00264D" w:themeColor="background2"/>
          <w:bottom w:val="single" w:sz="12" w:space="1" w:color="00264D" w:themeColor="background2"/>
        </w:pBdr>
        <w:shd w:val="clear" w:color="auto" w:fill="E6E6E1" w:themeFill="accent5"/>
        <w:rPr>
          <w:rFonts w:asciiTheme="majorHAnsi" w:hAnsiTheme="majorHAnsi" w:cstheme="majorHAnsi"/>
        </w:rPr>
      </w:pPr>
      <w:r w:rsidRPr="00FC4C5D">
        <w:rPr>
          <w:rFonts w:asciiTheme="majorHAnsi" w:hAnsiTheme="majorHAnsi" w:cstheme="majorHAnsi"/>
          <w:bCs/>
        </w:rPr>
        <w:fldChar w:fldCharType="begin"/>
      </w:r>
      <w:r w:rsidRPr="00FC4C5D">
        <w:rPr>
          <w:rFonts w:asciiTheme="majorHAnsi" w:hAnsiTheme="majorHAnsi" w:cstheme="majorHAnsi"/>
          <w:bCs/>
        </w:rPr>
        <w:instrText xml:space="preserve"> REF _Ref79330881 \h </w:instrText>
      </w:r>
      <w:r>
        <w:rPr>
          <w:rFonts w:asciiTheme="majorHAnsi" w:hAnsiTheme="majorHAnsi" w:cstheme="majorHAnsi"/>
          <w:bCs/>
        </w:rPr>
        <w:instrText xml:space="preserve"> \* MERGEFORMAT </w:instrText>
      </w:r>
      <w:r w:rsidRPr="00FC4C5D">
        <w:rPr>
          <w:rFonts w:asciiTheme="majorHAnsi" w:hAnsiTheme="majorHAnsi" w:cstheme="majorHAnsi"/>
          <w:bCs/>
        </w:rPr>
      </w:r>
      <w:r w:rsidRPr="00FC4C5D">
        <w:rPr>
          <w:rFonts w:asciiTheme="majorHAnsi" w:hAnsiTheme="majorHAnsi" w:cstheme="majorHAnsi"/>
          <w:bCs/>
        </w:rPr>
        <w:fldChar w:fldCharType="separate"/>
      </w:r>
      <w:r w:rsidRPr="00AE607F">
        <w:rPr>
          <w:rFonts w:asciiTheme="majorHAnsi" w:hAnsiTheme="majorHAnsi" w:cstheme="majorHAnsi"/>
        </w:rPr>
        <w:t>The BRII has had a positive and lasting impact on round one proof of concept SMEs</w:t>
      </w:r>
      <w:r w:rsidRPr="00FC4C5D">
        <w:rPr>
          <w:rFonts w:asciiTheme="majorHAnsi" w:hAnsiTheme="majorHAnsi" w:cstheme="majorHAnsi"/>
          <w:bCs/>
        </w:rPr>
        <w:fldChar w:fldCharType="end"/>
      </w:r>
      <w:r>
        <w:rPr>
          <w:rFonts w:asciiTheme="majorHAnsi" w:hAnsiTheme="majorHAnsi" w:cstheme="majorHAnsi"/>
          <w:bCs/>
        </w:rPr>
        <w:t xml:space="preserve">. </w:t>
      </w:r>
      <w:r w:rsidRPr="005C6EA2">
        <w:t>The BRII increased the turnover of six of the nine SMEs in this group. Five of these SMEs have had their product procured by the challenge agencies, and eight out of nine are exploring additional commercial opportunities.</w:t>
      </w:r>
    </w:p>
    <w:p w14:paraId="067E27A2" w14:textId="77777777" w:rsidR="00A469C5" w:rsidRPr="002F3F6E" w:rsidRDefault="00A469C5" w:rsidP="00A469C5">
      <w:pPr>
        <w:pStyle w:val="Bullet"/>
        <w:pBdr>
          <w:top w:val="single" w:sz="12" w:space="1" w:color="00264D" w:themeColor="background2"/>
          <w:bottom w:val="single" w:sz="12" w:space="1" w:color="00264D" w:themeColor="background2"/>
        </w:pBdr>
        <w:shd w:val="clear" w:color="auto" w:fill="E6E6E1" w:themeFill="accent5"/>
        <w:rPr>
          <w:rFonts w:asciiTheme="majorHAnsi" w:hAnsiTheme="majorHAnsi" w:cstheme="majorHAnsi"/>
          <w:bCs/>
        </w:rPr>
      </w:pPr>
      <w:r w:rsidRPr="00FC4C5D">
        <w:rPr>
          <w:rFonts w:asciiTheme="majorHAnsi" w:hAnsiTheme="majorHAnsi" w:cstheme="majorHAnsi"/>
          <w:bCs/>
        </w:rPr>
        <w:fldChar w:fldCharType="begin"/>
      </w:r>
      <w:r w:rsidRPr="00FC4C5D">
        <w:rPr>
          <w:rFonts w:asciiTheme="majorHAnsi" w:hAnsiTheme="majorHAnsi" w:cstheme="majorHAnsi"/>
          <w:bCs/>
        </w:rPr>
        <w:instrText xml:space="preserve"> REF _Ref79330893 \h </w:instrText>
      </w:r>
      <w:r>
        <w:rPr>
          <w:rFonts w:asciiTheme="majorHAnsi" w:hAnsiTheme="majorHAnsi" w:cstheme="majorHAnsi"/>
          <w:bCs/>
        </w:rPr>
        <w:instrText xml:space="preserve"> \* MERGEFORMAT </w:instrText>
      </w:r>
      <w:r w:rsidRPr="00FC4C5D">
        <w:rPr>
          <w:rFonts w:asciiTheme="majorHAnsi" w:hAnsiTheme="majorHAnsi" w:cstheme="majorHAnsi"/>
          <w:bCs/>
        </w:rPr>
      </w:r>
      <w:r w:rsidRPr="00FC4C5D">
        <w:rPr>
          <w:rFonts w:asciiTheme="majorHAnsi" w:hAnsiTheme="majorHAnsi" w:cstheme="majorHAnsi"/>
          <w:bCs/>
        </w:rPr>
        <w:fldChar w:fldCharType="separate"/>
      </w:r>
      <w:r w:rsidRPr="00AE607F">
        <w:rPr>
          <w:rFonts w:asciiTheme="majorHAnsi" w:hAnsiTheme="majorHAnsi" w:cstheme="majorHAnsi"/>
        </w:rPr>
        <w:t>Round two proof of concept SMEs have a similarly positive outlook</w:t>
      </w:r>
      <w:r w:rsidRPr="00FC4C5D">
        <w:rPr>
          <w:rFonts w:asciiTheme="majorHAnsi" w:hAnsiTheme="majorHAnsi" w:cstheme="majorHAnsi"/>
          <w:bCs/>
        </w:rPr>
        <w:fldChar w:fldCharType="end"/>
      </w:r>
      <w:r w:rsidRPr="00FC4C5D">
        <w:rPr>
          <w:rFonts w:asciiTheme="majorHAnsi" w:hAnsiTheme="majorHAnsi" w:cstheme="majorHAnsi"/>
          <w:bCs/>
        </w:rPr>
        <w:t>.</w:t>
      </w:r>
      <w:r>
        <w:rPr>
          <w:rFonts w:asciiTheme="majorHAnsi" w:hAnsiTheme="majorHAnsi" w:cstheme="majorHAnsi"/>
          <w:bCs/>
        </w:rPr>
        <w:t xml:space="preserve"> </w:t>
      </w:r>
      <w:r w:rsidRPr="00871144">
        <w:t xml:space="preserve">While these projects have only very recently been completed, four of six round two proof of concept SMEs are exploring procurement with their challenge agency. All these SMEs are seeking firm commercial opportunities beyond </w:t>
      </w:r>
      <w:r>
        <w:t xml:space="preserve">the </w:t>
      </w:r>
      <w:r w:rsidRPr="00871144">
        <w:t>BRII.</w:t>
      </w:r>
    </w:p>
    <w:p w14:paraId="30C3196A" w14:textId="77777777" w:rsidR="00A469C5" w:rsidRPr="00A469C5" w:rsidRDefault="00A469C5" w:rsidP="00A469C5">
      <w:pPr>
        <w:pBdr>
          <w:top w:val="single" w:sz="12" w:space="1" w:color="00264D" w:themeColor="background2"/>
          <w:bottom w:val="single" w:sz="12" w:space="1" w:color="00264D" w:themeColor="background2"/>
        </w:pBdr>
        <w:shd w:val="clear" w:color="auto" w:fill="E6E6E1" w:themeFill="accent5"/>
        <w:rPr>
          <w:rFonts w:asciiTheme="majorHAnsi" w:hAnsiTheme="majorHAnsi" w:cstheme="majorHAnsi"/>
        </w:rPr>
      </w:pPr>
      <w:r w:rsidRPr="00A469C5">
        <w:rPr>
          <w:rFonts w:asciiTheme="majorHAnsi" w:hAnsiTheme="majorHAnsi" w:cstheme="majorHAnsi"/>
        </w:rPr>
        <w:fldChar w:fldCharType="begin"/>
      </w:r>
      <w:r w:rsidRPr="00A469C5">
        <w:rPr>
          <w:rFonts w:asciiTheme="majorHAnsi" w:hAnsiTheme="majorHAnsi" w:cstheme="majorHAnsi"/>
        </w:rPr>
        <w:instrText xml:space="preserve"> REF _Ref79330903 \h  \* MERGEFORMAT </w:instrText>
      </w:r>
      <w:r w:rsidRPr="00A469C5">
        <w:rPr>
          <w:rFonts w:asciiTheme="majorHAnsi" w:hAnsiTheme="majorHAnsi" w:cstheme="majorHAnsi"/>
        </w:rPr>
      </w:r>
      <w:r w:rsidRPr="00A469C5">
        <w:rPr>
          <w:rFonts w:asciiTheme="majorHAnsi" w:hAnsiTheme="majorHAnsi" w:cstheme="majorHAnsi"/>
        </w:rPr>
        <w:fldChar w:fldCharType="separate"/>
      </w:r>
      <w:r w:rsidRPr="00A469C5">
        <w:rPr>
          <w:rFonts w:asciiTheme="majorHAnsi" w:hAnsiTheme="majorHAnsi" w:cstheme="majorHAnsi"/>
        </w:rPr>
        <w:t>The BRII delivered significant value for challenge agencies</w:t>
      </w:r>
      <w:r w:rsidRPr="00A469C5">
        <w:rPr>
          <w:rFonts w:asciiTheme="majorHAnsi" w:hAnsiTheme="majorHAnsi" w:cstheme="majorHAnsi"/>
        </w:rPr>
        <w:fldChar w:fldCharType="end"/>
      </w:r>
      <w:r w:rsidRPr="00A469C5">
        <w:rPr>
          <w:rFonts w:asciiTheme="majorHAnsi" w:hAnsiTheme="majorHAnsi" w:cstheme="majorHAnsi"/>
        </w:rPr>
        <w:t>.</w:t>
      </w:r>
    </w:p>
    <w:p w14:paraId="47B2CDC0" w14:textId="77777777" w:rsidR="00A469C5" w:rsidRDefault="00A469C5" w:rsidP="00A469C5">
      <w:pPr>
        <w:pStyle w:val="Bullet"/>
        <w:pBdr>
          <w:top w:val="single" w:sz="12" w:space="1" w:color="00264D" w:themeColor="background2"/>
          <w:bottom w:val="single" w:sz="12" w:space="1" w:color="00264D" w:themeColor="background2"/>
        </w:pBdr>
        <w:shd w:val="clear" w:color="auto" w:fill="E6E6E1" w:themeFill="accent5"/>
      </w:pPr>
      <w:r w:rsidRPr="00DB5123">
        <w:rPr>
          <w:rFonts w:asciiTheme="majorHAnsi" w:hAnsiTheme="majorHAnsi" w:cstheme="majorHAnsi"/>
        </w:rPr>
        <w:fldChar w:fldCharType="begin"/>
      </w:r>
      <w:r w:rsidRPr="00DB5123">
        <w:rPr>
          <w:rFonts w:asciiTheme="majorHAnsi" w:hAnsiTheme="majorHAnsi" w:cstheme="majorHAnsi"/>
        </w:rPr>
        <w:instrText xml:space="preserve"> REF _Ref77839145 \h </w:instrText>
      </w:r>
      <w:r>
        <w:rPr>
          <w:rFonts w:asciiTheme="majorHAnsi" w:hAnsiTheme="majorHAnsi" w:cstheme="majorHAnsi"/>
        </w:rPr>
        <w:instrText xml:space="preserve"> \* MERGEFORMAT </w:instrText>
      </w:r>
      <w:r w:rsidRPr="00DB5123">
        <w:rPr>
          <w:rFonts w:asciiTheme="majorHAnsi" w:hAnsiTheme="majorHAnsi" w:cstheme="majorHAnsi"/>
        </w:rPr>
      </w:r>
      <w:r w:rsidRPr="00DB5123">
        <w:rPr>
          <w:rFonts w:asciiTheme="majorHAnsi" w:hAnsiTheme="majorHAnsi" w:cstheme="majorHAnsi"/>
        </w:rPr>
        <w:fldChar w:fldCharType="separate"/>
      </w:r>
      <w:r w:rsidRPr="00AE607F">
        <w:rPr>
          <w:rFonts w:asciiTheme="majorHAnsi" w:hAnsiTheme="majorHAnsi" w:cstheme="majorHAnsi"/>
        </w:rPr>
        <w:t>The BRII continues to support government innovation</w:t>
      </w:r>
      <w:r w:rsidRPr="00DB5123">
        <w:rPr>
          <w:rFonts w:asciiTheme="majorHAnsi" w:hAnsiTheme="majorHAnsi" w:cstheme="majorHAnsi"/>
        </w:rPr>
        <w:fldChar w:fldCharType="end"/>
      </w:r>
      <w:r w:rsidRPr="002777CC">
        <w:rPr>
          <w:rFonts w:asciiTheme="majorHAnsi" w:hAnsiTheme="majorHAnsi" w:cstheme="majorHAnsi"/>
        </w:rPr>
        <w:t>.</w:t>
      </w:r>
      <w:r>
        <w:rPr>
          <w:rFonts w:asciiTheme="majorHAnsi" w:hAnsiTheme="majorHAnsi" w:cstheme="majorHAnsi"/>
        </w:rPr>
        <w:t xml:space="preserve"> </w:t>
      </w:r>
      <w:r w:rsidRPr="00730A14">
        <w:t xml:space="preserve">Challenge agencies felt their participation in the BRII has created genuine and unique impact for their agency that </w:t>
      </w:r>
      <w:r>
        <w:t>may</w:t>
      </w:r>
      <w:r w:rsidRPr="00730A14">
        <w:t xml:space="preserve"> not have been achievable through conventional procurement. These agencies believed this impact was bolstered by strong support from DISER and the ability to work with multiple SMEs simultaneously.</w:t>
      </w:r>
    </w:p>
    <w:p w14:paraId="318C1B36" w14:textId="77777777" w:rsidR="00A469C5" w:rsidRPr="002777CC" w:rsidRDefault="00A469C5" w:rsidP="00A469C5">
      <w:pPr>
        <w:pStyle w:val="Bullet"/>
        <w:pBdr>
          <w:top w:val="single" w:sz="12" w:space="1" w:color="00264D" w:themeColor="background2"/>
          <w:bottom w:val="single" w:sz="12" w:space="1" w:color="00264D" w:themeColor="background2"/>
        </w:pBdr>
        <w:shd w:val="clear" w:color="auto" w:fill="E6E6E1" w:themeFill="accent5"/>
        <w:rPr>
          <w:rFonts w:asciiTheme="majorHAnsi" w:hAnsiTheme="majorHAnsi" w:cstheme="majorHAnsi"/>
        </w:rPr>
      </w:pPr>
      <w:r w:rsidRPr="00DB5123">
        <w:rPr>
          <w:rFonts w:asciiTheme="majorHAnsi" w:hAnsiTheme="majorHAnsi" w:cstheme="majorHAnsi"/>
        </w:rPr>
        <w:fldChar w:fldCharType="begin"/>
      </w:r>
      <w:r w:rsidRPr="00DB5123">
        <w:rPr>
          <w:rFonts w:asciiTheme="majorHAnsi" w:hAnsiTheme="majorHAnsi" w:cstheme="majorHAnsi"/>
        </w:rPr>
        <w:instrText xml:space="preserve"> REF _Ref79330931 \h </w:instrText>
      </w:r>
      <w:r>
        <w:rPr>
          <w:rFonts w:asciiTheme="majorHAnsi" w:hAnsiTheme="majorHAnsi" w:cstheme="majorHAnsi"/>
        </w:rPr>
        <w:instrText xml:space="preserve"> \* MERGEFORMAT </w:instrText>
      </w:r>
      <w:r w:rsidRPr="00DB5123">
        <w:rPr>
          <w:rFonts w:asciiTheme="majorHAnsi" w:hAnsiTheme="majorHAnsi" w:cstheme="majorHAnsi"/>
        </w:rPr>
      </w:r>
      <w:r w:rsidRPr="00DB5123">
        <w:rPr>
          <w:rFonts w:asciiTheme="majorHAnsi" w:hAnsiTheme="majorHAnsi" w:cstheme="majorHAnsi"/>
        </w:rPr>
        <w:fldChar w:fldCharType="separate"/>
      </w:r>
      <w:r w:rsidRPr="00AE607F">
        <w:rPr>
          <w:rFonts w:asciiTheme="majorHAnsi" w:hAnsiTheme="majorHAnsi" w:cstheme="majorHAnsi"/>
        </w:rPr>
        <w:t>Several challenge agencies have embraced challenge-based innovation since participating in the BRII.</w:t>
      </w:r>
      <w:r w:rsidRPr="00DB5123">
        <w:rPr>
          <w:rFonts w:asciiTheme="majorHAnsi" w:hAnsiTheme="majorHAnsi" w:cstheme="majorHAnsi"/>
        </w:rPr>
        <w:fldChar w:fldCharType="end"/>
      </w:r>
      <w:r>
        <w:rPr>
          <w:rFonts w:asciiTheme="majorHAnsi" w:hAnsiTheme="majorHAnsi" w:cstheme="majorHAnsi"/>
        </w:rPr>
        <w:t xml:space="preserve"> </w:t>
      </w:r>
      <w:r>
        <w:rPr>
          <w:rFonts w:asciiTheme="minorHAnsi" w:hAnsiTheme="minorHAnsi" w:cstheme="minorHAnsi"/>
        </w:rPr>
        <w:t xml:space="preserve">Both </w:t>
      </w:r>
      <w:r>
        <w:t>participant and non-participant</w:t>
      </w:r>
      <w:r w:rsidRPr="00730A14">
        <w:t xml:space="preserve"> agencies</w:t>
      </w:r>
      <w:r>
        <w:t xml:space="preserve"> have shown increased interest in CBI due to the BRII. All participant agencies said they would participate in the BRII again while some participant and non-participant agencies</w:t>
      </w:r>
      <w:r w:rsidRPr="00730A14">
        <w:t xml:space="preserve"> have either implemented their own </w:t>
      </w:r>
      <w:r>
        <w:t>CBI</w:t>
      </w:r>
      <w:r w:rsidRPr="00730A14">
        <w:t xml:space="preserve"> methods, approached DISER to run specialised rounds, </w:t>
      </w:r>
      <w:r>
        <w:t>or</w:t>
      </w:r>
      <w:r w:rsidRPr="00730A14">
        <w:t xml:space="preserve"> </w:t>
      </w:r>
      <w:r>
        <w:t xml:space="preserve">have started to explore </w:t>
      </w:r>
      <w:r w:rsidRPr="00730A14">
        <w:t xml:space="preserve">ways to </w:t>
      </w:r>
      <w:r w:rsidRPr="00730A14">
        <w:lastRenderedPageBreak/>
        <w:t xml:space="preserve">incorporate </w:t>
      </w:r>
      <w:r>
        <w:t>CBI</w:t>
      </w:r>
      <w:r w:rsidRPr="00730A14">
        <w:t xml:space="preserve"> into their R&amp;D strategy.</w:t>
      </w:r>
      <w:r>
        <w:t xml:space="preserve"> This indicates that the BRII has built a strong reputation to attract interest from a range of government agencies. </w:t>
      </w:r>
    </w:p>
    <w:p w14:paraId="66FCC600" w14:textId="77777777" w:rsidR="00A469C5" w:rsidRPr="00823568" w:rsidRDefault="00A469C5" w:rsidP="00A469C5">
      <w:pPr>
        <w:pStyle w:val="Bullet"/>
        <w:pBdr>
          <w:top w:val="single" w:sz="12" w:space="1" w:color="00264D" w:themeColor="background2"/>
          <w:bottom w:val="single" w:sz="12" w:space="1" w:color="00264D" w:themeColor="background2"/>
        </w:pBdr>
        <w:shd w:val="clear" w:color="auto" w:fill="E6E6E1" w:themeFill="accent5"/>
      </w:pPr>
      <w:r w:rsidRPr="00DB5123">
        <w:rPr>
          <w:rFonts w:asciiTheme="majorHAnsi" w:hAnsiTheme="majorHAnsi" w:cstheme="majorHAnsi"/>
        </w:rPr>
        <w:fldChar w:fldCharType="begin"/>
      </w:r>
      <w:r w:rsidRPr="00DB5123">
        <w:rPr>
          <w:rFonts w:asciiTheme="majorHAnsi" w:hAnsiTheme="majorHAnsi" w:cstheme="majorHAnsi"/>
        </w:rPr>
        <w:instrText xml:space="preserve"> REF _Ref79330960 \h </w:instrText>
      </w:r>
      <w:r>
        <w:rPr>
          <w:rFonts w:asciiTheme="majorHAnsi" w:hAnsiTheme="majorHAnsi" w:cstheme="majorHAnsi"/>
        </w:rPr>
        <w:instrText xml:space="preserve"> \* MERGEFORMAT </w:instrText>
      </w:r>
      <w:r w:rsidRPr="00DB5123">
        <w:rPr>
          <w:rFonts w:asciiTheme="majorHAnsi" w:hAnsiTheme="majorHAnsi" w:cstheme="majorHAnsi"/>
        </w:rPr>
      </w:r>
      <w:r w:rsidRPr="00DB5123">
        <w:rPr>
          <w:rFonts w:asciiTheme="majorHAnsi" w:hAnsiTheme="majorHAnsi" w:cstheme="majorHAnsi"/>
        </w:rPr>
        <w:fldChar w:fldCharType="separate"/>
      </w:r>
      <w:r w:rsidRPr="00AE607F">
        <w:rPr>
          <w:rFonts w:asciiTheme="majorHAnsi" w:hAnsiTheme="majorHAnsi" w:cstheme="majorHAnsi"/>
        </w:rPr>
        <w:t>Round one challenge solutions have delivered a range of benefits</w:t>
      </w:r>
      <w:r w:rsidRPr="00DB5123">
        <w:rPr>
          <w:rFonts w:asciiTheme="majorHAnsi" w:hAnsiTheme="majorHAnsi" w:cstheme="majorHAnsi"/>
        </w:rPr>
        <w:fldChar w:fldCharType="end"/>
      </w:r>
      <w:r w:rsidRPr="00DB5123">
        <w:rPr>
          <w:rFonts w:asciiTheme="majorHAnsi" w:hAnsiTheme="majorHAnsi" w:cstheme="majorHAnsi"/>
        </w:rPr>
        <w:t>.</w:t>
      </w:r>
      <w:r>
        <w:rPr>
          <w:rFonts w:asciiTheme="majorHAnsi" w:hAnsiTheme="majorHAnsi" w:cstheme="majorHAnsi"/>
        </w:rPr>
        <w:t xml:space="preserve"> </w:t>
      </w:r>
      <w:r>
        <w:t xml:space="preserve">In four of the five challenges one of the solutions has been procured by relevant agencies. </w:t>
      </w:r>
      <w:r w:rsidRPr="00730A14">
        <w:t xml:space="preserve">These </w:t>
      </w:r>
      <w:r>
        <w:t xml:space="preserve">solutions </w:t>
      </w:r>
      <w:r w:rsidRPr="00730A14">
        <w:t xml:space="preserve">have </w:t>
      </w:r>
      <w:r>
        <w:t>delivered a range of benefits</w:t>
      </w:r>
      <w:r w:rsidRPr="00730A14">
        <w:t xml:space="preserve"> through improved process</w:t>
      </w:r>
      <w:r>
        <w:t>es</w:t>
      </w:r>
      <w:r w:rsidRPr="00730A14">
        <w:t xml:space="preserve"> that save time and money for customers and government agencies, improved information accuracy and timeliness, and increased back-end efficiencies.</w:t>
      </w:r>
    </w:p>
    <w:p w14:paraId="0A44D09C" w14:textId="77777777" w:rsidR="00A469C5" w:rsidRPr="0058281C" w:rsidRDefault="00A469C5" w:rsidP="00A469C5">
      <w:pPr>
        <w:pStyle w:val="Bullet"/>
        <w:pBdr>
          <w:top w:val="single" w:sz="12" w:space="1" w:color="00264D" w:themeColor="background2"/>
          <w:bottom w:val="single" w:sz="12" w:space="1" w:color="00264D" w:themeColor="background2"/>
        </w:pBdr>
        <w:shd w:val="clear" w:color="auto" w:fill="E6E6E1" w:themeFill="accent5"/>
        <w:rPr>
          <w:bCs/>
        </w:rPr>
      </w:pPr>
      <w:r w:rsidRPr="00DB5123">
        <w:rPr>
          <w:rFonts w:asciiTheme="majorHAnsi" w:hAnsiTheme="majorHAnsi" w:cstheme="majorHAnsi"/>
        </w:rPr>
        <w:fldChar w:fldCharType="begin"/>
      </w:r>
      <w:r w:rsidRPr="00DB5123">
        <w:rPr>
          <w:rFonts w:asciiTheme="majorHAnsi" w:hAnsiTheme="majorHAnsi" w:cstheme="majorHAnsi"/>
        </w:rPr>
        <w:instrText xml:space="preserve"> REF _Ref79331003 \h </w:instrText>
      </w:r>
      <w:r>
        <w:rPr>
          <w:rFonts w:asciiTheme="majorHAnsi" w:hAnsiTheme="majorHAnsi" w:cstheme="majorHAnsi"/>
        </w:rPr>
        <w:instrText xml:space="preserve"> \* MERGEFORMAT </w:instrText>
      </w:r>
      <w:r w:rsidRPr="00DB5123">
        <w:rPr>
          <w:rFonts w:asciiTheme="majorHAnsi" w:hAnsiTheme="majorHAnsi" w:cstheme="majorHAnsi"/>
        </w:rPr>
      </w:r>
      <w:r w:rsidRPr="00DB5123">
        <w:rPr>
          <w:rFonts w:asciiTheme="majorHAnsi" w:hAnsiTheme="majorHAnsi" w:cstheme="majorHAnsi"/>
        </w:rPr>
        <w:fldChar w:fldCharType="separate"/>
      </w:r>
      <w:r w:rsidRPr="00AE607F">
        <w:rPr>
          <w:rFonts w:asciiTheme="majorHAnsi" w:hAnsiTheme="majorHAnsi" w:cstheme="majorHAnsi"/>
        </w:rPr>
        <w:t>Round two challenge solutions have the potential to deliver similar benefits</w:t>
      </w:r>
      <w:r w:rsidRPr="00DB5123">
        <w:rPr>
          <w:rFonts w:asciiTheme="majorHAnsi" w:hAnsiTheme="majorHAnsi" w:cstheme="majorHAnsi"/>
        </w:rPr>
        <w:fldChar w:fldCharType="end"/>
      </w:r>
      <w:r w:rsidRPr="00DB5123">
        <w:rPr>
          <w:rFonts w:asciiTheme="majorHAnsi" w:hAnsiTheme="majorHAnsi" w:cstheme="majorHAnsi"/>
        </w:rPr>
        <w:t>.</w:t>
      </w:r>
      <w:r>
        <w:rPr>
          <w:rFonts w:asciiTheme="majorHAnsi" w:hAnsiTheme="majorHAnsi" w:cstheme="majorHAnsi"/>
        </w:rPr>
        <w:t xml:space="preserve"> </w:t>
      </w:r>
      <w:r w:rsidRPr="00730A14">
        <w:t>The solutions from round two have yet to reach similar maturity to round one solutions. However, the progress made in the proof of concept stage indicates that they could have a similar impact if they find a pathway to commercialisation.</w:t>
      </w:r>
    </w:p>
    <w:p w14:paraId="0D03A5A6" w14:textId="77777777" w:rsidR="00A469C5" w:rsidRPr="00A469C5" w:rsidRDefault="00A469C5" w:rsidP="00A469C5">
      <w:pPr>
        <w:pBdr>
          <w:top w:val="single" w:sz="12" w:space="1" w:color="00264D" w:themeColor="background2"/>
          <w:bottom w:val="single" w:sz="12" w:space="1" w:color="00264D" w:themeColor="background2"/>
        </w:pBdr>
        <w:shd w:val="clear" w:color="auto" w:fill="E6E6E1" w:themeFill="accent5"/>
        <w:rPr>
          <w:rFonts w:asciiTheme="majorHAnsi" w:hAnsiTheme="majorHAnsi" w:cstheme="majorHAnsi"/>
        </w:rPr>
      </w:pPr>
      <w:r w:rsidRPr="00A469C5">
        <w:rPr>
          <w:rFonts w:asciiTheme="majorHAnsi" w:hAnsiTheme="majorHAnsi" w:cstheme="majorHAnsi"/>
        </w:rPr>
        <w:fldChar w:fldCharType="begin"/>
      </w:r>
      <w:r w:rsidRPr="00A469C5">
        <w:rPr>
          <w:rFonts w:asciiTheme="majorHAnsi" w:hAnsiTheme="majorHAnsi" w:cstheme="majorHAnsi"/>
        </w:rPr>
        <w:instrText xml:space="preserve"> REF _Ref79331033 \h  \* MERGEFORMAT </w:instrText>
      </w:r>
      <w:r w:rsidRPr="00A469C5">
        <w:rPr>
          <w:rFonts w:asciiTheme="majorHAnsi" w:hAnsiTheme="majorHAnsi" w:cstheme="majorHAnsi"/>
        </w:rPr>
      </w:r>
      <w:r w:rsidRPr="00A469C5">
        <w:rPr>
          <w:rFonts w:asciiTheme="majorHAnsi" w:hAnsiTheme="majorHAnsi" w:cstheme="majorHAnsi"/>
        </w:rPr>
        <w:fldChar w:fldCharType="separate"/>
      </w:r>
      <w:r w:rsidRPr="00A469C5">
        <w:rPr>
          <w:rFonts w:asciiTheme="majorHAnsi" w:hAnsiTheme="majorHAnsi" w:cstheme="majorHAnsi"/>
        </w:rPr>
        <w:t>The BRII delivers comparable outcomes to similar international programs but lags in scale</w:t>
      </w:r>
      <w:r w:rsidRPr="00A469C5">
        <w:rPr>
          <w:rFonts w:asciiTheme="majorHAnsi" w:hAnsiTheme="majorHAnsi" w:cstheme="majorHAnsi"/>
        </w:rPr>
        <w:fldChar w:fldCharType="end"/>
      </w:r>
      <w:r w:rsidRPr="00A469C5">
        <w:rPr>
          <w:rFonts w:asciiTheme="majorHAnsi" w:hAnsiTheme="majorHAnsi" w:cstheme="majorHAnsi"/>
        </w:rPr>
        <w:t>.</w:t>
      </w:r>
    </w:p>
    <w:p w14:paraId="5FF694E3" w14:textId="77777777" w:rsidR="00A469C5" w:rsidRDefault="00A469C5" w:rsidP="00A469C5">
      <w:pPr>
        <w:pStyle w:val="Bullet"/>
        <w:pBdr>
          <w:top w:val="single" w:sz="12" w:space="1" w:color="00264D" w:themeColor="background2"/>
          <w:bottom w:val="single" w:sz="12" w:space="1" w:color="00264D" w:themeColor="background2"/>
        </w:pBdr>
        <w:shd w:val="clear" w:color="auto" w:fill="E6E6E1" w:themeFill="accent5"/>
      </w:pPr>
      <w:r w:rsidRPr="00DB5123">
        <w:rPr>
          <w:rFonts w:asciiTheme="majorHAnsi" w:hAnsiTheme="majorHAnsi" w:cstheme="majorHAnsi"/>
        </w:rPr>
        <w:fldChar w:fldCharType="begin"/>
      </w:r>
      <w:r w:rsidRPr="00DB5123">
        <w:rPr>
          <w:rFonts w:asciiTheme="majorHAnsi" w:hAnsiTheme="majorHAnsi" w:cstheme="majorHAnsi"/>
        </w:rPr>
        <w:instrText xml:space="preserve"> REF _Ref79331064 \h </w:instrText>
      </w:r>
      <w:r>
        <w:rPr>
          <w:rFonts w:asciiTheme="majorHAnsi" w:hAnsiTheme="majorHAnsi" w:cstheme="majorHAnsi"/>
        </w:rPr>
        <w:instrText xml:space="preserve"> \* MERGEFORMAT </w:instrText>
      </w:r>
      <w:r w:rsidRPr="00DB5123">
        <w:rPr>
          <w:rFonts w:asciiTheme="majorHAnsi" w:hAnsiTheme="majorHAnsi" w:cstheme="majorHAnsi"/>
        </w:rPr>
      </w:r>
      <w:r w:rsidRPr="00DB5123">
        <w:rPr>
          <w:rFonts w:asciiTheme="majorHAnsi" w:hAnsiTheme="majorHAnsi" w:cstheme="majorHAnsi"/>
        </w:rPr>
        <w:fldChar w:fldCharType="separate"/>
      </w:r>
      <w:r w:rsidRPr="00AE607F">
        <w:rPr>
          <w:rFonts w:asciiTheme="majorHAnsi" w:hAnsiTheme="majorHAnsi" w:cstheme="majorHAnsi"/>
        </w:rPr>
        <w:t>The BRII compares favourably to the US SBIR in some key measures</w:t>
      </w:r>
      <w:r w:rsidRPr="00DB5123">
        <w:rPr>
          <w:rFonts w:asciiTheme="majorHAnsi" w:hAnsiTheme="majorHAnsi" w:cstheme="majorHAnsi"/>
        </w:rPr>
        <w:fldChar w:fldCharType="end"/>
      </w:r>
      <w:r w:rsidRPr="00D87C30">
        <w:rPr>
          <w:rFonts w:asciiTheme="majorHAnsi" w:hAnsiTheme="majorHAnsi" w:cstheme="majorHAnsi"/>
        </w:rPr>
        <w:t>.</w:t>
      </w:r>
      <w:r w:rsidRPr="00DB5123">
        <w:rPr>
          <w:rFonts w:asciiTheme="majorHAnsi" w:hAnsiTheme="majorHAnsi" w:cstheme="majorHAnsi"/>
        </w:rPr>
        <w:t xml:space="preserve"> </w:t>
      </w:r>
      <w:r w:rsidRPr="00D87C30">
        <w:t xml:space="preserve">BRII firms were just as likely to commercialise their IP </w:t>
      </w:r>
      <w:r>
        <w:t xml:space="preserve">and more likely to develop partnerships </w:t>
      </w:r>
      <w:r w:rsidRPr="00D87C30">
        <w:t>as SBIR firms</w:t>
      </w:r>
      <w:r>
        <w:t xml:space="preserve">. The BRII </w:t>
      </w:r>
      <w:r w:rsidRPr="007C7D71">
        <w:t xml:space="preserve">created a similar level of additionality to SBIR </w:t>
      </w:r>
      <w:r>
        <w:t xml:space="preserve">as measured </w:t>
      </w:r>
      <w:r w:rsidRPr="007C7D71">
        <w:t xml:space="preserve">through </w:t>
      </w:r>
      <w:r>
        <w:t>supporting</w:t>
      </w:r>
      <w:r w:rsidRPr="007C7D71">
        <w:t xml:space="preserve"> projects that would not have occurred otherwise</w:t>
      </w:r>
      <w:r>
        <w:t>, catalysing</w:t>
      </w:r>
      <w:r w:rsidRPr="007C7D71">
        <w:t xml:space="preserve"> start-up creation at the same rate as the SBIR</w:t>
      </w:r>
      <w:r>
        <w:t xml:space="preserve"> and improving</w:t>
      </w:r>
      <w:r w:rsidRPr="007C7D71">
        <w:t xml:space="preserve"> business performance</w:t>
      </w:r>
      <w:r>
        <w:t>.</w:t>
      </w:r>
    </w:p>
    <w:p w14:paraId="11BAC287" w14:textId="77777777" w:rsidR="00A469C5" w:rsidRPr="00724BE0" w:rsidRDefault="00A469C5" w:rsidP="00A469C5">
      <w:pPr>
        <w:pStyle w:val="Bullet"/>
        <w:pBdr>
          <w:top w:val="single" w:sz="12" w:space="1" w:color="00264D" w:themeColor="background2"/>
          <w:bottom w:val="single" w:sz="12" w:space="1" w:color="00264D" w:themeColor="background2"/>
        </w:pBdr>
        <w:shd w:val="clear" w:color="auto" w:fill="E6E6E1" w:themeFill="accent5"/>
        <w:rPr>
          <w:bCs/>
        </w:rPr>
      </w:pPr>
      <w:r w:rsidRPr="00DB5123">
        <w:rPr>
          <w:rFonts w:asciiTheme="majorHAnsi" w:hAnsiTheme="majorHAnsi" w:cstheme="majorHAnsi"/>
        </w:rPr>
        <w:fldChar w:fldCharType="begin"/>
      </w:r>
      <w:r w:rsidRPr="00DB5123">
        <w:rPr>
          <w:rFonts w:asciiTheme="majorHAnsi" w:hAnsiTheme="majorHAnsi" w:cstheme="majorHAnsi"/>
        </w:rPr>
        <w:instrText xml:space="preserve"> REF _Ref79331086 \h </w:instrText>
      </w:r>
      <w:r>
        <w:rPr>
          <w:rFonts w:asciiTheme="majorHAnsi" w:hAnsiTheme="majorHAnsi" w:cstheme="majorHAnsi"/>
        </w:rPr>
        <w:instrText xml:space="preserve"> \* MERGEFORMAT </w:instrText>
      </w:r>
      <w:r w:rsidRPr="00DB5123">
        <w:rPr>
          <w:rFonts w:asciiTheme="majorHAnsi" w:hAnsiTheme="majorHAnsi" w:cstheme="majorHAnsi"/>
        </w:rPr>
      </w:r>
      <w:r w:rsidRPr="00DB5123">
        <w:rPr>
          <w:rFonts w:asciiTheme="majorHAnsi" w:hAnsiTheme="majorHAnsi" w:cstheme="majorHAnsi"/>
        </w:rPr>
        <w:fldChar w:fldCharType="separate"/>
      </w:r>
      <w:r w:rsidRPr="00AE607F">
        <w:rPr>
          <w:rFonts w:asciiTheme="majorHAnsi" w:hAnsiTheme="majorHAnsi" w:cstheme="majorHAnsi"/>
        </w:rPr>
        <w:t>The ISC has grown at a significantly faster pace than the BRII</w:t>
      </w:r>
      <w:r w:rsidRPr="00DB5123">
        <w:rPr>
          <w:rFonts w:asciiTheme="majorHAnsi" w:hAnsiTheme="majorHAnsi" w:cstheme="majorHAnsi"/>
        </w:rPr>
        <w:fldChar w:fldCharType="end"/>
      </w:r>
      <w:r>
        <w:rPr>
          <w:rFonts w:asciiTheme="majorHAnsi" w:hAnsiTheme="majorHAnsi" w:cstheme="majorHAnsi"/>
        </w:rPr>
        <w:t xml:space="preserve">. </w:t>
      </w:r>
      <w:r w:rsidRPr="00492C36">
        <w:t xml:space="preserve">The ISC has completed almost five times more challenges (70 versus 15) than the BRII </w:t>
      </w:r>
      <w:r>
        <w:t>although it started one year later. Mandated targets across 20 Canadian Government departments are the major driver of the faster pace at which the ISC has scaled.</w:t>
      </w:r>
    </w:p>
    <w:p w14:paraId="202B1E16" w14:textId="1431DE2B" w:rsidR="00EF3E77" w:rsidRDefault="00EF3E77">
      <w:pPr>
        <w:pStyle w:val="Heading2"/>
      </w:pPr>
      <w:bookmarkStart w:id="55" w:name="_Ref79330750"/>
      <w:bookmarkStart w:id="56" w:name="_Toc124435150"/>
      <w:r>
        <w:t>The BRII has had a positive impact on most participating SMEs</w:t>
      </w:r>
      <w:bookmarkEnd w:id="55"/>
      <w:bookmarkEnd w:id="56"/>
    </w:p>
    <w:p w14:paraId="312E07F0" w14:textId="77777777" w:rsidR="00EF3E77" w:rsidRPr="00BC7034" w:rsidRDefault="00EF3E77" w:rsidP="00EF3E77">
      <w:pPr>
        <w:rPr>
          <w:lang w:eastAsia="en-AU"/>
        </w:rPr>
      </w:pPr>
      <w:r>
        <w:rPr>
          <w:lang w:eastAsia="en-AU"/>
        </w:rPr>
        <w:t xml:space="preserve">SMEs that participated in the BRII have experienced a range of positive outcomes. This includes outcomes across government engagement, partnerships and market access, innovation and commercialisation. Round one proof of concept SMEs have experienced lasting impact from the BRII. This section explores outcomes across each of these areas in more detail. </w:t>
      </w:r>
    </w:p>
    <w:p w14:paraId="3CE684F2" w14:textId="77777777" w:rsidR="00B32F80" w:rsidRDefault="00B32F80">
      <w:pPr>
        <w:pStyle w:val="Heading3"/>
      </w:pPr>
      <w:bookmarkStart w:id="57" w:name="_Ref79330805"/>
      <w:bookmarkStart w:id="58" w:name="_Ref77839634"/>
      <w:r w:rsidRPr="00334135">
        <w:t xml:space="preserve">The BRII sparked </w:t>
      </w:r>
      <w:r w:rsidRPr="00DE2046">
        <w:t>innovation</w:t>
      </w:r>
      <w:r w:rsidRPr="00334135">
        <w:t xml:space="preserve"> and </w:t>
      </w:r>
      <w:r>
        <w:t>focused</w:t>
      </w:r>
      <w:r w:rsidRPr="00334135">
        <w:t xml:space="preserve"> commercial </w:t>
      </w:r>
      <w:r>
        <w:t>strategy</w:t>
      </w:r>
      <w:r w:rsidRPr="00334135">
        <w:t xml:space="preserve"> for most participants</w:t>
      </w:r>
      <w:bookmarkEnd w:id="57"/>
    </w:p>
    <w:p w14:paraId="7287180B" w14:textId="77367AD5" w:rsidR="00B32F80" w:rsidRDefault="00B32F80" w:rsidP="00B32F80">
      <w:pPr>
        <w:rPr>
          <w:lang w:eastAsia="en-AU"/>
        </w:rPr>
      </w:pPr>
      <w:r w:rsidRPr="00AA5C29">
        <w:rPr>
          <w:lang w:eastAsia="en-AU"/>
        </w:rPr>
        <w:t>Both the feasibility stage and proof of concept stage participants were generally positive about the impact of the program on their R&amp;D</w:t>
      </w:r>
      <w:r>
        <w:rPr>
          <w:lang w:eastAsia="en-AU"/>
        </w:rPr>
        <w:t xml:space="preserve"> and innovation</w:t>
      </w:r>
      <w:r w:rsidRPr="00AA5C29">
        <w:rPr>
          <w:lang w:eastAsia="en-AU"/>
        </w:rPr>
        <w:t xml:space="preserve">. </w:t>
      </w:r>
      <w:r>
        <w:rPr>
          <w:lang w:eastAsia="en-AU"/>
        </w:rPr>
        <w:t xml:space="preserve">Of particular importance is the additionality of the BRII – </w:t>
      </w:r>
      <w:r w:rsidR="00DF0202">
        <w:rPr>
          <w:lang w:eastAsia="en-AU"/>
        </w:rPr>
        <w:t>8</w:t>
      </w:r>
      <w:r w:rsidR="008F0C93">
        <w:rPr>
          <w:lang w:eastAsia="en-AU"/>
        </w:rPr>
        <w:t>1</w:t>
      </w:r>
      <w:r>
        <w:rPr>
          <w:lang w:eastAsia="en-AU"/>
        </w:rPr>
        <w:t xml:space="preserve"> per cent of respondents noted that the BRII has resulted in the development of IP that they would not have otherwise pursued</w:t>
      </w:r>
      <w:r w:rsidR="00290B2A">
        <w:rPr>
          <w:lang w:eastAsia="en-AU"/>
        </w:rPr>
        <w:t xml:space="preserve"> (73 per cent) or </w:t>
      </w:r>
      <w:r w:rsidR="00F4477B">
        <w:rPr>
          <w:lang w:eastAsia="en-AU"/>
        </w:rPr>
        <w:t>that they were unsure of whether they would have pursued</w:t>
      </w:r>
      <w:r w:rsidR="00290B2A">
        <w:rPr>
          <w:lang w:eastAsia="en-AU"/>
        </w:rPr>
        <w:t xml:space="preserve"> (</w:t>
      </w:r>
      <w:r w:rsidR="00F4477B">
        <w:rPr>
          <w:lang w:eastAsia="en-AU"/>
        </w:rPr>
        <w:t>9</w:t>
      </w:r>
      <w:r w:rsidR="00290B2A">
        <w:rPr>
          <w:lang w:eastAsia="en-AU"/>
        </w:rPr>
        <w:t xml:space="preserve"> per cent)</w:t>
      </w:r>
      <w:r w:rsidR="00B3328A">
        <w:rPr>
          <w:lang w:eastAsia="en-AU"/>
        </w:rPr>
        <w:t xml:space="preserve"> (see </w:t>
      </w:r>
      <w:r w:rsidR="00B3328A">
        <w:rPr>
          <w:lang w:eastAsia="en-AU"/>
        </w:rPr>
        <w:fldChar w:fldCharType="begin"/>
      </w:r>
      <w:r w:rsidR="00B3328A">
        <w:rPr>
          <w:lang w:eastAsia="en-AU"/>
        </w:rPr>
        <w:instrText xml:space="preserve"> REF _Ref79505103 \h </w:instrText>
      </w:r>
      <w:r w:rsidR="00B3328A">
        <w:rPr>
          <w:lang w:eastAsia="en-AU"/>
        </w:rPr>
      </w:r>
      <w:r w:rsidR="00B3328A">
        <w:rPr>
          <w:lang w:eastAsia="en-AU"/>
        </w:rPr>
        <w:fldChar w:fldCharType="separate"/>
      </w:r>
      <w:r w:rsidR="00AE607F">
        <w:t xml:space="preserve">Figure </w:t>
      </w:r>
      <w:r w:rsidR="00AE607F">
        <w:rPr>
          <w:noProof/>
        </w:rPr>
        <w:t>16</w:t>
      </w:r>
      <w:r w:rsidR="00B3328A">
        <w:rPr>
          <w:lang w:eastAsia="en-AU"/>
        </w:rPr>
        <w:fldChar w:fldCharType="end"/>
      </w:r>
      <w:r w:rsidR="00B3328A">
        <w:rPr>
          <w:lang w:eastAsia="en-AU"/>
        </w:rPr>
        <w:t>)</w:t>
      </w:r>
      <w:r>
        <w:rPr>
          <w:lang w:eastAsia="en-AU"/>
        </w:rPr>
        <w:t>.</w:t>
      </w:r>
    </w:p>
    <w:p w14:paraId="43B25FEC" w14:textId="6EBB8702" w:rsidR="00B32F80" w:rsidRDefault="00B32F80" w:rsidP="00B32F80">
      <w:pPr>
        <w:pStyle w:val="Caption"/>
      </w:pPr>
      <w:bookmarkStart w:id="59" w:name="_Ref79505103"/>
      <w:r>
        <w:lastRenderedPageBreak/>
        <w:t xml:space="preserve">Figure </w:t>
      </w:r>
      <w:r>
        <w:fldChar w:fldCharType="begin"/>
      </w:r>
      <w:r>
        <w:instrText xml:space="preserve"> SEQ Figure \* ARABIC </w:instrText>
      </w:r>
      <w:r>
        <w:fldChar w:fldCharType="separate"/>
      </w:r>
      <w:r w:rsidR="00870ADB">
        <w:rPr>
          <w:noProof/>
        </w:rPr>
        <w:t>17</w:t>
      </w:r>
      <w:r>
        <w:fldChar w:fldCharType="end"/>
      </w:r>
      <w:bookmarkEnd w:id="59"/>
      <w:r>
        <w:t xml:space="preserve"> | Impact of BRII on SME innovation</w:t>
      </w:r>
    </w:p>
    <w:p w14:paraId="1D9E0DB4" w14:textId="33913C9A" w:rsidR="00303A0E" w:rsidRPr="00303A0E" w:rsidRDefault="00303A0E" w:rsidP="00303A0E">
      <w:r w:rsidRPr="00303A0E">
        <w:rPr>
          <w:noProof/>
        </w:rPr>
        <w:drawing>
          <wp:inline distT="0" distB="0" distL="0" distR="0" wp14:anchorId="622EE5BC" wp14:editId="453DCCE3">
            <wp:extent cx="5670550" cy="1394460"/>
            <wp:effectExtent l="0" t="0" r="6350" b="0"/>
            <wp:docPr id="27863" name="Picture 27863" descr="Survey question, would your company have pursued this R&amp;D without the BRII funding? Seventy 3 per cent answered no, 9 per cent answered unsure, eighteen per cent answered probably. Sample size was twenty 2. Seventy 3 per cent of respondents would not have pursued this R&amp;D without the BRII fu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3" name="Picture 27863" descr="Survey question, would your company have pursued this R&amp;D without the BRII funding? Seventy 3 per cent answered no, 9 per cent answered unsure, eighteen per cent answered probably. Sample size was twenty 2. Seventy 3 per cent of respondents would not have pursued this R&amp;D without the BRII fundi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70550" cy="1394460"/>
                    </a:xfrm>
                    <a:prstGeom prst="rect">
                      <a:avLst/>
                    </a:prstGeom>
                    <a:noFill/>
                    <a:ln>
                      <a:noFill/>
                    </a:ln>
                  </pic:spPr>
                </pic:pic>
              </a:graphicData>
            </a:graphic>
          </wp:inline>
        </w:drawing>
      </w:r>
    </w:p>
    <w:p w14:paraId="5BD26D24" w14:textId="6A1ED0A6" w:rsidR="00B32F80" w:rsidRDefault="00B32F80" w:rsidP="00B32F80">
      <w:pPr>
        <w:pStyle w:val="Source"/>
      </w:pPr>
      <w:r>
        <w:t xml:space="preserve">Source: Round </w:t>
      </w:r>
      <w:r w:rsidR="00543C3F">
        <w:t>one</w:t>
      </w:r>
      <w:r>
        <w:t xml:space="preserve">, </w:t>
      </w:r>
      <w:r w:rsidR="00543C3F">
        <w:t>two</w:t>
      </w:r>
      <w:r>
        <w:t xml:space="preserve"> and </w:t>
      </w:r>
      <w:r w:rsidR="00543C3F">
        <w:t>three</w:t>
      </w:r>
      <w:r>
        <w:t xml:space="preserve"> feasibility and proof of concept SME surveys</w:t>
      </w:r>
    </w:p>
    <w:p w14:paraId="270AA34A" w14:textId="06C8DC11" w:rsidR="008F45A9" w:rsidRDefault="00B32F80" w:rsidP="00B32F80">
      <w:pPr>
        <w:rPr>
          <w:lang w:eastAsia="en-AU"/>
        </w:rPr>
      </w:pPr>
      <w:r>
        <w:rPr>
          <w:lang w:eastAsia="en-AU"/>
        </w:rPr>
        <w:t>The BRII has also created new commercial avenues for many participants. S</w:t>
      </w:r>
      <w:r w:rsidRPr="00AA5C29">
        <w:rPr>
          <w:lang w:eastAsia="en-AU"/>
        </w:rPr>
        <w:t xml:space="preserve">urvey respondents noted that they had </w:t>
      </w:r>
      <w:r>
        <w:rPr>
          <w:lang w:eastAsia="en-AU"/>
        </w:rPr>
        <w:t xml:space="preserve">started to </w:t>
      </w:r>
      <w:r w:rsidRPr="00AA5C29">
        <w:rPr>
          <w:lang w:eastAsia="en-AU"/>
        </w:rPr>
        <w:t>commercialise IP developed through the program</w:t>
      </w:r>
      <w:r>
        <w:rPr>
          <w:lang w:eastAsia="en-AU"/>
        </w:rPr>
        <w:t>. This included</w:t>
      </w:r>
      <w:r w:rsidRPr="00AA5C29">
        <w:rPr>
          <w:lang w:eastAsia="en-AU"/>
        </w:rPr>
        <w:t xml:space="preserve"> licencing technology to government agencies and submitting patent applications. </w:t>
      </w:r>
      <w:r>
        <w:rPr>
          <w:lang w:eastAsia="en-AU"/>
        </w:rPr>
        <w:t>Most p</w:t>
      </w:r>
      <w:r w:rsidRPr="00AA5C29">
        <w:rPr>
          <w:lang w:eastAsia="en-AU"/>
        </w:rPr>
        <w:t xml:space="preserve">articipating SMEs </w:t>
      </w:r>
      <w:r>
        <w:rPr>
          <w:lang w:eastAsia="en-AU"/>
        </w:rPr>
        <w:t>also</w:t>
      </w:r>
      <w:r w:rsidRPr="00AA5C29">
        <w:rPr>
          <w:lang w:eastAsia="en-AU"/>
        </w:rPr>
        <w:t xml:space="preserve"> </w:t>
      </w:r>
      <w:r>
        <w:rPr>
          <w:lang w:eastAsia="en-AU"/>
        </w:rPr>
        <w:t xml:space="preserve">reported that </w:t>
      </w:r>
      <w:r w:rsidRPr="00AA5C29">
        <w:rPr>
          <w:lang w:eastAsia="en-AU"/>
        </w:rPr>
        <w:t xml:space="preserve">the BRII inspired </w:t>
      </w:r>
      <w:r>
        <w:rPr>
          <w:lang w:eastAsia="en-AU"/>
        </w:rPr>
        <w:t xml:space="preserve">them </w:t>
      </w:r>
      <w:r w:rsidRPr="00AA5C29">
        <w:rPr>
          <w:lang w:eastAsia="en-AU"/>
        </w:rPr>
        <w:t xml:space="preserve">to think about the uses of their IP beyond the context </w:t>
      </w:r>
      <w:r>
        <w:rPr>
          <w:lang w:eastAsia="en-AU"/>
        </w:rPr>
        <w:t xml:space="preserve">of the </w:t>
      </w:r>
      <w:r w:rsidRPr="00AA5C29">
        <w:rPr>
          <w:lang w:eastAsia="en-AU"/>
        </w:rPr>
        <w:t xml:space="preserve">BRII </w:t>
      </w:r>
      <w:r>
        <w:rPr>
          <w:lang w:eastAsia="en-AU"/>
        </w:rPr>
        <w:t xml:space="preserve">challenge </w:t>
      </w:r>
      <w:r w:rsidRPr="00AA5C29">
        <w:rPr>
          <w:lang w:eastAsia="en-AU"/>
        </w:rPr>
        <w:t>(see</w:t>
      </w:r>
      <w:r>
        <w:rPr>
          <w:lang w:eastAsia="en-AU"/>
        </w:rPr>
        <w:t xml:space="preserve"> </w:t>
      </w:r>
      <w:r w:rsidR="00357183">
        <w:rPr>
          <w:lang w:eastAsia="en-AU"/>
        </w:rPr>
        <w:fldChar w:fldCharType="begin"/>
      </w:r>
      <w:r w:rsidR="00357183">
        <w:rPr>
          <w:lang w:eastAsia="en-AU"/>
        </w:rPr>
        <w:instrText xml:space="preserve"> REF _Ref79397842 \h </w:instrText>
      </w:r>
      <w:r w:rsidR="00357183">
        <w:rPr>
          <w:lang w:eastAsia="en-AU"/>
        </w:rPr>
      </w:r>
      <w:r w:rsidR="00357183">
        <w:rPr>
          <w:lang w:eastAsia="en-AU"/>
        </w:rPr>
        <w:fldChar w:fldCharType="separate"/>
      </w:r>
      <w:r w:rsidR="00AE607F">
        <w:t xml:space="preserve">Figure </w:t>
      </w:r>
      <w:r w:rsidR="00AE607F">
        <w:rPr>
          <w:noProof/>
        </w:rPr>
        <w:t>17</w:t>
      </w:r>
      <w:r w:rsidR="00357183">
        <w:rPr>
          <w:lang w:eastAsia="en-AU"/>
        </w:rPr>
        <w:fldChar w:fldCharType="end"/>
      </w:r>
      <w:r w:rsidRPr="00AA5C29">
        <w:rPr>
          <w:lang w:eastAsia="en-AU"/>
        </w:rPr>
        <w:t xml:space="preserve">). </w:t>
      </w:r>
      <w:r>
        <w:rPr>
          <w:lang w:eastAsia="en-AU"/>
        </w:rPr>
        <w:t xml:space="preserve">For example, one round two proof of concept SME has already identified an adjacent use of their technology within the same context in which they have developed their BRII solution. This SME intends to pursue this opportunity post BRII. </w:t>
      </w:r>
      <w:r w:rsidR="00337EAC">
        <w:rPr>
          <w:lang w:eastAsia="en-AU"/>
        </w:rPr>
        <w:t xml:space="preserve">Most of the </w:t>
      </w:r>
      <w:r>
        <w:rPr>
          <w:lang w:eastAsia="en-AU"/>
        </w:rPr>
        <w:t xml:space="preserve">SMEs that stated they had not yet started to commercialise any of the IP developed under the BRII </w:t>
      </w:r>
      <w:r w:rsidR="00337EAC">
        <w:rPr>
          <w:lang w:eastAsia="en-AU"/>
        </w:rPr>
        <w:t>were from round two</w:t>
      </w:r>
      <w:r w:rsidR="00674433">
        <w:rPr>
          <w:lang w:eastAsia="en-AU"/>
        </w:rPr>
        <w:t>.</w:t>
      </w:r>
      <w:r w:rsidR="00337EAC">
        <w:rPr>
          <w:lang w:eastAsia="en-AU"/>
        </w:rPr>
        <w:t xml:space="preserve"> </w:t>
      </w:r>
    </w:p>
    <w:p w14:paraId="32B1F30B" w14:textId="17F4D7E1" w:rsidR="00B32F80" w:rsidRDefault="00674433" w:rsidP="00B32F80">
      <w:pPr>
        <w:rPr>
          <w:lang w:eastAsia="en-AU"/>
        </w:rPr>
      </w:pPr>
      <w:r>
        <w:rPr>
          <w:lang w:eastAsia="en-AU"/>
        </w:rPr>
        <w:t xml:space="preserve">Most of these SMEs </w:t>
      </w:r>
      <w:r w:rsidR="00337EAC">
        <w:rPr>
          <w:lang w:eastAsia="en-AU"/>
        </w:rPr>
        <w:t xml:space="preserve">indicated through interviews that they </w:t>
      </w:r>
      <w:r>
        <w:rPr>
          <w:lang w:eastAsia="en-AU"/>
        </w:rPr>
        <w:t xml:space="preserve">would pursue commercialisation opportunities </w:t>
      </w:r>
      <w:r w:rsidR="00616CAD">
        <w:rPr>
          <w:lang w:eastAsia="en-AU"/>
        </w:rPr>
        <w:t xml:space="preserve">once they completed </w:t>
      </w:r>
      <w:r w:rsidR="00B32F80">
        <w:rPr>
          <w:lang w:eastAsia="en-AU"/>
        </w:rPr>
        <w:t>the proof of concept stage.</w:t>
      </w:r>
    </w:p>
    <w:p w14:paraId="6FC5B539" w14:textId="2F295063" w:rsidR="00B32F80" w:rsidRPr="008026FC" w:rsidRDefault="00B32F80" w:rsidP="00B32F80">
      <w:pPr>
        <w:pStyle w:val="Caption"/>
      </w:pPr>
      <w:bookmarkStart w:id="60" w:name="_Ref79397842"/>
      <w:r>
        <w:t xml:space="preserve">Figure </w:t>
      </w:r>
      <w:r>
        <w:fldChar w:fldCharType="begin"/>
      </w:r>
      <w:r>
        <w:instrText xml:space="preserve"> SEQ Figure \* ARABIC </w:instrText>
      </w:r>
      <w:r>
        <w:fldChar w:fldCharType="separate"/>
      </w:r>
      <w:r w:rsidR="00870ADB">
        <w:rPr>
          <w:noProof/>
        </w:rPr>
        <w:t>18</w:t>
      </w:r>
      <w:r>
        <w:fldChar w:fldCharType="end"/>
      </w:r>
      <w:bookmarkEnd w:id="60"/>
      <w:r>
        <w:t xml:space="preserve"> | Impact of BRII on commercial activities</w:t>
      </w:r>
      <w:r>
        <w:rPr>
          <w:rStyle w:val="FootnoteReference"/>
        </w:rPr>
        <w:footnoteReference w:id="27"/>
      </w:r>
    </w:p>
    <w:p w14:paraId="0EC64FCF" w14:textId="77777777" w:rsidR="00B32F80" w:rsidRDefault="00B32F80" w:rsidP="00B32F80">
      <w:pPr>
        <w:rPr>
          <w:lang w:eastAsia="en-AU"/>
        </w:rPr>
      </w:pPr>
      <w:r w:rsidRPr="00825AF6">
        <w:rPr>
          <w:noProof/>
          <w:lang w:eastAsia="en-AU"/>
        </w:rPr>
        <w:drawing>
          <wp:inline distT="0" distB="0" distL="0" distR="0" wp14:anchorId="68006E39" wp14:editId="1CEAD127">
            <wp:extent cx="5670550" cy="2169795"/>
            <wp:effectExtent l="0" t="0" r="6350" b="1905"/>
            <wp:docPr id="27919" name="Picture 27919" descr="Survey question. Have you started to commercialise any of the IP that you have developed under BRII? Forty five per cent answered no, 5 per cent, unsure, fifty per cent yes. Sample size, twenty 2.&#10;Survey question. Has your company considered applications of the IP beyond the context of the BRII challenge? Forteen per cent answered no, 9 per cent, unsure, seventy seven per cent yes. Sample size, twenty 2.&#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19" name="Picture 27919" descr="Survey question. Have you started to commercialise any of the IP that you have developed under BRII? Forty five per cent answered no, 5 per cent, unsure, fifty per cent yes. Sample size, twenty 2.&#10;Survey question. Has your company considered applications of the IP beyond the context of the BRII challenge? Forteen per cent answered no, 9 per cent, unsure, seventy seven per cent yes. Sample size, twenty 2.&#10;&#10;&#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70550" cy="2169795"/>
                    </a:xfrm>
                    <a:prstGeom prst="rect">
                      <a:avLst/>
                    </a:prstGeom>
                    <a:noFill/>
                    <a:ln>
                      <a:noFill/>
                    </a:ln>
                  </pic:spPr>
                </pic:pic>
              </a:graphicData>
            </a:graphic>
          </wp:inline>
        </w:drawing>
      </w:r>
    </w:p>
    <w:p w14:paraId="68F074AA" w14:textId="07429083" w:rsidR="00B32F80" w:rsidRDefault="00B32F80" w:rsidP="00B32F80">
      <w:pPr>
        <w:pStyle w:val="Source"/>
      </w:pPr>
      <w:r>
        <w:t xml:space="preserve">Source: Round </w:t>
      </w:r>
      <w:r w:rsidR="00DD4C28">
        <w:t>one</w:t>
      </w:r>
      <w:r>
        <w:t xml:space="preserve">, </w:t>
      </w:r>
      <w:r w:rsidR="00DD4C28">
        <w:t>two</w:t>
      </w:r>
      <w:r>
        <w:t xml:space="preserve"> and </w:t>
      </w:r>
      <w:r w:rsidR="00DD4C28">
        <w:t>three</w:t>
      </w:r>
      <w:r>
        <w:t xml:space="preserve"> feasibility and proof of concept SME surveys</w:t>
      </w:r>
    </w:p>
    <w:p w14:paraId="6BB88E00" w14:textId="77777777" w:rsidR="00B32F80" w:rsidRDefault="00B32F80" w:rsidP="00B32F80">
      <w:pPr>
        <w:rPr>
          <w:lang w:eastAsia="en-AU"/>
        </w:rPr>
      </w:pPr>
      <w:r w:rsidRPr="00AA5C29">
        <w:rPr>
          <w:lang w:eastAsia="en-AU"/>
        </w:rPr>
        <w:t xml:space="preserve">Interviews offered some more specific insights. Some SMEs reported that the BRII was a catalyst for them to explore nascent ideas or technologies that they </w:t>
      </w:r>
      <w:r>
        <w:rPr>
          <w:lang w:eastAsia="en-AU"/>
        </w:rPr>
        <w:t>could</w:t>
      </w:r>
      <w:r w:rsidRPr="00AA5C29">
        <w:rPr>
          <w:lang w:eastAsia="en-AU"/>
        </w:rPr>
        <w:t xml:space="preserve"> not </w:t>
      </w:r>
      <w:r>
        <w:rPr>
          <w:lang w:eastAsia="en-AU"/>
        </w:rPr>
        <w:t xml:space="preserve">pursue because of </w:t>
      </w:r>
      <w:r w:rsidRPr="00AA5C29">
        <w:rPr>
          <w:lang w:eastAsia="en-AU"/>
        </w:rPr>
        <w:t xml:space="preserve">funding or capacity </w:t>
      </w:r>
      <w:r>
        <w:rPr>
          <w:lang w:eastAsia="en-AU"/>
        </w:rPr>
        <w:t>constraints. This was particularly true for smaller SMEs</w:t>
      </w:r>
      <w:r w:rsidRPr="00AA5C29">
        <w:rPr>
          <w:lang w:eastAsia="en-AU"/>
        </w:rPr>
        <w:t xml:space="preserve">. It also included a few </w:t>
      </w:r>
      <w:r w:rsidRPr="00AA5C29">
        <w:rPr>
          <w:lang w:eastAsia="en-AU"/>
        </w:rPr>
        <w:lastRenderedPageBreak/>
        <w:t xml:space="preserve">professional services firms who used the BRII as an opportunity to develop products that were built from the knowledge and experience </w:t>
      </w:r>
      <w:r>
        <w:rPr>
          <w:lang w:eastAsia="en-AU"/>
        </w:rPr>
        <w:t xml:space="preserve">that </w:t>
      </w:r>
      <w:r w:rsidRPr="00AA5C29">
        <w:rPr>
          <w:lang w:eastAsia="en-AU"/>
        </w:rPr>
        <w:t xml:space="preserve">they developed through consulting. </w:t>
      </w:r>
    </w:p>
    <w:p w14:paraId="222C7396" w14:textId="77777777" w:rsidR="00B32F80" w:rsidRDefault="00B32F80" w:rsidP="00B32F80">
      <w:pPr>
        <w:rPr>
          <w:lang w:eastAsia="en-AU"/>
        </w:rPr>
      </w:pPr>
      <w:r w:rsidRPr="00AA5C29">
        <w:rPr>
          <w:lang w:eastAsia="en-AU"/>
        </w:rPr>
        <w:t>Proof of concept SMEs consistently identified that the BRII provided a valuable product development runway to support their R&amp;D</w:t>
      </w:r>
      <w:r>
        <w:rPr>
          <w:lang w:eastAsia="en-AU"/>
        </w:rPr>
        <w:t xml:space="preserve"> and innovation</w:t>
      </w:r>
      <w:r w:rsidRPr="00AA5C29">
        <w:rPr>
          <w:lang w:eastAsia="en-AU"/>
        </w:rPr>
        <w:t xml:space="preserve">. </w:t>
      </w:r>
      <w:r>
        <w:rPr>
          <w:lang w:eastAsia="en-AU"/>
        </w:rPr>
        <w:t>H</w:t>
      </w:r>
      <w:r w:rsidRPr="00AA5C29">
        <w:rPr>
          <w:lang w:eastAsia="en-AU"/>
        </w:rPr>
        <w:t xml:space="preserve">owever, </w:t>
      </w:r>
      <w:r>
        <w:rPr>
          <w:lang w:eastAsia="en-AU"/>
        </w:rPr>
        <w:t xml:space="preserve">a small number of </w:t>
      </w:r>
      <w:r w:rsidRPr="00AA5C29">
        <w:rPr>
          <w:lang w:eastAsia="en-AU"/>
        </w:rPr>
        <w:t>proof of concept SME</w:t>
      </w:r>
      <w:r>
        <w:rPr>
          <w:lang w:eastAsia="en-AU"/>
        </w:rPr>
        <w:t>s</w:t>
      </w:r>
      <w:r w:rsidRPr="00AA5C29">
        <w:rPr>
          <w:lang w:eastAsia="en-AU"/>
        </w:rPr>
        <w:t xml:space="preserve"> noted that </w:t>
      </w:r>
      <w:r>
        <w:rPr>
          <w:lang w:eastAsia="en-AU"/>
        </w:rPr>
        <w:t>the IP they developed was</w:t>
      </w:r>
      <w:r w:rsidRPr="00AA5C29">
        <w:rPr>
          <w:lang w:eastAsia="en-AU"/>
        </w:rPr>
        <w:t xml:space="preserve"> </w:t>
      </w:r>
      <w:r>
        <w:rPr>
          <w:lang w:eastAsia="en-AU"/>
        </w:rPr>
        <w:t xml:space="preserve">bespoke to their challenge agencies context. These same SMEs felt that this limited their ability to </w:t>
      </w:r>
      <w:r w:rsidRPr="00AA5C29">
        <w:rPr>
          <w:lang w:eastAsia="en-AU"/>
        </w:rPr>
        <w:t xml:space="preserve">commercialise </w:t>
      </w:r>
      <w:r>
        <w:rPr>
          <w:lang w:eastAsia="en-AU"/>
        </w:rPr>
        <w:t>the</w:t>
      </w:r>
      <w:r w:rsidRPr="00AA5C29">
        <w:rPr>
          <w:lang w:eastAsia="en-AU"/>
        </w:rPr>
        <w:t xml:space="preserve"> IP </w:t>
      </w:r>
      <w:r>
        <w:rPr>
          <w:lang w:eastAsia="en-AU"/>
        </w:rPr>
        <w:t>without procurement from</w:t>
      </w:r>
      <w:r w:rsidRPr="00AA5C29">
        <w:rPr>
          <w:lang w:eastAsia="en-AU"/>
        </w:rPr>
        <w:t xml:space="preserve"> their </w:t>
      </w:r>
      <w:r>
        <w:rPr>
          <w:lang w:eastAsia="en-AU"/>
        </w:rPr>
        <w:t>challenge agency.</w:t>
      </w:r>
    </w:p>
    <w:p w14:paraId="1E5B1663" w14:textId="77777777" w:rsidR="00B32F80" w:rsidRPr="00F35FD6" w:rsidRDefault="00B32F80" w:rsidP="00B32F80">
      <w:pPr>
        <w:rPr>
          <w:lang w:eastAsia="en-AU"/>
        </w:rPr>
      </w:pPr>
      <w:r w:rsidRPr="00AA5C29">
        <w:rPr>
          <w:lang w:eastAsia="en-AU"/>
        </w:rPr>
        <w:t>Overall, SMEs found that the BRII process helped to clarify their organisational strategy, including product-market fit, commercialisation pathways and customer segments. Some feasibility SMEs identified a benefit of the BRII was the competitive process, which forced them to reassess their competitive advantage in the market.</w:t>
      </w:r>
    </w:p>
    <w:tbl>
      <w:tblPr>
        <w:tblStyle w:val="TableGrid"/>
        <w:tblW w:w="0" w:type="auto"/>
        <w:tblBorders>
          <w:bottom w:val="single" w:sz="24" w:space="0" w:color="F25E21" w:themeColor="accent2"/>
          <w:insideH w:val="none" w:sz="0" w:space="0" w:color="auto"/>
        </w:tblBorders>
        <w:tblLook w:val="0620" w:firstRow="1" w:lastRow="0" w:firstColumn="0" w:lastColumn="0" w:noHBand="1" w:noVBand="1"/>
      </w:tblPr>
      <w:tblGrid>
        <w:gridCol w:w="1521"/>
        <w:gridCol w:w="2463"/>
        <w:gridCol w:w="2479"/>
        <w:gridCol w:w="2462"/>
      </w:tblGrid>
      <w:tr w:rsidR="00B32F80" w14:paraId="5E2F6EDF" w14:textId="77777777" w:rsidTr="00F40D93">
        <w:trPr>
          <w:cnfStyle w:val="100000000000" w:firstRow="1" w:lastRow="0" w:firstColumn="0" w:lastColumn="0" w:oddVBand="0" w:evenVBand="0" w:oddHBand="0" w:evenHBand="0" w:firstRowFirstColumn="0" w:firstRowLastColumn="0" w:lastRowFirstColumn="0" w:lastRowLastColumn="0"/>
        </w:trPr>
        <w:tc>
          <w:tcPr>
            <w:tcW w:w="1276" w:type="dxa"/>
            <w:tcBorders>
              <w:top w:val="single" w:sz="4" w:space="0" w:color="00264D" w:themeColor="background2"/>
              <w:bottom w:val="single" w:sz="24" w:space="0" w:color="F25E21" w:themeColor="accent2"/>
            </w:tcBorders>
            <w:shd w:val="clear" w:color="auto" w:fill="00264D" w:themeFill="background2"/>
            <w:vAlign w:val="bottom"/>
          </w:tcPr>
          <w:p w14:paraId="3EBA5ABF" w14:textId="77777777" w:rsidR="002C0625" w:rsidRDefault="00A469C5" w:rsidP="002C0625">
            <w:pPr>
              <w:pStyle w:val="TableNheader"/>
              <w:rPr>
                <w:color w:val="FFFFFF" w:themeColor="background1"/>
                <w:lang w:eastAsia="en-AU"/>
              </w:rPr>
            </w:pPr>
            <w:r w:rsidRPr="00A469C5">
              <w:rPr>
                <w:color w:val="FFFFFF" w:themeColor="background1"/>
                <w:lang w:eastAsia="en-AU"/>
              </w:rPr>
              <w:t>Quotes from respondents</w:t>
            </w:r>
          </w:p>
          <w:p w14:paraId="2776A617" w14:textId="44099588" w:rsidR="00B32F80" w:rsidRPr="00A469C5" w:rsidRDefault="002C0625" w:rsidP="002C0625">
            <w:pPr>
              <w:pStyle w:val="TableNheader"/>
              <w:rPr>
                <w:color w:val="FFFFFF" w:themeColor="background1"/>
                <w:lang w:eastAsia="en-AU"/>
              </w:rPr>
            </w:pPr>
            <w:r w:rsidRPr="00A469C5">
              <w:rPr>
                <w:noProof/>
                <w:color w:val="FFFFFF" w:themeColor="background1"/>
                <w:lang w:eastAsia="en-AU"/>
              </w:rPr>
              <w:drawing>
                <wp:inline distT="0" distB="0" distL="0" distR="0" wp14:anchorId="509B90C2" wp14:editId="7B0D3079">
                  <wp:extent cx="504825" cy="1095375"/>
                  <wp:effectExtent l="0" t="0" r="9525" b="9525"/>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4825" cy="1095375"/>
                          </a:xfrm>
                          <a:prstGeom prst="rect">
                            <a:avLst/>
                          </a:prstGeom>
                          <a:noFill/>
                          <a:ln>
                            <a:noFill/>
                          </a:ln>
                        </pic:spPr>
                      </pic:pic>
                    </a:graphicData>
                  </a:graphic>
                </wp:inline>
              </w:drawing>
            </w:r>
          </w:p>
        </w:tc>
        <w:tc>
          <w:tcPr>
            <w:tcW w:w="2551" w:type="dxa"/>
            <w:tcBorders>
              <w:top w:val="single" w:sz="4" w:space="0" w:color="00264D" w:themeColor="background2"/>
              <w:bottom w:val="single" w:sz="24" w:space="0" w:color="F25E21" w:themeColor="accent2"/>
              <w:right w:val="single" w:sz="4" w:space="0" w:color="00264D" w:themeColor="background2"/>
            </w:tcBorders>
            <w:vAlign w:val="top"/>
          </w:tcPr>
          <w:p w14:paraId="0DCE76D5" w14:textId="77777777" w:rsidR="00B32F80" w:rsidRPr="00A43F87" w:rsidRDefault="00B32F80" w:rsidP="00AA384D">
            <w:pPr>
              <w:rPr>
                <w:i/>
                <w:iCs/>
              </w:rPr>
            </w:pPr>
            <w:r w:rsidRPr="00CA38F8">
              <w:rPr>
                <w:i/>
                <w:iCs/>
              </w:rPr>
              <w:t>“We were always looking at the bigger picture. We have a solution that we have pitched to five government agencies and we wish to take that further” – Proof of concept SME</w:t>
            </w:r>
          </w:p>
        </w:tc>
        <w:tc>
          <w:tcPr>
            <w:tcW w:w="2551" w:type="dxa"/>
            <w:tcBorders>
              <w:top w:val="single" w:sz="4" w:space="0" w:color="00264D" w:themeColor="background2"/>
              <w:left w:val="single" w:sz="4" w:space="0" w:color="00264D" w:themeColor="background2"/>
              <w:bottom w:val="single" w:sz="24" w:space="0" w:color="F25E21" w:themeColor="accent2"/>
              <w:right w:val="single" w:sz="4" w:space="0" w:color="00264D" w:themeColor="background2"/>
            </w:tcBorders>
            <w:vAlign w:val="top"/>
          </w:tcPr>
          <w:p w14:paraId="44B17EE1" w14:textId="77777777" w:rsidR="00B32F80" w:rsidRDefault="00B32F80" w:rsidP="00AA384D">
            <w:pPr>
              <w:rPr>
                <w:lang w:eastAsia="en-AU"/>
              </w:rPr>
            </w:pPr>
            <w:r w:rsidRPr="00CA38F8">
              <w:rPr>
                <w:i/>
                <w:iCs/>
              </w:rPr>
              <w:t>“IP has evolved considerably since the grant and we are thinking about patent process - but need to do that carefully &amp; professionally” – Feasibility SME</w:t>
            </w:r>
          </w:p>
        </w:tc>
        <w:tc>
          <w:tcPr>
            <w:tcW w:w="2552" w:type="dxa"/>
            <w:tcBorders>
              <w:top w:val="single" w:sz="4" w:space="0" w:color="00264D" w:themeColor="background2"/>
              <w:left w:val="single" w:sz="4" w:space="0" w:color="00264D" w:themeColor="background2"/>
              <w:bottom w:val="single" w:sz="24" w:space="0" w:color="F25E21" w:themeColor="accent2"/>
              <w:right w:val="single" w:sz="4" w:space="0" w:color="00264D" w:themeColor="background2"/>
            </w:tcBorders>
            <w:vAlign w:val="top"/>
          </w:tcPr>
          <w:p w14:paraId="685D4BBD" w14:textId="77777777" w:rsidR="00B32F80" w:rsidRDefault="00B32F80" w:rsidP="00AA384D">
            <w:pPr>
              <w:rPr>
                <w:lang w:eastAsia="en-AU"/>
              </w:rPr>
            </w:pPr>
            <w:r w:rsidRPr="00CA38F8">
              <w:rPr>
                <w:i/>
                <w:iCs/>
              </w:rPr>
              <w:t>“The IP that we developed… was highly specific to the sponsor agencies… neither of these agencies has engaged with us in relation to the solution we developed” – Proof of concept SME</w:t>
            </w:r>
          </w:p>
        </w:tc>
      </w:tr>
    </w:tbl>
    <w:p w14:paraId="5B2F2697" w14:textId="77777777" w:rsidR="00B32F80" w:rsidRDefault="00B32F80">
      <w:pPr>
        <w:pStyle w:val="Heading3"/>
      </w:pPr>
      <w:bookmarkStart w:id="61" w:name="_Ref79330826"/>
      <w:r w:rsidRPr="00334135">
        <w:t>The BRII was a catalyst for new partnerships and enhanced SME capability to access national and international markets</w:t>
      </w:r>
      <w:bookmarkEnd w:id="61"/>
    </w:p>
    <w:p w14:paraId="3AE85F79" w14:textId="77777777" w:rsidR="00B32F80" w:rsidRPr="00324AD1" w:rsidRDefault="00B32F80" w:rsidP="00B32F80">
      <w:pPr>
        <w:rPr>
          <w:lang w:eastAsia="en-AU"/>
        </w:rPr>
      </w:pPr>
      <w:r w:rsidRPr="00324AD1">
        <w:rPr>
          <w:lang w:eastAsia="en-AU"/>
        </w:rPr>
        <w:t xml:space="preserve">All but </w:t>
      </w:r>
      <w:r>
        <w:rPr>
          <w:lang w:eastAsia="en-AU"/>
        </w:rPr>
        <w:t>two</w:t>
      </w:r>
      <w:r w:rsidRPr="00324AD1">
        <w:rPr>
          <w:lang w:eastAsia="en-AU"/>
        </w:rPr>
        <w:t xml:space="preserve"> survey respondent</w:t>
      </w:r>
      <w:r>
        <w:rPr>
          <w:lang w:eastAsia="en-AU"/>
        </w:rPr>
        <w:t>s</w:t>
      </w:r>
      <w:r w:rsidRPr="00324AD1">
        <w:rPr>
          <w:lang w:eastAsia="en-AU"/>
        </w:rPr>
        <w:t xml:space="preserve"> indicated that participating in the BRII acted as a catalyst to develop or expand collaborative relationships with other companies or researchers. </w:t>
      </w:r>
    </w:p>
    <w:p w14:paraId="7FA37F04" w14:textId="77777777" w:rsidR="00B32F80" w:rsidRPr="00324AD1" w:rsidRDefault="00B32F80" w:rsidP="00B32F80">
      <w:pPr>
        <w:rPr>
          <w:lang w:eastAsia="en-AU"/>
        </w:rPr>
      </w:pPr>
      <w:r w:rsidRPr="00324AD1">
        <w:rPr>
          <w:lang w:eastAsia="en-AU"/>
        </w:rPr>
        <w:t xml:space="preserve">For some SMEs this included direct partnerships with complementary technical providers that have expanded over time. An unexpected benefit for several SMEs from these partnerships was new technology capabilities that have either improved the digital maturity of their business or enhanced their service or product offering post the BRII. </w:t>
      </w:r>
    </w:p>
    <w:p w14:paraId="3E4CC965" w14:textId="1D0EE334" w:rsidR="00B32F80" w:rsidRPr="00324AD1" w:rsidRDefault="00B32F80" w:rsidP="00B32F80">
      <w:pPr>
        <w:rPr>
          <w:lang w:eastAsia="en-AU"/>
        </w:rPr>
      </w:pPr>
      <w:r w:rsidRPr="00324AD1">
        <w:rPr>
          <w:lang w:eastAsia="en-AU"/>
        </w:rPr>
        <w:t xml:space="preserve">For other SMEs, </w:t>
      </w:r>
      <w:r>
        <w:rPr>
          <w:lang w:eastAsia="en-AU"/>
        </w:rPr>
        <w:t>the BRII was a catalyst for</w:t>
      </w:r>
      <w:r w:rsidRPr="00324AD1">
        <w:rPr>
          <w:lang w:eastAsia="en-AU"/>
        </w:rPr>
        <w:t xml:space="preserve"> new commercial partnerships with potential clients both in Australia and overseas. For example, one SME has developed a lasting partnership with the </w:t>
      </w:r>
      <w:r w:rsidR="00731D94">
        <w:rPr>
          <w:lang w:eastAsia="en-AU"/>
        </w:rPr>
        <w:t>US</w:t>
      </w:r>
      <w:r w:rsidRPr="00324AD1">
        <w:rPr>
          <w:lang w:eastAsia="en-AU"/>
        </w:rPr>
        <w:t xml:space="preserve"> Centre for Disease Control. In interviews, a few SMEs highlighted the positive role that challenge agencies played to broker </w:t>
      </w:r>
      <w:r>
        <w:rPr>
          <w:lang w:eastAsia="en-AU"/>
        </w:rPr>
        <w:t>international connections</w:t>
      </w:r>
      <w:r w:rsidRPr="00324AD1">
        <w:rPr>
          <w:lang w:eastAsia="en-AU"/>
        </w:rPr>
        <w:t>, especially during the proof of concept stage.</w:t>
      </w:r>
    </w:p>
    <w:p w14:paraId="22D6F4CB" w14:textId="35B34ECC" w:rsidR="00B32F80" w:rsidRPr="00324AD1" w:rsidRDefault="00B32F80" w:rsidP="00B32F80">
      <w:pPr>
        <w:rPr>
          <w:lang w:eastAsia="en-AU"/>
        </w:rPr>
      </w:pPr>
      <w:r w:rsidRPr="00324AD1">
        <w:rPr>
          <w:lang w:eastAsia="en-AU"/>
        </w:rPr>
        <w:t xml:space="preserve">One outcome of these new relationships for some SMEs was a perceived improvement in the capability of their business to </w:t>
      </w:r>
      <w:r w:rsidRPr="00324AD1">
        <w:rPr>
          <w:lang w:val="en-US" w:eastAsia="en-AU"/>
        </w:rPr>
        <w:t>access national and international markets</w:t>
      </w:r>
      <w:r w:rsidR="004F63A6">
        <w:rPr>
          <w:lang w:val="en-US" w:eastAsia="en-AU"/>
        </w:rPr>
        <w:t xml:space="preserve"> (see </w:t>
      </w:r>
      <w:r w:rsidR="004F63A6">
        <w:rPr>
          <w:lang w:val="en-US" w:eastAsia="en-AU"/>
        </w:rPr>
        <w:fldChar w:fldCharType="begin"/>
      </w:r>
      <w:r w:rsidR="004F63A6">
        <w:rPr>
          <w:lang w:val="en-US" w:eastAsia="en-AU"/>
        </w:rPr>
        <w:instrText xml:space="preserve"> REF _Ref79505158 \h </w:instrText>
      </w:r>
      <w:r w:rsidR="004F63A6">
        <w:rPr>
          <w:lang w:val="en-US" w:eastAsia="en-AU"/>
        </w:rPr>
      </w:r>
      <w:r w:rsidR="004F63A6">
        <w:rPr>
          <w:lang w:val="en-US" w:eastAsia="en-AU"/>
        </w:rPr>
        <w:fldChar w:fldCharType="separate"/>
      </w:r>
      <w:r w:rsidR="00AE607F">
        <w:t xml:space="preserve">Figure </w:t>
      </w:r>
      <w:r w:rsidR="00AE607F">
        <w:rPr>
          <w:noProof/>
        </w:rPr>
        <w:t>18</w:t>
      </w:r>
      <w:r w:rsidR="004F63A6">
        <w:rPr>
          <w:lang w:val="en-US" w:eastAsia="en-AU"/>
        </w:rPr>
        <w:fldChar w:fldCharType="end"/>
      </w:r>
      <w:r w:rsidR="004F63A6">
        <w:rPr>
          <w:lang w:val="en-US" w:eastAsia="en-AU"/>
        </w:rPr>
        <w:t>)</w:t>
      </w:r>
      <w:r w:rsidRPr="00324AD1">
        <w:rPr>
          <w:lang w:val="en-US" w:eastAsia="en-AU"/>
        </w:rPr>
        <w:t xml:space="preserve">. For other SMEs, the work they completed during the BRII provided them with the opportunity to present at national and international conferences, another catalyst for improved access to new markets. </w:t>
      </w:r>
    </w:p>
    <w:p w14:paraId="2B79E611" w14:textId="3AAC64DB" w:rsidR="00B32F80" w:rsidRDefault="00B32F80" w:rsidP="00B32F80">
      <w:pPr>
        <w:pStyle w:val="Caption"/>
      </w:pPr>
      <w:bookmarkStart w:id="62" w:name="_Ref79505158"/>
      <w:r>
        <w:lastRenderedPageBreak/>
        <w:t xml:space="preserve">Figure </w:t>
      </w:r>
      <w:r>
        <w:fldChar w:fldCharType="begin"/>
      </w:r>
      <w:r>
        <w:instrText xml:space="preserve"> SEQ Figure \* ARABIC </w:instrText>
      </w:r>
      <w:r>
        <w:fldChar w:fldCharType="separate"/>
      </w:r>
      <w:r w:rsidR="00870ADB">
        <w:rPr>
          <w:noProof/>
        </w:rPr>
        <w:t>19</w:t>
      </w:r>
      <w:r>
        <w:fldChar w:fldCharType="end"/>
      </w:r>
      <w:bookmarkEnd w:id="62"/>
      <w:r>
        <w:t xml:space="preserve"> | </w:t>
      </w:r>
      <w:r w:rsidRPr="00530026">
        <w:t>Has the BRII improved the capability of your business to access national and international markets? (n=23)</w:t>
      </w:r>
    </w:p>
    <w:p w14:paraId="7E7BD73D" w14:textId="14E951F0" w:rsidR="00B32F80" w:rsidRPr="00FB3E88" w:rsidRDefault="00897AA7" w:rsidP="00B32F80">
      <w:pPr>
        <w:rPr>
          <w:lang w:eastAsia="en-AU"/>
        </w:rPr>
      </w:pPr>
      <w:r w:rsidRPr="00897AA7">
        <w:rPr>
          <w:noProof/>
        </w:rPr>
        <w:drawing>
          <wp:inline distT="0" distB="0" distL="0" distR="0" wp14:anchorId="37851124" wp14:editId="79476E42">
            <wp:extent cx="5670550" cy="1437005"/>
            <wp:effectExtent l="0" t="0" r="6350" b="0"/>
            <wp:docPr id="77" name="Picture 77" descr="Survey question, would your company have pursued this R&amp;D without the BRII funding? Seventy 3 percent answered no, eighteen per cent answered probably, 9 percent answered unsure. Sample size, twenty 2. Seventy 3 per cent of respondents would not have pursued this R&amp;D without the BRII fu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Survey question, would your company have pursued this R&amp;D without the BRII funding? Seventy 3 percent answered no, eighteen per cent answered probably, 9 percent answered unsure. Sample size, twenty 2. Seventy 3 per cent of respondents would not have pursued this R&amp;D without the BRII fundi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70550" cy="1437005"/>
                    </a:xfrm>
                    <a:prstGeom prst="rect">
                      <a:avLst/>
                    </a:prstGeom>
                    <a:noFill/>
                    <a:ln>
                      <a:noFill/>
                    </a:ln>
                  </pic:spPr>
                </pic:pic>
              </a:graphicData>
            </a:graphic>
          </wp:inline>
        </w:drawing>
      </w:r>
    </w:p>
    <w:p w14:paraId="6FFD40C9" w14:textId="77777777" w:rsidR="00B32F80" w:rsidRPr="00FB3E88" w:rsidRDefault="00B32F80" w:rsidP="00B32F80">
      <w:pPr>
        <w:pStyle w:val="Source"/>
      </w:pPr>
      <w:r>
        <w:t>Source: Feasibility and proof of concept SME surveys</w:t>
      </w:r>
    </w:p>
    <w:p w14:paraId="61AB4226" w14:textId="77777777" w:rsidR="00B32F80" w:rsidRPr="00D86CC8" w:rsidRDefault="00B32F80" w:rsidP="00B32F80">
      <w:pPr>
        <w:rPr>
          <w:lang w:eastAsia="en-AU"/>
        </w:rPr>
      </w:pPr>
      <w:r w:rsidRPr="00324AD1">
        <w:rPr>
          <w:lang w:eastAsia="en-AU"/>
        </w:rPr>
        <w:t>Participants in both the feasibility and proof of concept stage were positive about the impact of the program on their capability to access national and international markets. Proof of concept stage participants were more positive in this regard.</w:t>
      </w:r>
    </w:p>
    <w:tbl>
      <w:tblPr>
        <w:tblStyle w:val="TableGrid"/>
        <w:tblW w:w="0" w:type="auto"/>
        <w:tblBorders>
          <w:top w:val="single" w:sz="4" w:space="0" w:color="00264D" w:themeColor="background2"/>
          <w:bottom w:val="single" w:sz="24" w:space="0" w:color="F25E21" w:themeColor="accent2"/>
          <w:insideH w:val="none" w:sz="0" w:space="0" w:color="auto"/>
        </w:tblBorders>
        <w:tblLook w:val="0620" w:firstRow="1" w:lastRow="0" w:firstColumn="0" w:lastColumn="0" w:noHBand="1" w:noVBand="1"/>
      </w:tblPr>
      <w:tblGrid>
        <w:gridCol w:w="1521"/>
        <w:gridCol w:w="2462"/>
        <w:gridCol w:w="2462"/>
        <w:gridCol w:w="2480"/>
      </w:tblGrid>
      <w:tr w:rsidR="00B32F80" w14:paraId="23C4E0BE" w14:textId="77777777" w:rsidTr="00D51AD3">
        <w:trPr>
          <w:cnfStyle w:val="100000000000" w:firstRow="1" w:lastRow="0" w:firstColumn="0" w:lastColumn="0" w:oddVBand="0" w:evenVBand="0" w:oddHBand="0" w:evenHBand="0" w:firstRowFirstColumn="0" w:firstRowLastColumn="0" w:lastRowFirstColumn="0" w:lastRowLastColumn="0"/>
        </w:trPr>
        <w:tc>
          <w:tcPr>
            <w:tcW w:w="1276" w:type="dxa"/>
            <w:tcBorders>
              <w:top w:val="nil"/>
              <w:bottom w:val="single" w:sz="24" w:space="0" w:color="F25E21" w:themeColor="accent2"/>
            </w:tcBorders>
            <w:shd w:val="clear" w:color="auto" w:fill="00264D" w:themeFill="background2"/>
            <w:vAlign w:val="bottom"/>
          </w:tcPr>
          <w:p w14:paraId="5E86DD36" w14:textId="77777777" w:rsidR="002C0625" w:rsidRDefault="002C0625" w:rsidP="002C0625">
            <w:pPr>
              <w:pStyle w:val="TableNheader"/>
              <w:rPr>
                <w:color w:val="FFFFFF" w:themeColor="background1"/>
                <w:lang w:eastAsia="en-AU"/>
              </w:rPr>
            </w:pPr>
            <w:r w:rsidRPr="002C0625">
              <w:rPr>
                <w:color w:val="FFFFFF" w:themeColor="background1"/>
                <w:lang w:eastAsia="en-AU"/>
              </w:rPr>
              <w:t>Quotes from respondents</w:t>
            </w:r>
          </w:p>
          <w:p w14:paraId="021591A3" w14:textId="5FF8955C" w:rsidR="00B32F80" w:rsidRDefault="00B32F80" w:rsidP="002C0625">
            <w:pPr>
              <w:pStyle w:val="TableNheader"/>
              <w:rPr>
                <w:lang w:eastAsia="en-AU"/>
              </w:rPr>
            </w:pPr>
            <w:r w:rsidRPr="00FC69A3">
              <w:rPr>
                <w:noProof/>
                <w:lang w:eastAsia="en-AU"/>
              </w:rPr>
              <w:drawing>
                <wp:inline distT="0" distB="0" distL="0" distR="0" wp14:anchorId="462068EB" wp14:editId="76E144F1">
                  <wp:extent cx="504825" cy="1095375"/>
                  <wp:effectExtent l="0" t="0" r="9525" b="9525"/>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4825" cy="1095375"/>
                          </a:xfrm>
                          <a:prstGeom prst="rect">
                            <a:avLst/>
                          </a:prstGeom>
                          <a:noFill/>
                          <a:ln>
                            <a:noFill/>
                          </a:ln>
                        </pic:spPr>
                      </pic:pic>
                    </a:graphicData>
                  </a:graphic>
                </wp:inline>
              </w:drawing>
            </w:r>
          </w:p>
        </w:tc>
        <w:tc>
          <w:tcPr>
            <w:tcW w:w="2551" w:type="dxa"/>
            <w:tcBorders>
              <w:top w:val="single" w:sz="4" w:space="0" w:color="00264D" w:themeColor="background2"/>
              <w:bottom w:val="single" w:sz="24" w:space="0" w:color="F25E21" w:themeColor="accent2"/>
              <w:right w:val="single" w:sz="4" w:space="0" w:color="00264D" w:themeColor="background2"/>
            </w:tcBorders>
            <w:vAlign w:val="top"/>
          </w:tcPr>
          <w:p w14:paraId="1080C7ED" w14:textId="77777777" w:rsidR="00B32F80" w:rsidRPr="00A43F87" w:rsidRDefault="00B32F80" w:rsidP="00AA384D">
            <w:pPr>
              <w:rPr>
                <w:i/>
                <w:iCs/>
              </w:rPr>
            </w:pPr>
            <w:r>
              <w:t>“</w:t>
            </w:r>
            <w:r w:rsidRPr="00332586">
              <w:rPr>
                <w:i/>
                <w:iCs/>
              </w:rPr>
              <w:t>The skills we developed under the BRII program have undoubtedly assisted our ability to engage generally with national and international markets” – Proof of concept SME</w:t>
            </w:r>
          </w:p>
        </w:tc>
        <w:tc>
          <w:tcPr>
            <w:tcW w:w="2551" w:type="dxa"/>
            <w:tcBorders>
              <w:top w:val="single" w:sz="4" w:space="0" w:color="00264D" w:themeColor="background2"/>
              <w:left w:val="single" w:sz="4" w:space="0" w:color="00264D" w:themeColor="background2"/>
              <w:bottom w:val="single" w:sz="24" w:space="0" w:color="F25E21" w:themeColor="accent2"/>
              <w:right w:val="single" w:sz="4" w:space="0" w:color="00264D" w:themeColor="background2"/>
            </w:tcBorders>
            <w:vAlign w:val="top"/>
          </w:tcPr>
          <w:p w14:paraId="37827AEF" w14:textId="77777777" w:rsidR="00B32F80" w:rsidRDefault="00B32F80" w:rsidP="00AA384D">
            <w:pPr>
              <w:rPr>
                <w:lang w:eastAsia="en-AU"/>
              </w:rPr>
            </w:pPr>
            <w:r w:rsidRPr="00332586">
              <w:rPr>
                <w:i/>
                <w:iCs/>
              </w:rPr>
              <w:t>“We have developed an extensive network of international experts who are aware of our unique approach and have encouraged us to keep working to build out a full product in this area” – Proof of concept SME</w:t>
            </w:r>
            <w:r>
              <w:rPr>
                <w:lang w:eastAsia="en-AU"/>
              </w:rPr>
              <w:t xml:space="preserve"> </w:t>
            </w:r>
          </w:p>
        </w:tc>
        <w:tc>
          <w:tcPr>
            <w:tcW w:w="2552" w:type="dxa"/>
            <w:tcBorders>
              <w:top w:val="single" w:sz="4" w:space="0" w:color="00264D" w:themeColor="background2"/>
              <w:left w:val="single" w:sz="4" w:space="0" w:color="00264D" w:themeColor="background2"/>
              <w:bottom w:val="single" w:sz="24" w:space="0" w:color="F25E21" w:themeColor="accent2"/>
              <w:right w:val="single" w:sz="4" w:space="0" w:color="00264D" w:themeColor="background2"/>
            </w:tcBorders>
            <w:vAlign w:val="top"/>
          </w:tcPr>
          <w:p w14:paraId="23B2F745" w14:textId="77777777" w:rsidR="00B32F80" w:rsidRDefault="00B32F80" w:rsidP="00AA384D">
            <w:pPr>
              <w:rPr>
                <w:lang w:eastAsia="en-AU"/>
              </w:rPr>
            </w:pPr>
            <w:r w:rsidRPr="00332586">
              <w:rPr>
                <w:i/>
                <w:iCs/>
              </w:rPr>
              <w:t>“[It’s] a bit too early to say, but the process has enabled us to do the thinking around potential markets… nationally, and in the long-term, internationally” – Feasibility SME</w:t>
            </w:r>
          </w:p>
        </w:tc>
      </w:tr>
    </w:tbl>
    <w:p w14:paraId="4DF342C6" w14:textId="0B041572" w:rsidR="00EF3E77" w:rsidRDefault="00EF3E77">
      <w:pPr>
        <w:pStyle w:val="Heading3"/>
      </w:pPr>
      <w:bookmarkStart w:id="63" w:name="_Ref79330846"/>
      <w:r>
        <w:t>Participating in the BRII has enhanced government engagement for many SMEs</w:t>
      </w:r>
      <w:bookmarkEnd w:id="58"/>
      <w:bookmarkEnd w:id="63"/>
    </w:p>
    <w:p w14:paraId="085595CD" w14:textId="77777777" w:rsidR="00EF3E77" w:rsidRPr="00C4778B" w:rsidRDefault="00EF3E77" w:rsidP="00EF3E77">
      <w:pPr>
        <w:rPr>
          <w:lang w:eastAsia="en-AU"/>
        </w:rPr>
      </w:pPr>
      <w:r w:rsidRPr="00C4778B">
        <w:rPr>
          <w:lang w:eastAsia="en-AU"/>
        </w:rPr>
        <w:t xml:space="preserve">The BRII has successfully engaged several SMEs that had limited experience working with the Australian Government. Exactly half of the survey respondents had never or only occasionally engaged with government clients prior to the BRII. </w:t>
      </w:r>
    </w:p>
    <w:p w14:paraId="56609437" w14:textId="469D8373" w:rsidR="00EF3E77" w:rsidRPr="00D17236" w:rsidRDefault="00EF3E77" w:rsidP="00EF3E77">
      <w:pPr>
        <w:rPr>
          <w:lang w:eastAsia="en-AU"/>
        </w:rPr>
      </w:pPr>
      <w:r w:rsidRPr="00C4778B">
        <w:rPr>
          <w:lang w:eastAsia="en-AU"/>
        </w:rPr>
        <w:t xml:space="preserve">The SMEs with limited previous government engagement particularly benefited from the BRII when it came to enhancing their ability and confidence to engage with </w:t>
      </w:r>
      <w:r>
        <w:rPr>
          <w:lang w:eastAsia="en-AU"/>
        </w:rPr>
        <w:t>government</w:t>
      </w:r>
      <w:r w:rsidRPr="00C4778B">
        <w:rPr>
          <w:lang w:eastAsia="en-AU"/>
        </w:rPr>
        <w:t xml:space="preserve">, as shown in </w:t>
      </w:r>
      <w:r w:rsidR="0048409C">
        <w:rPr>
          <w:lang w:eastAsia="en-AU"/>
        </w:rPr>
        <w:fldChar w:fldCharType="begin"/>
      </w:r>
      <w:r w:rsidR="0048409C">
        <w:rPr>
          <w:lang w:eastAsia="en-AU"/>
        </w:rPr>
        <w:instrText xml:space="preserve"> REF _Ref79397966 \h </w:instrText>
      </w:r>
      <w:r w:rsidR="0048409C">
        <w:rPr>
          <w:lang w:eastAsia="en-AU"/>
        </w:rPr>
      </w:r>
      <w:r w:rsidR="0048409C">
        <w:rPr>
          <w:lang w:eastAsia="en-AU"/>
        </w:rPr>
        <w:fldChar w:fldCharType="separate"/>
      </w:r>
      <w:r w:rsidR="00AE607F">
        <w:t xml:space="preserve">Figure </w:t>
      </w:r>
      <w:r w:rsidR="00AE607F">
        <w:rPr>
          <w:noProof/>
        </w:rPr>
        <w:t>19</w:t>
      </w:r>
      <w:r w:rsidR="0048409C">
        <w:rPr>
          <w:lang w:eastAsia="en-AU"/>
        </w:rPr>
        <w:fldChar w:fldCharType="end"/>
      </w:r>
      <w:r w:rsidRPr="00C4778B">
        <w:rPr>
          <w:lang w:eastAsia="en-AU"/>
        </w:rPr>
        <w:t xml:space="preserve">. </w:t>
      </w:r>
      <w:r>
        <w:rPr>
          <w:lang w:eastAsia="en-AU"/>
        </w:rPr>
        <w:t xml:space="preserve">Some SMEs highlighted that their challenge agency played an active role to support them to engage with other government departments that would be interested in their solution. </w:t>
      </w:r>
      <w:r w:rsidR="00E9508A">
        <w:rPr>
          <w:lang w:eastAsia="en-AU"/>
        </w:rPr>
        <w:fldChar w:fldCharType="begin"/>
      </w:r>
      <w:r w:rsidR="00E9508A">
        <w:rPr>
          <w:lang w:eastAsia="en-AU"/>
        </w:rPr>
        <w:instrText xml:space="preserve"> REF _Ref79397966 \h </w:instrText>
      </w:r>
      <w:r w:rsidR="00E9508A">
        <w:rPr>
          <w:lang w:eastAsia="en-AU"/>
        </w:rPr>
      </w:r>
      <w:r w:rsidR="00E9508A">
        <w:rPr>
          <w:lang w:eastAsia="en-AU"/>
        </w:rPr>
        <w:fldChar w:fldCharType="separate"/>
      </w:r>
      <w:r w:rsidR="00AE607F">
        <w:t xml:space="preserve">Figure </w:t>
      </w:r>
      <w:r w:rsidR="00AE607F">
        <w:rPr>
          <w:noProof/>
        </w:rPr>
        <w:t>19</w:t>
      </w:r>
      <w:r w:rsidR="00E9508A">
        <w:rPr>
          <w:lang w:eastAsia="en-AU"/>
        </w:rPr>
        <w:fldChar w:fldCharType="end"/>
      </w:r>
      <w:r>
        <w:rPr>
          <w:lang w:eastAsia="en-AU"/>
        </w:rPr>
        <w:t xml:space="preserve"> also</w:t>
      </w:r>
      <w:r w:rsidRPr="00C4778B">
        <w:rPr>
          <w:lang w:eastAsia="en-AU"/>
        </w:rPr>
        <w:t xml:space="preserve"> shows that most SMEs that had engaged with government clients often or very often prior to the BRII </w:t>
      </w:r>
      <w:r>
        <w:rPr>
          <w:lang w:eastAsia="en-AU"/>
        </w:rPr>
        <w:t xml:space="preserve">also </w:t>
      </w:r>
      <w:r w:rsidRPr="00C4778B">
        <w:rPr>
          <w:lang w:eastAsia="en-AU"/>
        </w:rPr>
        <w:t xml:space="preserve">felt </w:t>
      </w:r>
      <w:r>
        <w:rPr>
          <w:lang w:eastAsia="en-AU"/>
        </w:rPr>
        <w:t>that</w:t>
      </w:r>
      <w:r w:rsidRPr="00C4778B">
        <w:rPr>
          <w:lang w:eastAsia="en-AU"/>
        </w:rPr>
        <w:t xml:space="preserve"> their ability and confidence to engage with government increased.</w:t>
      </w:r>
    </w:p>
    <w:p w14:paraId="5222EB67" w14:textId="510AD7D5" w:rsidR="00EF3E77" w:rsidRDefault="00EF3E77" w:rsidP="00EF3E77">
      <w:pPr>
        <w:pStyle w:val="Caption"/>
      </w:pPr>
      <w:bookmarkStart w:id="64" w:name="_Ref79397966"/>
      <w:r>
        <w:lastRenderedPageBreak/>
        <w:t xml:space="preserve">Figure </w:t>
      </w:r>
      <w:r>
        <w:fldChar w:fldCharType="begin"/>
      </w:r>
      <w:r>
        <w:instrText xml:space="preserve"> SEQ Figure \* ARABIC </w:instrText>
      </w:r>
      <w:r>
        <w:fldChar w:fldCharType="separate"/>
      </w:r>
      <w:r w:rsidR="00870ADB">
        <w:rPr>
          <w:noProof/>
        </w:rPr>
        <w:t>20</w:t>
      </w:r>
      <w:r>
        <w:fldChar w:fldCharType="end"/>
      </w:r>
      <w:bookmarkEnd w:id="64"/>
      <w:r>
        <w:t xml:space="preserve"> | Government engagement matrix based on survey responses (n = 22)</w:t>
      </w:r>
      <w:r>
        <w:rPr>
          <w:rStyle w:val="FootnoteReference"/>
        </w:rPr>
        <w:footnoteReference w:id="28"/>
      </w:r>
    </w:p>
    <w:p w14:paraId="6B7D569E" w14:textId="06646B16" w:rsidR="00053C53" w:rsidRPr="00053C53" w:rsidRDefault="00053C53" w:rsidP="00053C53">
      <w:r w:rsidRPr="00053C53">
        <w:rPr>
          <w:noProof/>
        </w:rPr>
        <w:drawing>
          <wp:inline distT="0" distB="0" distL="0" distR="0" wp14:anchorId="77BF46DD" wp14:editId="1ED1F79F">
            <wp:extent cx="5670550" cy="2792095"/>
            <wp:effectExtent l="0" t="0" r="6350" b="8255"/>
            <wp:docPr id="27864" name="Picture 27864" descr="Matrix of responses to survey questions. First responses are to survey question, How frequently did your company engage with government clients prior to the BRII? Second responses are the AVERAGE OF RESPONSES TO questions on their ability and confidence to engage with GOVERNMENT. Never, 4 total. 2 agree and 2 strongly agree. Occasionally, 7 total. 6 agree and 1 strongly agree. Often 4 total. 1 neutral, 2 agree and 1 strongly agree. Very often, 6 total. 1 strongly disagree, 2 neutral, 2 agree, 1 strongly agree. Unsure, 1 total, neu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4" name="Picture 27864" descr="Matrix of responses to survey questions. First responses are to survey question, How frequently did your company engage with government clients prior to the BRII? Second responses are the AVERAGE OF RESPONSES TO questions on their ability and confidence to engage with GOVERNMENT. Never, 4 total. 2 agree and 2 strongly agree. Occasionally, 7 total. 6 agree and 1 strongly agree. Often 4 total. 1 neutral, 2 agree and 1 strongly agree. Very often, 6 total. 1 strongly disagree, 2 neutral, 2 agree, 1 strongly agree. Unsure, 1 total, neutral."/>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70550" cy="2792095"/>
                    </a:xfrm>
                    <a:prstGeom prst="rect">
                      <a:avLst/>
                    </a:prstGeom>
                    <a:noFill/>
                    <a:ln>
                      <a:noFill/>
                    </a:ln>
                  </pic:spPr>
                </pic:pic>
              </a:graphicData>
            </a:graphic>
          </wp:inline>
        </w:drawing>
      </w:r>
    </w:p>
    <w:p w14:paraId="44613804" w14:textId="5BFBB445" w:rsidR="00EF3E77" w:rsidRPr="00FE4AE0" w:rsidRDefault="00EF3E77" w:rsidP="00FE4AE0">
      <w:pPr>
        <w:rPr>
          <w:i/>
          <w:iCs/>
          <w:sz w:val="17"/>
          <w:szCs w:val="17"/>
        </w:rPr>
      </w:pPr>
      <w:r w:rsidRPr="00FE4AE0">
        <w:rPr>
          <w:i/>
          <w:iCs/>
          <w:sz w:val="17"/>
          <w:szCs w:val="17"/>
        </w:rPr>
        <w:t>Source: Feasibility and proof of concept SME surveys</w:t>
      </w:r>
    </w:p>
    <w:p w14:paraId="60AEC0E0" w14:textId="77777777" w:rsidR="00EF3E77" w:rsidRPr="001E477A" w:rsidRDefault="00EF3E77" w:rsidP="00EF3E77">
      <w:pPr>
        <w:rPr>
          <w:lang w:eastAsia="en-AU"/>
        </w:rPr>
      </w:pPr>
      <w:r w:rsidRPr="001E477A">
        <w:rPr>
          <w:lang w:eastAsia="en-AU"/>
        </w:rPr>
        <w:t xml:space="preserve">Interviews provided additional insight on the SMEs that had a neutral or negative response on average to the government engagement survey questions. </w:t>
      </w:r>
      <w:r>
        <w:rPr>
          <w:lang w:eastAsia="en-AU"/>
        </w:rPr>
        <w:t>All these SMEs indicated that they engaged with government often or very often prior to the BRII. T</w:t>
      </w:r>
      <w:r w:rsidRPr="001E477A">
        <w:rPr>
          <w:lang w:eastAsia="en-AU"/>
        </w:rPr>
        <w:t>hese SMEs highlighted that their previous experience working with government meant that they did not learn much from their experience.</w:t>
      </w:r>
      <w:r w:rsidRPr="005D57F4">
        <w:rPr>
          <w:lang w:eastAsia="en-AU"/>
        </w:rPr>
        <w:t xml:space="preserve"> </w:t>
      </w:r>
      <w:r>
        <w:rPr>
          <w:lang w:eastAsia="en-AU"/>
        </w:rPr>
        <w:t>Meanwhile, not all SMEs who increased their engagement with government were satisfied with the experience. Some highlighted that they found it difficult and confusing to navigate procurement processes.</w:t>
      </w:r>
    </w:p>
    <w:p w14:paraId="2B2A3FE5" w14:textId="77777777" w:rsidR="00EF3E77" w:rsidRPr="002F0860" w:rsidRDefault="00EF3E77" w:rsidP="00EF3E77">
      <w:pPr>
        <w:rPr>
          <w:lang w:eastAsia="en-AU"/>
        </w:rPr>
      </w:pPr>
      <w:r w:rsidRPr="001E477A">
        <w:rPr>
          <w:lang w:eastAsia="en-AU"/>
        </w:rPr>
        <w:t>Interviews with challenge agencies also highlighted that many SMEs that participated in the BRII had a lot to learn when it came to working with the Australian Government. Many challenge agencies highlighted that government decision-making and procurement processes were specific areas for participating SMEs to improve their knowledge. This became an issue for some challenge agencies during the proof of concept stage as some SMEs had unrealistic expectations for the ability and speed of the challenge agency to procure their solution.</w:t>
      </w:r>
    </w:p>
    <w:tbl>
      <w:tblPr>
        <w:tblStyle w:val="TableGrid"/>
        <w:tblW w:w="0" w:type="auto"/>
        <w:tblBorders>
          <w:top w:val="single" w:sz="4" w:space="0" w:color="00264D" w:themeColor="background2"/>
          <w:left w:val="single" w:sz="4" w:space="0" w:color="00264D" w:themeColor="background2"/>
          <w:bottom w:val="single" w:sz="24" w:space="0" w:color="F25E21" w:themeColor="accent2"/>
          <w:right w:val="single" w:sz="4" w:space="0" w:color="00264D" w:themeColor="background2"/>
          <w:insideH w:val="single" w:sz="4" w:space="0" w:color="00264D" w:themeColor="background2"/>
          <w:insideV w:val="single" w:sz="4" w:space="0" w:color="00264D" w:themeColor="background2"/>
        </w:tblBorders>
        <w:tblLook w:val="0620" w:firstRow="1" w:lastRow="0" w:firstColumn="0" w:lastColumn="0" w:noHBand="1" w:noVBand="1"/>
      </w:tblPr>
      <w:tblGrid>
        <w:gridCol w:w="1521"/>
        <w:gridCol w:w="2787"/>
        <w:gridCol w:w="2375"/>
        <w:gridCol w:w="2237"/>
      </w:tblGrid>
      <w:tr w:rsidR="00EF3E77" w14:paraId="20001B40" w14:textId="77777777" w:rsidTr="00D51AD3">
        <w:trPr>
          <w:cnfStyle w:val="100000000000" w:firstRow="1" w:lastRow="0" w:firstColumn="0" w:lastColumn="0" w:oddVBand="0" w:evenVBand="0" w:oddHBand="0" w:evenHBand="0" w:firstRowFirstColumn="0" w:firstRowLastColumn="0" w:lastRowFirstColumn="0" w:lastRowLastColumn="0"/>
        </w:trPr>
        <w:tc>
          <w:tcPr>
            <w:tcW w:w="127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264D" w:themeFill="background2"/>
            <w:vAlign w:val="bottom"/>
          </w:tcPr>
          <w:p w14:paraId="74EAAED7" w14:textId="77777777" w:rsidR="002C0625" w:rsidRDefault="002C0625" w:rsidP="002C0625">
            <w:pPr>
              <w:pStyle w:val="TableNheader"/>
              <w:rPr>
                <w:color w:val="FFFFFF" w:themeColor="background1"/>
                <w:lang w:eastAsia="en-AU"/>
              </w:rPr>
            </w:pPr>
            <w:r w:rsidRPr="002C0625">
              <w:rPr>
                <w:color w:val="FFFFFF" w:themeColor="background1"/>
                <w:lang w:eastAsia="en-AU"/>
              </w:rPr>
              <w:lastRenderedPageBreak/>
              <w:t>Quotes from respondents</w:t>
            </w:r>
          </w:p>
          <w:p w14:paraId="0EE20AF6" w14:textId="2B3D9786" w:rsidR="00EF3E77" w:rsidRDefault="00EF3E77" w:rsidP="002C0625">
            <w:pPr>
              <w:pStyle w:val="TableNheader"/>
              <w:rPr>
                <w:lang w:eastAsia="en-AU"/>
              </w:rPr>
            </w:pPr>
            <w:r w:rsidRPr="002C0625">
              <w:rPr>
                <w:noProof/>
                <w:color w:val="FFFFFF" w:themeColor="background1"/>
                <w:lang w:eastAsia="en-AU"/>
              </w:rPr>
              <w:drawing>
                <wp:inline distT="0" distB="0" distL="0" distR="0" wp14:anchorId="1F318E4B" wp14:editId="2736F087">
                  <wp:extent cx="504825" cy="1095375"/>
                  <wp:effectExtent l="0" t="0" r="9525" b="9525"/>
                  <wp:docPr id="29" name="Picture 29" descr="Quotes from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Quotes from respondent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4825" cy="1095375"/>
                          </a:xfrm>
                          <a:prstGeom prst="rect">
                            <a:avLst/>
                          </a:prstGeom>
                          <a:noFill/>
                          <a:ln>
                            <a:noFill/>
                          </a:ln>
                        </pic:spPr>
                      </pic:pic>
                    </a:graphicData>
                  </a:graphic>
                </wp:inline>
              </w:drawing>
            </w:r>
          </w:p>
        </w:tc>
        <w:tc>
          <w:tcPr>
            <w:tcW w:w="2835"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10CB3FE2" w14:textId="3D55CDAF" w:rsidR="00EF3E77" w:rsidRPr="00A43F87" w:rsidRDefault="007E7FDF" w:rsidP="00226F49">
            <w:pPr>
              <w:rPr>
                <w:i/>
              </w:rPr>
            </w:pPr>
            <w:r w:rsidRPr="00680565">
              <w:rPr>
                <w:i/>
                <w:iCs/>
              </w:rPr>
              <w:t>“Partnering with agencies as part of BRII sets up SMEs well for how to approach procurement with government and learn the needs of government clients more generally. This is even more beneficial than the capital from the program” – Proof of concept SME</w:t>
            </w:r>
          </w:p>
        </w:tc>
        <w:tc>
          <w:tcPr>
            <w:tcW w:w="241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24ECE972" w14:textId="1BF1CCA9" w:rsidR="00EF3E77" w:rsidRDefault="00876403" w:rsidP="00226F49">
            <w:pPr>
              <w:rPr>
                <w:lang w:eastAsia="en-AU"/>
              </w:rPr>
            </w:pPr>
            <w:r w:rsidRPr="00680565">
              <w:rPr>
                <w:i/>
                <w:iCs/>
              </w:rPr>
              <w:t>“We received great support from our challenge agency to engage with other government departments when we reached the end of the proof of concept stage” – Proof of concept SME</w:t>
            </w:r>
          </w:p>
        </w:tc>
        <w:tc>
          <w:tcPr>
            <w:tcW w:w="226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5E4A74C9" w14:textId="77777777" w:rsidR="00876403" w:rsidRPr="00680565" w:rsidRDefault="00876403" w:rsidP="00876403">
            <w:pPr>
              <w:rPr>
                <w:i/>
                <w:iCs/>
              </w:rPr>
            </w:pPr>
            <w:r w:rsidRPr="00680565">
              <w:rPr>
                <w:i/>
                <w:iCs/>
              </w:rPr>
              <w:t>“Our core clientele for the last decade has been government, so there was probably less of a learning curve for us going through BRII” – Proof of concept SME</w:t>
            </w:r>
          </w:p>
          <w:p w14:paraId="2FC47D1A" w14:textId="1FD9CE7F" w:rsidR="00EF3E77" w:rsidRDefault="00EF3E77" w:rsidP="00226F49">
            <w:pPr>
              <w:rPr>
                <w:lang w:eastAsia="en-AU"/>
              </w:rPr>
            </w:pPr>
          </w:p>
        </w:tc>
      </w:tr>
    </w:tbl>
    <w:p w14:paraId="3F2220B2" w14:textId="77777777" w:rsidR="00EF3E77" w:rsidRDefault="00EF3E77" w:rsidP="00EF3E77">
      <w:pPr>
        <w:rPr>
          <w:lang w:eastAsia="en-AU"/>
        </w:rPr>
      </w:pPr>
    </w:p>
    <w:p w14:paraId="749C206C" w14:textId="77777777" w:rsidR="00EF3E77" w:rsidRDefault="00EF3E77">
      <w:pPr>
        <w:pStyle w:val="Heading3"/>
      </w:pPr>
      <w:bookmarkStart w:id="65" w:name="_Ref79330881"/>
      <w:r w:rsidRPr="00334135">
        <w:t xml:space="preserve">The BRII has had a positive and lasting impact on round one proof of concept </w:t>
      </w:r>
      <w:r>
        <w:t>SMEs</w:t>
      </w:r>
      <w:bookmarkEnd w:id="65"/>
    </w:p>
    <w:p w14:paraId="2494BC1B" w14:textId="37EE34C0" w:rsidR="00EF3E77" w:rsidRPr="00EB2722" w:rsidRDefault="00EF3E77" w:rsidP="00EF3E77">
      <w:pPr>
        <w:rPr>
          <w:lang w:eastAsia="en-AU"/>
        </w:rPr>
      </w:pPr>
      <w:r w:rsidRPr="004030F6">
        <w:rPr>
          <w:lang w:eastAsia="en-AU"/>
        </w:rPr>
        <w:t xml:space="preserve">The long-term impact of the BRII has been positive for </w:t>
      </w:r>
      <w:r>
        <w:rPr>
          <w:lang w:eastAsia="en-AU"/>
        </w:rPr>
        <w:t xml:space="preserve">most </w:t>
      </w:r>
      <w:r w:rsidRPr="004030F6">
        <w:rPr>
          <w:lang w:eastAsia="en-AU"/>
        </w:rPr>
        <w:t>round one proof of concept SMEs. Five round one SME</w:t>
      </w:r>
      <w:r w:rsidR="00A95E67">
        <w:rPr>
          <w:lang w:eastAsia="en-AU"/>
        </w:rPr>
        <w:t xml:space="preserve"> solutions</w:t>
      </w:r>
      <w:r w:rsidRPr="004030F6">
        <w:rPr>
          <w:lang w:eastAsia="en-AU"/>
        </w:rPr>
        <w:t xml:space="preserve"> were procured directly by their challenge agency. The BRII has had a positive commercial impact on the majority of round one proof of concept SMEs, both through the impact of the BRII on the SMEs commercialisation journey and </w:t>
      </w:r>
      <w:r>
        <w:rPr>
          <w:lang w:eastAsia="en-AU"/>
        </w:rPr>
        <w:t xml:space="preserve">on the SMEs </w:t>
      </w:r>
      <w:r w:rsidRPr="004030F6">
        <w:rPr>
          <w:lang w:eastAsia="en-AU"/>
        </w:rPr>
        <w:t xml:space="preserve">through turnover. The benefits of the BRII have extended beyond commercial outcomes through to lasting collaborative partnerships. </w:t>
      </w:r>
      <w:r w:rsidR="004B6379">
        <w:rPr>
          <w:lang w:eastAsia="en-AU"/>
        </w:rPr>
        <w:fldChar w:fldCharType="begin"/>
      </w:r>
      <w:r w:rsidR="004B6379">
        <w:rPr>
          <w:lang w:eastAsia="en-AU"/>
        </w:rPr>
        <w:instrText xml:space="preserve"> REF _Ref79398056 \h </w:instrText>
      </w:r>
      <w:r w:rsidR="004B6379">
        <w:rPr>
          <w:lang w:eastAsia="en-AU"/>
        </w:rPr>
      </w:r>
      <w:r w:rsidR="004B6379">
        <w:rPr>
          <w:lang w:eastAsia="en-AU"/>
        </w:rPr>
        <w:fldChar w:fldCharType="separate"/>
      </w:r>
      <w:r w:rsidR="00AE607F">
        <w:t xml:space="preserve">Table </w:t>
      </w:r>
      <w:r w:rsidR="00AE607F">
        <w:rPr>
          <w:noProof/>
        </w:rPr>
        <w:t>1</w:t>
      </w:r>
      <w:r w:rsidR="004B6379">
        <w:rPr>
          <w:lang w:eastAsia="en-AU"/>
        </w:rPr>
        <w:fldChar w:fldCharType="end"/>
      </w:r>
      <w:r w:rsidRPr="004030F6">
        <w:rPr>
          <w:lang w:eastAsia="en-AU"/>
        </w:rPr>
        <w:t xml:space="preserve"> summarise</w:t>
      </w:r>
      <w:r>
        <w:rPr>
          <w:lang w:eastAsia="en-AU"/>
        </w:rPr>
        <w:t>s</w:t>
      </w:r>
      <w:r w:rsidRPr="004030F6">
        <w:rPr>
          <w:lang w:eastAsia="en-AU"/>
        </w:rPr>
        <w:t xml:space="preserve"> the impact of the BRII on each round one proof of concept SME.</w:t>
      </w:r>
    </w:p>
    <w:p w14:paraId="79012ECC" w14:textId="77777777" w:rsidR="00EF3E77" w:rsidRDefault="00EF3E77">
      <w:pPr>
        <w:pStyle w:val="Heading3"/>
      </w:pPr>
      <w:bookmarkStart w:id="66" w:name="_Ref79330893"/>
      <w:r w:rsidRPr="00334135">
        <w:t>Round two proof of concept SMEs have a similarly positive outlook</w:t>
      </w:r>
      <w:bookmarkEnd w:id="66"/>
    </w:p>
    <w:p w14:paraId="3D6D43E4" w14:textId="07C50FF3" w:rsidR="00EF3E77" w:rsidRDefault="00EF3E77" w:rsidP="00EF3E77">
      <w:pPr>
        <w:rPr>
          <w:lang w:eastAsia="en-AU"/>
        </w:rPr>
      </w:pPr>
      <w:r w:rsidRPr="005A48D4">
        <w:rPr>
          <w:lang w:eastAsia="en-AU"/>
        </w:rPr>
        <w:t xml:space="preserve">Round two proof of concept SMEs have a broadly positive outlook. However, it is too early to see any commercial outcomes from their proof of concept studies. Many have plans to commercialise either through direct procurement or otherwise. Many also identified other lasting benefits from their participation in </w:t>
      </w:r>
      <w:r>
        <w:rPr>
          <w:lang w:eastAsia="en-AU"/>
        </w:rPr>
        <w:t xml:space="preserve">the </w:t>
      </w:r>
      <w:r w:rsidRPr="005A48D4">
        <w:rPr>
          <w:lang w:eastAsia="en-AU"/>
        </w:rPr>
        <w:t xml:space="preserve">BRII. </w:t>
      </w:r>
      <w:r w:rsidR="004B6379">
        <w:rPr>
          <w:lang w:eastAsia="en-AU"/>
        </w:rPr>
        <w:fldChar w:fldCharType="begin"/>
      </w:r>
      <w:r w:rsidR="004B6379">
        <w:rPr>
          <w:lang w:eastAsia="en-AU"/>
        </w:rPr>
        <w:instrText xml:space="preserve"> REF _Ref79398062 \h </w:instrText>
      </w:r>
      <w:r w:rsidR="004B6379">
        <w:rPr>
          <w:lang w:eastAsia="en-AU"/>
        </w:rPr>
      </w:r>
      <w:r w:rsidR="004B6379">
        <w:rPr>
          <w:lang w:eastAsia="en-AU"/>
        </w:rPr>
        <w:fldChar w:fldCharType="separate"/>
      </w:r>
      <w:r w:rsidR="00AE607F">
        <w:t xml:space="preserve">Table </w:t>
      </w:r>
      <w:r w:rsidR="00AE607F">
        <w:rPr>
          <w:noProof/>
        </w:rPr>
        <w:t>2</w:t>
      </w:r>
      <w:r w:rsidR="004B6379">
        <w:rPr>
          <w:lang w:eastAsia="en-AU"/>
        </w:rPr>
        <w:fldChar w:fldCharType="end"/>
      </w:r>
      <w:r>
        <w:rPr>
          <w:lang w:eastAsia="en-AU"/>
        </w:rPr>
        <w:t xml:space="preserve"> </w:t>
      </w:r>
      <w:r w:rsidRPr="005A48D4">
        <w:rPr>
          <w:lang w:eastAsia="en-AU"/>
        </w:rPr>
        <w:t>summarise</w:t>
      </w:r>
      <w:r>
        <w:rPr>
          <w:lang w:eastAsia="en-AU"/>
        </w:rPr>
        <w:t>s</w:t>
      </w:r>
      <w:r w:rsidRPr="005A48D4">
        <w:rPr>
          <w:lang w:eastAsia="en-AU"/>
        </w:rPr>
        <w:t xml:space="preserve"> the impact of the BRII on each round two proof of concept SME</w:t>
      </w:r>
      <w:r>
        <w:rPr>
          <w:lang w:eastAsia="en-AU"/>
        </w:rPr>
        <w:t>.</w:t>
      </w:r>
    </w:p>
    <w:p w14:paraId="23D25E5E" w14:textId="77777777" w:rsidR="00EF3E77" w:rsidRDefault="00EF3E77" w:rsidP="00EF3E77">
      <w:pPr>
        <w:rPr>
          <w:lang w:eastAsia="en-AU"/>
        </w:rPr>
      </w:pPr>
    </w:p>
    <w:p w14:paraId="587AFC23" w14:textId="77777777" w:rsidR="00EF3E77" w:rsidRDefault="00EF3E77" w:rsidP="00EF3E77">
      <w:pPr>
        <w:rPr>
          <w:lang w:eastAsia="en-AU"/>
        </w:rPr>
      </w:pPr>
    </w:p>
    <w:p w14:paraId="0127A934" w14:textId="77777777" w:rsidR="00EF3E77" w:rsidRDefault="00EF3E77" w:rsidP="00EF3E77">
      <w:pPr>
        <w:pStyle w:val="Caption"/>
        <w:sectPr w:rsidR="00EF3E77" w:rsidSect="009F3238">
          <w:headerReference w:type="even" r:id="rId47"/>
          <w:headerReference w:type="default" r:id="rId48"/>
          <w:footerReference w:type="default" r:id="rId49"/>
          <w:headerReference w:type="first" r:id="rId50"/>
          <w:footerReference w:type="first" r:id="rId51"/>
          <w:pgSz w:w="11907" w:h="16839" w:code="9"/>
          <w:pgMar w:top="1418" w:right="1418" w:bottom="1418" w:left="1559" w:header="720" w:footer="720" w:gutter="0"/>
          <w:pgNumType w:start="1"/>
          <w:cols w:space="720"/>
          <w:titlePg/>
          <w:docGrid w:linePitch="360"/>
        </w:sectPr>
      </w:pPr>
    </w:p>
    <w:p w14:paraId="6992E53D" w14:textId="683201E5" w:rsidR="00EF3E77" w:rsidRPr="00DF408A" w:rsidRDefault="00EF3E77" w:rsidP="00EF3E77">
      <w:pPr>
        <w:pStyle w:val="Caption"/>
      </w:pPr>
      <w:bookmarkStart w:id="67" w:name="_Ref79398056"/>
      <w:r>
        <w:lastRenderedPageBreak/>
        <w:t xml:space="preserve">Table </w:t>
      </w:r>
      <w:r>
        <w:fldChar w:fldCharType="begin"/>
      </w:r>
      <w:r>
        <w:instrText xml:space="preserve"> SEQ Table \* ARABIC </w:instrText>
      </w:r>
      <w:r>
        <w:fldChar w:fldCharType="separate"/>
      </w:r>
      <w:r w:rsidR="00AE607F">
        <w:rPr>
          <w:noProof/>
        </w:rPr>
        <w:t>1</w:t>
      </w:r>
      <w:r>
        <w:fldChar w:fldCharType="end"/>
      </w:r>
      <w:bookmarkEnd w:id="67"/>
      <w:r>
        <w:t xml:space="preserve"> | Overview of the impact of BRII on round one proof of concept SMEs</w:t>
      </w:r>
    </w:p>
    <w:tbl>
      <w:tblPr>
        <w:tblStyle w:val="NOUSSideHeader1"/>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20" w:firstRow="1" w:lastRow="0" w:firstColumn="0" w:lastColumn="0" w:noHBand="0" w:noVBand="1"/>
      </w:tblPr>
      <w:tblGrid>
        <w:gridCol w:w="2126"/>
        <w:gridCol w:w="1558"/>
        <w:gridCol w:w="1670"/>
        <w:gridCol w:w="1576"/>
        <w:gridCol w:w="1289"/>
        <w:gridCol w:w="1417"/>
        <w:gridCol w:w="1701"/>
        <w:gridCol w:w="1277"/>
        <w:gridCol w:w="1277"/>
        <w:gridCol w:w="1350"/>
      </w:tblGrid>
      <w:tr w:rsidR="00D0106D" w:rsidRPr="00334135" w14:paraId="437E973B" w14:textId="77777777" w:rsidTr="00D0106D">
        <w:trPr>
          <w:cnfStyle w:val="100000000000" w:firstRow="1" w:lastRow="0" w:firstColumn="0" w:lastColumn="0" w:oddVBand="0" w:evenVBand="0" w:oddHBand="0" w:evenHBand="0" w:firstRowFirstColumn="0" w:firstRowLastColumn="0" w:lastRowFirstColumn="0" w:lastRowLastColumn="0"/>
          <w:trHeight w:val="131"/>
        </w:trPr>
        <w:tc>
          <w:tcPr>
            <w:tcW w:w="697"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216D3AFE" w14:textId="48DBBFAF" w:rsidR="00D0106D" w:rsidRPr="00D0106D" w:rsidRDefault="00D0106D" w:rsidP="00610204">
            <w:pPr>
              <w:pStyle w:val="TableNheader"/>
              <w:spacing w:before="0" w:after="0"/>
              <w:rPr>
                <w:rFonts w:ascii="Arial" w:hAnsi="Arial" w:cs="Arial"/>
                <w:sz w:val="16"/>
                <w:szCs w:val="16"/>
                <w:lang w:eastAsia="en-AU"/>
              </w:rPr>
            </w:pPr>
            <w:r w:rsidRPr="00D0106D">
              <w:rPr>
                <w:sz w:val="16"/>
                <w:szCs w:val="16"/>
                <w:lang w:eastAsia="en-AU"/>
              </w:rPr>
              <w:t>Challenge agency</w:t>
            </w:r>
          </w:p>
        </w:tc>
        <w:tc>
          <w:tcPr>
            <w:tcW w:w="511" w:type="pct"/>
            <w:tcBorders>
              <w:top w:val="single" w:sz="24" w:space="0" w:color="FF3A40" w:themeColor="accent1"/>
              <w:left w:val="single" w:sz="4" w:space="0" w:color="00264D" w:themeColor="background2"/>
              <w:bottom w:val="single" w:sz="4" w:space="0" w:color="00264D" w:themeColor="background2"/>
              <w:right w:val="single" w:sz="4" w:space="0" w:color="FFFFFF" w:themeColor="background1"/>
            </w:tcBorders>
            <w:shd w:val="clear" w:color="auto" w:fill="00264D" w:themeFill="background2"/>
            <w:hideMark/>
          </w:tcPr>
          <w:p w14:paraId="2921777C" w14:textId="429F9CA7" w:rsidR="00D0106D" w:rsidRPr="00610204" w:rsidRDefault="00D0106D" w:rsidP="00610204">
            <w:pPr>
              <w:pStyle w:val="TableNheader"/>
              <w:spacing w:before="0" w:after="0"/>
              <w:jc w:val="center"/>
              <w:rPr>
                <w:color w:val="FFFFFF" w:themeColor="background1"/>
                <w:sz w:val="18"/>
                <w:szCs w:val="18"/>
                <w:lang w:eastAsia="en-AU"/>
              </w:rPr>
            </w:pPr>
            <w:r w:rsidRPr="00610204">
              <w:rPr>
                <w:color w:val="FFFFFF" w:themeColor="background1"/>
                <w:sz w:val="18"/>
                <w:szCs w:val="18"/>
                <w:lang w:eastAsia="en-AU"/>
              </w:rPr>
              <w:t>A</w:t>
            </w:r>
          </w:p>
          <w:p w14:paraId="5D3570F6" w14:textId="03F19A3B" w:rsidR="00D0106D" w:rsidRPr="00610204" w:rsidRDefault="00D0106D" w:rsidP="00610204">
            <w:pPr>
              <w:pStyle w:val="TableNheader"/>
              <w:spacing w:before="0" w:after="0"/>
              <w:jc w:val="center"/>
              <w:rPr>
                <w:color w:val="FFFFFF" w:themeColor="background1"/>
                <w:sz w:val="18"/>
                <w:szCs w:val="18"/>
                <w:lang w:eastAsia="en-AU"/>
              </w:rPr>
            </w:pPr>
            <w:r w:rsidRPr="00610204">
              <w:rPr>
                <w:color w:val="FFFFFF" w:themeColor="background1"/>
                <w:sz w:val="18"/>
                <w:szCs w:val="18"/>
                <w:lang w:eastAsia="en-AU"/>
              </w:rPr>
              <w:t>DISER and DSS</w:t>
            </w:r>
          </w:p>
        </w:tc>
        <w:tc>
          <w:tcPr>
            <w:tcW w:w="548" w:type="pct"/>
            <w:tcBorders>
              <w:top w:val="single" w:sz="24" w:space="0" w:color="FF3A40" w:themeColor="accent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2F6A6AA8" w14:textId="0049846B" w:rsidR="00D0106D" w:rsidRPr="00610204" w:rsidRDefault="00D0106D" w:rsidP="00610204">
            <w:pPr>
              <w:pStyle w:val="TableNheader"/>
              <w:spacing w:before="0" w:after="0"/>
              <w:jc w:val="center"/>
              <w:rPr>
                <w:color w:val="FFFFFF" w:themeColor="background1"/>
                <w:sz w:val="18"/>
                <w:szCs w:val="18"/>
                <w:lang w:eastAsia="en-AU"/>
              </w:rPr>
            </w:pPr>
            <w:r w:rsidRPr="00610204">
              <w:rPr>
                <w:color w:val="FFFFFF" w:themeColor="background1"/>
                <w:sz w:val="18"/>
                <w:szCs w:val="18"/>
                <w:lang w:eastAsia="en-AU"/>
              </w:rPr>
              <w:t>A</w:t>
            </w:r>
          </w:p>
          <w:p w14:paraId="767CE495" w14:textId="55208FB2" w:rsidR="00D0106D" w:rsidRPr="00610204" w:rsidRDefault="00D0106D" w:rsidP="00610204">
            <w:pPr>
              <w:pStyle w:val="TableNheader"/>
              <w:spacing w:before="0" w:after="0"/>
              <w:jc w:val="center"/>
              <w:rPr>
                <w:rFonts w:ascii="Arial" w:hAnsi="Arial" w:cs="Arial"/>
                <w:color w:val="FFFFFF" w:themeColor="background1"/>
                <w:sz w:val="18"/>
                <w:szCs w:val="18"/>
                <w:lang w:eastAsia="en-AU"/>
              </w:rPr>
            </w:pPr>
            <w:r w:rsidRPr="00610204">
              <w:rPr>
                <w:color w:val="FFFFFF" w:themeColor="background1"/>
                <w:sz w:val="18"/>
                <w:szCs w:val="18"/>
                <w:lang w:eastAsia="en-AU"/>
              </w:rPr>
              <w:t>DISER and DSS</w:t>
            </w:r>
          </w:p>
        </w:tc>
        <w:tc>
          <w:tcPr>
            <w:tcW w:w="517" w:type="pct"/>
            <w:tcBorders>
              <w:top w:val="single" w:sz="24" w:space="0" w:color="F25E21" w:themeColor="accent2"/>
              <w:left w:val="single" w:sz="4" w:space="0" w:color="FFFFFF" w:themeColor="background1"/>
              <w:bottom w:val="single" w:sz="4" w:space="0" w:color="00264D" w:themeColor="background2"/>
              <w:right w:val="single" w:sz="4" w:space="0" w:color="FFFFFF" w:themeColor="background1"/>
            </w:tcBorders>
            <w:shd w:val="clear" w:color="auto" w:fill="00264D" w:themeFill="background2"/>
            <w:hideMark/>
          </w:tcPr>
          <w:p w14:paraId="233A49B6" w14:textId="77777777" w:rsidR="00D0106D" w:rsidRPr="00610204" w:rsidRDefault="00D0106D" w:rsidP="00610204">
            <w:pPr>
              <w:pStyle w:val="TableNheader"/>
              <w:spacing w:before="0" w:after="0"/>
              <w:jc w:val="center"/>
              <w:rPr>
                <w:color w:val="FFFFFF" w:themeColor="background1"/>
                <w:sz w:val="18"/>
                <w:szCs w:val="18"/>
                <w:lang w:eastAsia="en-AU"/>
              </w:rPr>
            </w:pPr>
            <w:r w:rsidRPr="00610204">
              <w:rPr>
                <w:color w:val="FFFFFF" w:themeColor="background1"/>
                <w:sz w:val="18"/>
                <w:szCs w:val="18"/>
                <w:lang w:eastAsia="en-AU"/>
              </w:rPr>
              <w:t>B</w:t>
            </w:r>
          </w:p>
          <w:p w14:paraId="305A1ED1" w14:textId="23919628" w:rsidR="00D0106D" w:rsidRPr="00610204" w:rsidRDefault="00D0106D" w:rsidP="00610204">
            <w:pPr>
              <w:pStyle w:val="TableNheader"/>
              <w:spacing w:before="0" w:after="0"/>
              <w:jc w:val="center"/>
              <w:rPr>
                <w:rFonts w:ascii="Arial" w:hAnsi="Arial" w:cs="Arial"/>
                <w:color w:val="FFFFFF" w:themeColor="background1"/>
                <w:sz w:val="18"/>
                <w:szCs w:val="18"/>
                <w:lang w:eastAsia="en-AU"/>
              </w:rPr>
            </w:pPr>
            <w:r w:rsidRPr="00610204">
              <w:rPr>
                <w:color w:val="FFFFFF" w:themeColor="background1"/>
                <w:sz w:val="18"/>
                <w:szCs w:val="18"/>
                <w:lang w:eastAsia="en-AU"/>
              </w:rPr>
              <w:t>DAWE</w:t>
            </w:r>
          </w:p>
        </w:tc>
        <w:tc>
          <w:tcPr>
            <w:tcW w:w="423" w:type="pct"/>
            <w:tcBorders>
              <w:left w:val="single" w:sz="4" w:space="0" w:color="FFFFFF" w:themeColor="background1"/>
              <w:bottom w:val="single" w:sz="4" w:space="0" w:color="00264D" w:themeColor="background2"/>
              <w:right w:val="single" w:sz="4" w:space="0" w:color="FFFFFF" w:themeColor="background1"/>
            </w:tcBorders>
            <w:shd w:val="clear" w:color="auto" w:fill="00264D" w:themeFill="background2"/>
            <w:hideMark/>
          </w:tcPr>
          <w:p w14:paraId="6B87D69F" w14:textId="77777777" w:rsidR="00D0106D" w:rsidRPr="00610204" w:rsidRDefault="00D0106D" w:rsidP="00610204">
            <w:pPr>
              <w:pStyle w:val="TableNheader"/>
              <w:spacing w:before="0" w:after="0"/>
              <w:jc w:val="center"/>
              <w:rPr>
                <w:color w:val="FFFFFF" w:themeColor="background1"/>
                <w:sz w:val="18"/>
                <w:szCs w:val="18"/>
                <w:lang w:eastAsia="en-AU"/>
              </w:rPr>
            </w:pPr>
            <w:r w:rsidRPr="00610204">
              <w:rPr>
                <w:color w:val="FFFFFF" w:themeColor="background1"/>
                <w:sz w:val="18"/>
                <w:szCs w:val="18"/>
                <w:lang w:eastAsia="en-AU"/>
              </w:rPr>
              <w:t>C</w:t>
            </w:r>
          </w:p>
          <w:p w14:paraId="4420793E" w14:textId="55417364" w:rsidR="00D0106D" w:rsidRPr="00610204" w:rsidRDefault="00D0106D" w:rsidP="00610204">
            <w:pPr>
              <w:pStyle w:val="TableNheader"/>
              <w:spacing w:before="0" w:after="0"/>
              <w:jc w:val="center"/>
              <w:rPr>
                <w:color w:val="FFFFFF" w:themeColor="background1"/>
                <w:sz w:val="18"/>
                <w:szCs w:val="18"/>
                <w:lang w:eastAsia="en-AU"/>
              </w:rPr>
            </w:pPr>
            <w:r w:rsidRPr="00610204">
              <w:rPr>
                <w:color w:val="FFFFFF" w:themeColor="background1"/>
                <w:sz w:val="18"/>
                <w:szCs w:val="18"/>
                <w:lang w:eastAsia="en-AU"/>
              </w:rPr>
              <w:t>DAWE</w:t>
            </w:r>
          </w:p>
        </w:tc>
        <w:tc>
          <w:tcPr>
            <w:tcW w:w="465" w:type="pct"/>
            <w:tcBorders>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49B9A496" w14:textId="77777777" w:rsidR="00D0106D" w:rsidRPr="00610204" w:rsidRDefault="00D0106D" w:rsidP="00610204">
            <w:pPr>
              <w:pStyle w:val="TableNheader"/>
              <w:spacing w:before="0" w:after="0"/>
              <w:jc w:val="center"/>
              <w:rPr>
                <w:color w:val="FFFFFF" w:themeColor="background1"/>
                <w:sz w:val="18"/>
                <w:szCs w:val="18"/>
                <w:lang w:eastAsia="en-AU"/>
              </w:rPr>
            </w:pPr>
            <w:r w:rsidRPr="00610204">
              <w:rPr>
                <w:color w:val="FFFFFF" w:themeColor="background1"/>
                <w:sz w:val="18"/>
                <w:szCs w:val="18"/>
                <w:lang w:eastAsia="en-AU"/>
              </w:rPr>
              <w:t>C</w:t>
            </w:r>
          </w:p>
          <w:p w14:paraId="0C5D06FB" w14:textId="29269F4A" w:rsidR="00D0106D" w:rsidRPr="00610204" w:rsidRDefault="00D0106D" w:rsidP="00610204">
            <w:pPr>
              <w:pStyle w:val="TableNheader"/>
              <w:spacing w:before="0" w:after="0"/>
              <w:jc w:val="center"/>
              <w:rPr>
                <w:rFonts w:ascii="Arial" w:hAnsi="Arial" w:cs="Arial"/>
                <w:color w:val="FFFFFF" w:themeColor="background1"/>
                <w:sz w:val="18"/>
                <w:szCs w:val="18"/>
                <w:lang w:eastAsia="en-AU"/>
              </w:rPr>
            </w:pPr>
            <w:r w:rsidRPr="00610204">
              <w:rPr>
                <w:color w:val="FFFFFF" w:themeColor="background1"/>
                <w:sz w:val="18"/>
                <w:szCs w:val="18"/>
                <w:lang w:eastAsia="en-AU"/>
              </w:rPr>
              <w:t>DAWE</w:t>
            </w:r>
          </w:p>
        </w:tc>
        <w:tc>
          <w:tcPr>
            <w:tcW w:w="558" w:type="pct"/>
            <w:tcBorders>
              <w:top w:val="single" w:sz="24" w:space="0" w:color="FED13B" w:themeColor="accent4"/>
              <w:left w:val="single" w:sz="4" w:space="0" w:color="FFFFFF" w:themeColor="background1"/>
              <w:bottom w:val="single" w:sz="4" w:space="0" w:color="00264D" w:themeColor="background2"/>
              <w:right w:val="single" w:sz="4" w:space="0" w:color="FFFFFF" w:themeColor="background1"/>
            </w:tcBorders>
            <w:shd w:val="clear" w:color="auto" w:fill="00264D" w:themeFill="background2"/>
            <w:hideMark/>
          </w:tcPr>
          <w:p w14:paraId="3A96846D" w14:textId="77777777" w:rsidR="00D0106D" w:rsidRPr="00610204" w:rsidRDefault="00D0106D" w:rsidP="00610204">
            <w:pPr>
              <w:pStyle w:val="TableNheader"/>
              <w:spacing w:before="0" w:after="0"/>
              <w:jc w:val="center"/>
              <w:rPr>
                <w:color w:val="FFFFFF" w:themeColor="background1"/>
                <w:sz w:val="18"/>
                <w:szCs w:val="18"/>
                <w:lang w:eastAsia="en-AU"/>
              </w:rPr>
            </w:pPr>
            <w:r w:rsidRPr="00610204">
              <w:rPr>
                <w:color w:val="FFFFFF" w:themeColor="background1"/>
                <w:sz w:val="18"/>
                <w:szCs w:val="18"/>
                <w:lang w:eastAsia="en-AU"/>
              </w:rPr>
              <w:t>D</w:t>
            </w:r>
          </w:p>
          <w:p w14:paraId="3F714E40" w14:textId="3B63132E" w:rsidR="00D0106D" w:rsidRPr="00610204" w:rsidRDefault="00D0106D" w:rsidP="00610204">
            <w:pPr>
              <w:pStyle w:val="TableNheader"/>
              <w:spacing w:before="0" w:after="0"/>
              <w:jc w:val="center"/>
              <w:rPr>
                <w:color w:val="FFFFFF" w:themeColor="background1"/>
                <w:sz w:val="18"/>
                <w:szCs w:val="18"/>
                <w:lang w:eastAsia="en-AU"/>
              </w:rPr>
            </w:pPr>
            <w:r w:rsidRPr="00610204">
              <w:rPr>
                <w:color w:val="FFFFFF" w:themeColor="background1"/>
                <w:sz w:val="18"/>
                <w:szCs w:val="18"/>
                <w:lang w:eastAsia="en-AU"/>
              </w:rPr>
              <w:t>DSS</w:t>
            </w:r>
          </w:p>
        </w:tc>
        <w:tc>
          <w:tcPr>
            <w:tcW w:w="419" w:type="pct"/>
            <w:tcBorders>
              <w:top w:val="single" w:sz="24" w:space="0" w:color="FED13B" w:themeColor="accent4"/>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1C6C70CA" w14:textId="77777777" w:rsidR="00D0106D" w:rsidRPr="00610204" w:rsidRDefault="00D0106D" w:rsidP="00610204">
            <w:pPr>
              <w:pStyle w:val="TableNheader"/>
              <w:spacing w:before="0" w:after="0"/>
              <w:jc w:val="center"/>
              <w:rPr>
                <w:color w:val="FFFFFF" w:themeColor="background1"/>
                <w:sz w:val="18"/>
                <w:szCs w:val="18"/>
                <w:lang w:eastAsia="en-AU"/>
              </w:rPr>
            </w:pPr>
            <w:r w:rsidRPr="00610204">
              <w:rPr>
                <w:color w:val="FFFFFF" w:themeColor="background1"/>
                <w:sz w:val="18"/>
                <w:szCs w:val="18"/>
                <w:lang w:eastAsia="en-AU"/>
              </w:rPr>
              <w:t>D</w:t>
            </w:r>
          </w:p>
          <w:p w14:paraId="67E1707F" w14:textId="1F69B6DE" w:rsidR="00D0106D" w:rsidRPr="00610204" w:rsidRDefault="00D0106D" w:rsidP="00610204">
            <w:pPr>
              <w:pStyle w:val="TableNheader"/>
              <w:spacing w:before="0" w:after="0"/>
              <w:jc w:val="center"/>
              <w:rPr>
                <w:rFonts w:ascii="Arial" w:hAnsi="Arial" w:cs="Arial"/>
                <w:color w:val="FFFFFF" w:themeColor="background1"/>
                <w:sz w:val="18"/>
                <w:szCs w:val="18"/>
                <w:lang w:eastAsia="en-AU"/>
              </w:rPr>
            </w:pPr>
            <w:r w:rsidRPr="00610204">
              <w:rPr>
                <w:color w:val="FFFFFF" w:themeColor="background1"/>
                <w:sz w:val="18"/>
                <w:szCs w:val="18"/>
                <w:lang w:eastAsia="en-AU"/>
              </w:rPr>
              <w:t>DSS</w:t>
            </w:r>
          </w:p>
        </w:tc>
        <w:tc>
          <w:tcPr>
            <w:tcW w:w="418" w:type="pct"/>
            <w:tcBorders>
              <w:top w:val="single" w:sz="24" w:space="0" w:color="E6E6E1" w:themeColor="accent5"/>
              <w:left w:val="single" w:sz="4" w:space="0" w:color="FFFFFF" w:themeColor="background1"/>
              <w:bottom w:val="single" w:sz="4" w:space="0" w:color="00264D" w:themeColor="background2"/>
              <w:right w:val="single" w:sz="4" w:space="0" w:color="FFFFFF" w:themeColor="background1"/>
            </w:tcBorders>
            <w:shd w:val="clear" w:color="auto" w:fill="00264D" w:themeFill="background2"/>
            <w:hideMark/>
          </w:tcPr>
          <w:p w14:paraId="7E2AAFA4" w14:textId="77777777" w:rsidR="00D0106D" w:rsidRPr="00610204" w:rsidRDefault="00D0106D" w:rsidP="00610204">
            <w:pPr>
              <w:pStyle w:val="TableNheader"/>
              <w:spacing w:before="0" w:after="0"/>
              <w:jc w:val="center"/>
              <w:rPr>
                <w:color w:val="FFFFFF" w:themeColor="background1"/>
                <w:sz w:val="18"/>
                <w:szCs w:val="18"/>
                <w:lang w:eastAsia="en-AU"/>
              </w:rPr>
            </w:pPr>
            <w:r w:rsidRPr="00610204">
              <w:rPr>
                <w:color w:val="FFFFFF" w:themeColor="background1"/>
                <w:sz w:val="18"/>
                <w:szCs w:val="18"/>
                <w:lang w:eastAsia="en-AU"/>
              </w:rPr>
              <w:t>E</w:t>
            </w:r>
          </w:p>
          <w:p w14:paraId="0C4B1F55" w14:textId="77777777" w:rsidR="00D0106D" w:rsidRPr="00610204" w:rsidRDefault="00D0106D" w:rsidP="00610204">
            <w:pPr>
              <w:pStyle w:val="TableNheader"/>
              <w:spacing w:before="0" w:after="0"/>
              <w:jc w:val="center"/>
              <w:rPr>
                <w:color w:val="FFFFFF" w:themeColor="background1"/>
                <w:sz w:val="18"/>
                <w:szCs w:val="18"/>
                <w:lang w:eastAsia="en-AU"/>
              </w:rPr>
            </w:pPr>
            <w:r w:rsidRPr="00610204">
              <w:rPr>
                <w:color w:val="FFFFFF" w:themeColor="background1"/>
                <w:sz w:val="18"/>
                <w:szCs w:val="18"/>
                <w:lang w:eastAsia="en-AU"/>
              </w:rPr>
              <w:t>AUSTRAC</w:t>
            </w:r>
          </w:p>
        </w:tc>
        <w:tc>
          <w:tcPr>
            <w:tcW w:w="444" w:type="pct"/>
            <w:tcBorders>
              <w:top w:val="single" w:sz="24" w:space="0" w:color="E6E6E1" w:themeColor="accent5"/>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5E8FDF27" w14:textId="7494D20C" w:rsidR="00D0106D" w:rsidRPr="00610204" w:rsidRDefault="00D0106D" w:rsidP="00610204">
            <w:pPr>
              <w:pStyle w:val="TableNheader"/>
              <w:spacing w:before="0" w:after="0"/>
              <w:jc w:val="center"/>
              <w:rPr>
                <w:color w:val="FFFFFF" w:themeColor="background1"/>
                <w:sz w:val="18"/>
                <w:szCs w:val="18"/>
                <w:lang w:eastAsia="en-AU"/>
              </w:rPr>
            </w:pPr>
            <w:r w:rsidRPr="00610204">
              <w:rPr>
                <w:color w:val="FFFFFF" w:themeColor="background1"/>
                <w:sz w:val="18"/>
                <w:szCs w:val="18"/>
                <w:lang w:eastAsia="en-AU"/>
              </w:rPr>
              <w:t>E</w:t>
            </w:r>
          </w:p>
          <w:p w14:paraId="4EA5A382" w14:textId="2E67C8D2" w:rsidR="00D0106D" w:rsidRPr="00610204" w:rsidRDefault="00D0106D" w:rsidP="00610204">
            <w:pPr>
              <w:pStyle w:val="TableNheader"/>
              <w:spacing w:before="0" w:after="0"/>
              <w:jc w:val="center"/>
              <w:rPr>
                <w:rFonts w:ascii="Arial" w:hAnsi="Arial" w:cs="Arial"/>
                <w:color w:val="FFFFFF" w:themeColor="background1"/>
                <w:sz w:val="18"/>
                <w:szCs w:val="18"/>
                <w:lang w:eastAsia="en-AU"/>
              </w:rPr>
            </w:pPr>
            <w:r w:rsidRPr="00610204">
              <w:rPr>
                <w:color w:val="FFFFFF" w:themeColor="background1"/>
                <w:sz w:val="18"/>
                <w:szCs w:val="18"/>
                <w:lang w:eastAsia="en-AU"/>
              </w:rPr>
              <w:t>AUSTRAC</w:t>
            </w:r>
          </w:p>
        </w:tc>
      </w:tr>
      <w:tr w:rsidR="004E0D67" w:rsidRPr="006A52FC" w14:paraId="007287D3" w14:textId="77777777" w:rsidTr="00F40D93">
        <w:trPr>
          <w:cnfStyle w:val="000000100000" w:firstRow="0" w:lastRow="0" w:firstColumn="0" w:lastColumn="0" w:oddVBand="0" w:evenVBand="0" w:oddHBand="1" w:evenHBand="0" w:firstRowFirstColumn="0" w:firstRowLastColumn="0" w:lastRowFirstColumn="0" w:lastRowLastColumn="0"/>
          <w:trHeight w:val="270"/>
        </w:trPr>
        <w:tc>
          <w:tcPr>
            <w:tcW w:w="697"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E6E6E1" w:themeFill="accent5"/>
            <w:hideMark/>
          </w:tcPr>
          <w:p w14:paraId="6A7C8693" w14:textId="3CD05F3B" w:rsidR="004B0E2D" w:rsidRPr="00610204" w:rsidRDefault="004B0E2D" w:rsidP="00610204">
            <w:pPr>
              <w:pStyle w:val="TableNheader"/>
              <w:spacing w:before="0" w:after="0"/>
              <w:rPr>
                <w:rFonts w:ascii="Arial" w:eastAsia="Times New Roman" w:hAnsi="Arial" w:cs="Arial"/>
                <w:sz w:val="16"/>
                <w:szCs w:val="16"/>
                <w:lang w:eastAsia="en-AU"/>
              </w:rPr>
            </w:pPr>
            <w:r w:rsidRPr="00610204">
              <w:rPr>
                <w:rFonts w:eastAsia="Times New Roman" w:cs="Segoe UI Semibold"/>
                <w:kern w:val="24"/>
                <w:sz w:val="16"/>
                <w:szCs w:val="16"/>
                <w:lang w:eastAsia="en-AU"/>
              </w:rPr>
              <w:t>Proof of concept SME</w:t>
            </w:r>
          </w:p>
        </w:tc>
        <w:tc>
          <w:tcPr>
            <w:tcW w:w="511"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4643B4EE" w14:textId="16042251" w:rsidR="004B0E2D" w:rsidRPr="00610204" w:rsidRDefault="004B0E2D" w:rsidP="00610204">
            <w:pPr>
              <w:pStyle w:val="TableNText"/>
              <w:spacing w:before="0" w:after="0" w:line="240" w:lineRule="auto"/>
              <w:rPr>
                <w:rFonts w:asciiTheme="majorHAnsi" w:hAnsiTheme="majorHAnsi" w:cstheme="majorHAnsi"/>
                <w:sz w:val="16"/>
                <w:szCs w:val="16"/>
                <w:lang w:eastAsia="en-AU"/>
              </w:rPr>
            </w:pPr>
            <w:r w:rsidRPr="00610204">
              <w:rPr>
                <w:rFonts w:asciiTheme="majorHAnsi" w:hAnsiTheme="majorHAnsi" w:cstheme="majorHAnsi"/>
                <w:sz w:val="16"/>
                <w:szCs w:val="16"/>
                <w:lang w:eastAsia="en-AU"/>
              </w:rPr>
              <w:t>Collabforge</w:t>
            </w:r>
          </w:p>
        </w:tc>
        <w:tc>
          <w:tcPr>
            <w:tcW w:w="548"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2E80EE25" w14:textId="5751DF97" w:rsidR="004B0E2D" w:rsidRPr="00610204" w:rsidRDefault="004B0E2D" w:rsidP="00610204">
            <w:pPr>
              <w:pStyle w:val="TableNText"/>
              <w:spacing w:before="0" w:after="0" w:line="240" w:lineRule="auto"/>
              <w:rPr>
                <w:rFonts w:asciiTheme="majorHAnsi" w:hAnsiTheme="majorHAnsi" w:cstheme="majorHAnsi"/>
                <w:sz w:val="16"/>
                <w:szCs w:val="16"/>
                <w:lang w:eastAsia="en-AU"/>
              </w:rPr>
            </w:pPr>
            <w:r w:rsidRPr="00610204">
              <w:rPr>
                <w:rFonts w:asciiTheme="majorHAnsi" w:hAnsiTheme="majorHAnsi" w:cstheme="majorHAnsi"/>
                <w:sz w:val="16"/>
                <w:szCs w:val="16"/>
                <w:lang w:eastAsia="en-AU"/>
              </w:rPr>
              <w:t>Converlens</w:t>
            </w:r>
          </w:p>
        </w:tc>
        <w:tc>
          <w:tcPr>
            <w:tcW w:w="517"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233CD98F" w14:textId="048B99BE" w:rsidR="004B0E2D" w:rsidRPr="00610204" w:rsidRDefault="004B0E2D" w:rsidP="00610204">
            <w:pPr>
              <w:pStyle w:val="TableNText"/>
              <w:spacing w:before="0" w:after="0" w:line="240" w:lineRule="auto"/>
              <w:rPr>
                <w:rFonts w:asciiTheme="majorHAnsi" w:hAnsiTheme="majorHAnsi" w:cstheme="majorHAnsi"/>
                <w:sz w:val="16"/>
                <w:szCs w:val="16"/>
                <w:lang w:eastAsia="en-AU"/>
              </w:rPr>
            </w:pPr>
            <w:r w:rsidRPr="00610204">
              <w:rPr>
                <w:rFonts w:asciiTheme="majorHAnsi" w:hAnsiTheme="majorHAnsi" w:cstheme="majorHAnsi"/>
                <w:sz w:val="16"/>
                <w:szCs w:val="16"/>
                <w:lang w:eastAsia="en-AU"/>
              </w:rPr>
              <w:t>Marsden Jacob Associates</w:t>
            </w:r>
            <w:r w:rsidRPr="00610204">
              <w:rPr>
                <w:rStyle w:val="FootnoteReference"/>
                <w:rFonts w:asciiTheme="majorHAnsi" w:eastAsia="Times New Roman" w:hAnsiTheme="majorHAnsi" w:cstheme="majorHAnsi"/>
                <w:color w:val="00264D" w:themeColor="background2"/>
                <w:kern w:val="24"/>
                <w:sz w:val="16"/>
                <w:szCs w:val="16"/>
                <w:lang w:eastAsia="en-AU"/>
              </w:rPr>
              <w:footnoteReference w:id="29"/>
            </w:r>
          </w:p>
        </w:tc>
        <w:tc>
          <w:tcPr>
            <w:tcW w:w="423"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70730DCD" w14:textId="1535DEDD" w:rsidR="004B0E2D" w:rsidRPr="00610204" w:rsidRDefault="004B0E2D" w:rsidP="00610204">
            <w:pPr>
              <w:pStyle w:val="TableNText"/>
              <w:spacing w:before="0" w:after="0" w:line="240" w:lineRule="auto"/>
              <w:rPr>
                <w:rFonts w:asciiTheme="majorHAnsi" w:hAnsiTheme="majorHAnsi" w:cstheme="majorHAnsi"/>
                <w:sz w:val="16"/>
                <w:szCs w:val="16"/>
                <w:lang w:eastAsia="en-AU"/>
              </w:rPr>
            </w:pPr>
            <w:r w:rsidRPr="00610204">
              <w:rPr>
                <w:rFonts w:asciiTheme="majorHAnsi" w:hAnsiTheme="majorHAnsi" w:cstheme="majorHAnsi"/>
                <w:sz w:val="16"/>
                <w:szCs w:val="16"/>
                <w:lang w:eastAsia="en-AU"/>
              </w:rPr>
              <w:t>Iugotec</w:t>
            </w:r>
          </w:p>
        </w:tc>
        <w:tc>
          <w:tcPr>
            <w:tcW w:w="465"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08E55CEC" w14:textId="5714795B" w:rsidR="004B0E2D" w:rsidRPr="00610204" w:rsidRDefault="004B0E2D" w:rsidP="00610204">
            <w:pPr>
              <w:pStyle w:val="TableNText"/>
              <w:spacing w:before="0" w:after="0" w:line="240" w:lineRule="auto"/>
              <w:rPr>
                <w:rFonts w:asciiTheme="majorHAnsi" w:hAnsiTheme="majorHAnsi" w:cstheme="majorHAnsi"/>
                <w:sz w:val="16"/>
                <w:szCs w:val="16"/>
                <w:lang w:eastAsia="en-AU"/>
              </w:rPr>
            </w:pPr>
            <w:r w:rsidRPr="00610204">
              <w:rPr>
                <w:rFonts w:asciiTheme="majorHAnsi" w:hAnsiTheme="majorHAnsi" w:cstheme="majorHAnsi"/>
                <w:sz w:val="16"/>
                <w:szCs w:val="16"/>
                <w:lang w:eastAsia="en-AU"/>
              </w:rPr>
              <w:t>Atamo</w:t>
            </w:r>
          </w:p>
        </w:tc>
        <w:tc>
          <w:tcPr>
            <w:tcW w:w="558"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622A8F7E" w14:textId="5CDFAC2C" w:rsidR="004B0E2D" w:rsidRPr="00610204" w:rsidRDefault="004B0E2D" w:rsidP="00610204">
            <w:pPr>
              <w:pStyle w:val="TableNText"/>
              <w:spacing w:before="0" w:after="0" w:line="240" w:lineRule="auto"/>
              <w:rPr>
                <w:rFonts w:asciiTheme="majorHAnsi" w:hAnsiTheme="majorHAnsi" w:cstheme="majorHAnsi"/>
                <w:sz w:val="16"/>
                <w:szCs w:val="16"/>
                <w:lang w:eastAsia="en-AU"/>
              </w:rPr>
            </w:pPr>
            <w:r w:rsidRPr="00610204">
              <w:rPr>
                <w:rFonts w:asciiTheme="majorHAnsi" w:hAnsiTheme="majorHAnsi" w:cstheme="majorHAnsi"/>
                <w:sz w:val="16"/>
                <w:szCs w:val="16"/>
                <w:lang w:eastAsia="en-AU"/>
              </w:rPr>
              <w:t>Factil</w:t>
            </w:r>
          </w:p>
        </w:tc>
        <w:tc>
          <w:tcPr>
            <w:tcW w:w="419"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15CFB2BD" w14:textId="77777777" w:rsidR="004B0E2D" w:rsidRPr="00610204" w:rsidRDefault="004B0E2D" w:rsidP="00610204">
            <w:pPr>
              <w:pStyle w:val="TableNText"/>
              <w:spacing w:before="0" w:after="0" w:line="240" w:lineRule="auto"/>
              <w:rPr>
                <w:rFonts w:asciiTheme="majorHAnsi" w:hAnsiTheme="majorHAnsi" w:cstheme="majorHAnsi"/>
                <w:sz w:val="16"/>
                <w:szCs w:val="16"/>
                <w:lang w:eastAsia="en-AU"/>
              </w:rPr>
            </w:pPr>
            <w:r w:rsidRPr="00610204">
              <w:rPr>
                <w:rFonts w:asciiTheme="majorHAnsi" w:hAnsiTheme="majorHAnsi" w:cstheme="majorHAnsi"/>
                <w:sz w:val="16"/>
                <w:szCs w:val="16"/>
                <w:lang w:eastAsia="en-AU"/>
              </w:rPr>
              <w:t>ITREE</w:t>
            </w:r>
          </w:p>
        </w:tc>
        <w:tc>
          <w:tcPr>
            <w:tcW w:w="419"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5C08A798" w14:textId="38376B52" w:rsidR="004B0E2D" w:rsidRPr="00610204" w:rsidRDefault="004B0E2D" w:rsidP="00610204">
            <w:pPr>
              <w:pStyle w:val="TableNText"/>
              <w:spacing w:before="0" w:after="0" w:line="240" w:lineRule="auto"/>
              <w:rPr>
                <w:rFonts w:asciiTheme="majorHAnsi" w:hAnsiTheme="majorHAnsi" w:cstheme="majorHAnsi"/>
                <w:sz w:val="16"/>
                <w:szCs w:val="16"/>
                <w:lang w:eastAsia="en-AU"/>
              </w:rPr>
            </w:pPr>
            <w:r w:rsidRPr="00610204">
              <w:rPr>
                <w:rFonts w:asciiTheme="majorHAnsi" w:hAnsiTheme="majorHAnsi" w:cstheme="majorHAnsi"/>
                <w:sz w:val="16"/>
                <w:szCs w:val="16"/>
                <w:lang w:eastAsia="en-AU"/>
              </w:rPr>
              <w:t>Atraxium</w:t>
            </w:r>
          </w:p>
        </w:tc>
        <w:tc>
          <w:tcPr>
            <w:tcW w:w="443"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53124F21" w14:textId="6CA1B7A3" w:rsidR="004B0E2D" w:rsidRPr="00610204" w:rsidRDefault="004B0E2D" w:rsidP="00610204">
            <w:pPr>
              <w:pStyle w:val="TableNText"/>
              <w:spacing w:before="0" w:after="0" w:line="240" w:lineRule="auto"/>
              <w:rPr>
                <w:rFonts w:asciiTheme="majorHAnsi" w:hAnsiTheme="majorHAnsi" w:cstheme="majorHAnsi"/>
                <w:sz w:val="16"/>
                <w:szCs w:val="16"/>
                <w:lang w:eastAsia="en-AU"/>
              </w:rPr>
            </w:pPr>
            <w:r w:rsidRPr="00610204">
              <w:rPr>
                <w:rFonts w:asciiTheme="majorHAnsi" w:hAnsiTheme="majorHAnsi" w:cstheme="majorHAnsi"/>
                <w:sz w:val="16"/>
                <w:szCs w:val="16"/>
                <w:lang w:eastAsia="en-AU"/>
              </w:rPr>
              <w:t>Houston Kemp</w:t>
            </w:r>
          </w:p>
        </w:tc>
      </w:tr>
      <w:tr w:rsidR="004E0D67" w:rsidRPr="00334135" w14:paraId="76C9F847" w14:textId="77777777" w:rsidTr="00F40D93">
        <w:trPr>
          <w:cnfStyle w:val="000000010000" w:firstRow="0" w:lastRow="0" w:firstColumn="0" w:lastColumn="0" w:oddVBand="0" w:evenVBand="0" w:oddHBand="0" w:evenHBand="1" w:firstRowFirstColumn="0" w:firstRowLastColumn="0" w:lastRowFirstColumn="0" w:lastRowLastColumn="0"/>
          <w:trHeight w:val="159"/>
        </w:trPr>
        <w:tc>
          <w:tcPr>
            <w:tcW w:w="697"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E6E6E1" w:themeFill="accent5"/>
            <w:hideMark/>
          </w:tcPr>
          <w:p w14:paraId="44D14D2B" w14:textId="3E88E7A2" w:rsidR="004B0E2D" w:rsidRPr="00610204" w:rsidRDefault="004B0E2D" w:rsidP="00610204">
            <w:pPr>
              <w:pStyle w:val="TableNheader"/>
              <w:spacing w:before="0" w:after="0"/>
              <w:rPr>
                <w:rFonts w:ascii="Arial" w:eastAsia="Times New Roman" w:hAnsi="Arial" w:cs="Arial"/>
                <w:sz w:val="16"/>
                <w:szCs w:val="16"/>
                <w:lang w:eastAsia="en-AU"/>
              </w:rPr>
            </w:pPr>
            <w:r w:rsidRPr="00610204">
              <w:rPr>
                <w:rFonts w:eastAsia="Times New Roman" w:cs="Segoe UI Semibold"/>
                <w:color w:val="00264D"/>
                <w:kern w:val="24"/>
                <w:sz w:val="16"/>
                <w:szCs w:val="16"/>
                <w:lang w:eastAsia="en-AU"/>
              </w:rPr>
              <w:t xml:space="preserve">Challenge agency </w:t>
            </w:r>
          </w:p>
          <w:p w14:paraId="2C8A4836" w14:textId="7F4138E9" w:rsidR="004B0E2D" w:rsidRPr="00610204" w:rsidRDefault="004B0E2D" w:rsidP="00610204">
            <w:pPr>
              <w:pStyle w:val="TableNheader"/>
              <w:spacing w:before="0" w:after="0"/>
              <w:rPr>
                <w:rFonts w:ascii="Arial" w:eastAsia="Times New Roman" w:hAnsi="Arial" w:cs="Arial"/>
                <w:sz w:val="16"/>
                <w:szCs w:val="16"/>
                <w:lang w:eastAsia="en-AU"/>
              </w:rPr>
            </w:pPr>
            <w:r w:rsidRPr="00610204">
              <w:rPr>
                <w:rFonts w:eastAsia="Times New Roman" w:cs="Segoe UI Semibold"/>
                <w:color w:val="00264D"/>
                <w:kern w:val="24"/>
                <w:sz w:val="16"/>
                <w:szCs w:val="16"/>
                <w:lang w:eastAsia="en-AU"/>
              </w:rPr>
              <w:t>Procurement outcome</w:t>
            </w:r>
          </w:p>
        </w:tc>
        <w:tc>
          <w:tcPr>
            <w:tcW w:w="511"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5000F989" w14:textId="380CD362" w:rsidR="004B0E2D" w:rsidRPr="006A52FC" w:rsidRDefault="006A52FC" w:rsidP="00610204">
            <w:pPr>
              <w:spacing w:after="0"/>
              <w:rPr>
                <w:rFonts w:asciiTheme="minorHAnsi" w:hAnsiTheme="minorHAnsi" w:cstheme="minorHAnsi"/>
                <w:color w:val="00264D" w:themeColor="background2"/>
                <w:sz w:val="16"/>
                <w:szCs w:val="16"/>
                <w:lang w:eastAsia="en-AU"/>
              </w:rPr>
            </w:pPr>
            <w:r w:rsidRPr="006A52FC">
              <w:rPr>
                <w:rFonts w:asciiTheme="minorHAnsi" w:hAnsiTheme="minorHAnsi" w:cstheme="minorHAnsi"/>
                <w:color w:val="00264D" w:themeColor="background2"/>
                <w:sz w:val="16"/>
                <w:szCs w:val="16"/>
                <w:lang w:eastAsia="en-AU"/>
              </w:rPr>
              <w:t>No</w:t>
            </w:r>
          </w:p>
        </w:tc>
        <w:tc>
          <w:tcPr>
            <w:tcW w:w="548"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5071E645" w14:textId="57976DAF" w:rsidR="004B0E2D" w:rsidRPr="006A52FC" w:rsidRDefault="006A52FC" w:rsidP="00610204">
            <w:pPr>
              <w:spacing w:after="0"/>
              <w:rPr>
                <w:rFonts w:asciiTheme="minorHAnsi" w:hAnsiTheme="minorHAnsi" w:cstheme="minorHAnsi"/>
                <w:color w:val="00264D" w:themeColor="background2"/>
                <w:sz w:val="16"/>
                <w:szCs w:val="16"/>
                <w:lang w:eastAsia="en-AU"/>
              </w:rPr>
            </w:pPr>
            <w:r w:rsidRPr="006A52FC">
              <w:rPr>
                <w:rFonts w:asciiTheme="minorHAnsi" w:hAnsiTheme="minorHAnsi" w:cstheme="minorHAnsi"/>
                <w:color w:val="00264D" w:themeColor="background2"/>
                <w:sz w:val="16"/>
                <w:szCs w:val="16"/>
                <w:lang w:eastAsia="en-AU"/>
              </w:rPr>
              <w:t>Yes</w:t>
            </w:r>
          </w:p>
        </w:tc>
        <w:tc>
          <w:tcPr>
            <w:tcW w:w="517"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3C9BB551" w14:textId="2F8AE5A3" w:rsidR="004B0E2D" w:rsidRPr="006A52FC" w:rsidRDefault="006A52FC" w:rsidP="00610204">
            <w:pPr>
              <w:spacing w:after="0"/>
              <w:rPr>
                <w:rFonts w:asciiTheme="minorHAnsi" w:hAnsiTheme="minorHAnsi" w:cstheme="minorHAnsi"/>
                <w:color w:val="00264D" w:themeColor="background2"/>
                <w:sz w:val="16"/>
                <w:szCs w:val="16"/>
                <w:lang w:eastAsia="en-AU"/>
              </w:rPr>
            </w:pPr>
            <w:r w:rsidRPr="006A52FC">
              <w:rPr>
                <w:rFonts w:asciiTheme="minorHAnsi" w:eastAsia="Wingdings" w:hAnsiTheme="minorHAnsi" w:cstheme="minorHAnsi"/>
                <w:color w:val="00264D" w:themeColor="background2"/>
                <w:kern w:val="24"/>
                <w:sz w:val="16"/>
                <w:szCs w:val="16"/>
                <w:lang w:eastAsia="en-AU"/>
              </w:rPr>
              <w:t>Yes</w:t>
            </w:r>
          </w:p>
        </w:tc>
        <w:tc>
          <w:tcPr>
            <w:tcW w:w="423"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3C87AC82" w14:textId="5DF5C26F" w:rsidR="004B0E2D" w:rsidRPr="006A52FC" w:rsidRDefault="006A52FC" w:rsidP="00610204">
            <w:pPr>
              <w:spacing w:after="0"/>
              <w:rPr>
                <w:rFonts w:asciiTheme="minorHAnsi" w:hAnsiTheme="minorHAnsi" w:cstheme="minorHAnsi"/>
                <w:color w:val="00264D" w:themeColor="background2"/>
                <w:sz w:val="16"/>
                <w:szCs w:val="16"/>
                <w:lang w:eastAsia="en-AU"/>
              </w:rPr>
            </w:pPr>
            <w:r w:rsidRPr="006A52FC">
              <w:rPr>
                <w:rFonts w:asciiTheme="minorHAnsi" w:eastAsia="Wingdings" w:hAnsiTheme="minorHAnsi" w:cstheme="minorHAnsi"/>
                <w:color w:val="00264D" w:themeColor="background2"/>
                <w:kern w:val="24"/>
                <w:sz w:val="16"/>
                <w:szCs w:val="16"/>
                <w:lang w:eastAsia="en-AU"/>
              </w:rPr>
              <w:t>Yes</w:t>
            </w:r>
          </w:p>
        </w:tc>
        <w:tc>
          <w:tcPr>
            <w:tcW w:w="465"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3BF1C707" w14:textId="2A0E49E0" w:rsidR="004B0E2D" w:rsidRPr="006A52FC" w:rsidRDefault="006A52FC" w:rsidP="00610204">
            <w:pPr>
              <w:spacing w:after="0"/>
              <w:rPr>
                <w:rFonts w:asciiTheme="minorHAnsi" w:hAnsiTheme="minorHAnsi" w:cstheme="minorHAnsi"/>
                <w:color w:val="00264D" w:themeColor="background2"/>
                <w:sz w:val="16"/>
                <w:szCs w:val="16"/>
                <w:lang w:eastAsia="en-AU"/>
              </w:rPr>
            </w:pPr>
            <w:r w:rsidRPr="006A52FC">
              <w:rPr>
                <w:rFonts w:asciiTheme="minorHAnsi" w:hAnsiTheme="minorHAnsi" w:cstheme="minorHAnsi"/>
                <w:color w:val="00264D" w:themeColor="background2"/>
                <w:sz w:val="16"/>
                <w:szCs w:val="16"/>
                <w:lang w:eastAsia="en-AU"/>
              </w:rPr>
              <w:t>Yes</w:t>
            </w:r>
          </w:p>
        </w:tc>
        <w:tc>
          <w:tcPr>
            <w:tcW w:w="558"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456D1C2D" w14:textId="1889A161" w:rsidR="004B0E2D" w:rsidRPr="006A52FC" w:rsidRDefault="006A52FC" w:rsidP="00610204">
            <w:pPr>
              <w:spacing w:after="0"/>
              <w:rPr>
                <w:rFonts w:asciiTheme="minorHAnsi" w:hAnsiTheme="minorHAnsi" w:cstheme="minorHAnsi"/>
                <w:color w:val="00264D" w:themeColor="background2"/>
                <w:sz w:val="16"/>
                <w:szCs w:val="16"/>
                <w:lang w:eastAsia="en-AU"/>
              </w:rPr>
            </w:pPr>
            <w:r w:rsidRPr="006A52FC">
              <w:rPr>
                <w:rFonts w:asciiTheme="minorHAnsi" w:hAnsiTheme="minorHAnsi" w:cstheme="minorHAnsi"/>
                <w:color w:val="00264D" w:themeColor="background2"/>
                <w:sz w:val="16"/>
                <w:szCs w:val="16"/>
                <w:lang w:eastAsia="en-AU"/>
              </w:rPr>
              <w:t>No</w:t>
            </w:r>
          </w:p>
        </w:tc>
        <w:tc>
          <w:tcPr>
            <w:tcW w:w="419"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05DED2E0" w14:textId="605E9481" w:rsidR="004B0E2D" w:rsidRPr="006A52FC" w:rsidRDefault="006A52FC" w:rsidP="00610204">
            <w:pPr>
              <w:spacing w:after="0"/>
              <w:rPr>
                <w:rFonts w:asciiTheme="minorHAnsi" w:hAnsiTheme="minorHAnsi" w:cstheme="minorHAnsi"/>
                <w:color w:val="00264D" w:themeColor="background2"/>
                <w:sz w:val="16"/>
                <w:szCs w:val="16"/>
                <w:lang w:eastAsia="en-AU"/>
              </w:rPr>
            </w:pPr>
            <w:r w:rsidRPr="006A52FC">
              <w:rPr>
                <w:rFonts w:asciiTheme="minorHAnsi" w:hAnsiTheme="minorHAnsi" w:cstheme="minorHAnsi"/>
                <w:color w:val="00264D" w:themeColor="background2"/>
                <w:sz w:val="16"/>
                <w:szCs w:val="16"/>
                <w:lang w:eastAsia="en-AU"/>
              </w:rPr>
              <w:t>Yes</w:t>
            </w:r>
          </w:p>
        </w:tc>
        <w:tc>
          <w:tcPr>
            <w:tcW w:w="419"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504C9DC3" w14:textId="24F260AD" w:rsidR="004B0E2D" w:rsidRPr="006A52FC" w:rsidRDefault="006A52FC" w:rsidP="00610204">
            <w:pPr>
              <w:spacing w:after="0"/>
              <w:rPr>
                <w:rFonts w:asciiTheme="minorHAnsi" w:hAnsiTheme="minorHAnsi" w:cstheme="minorHAnsi"/>
                <w:color w:val="00264D" w:themeColor="background2"/>
                <w:sz w:val="16"/>
                <w:szCs w:val="16"/>
                <w:lang w:eastAsia="en-AU"/>
              </w:rPr>
            </w:pPr>
            <w:r w:rsidRPr="006A52FC">
              <w:rPr>
                <w:rFonts w:asciiTheme="minorHAnsi" w:hAnsiTheme="minorHAnsi" w:cstheme="minorHAnsi"/>
                <w:color w:val="00264D" w:themeColor="background2"/>
                <w:sz w:val="16"/>
                <w:szCs w:val="16"/>
                <w:lang w:eastAsia="en-AU"/>
              </w:rPr>
              <w:t>No</w:t>
            </w:r>
          </w:p>
        </w:tc>
        <w:tc>
          <w:tcPr>
            <w:tcW w:w="443"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264D1922" w14:textId="513C3A43" w:rsidR="004B0E2D" w:rsidRPr="006A52FC" w:rsidRDefault="006A52FC" w:rsidP="00610204">
            <w:pPr>
              <w:spacing w:after="0"/>
              <w:rPr>
                <w:rFonts w:asciiTheme="minorHAnsi" w:hAnsiTheme="minorHAnsi" w:cstheme="minorHAnsi"/>
                <w:color w:val="00264D" w:themeColor="background2"/>
                <w:sz w:val="16"/>
                <w:szCs w:val="16"/>
                <w:lang w:eastAsia="en-AU"/>
              </w:rPr>
            </w:pPr>
            <w:r w:rsidRPr="006A52FC">
              <w:rPr>
                <w:rFonts w:asciiTheme="minorHAnsi" w:eastAsia="Wingdings" w:hAnsiTheme="minorHAnsi" w:cstheme="minorHAnsi"/>
                <w:color w:val="00264D" w:themeColor="background2"/>
                <w:kern w:val="24"/>
                <w:sz w:val="16"/>
                <w:szCs w:val="16"/>
                <w:lang w:eastAsia="en-AU"/>
              </w:rPr>
              <w:t>No</w:t>
            </w:r>
          </w:p>
        </w:tc>
      </w:tr>
      <w:tr w:rsidR="004E0D67" w:rsidRPr="00334135" w14:paraId="027546C7" w14:textId="77777777" w:rsidTr="00D0106D">
        <w:trPr>
          <w:cnfStyle w:val="000000100000" w:firstRow="0" w:lastRow="0" w:firstColumn="0" w:lastColumn="0" w:oddVBand="0" w:evenVBand="0" w:oddHBand="1" w:evenHBand="0" w:firstRowFirstColumn="0" w:firstRowLastColumn="0" w:lastRowFirstColumn="0" w:lastRowLastColumn="0"/>
          <w:trHeight w:val="2550"/>
        </w:trPr>
        <w:tc>
          <w:tcPr>
            <w:tcW w:w="697"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E6E6E1" w:themeFill="accent5"/>
            <w:hideMark/>
          </w:tcPr>
          <w:p w14:paraId="3D46AE35" w14:textId="7AF95604" w:rsidR="004B0E2D" w:rsidRPr="00610204" w:rsidRDefault="004B0E2D" w:rsidP="00610204">
            <w:pPr>
              <w:pStyle w:val="TableNheader"/>
              <w:spacing w:before="0" w:after="0"/>
              <w:rPr>
                <w:rFonts w:ascii="Arial" w:eastAsia="Times New Roman" w:hAnsi="Arial" w:cs="Arial"/>
                <w:sz w:val="16"/>
                <w:szCs w:val="16"/>
                <w:lang w:eastAsia="en-AU"/>
              </w:rPr>
            </w:pPr>
            <w:r w:rsidRPr="00610204">
              <w:rPr>
                <w:rFonts w:eastAsia="Times New Roman" w:cs="Segoe UI Semibold"/>
                <w:color w:val="00264D"/>
                <w:kern w:val="24"/>
                <w:sz w:val="16"/>
                <w:szCs w:val="16"/>
                <w:lang w:eastAsia="en-AU"/>
              </w:rPr>
              <w:t>Post BRII commercialisation journey</w:t>
            </w:r>
          </w:p>
        </w:tc>
        <w:tc>
          <w:tcPr>
            <w:tcW w:w="511"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hideMark/>
          </w:tcPr>
          <w:p w14:paraId="5B960F2E" w14:textId="77777777" w:rsidR="004B0E2D" w:rsidRPr="004B0E2D" w:rsidRDefault="004B0E2D" w:rsidP="00D0106D">
            <w:pPr>
              <w:pStyle w:val="TableNText"/>
              <w:spacing w:before="0" w:after="0"/>
              <w:rPr>
                <w:rFonts w:ascii="Arial" w:hAnsi="Arial" w:cs="Arial"/>
                <w:color w:val="00264D" w:themeColor="background2"/>
                <w:sz w:val="16"/>
                <w:szCs w:val="16"/>
                <w:lang w:eastAsia="en-AU"/>
              </w:rPr>
            </w:pPr>
            <w:r w:rsidRPr="004B0E2D">
              <w:rPr>
                <w:color w:val="00264D" w:themeColor="background2"/>
                <w:sz w:val="16"/>
                <w:szCs w:val="16"/>
                <w:lang w:eastAsia="en-AU"/>
              </w:rPr>
              <w:t>Has a full price contract with a Victorian Government Department and is actively pursuing new contracts</w:t>
            </w:r>
          </w:p>
        </w:tc>
        <w:tc>
          <w:tcPr>
            <w:tcW w:w="548"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hideMark/>
          </w:tcPr>
          <w:p w14:paraId="26D12F14" w14:textId="77777777" w:rsidR="004B0E2D" w:rsidRPr="004B0E2D" w:rsidRDefault="004B0E2D" w:rsidP="00D0106D">
            <w:pPr>
              <w:pStyle w:val="TableNText"/>
              <w:spacing w:before="0" w:after="0"/>
              <w:rPr>
                <w:rFonts w:ascii="Arial" w:hAnsi="Arial" w:cs="Arial"/>
                <w:color w:val="00264D" w:themeColor="background2"/>
                <w:sz w:val="16"/>
                <w:szCs w:val="16"/>
                <w:lang w:eastAsia="en-AU"/>
              </w:rPr>
            </w:pPr>
            <w:r w:rsidRPr="004B0E2D">
              <w:rPr>
                <w:color w:val="00264D" w:themeColor="background2"/>
                <w:sz w:val="16"/>
                <w:szCs w:val="16"/>
                <w:lang w:eastAsia="en-AU"/>
              </w:rPr>
              <w:t xml:space="preserve">Successfully commercialised their solution across multiple public and private customers, over 100 projects and recently expanded overseas. </w:t>
            </w:r>
          </w:p>
        </w:tc>
        <w:tc>
          <w:tcPr>
            <w:tcW w:w="517"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hideMark/>
          </w:tcPr>
          <w:p w14:paraId="4207E42A" w14:textId="77777777" w:rsidR="004B0E2D" w:rsidRPr="004B0E2D" w:rsidRDefault="004B0E2D" w:rsidP="00D0106D">
            <w:pPr>
              <w:pStyle w:val="TableNText"/>
              <w:spacing w:before="0" w:after="0"/>
              <w:rPr>
                <w:rFonts w:ascii="Arial" w:hAnsi="Arial" w:cs="Arial"/>
                <w:color w:val="00264D" w:themeColor="background2"/>
                <w:sz w:val="16"/>
                <w:szCs w:val="16"/>
                <w:lang w:eastAsia="en-AU"/>
              </w:rPr>
            </w:pPr>
            <w:r w:rsidRPr="004B0E2D">
              <w:rPr>
                <w:color w:val="00264D" w:themeColor="background2"/>
                <w:sz w:val="16"/>
                <w:szCs w:val="16"/>
                <w:lang w:eastAsia="en-AU"/>
              </w:rPr>
              <w:t>The Waterflow product has over 1000 users per month. Exploring expansion into other domestic water markets, including in Queensland and Tasmania.</w:t>
            </w:r>
          </w:p>
        </w:tc>
        <w:tc>
          <w:tcPr>
            <w:tcW w:w="423"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hideMark/>
          </w:tcPr>
          <w:p w14:paraId="43C8E730" w14:textId="77777777" w:rsidR="004B0E2D" w:rsidRPr="004B0E2D" w:rsidRDefault="004B0E2D" w:rsidP="00D0106D">
            <w:pPr>
              <w:pStyle w:val="TableNText"/>
              <w:spacing w:before="0" w:after="0"/>
              <w:rPr>
                <w:rFonts w:ascii="Arial" w:hAnsi="Arial" w:cs="Arial"/>
                <w:color w:val="00264D" w:themeColor="background2"/>
                <w:sz w:val="16"/>
                <w:szCs w:val="16"/>
                <w:lang w:eastAsia="en-AU"/>
              </w:rPr>
            </w:pPr>
            <w:r w:rsidRPr="004B0E2D">
              <w:rPr>
                <w:color w:val="00264D" w:themeColor="background2"/>
                <w:sz w:val="16"/>
                <w:szCs w:val="16"/>
                <w:lang w:eastAsia="en-AU"/>
              </w:rPr>
              <w:t>Considering applications in broader biosecurity, ag-tech and defence sectors.</w:t>
            </w:r>
          </w:p>
        </w:tc>
        <w:tc>
          <w:tcPr>
            <w:tcW w:w="465"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hideMark/>
          </w:tcPr>
          <w:p w14:paraId="0D5A04AB" w14:textId="0FE897A6" w:rsidR="004B0E2D" w:rsidRPr="004B0E2D" w:rsidRDefault="004B0E2D" w:rsidP="00D0106D">
            <w:pPr>
              <w:pStyle w:val="TableNText"/>
              <w:spacing w:before="0" w:after="0"/>
              <w:rPr>
                <w:rFonts w:ascii="Arial" w:hAnsi="Arial" w:cs="Arial"/>
                <w:color w:val="00264D" w:themeColor="background2"/>
                <w:sz w:val="16"/>
                <w:szCs w:val="16"/>
                <w:lang w:eastAsia="en-AU"/>
              </w:rPr>
            </w:pPr>
            <w:r w:rsidRPr="004B0E2D">
              <w:rPr>
                <w:color w:val="00264D" w:themeColor="background2"/>
                <w:sz w:val="16"/>
                <w:szCs w:val="16"/>
                <w:lang w:eastAsia="en-AU"/>
              </w:rPr>
              <w:t>Executing a contract with the Department of Agriculture and working with the US Center for Disease Control and Prevention.</w:t>
            </w:r>
          </w:p>
        </w:tc>
        <w:tc>
          <w:tcPr>
            <w:tcW w:w="558"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hideMark/>
          </w:tcPr>
          <w:p w14:paraId="5171BAA2" w14:textId="77777777" w:rsidR="004B0E2D" w:rsidRPr="004B0E2D" w:rsidRDefault="004B0E2D" w:rsidP="00D0106D">
            <w:pPr>
              <w:pStyle w:val="TableNText"/>
              <w:spacing w:before="0" w:after="0"/>
              <w:rPr>
                <w:rFonts w:ascii="Arial" w:hAnsi="Arial" w:cs="Arial"/>
                <w:color w:val="00264D" w:themeColor="background2"/>
                <w:sz w:val="16"/>
                <w:szCs w:val="16"/>
                <w:lang w:eastAsia="en-AU"/>
              </w:rPr>
            </w:pPr>
            <w:r w:rsidRPr="004B0E2D">
              <w:rPr>
                <w:color w:val="00264D" w:themeColor="background2"/>
                <w:sz w:val="16"/>
                <w:szCs w:val="16"/>
                <w:lang w:eastAsia="en-AU"/>
              </w:rPr>
              <w:t>Further developed their IP through contracts with Victorian Government Departments and currently exploring other commercialisation opportunities.</w:t>
            </w:r>
          </w:p>
        </w:tc>
        <w:tc>
          <w:tcPr>
            <w:tcW w:w="419"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hideMark/>
          </w:tcPr>
          <w:p w14:paraId="1311C0A1" w14:textId="7F7F6D44" w:rsidR="004B0E2D" w:rsidRPr="004B0E2D" w:rsidRDefault="004B0E2D" w:rsidP="00D0106D">
            <w:pPr>
              <w:pStyle w:val="TableNText"/>
              <w:spacing w:before="0" w:after="0"/>
              <w:rPr>
                <w:rFonts w:ascii="Arial" w:hAnsi="Arial" w:cs="Arial"/>
                <w:color w:val="00264D" w:themeColor="background2"/>
                <w:sz w:val="16"/>
                <w:szCs w:val="16"/>
                <w:lang w:eastAsia="en-AU"/>
              </w:rPr>
            </w:pPr>
            <w:r w:rsidRPr="004B0E2D">
              <w:rPr>
                <w:color w:val="00264D" w:themeColor="background2"/>
                <w:sz w:val="16"/>
                <w:szCs w:val="16"/>
                <w:lang w:val="en-US" w:eastAsia="en-AU"/>
              </w:rPr>
              <w:t>Received 5-year $5.9 million contract to deliver REACH. Acquired by ASX listed Objective Corporation in 2019.</w:t>
            </w:r>
          </w:p>
        </w:tc>
        <w:tc>
          <w:tcPr>
            <w:tcW w:w="419"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hideMark/>
          </w:tcPr>
          <w:p w14:paraId="2B17A9EB" w14:textId="77777777" w:rsidR="004B0E2D" w:rsidRPr="004B0E2D" w:rsidRDefault="004B0E2D" w:rsidP="00D0106D">
            <w:pPr>
              <w:pStyle w:val="TableNText"/>
              <w:spacing w:before="0" w:after="0"/>
              <w:rPr>
                <w:rFonts w:ascii="Arial" w:hAnsi="Arial" w:cs="Arial"/>
                <w:color w:val="00264D" w:themeColor="background2"/>
                <w:sz w:val="16"/>
                <w:szCs w:val="16"/>
                <w:lang w:eastAsia="en-AU"/>
              </w:rPr>
            </w:pPr>
            <w:r w:rsidRPr="004B0E2D">
              <w:rPr>
                <w:color w:val="00264D" w:themeColor="background2"/>
                <w:sz w:val="16"/>
                <w:szCs w:val="16"/>
                <w:lang w:eastAsia="en-AU"/>
              </w:rPr>
              <w:t>Considering applications of technology in banking sector and broader intelligence community.</w:t>
            </w:r>
          </w:p>
        </w:tc>
        <w:tc>
          <w:tcPr>
            <w:tcW w:w="443"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hideMark/>
          </w:tcPr>
          <w:p w14:paraId="45DE7683" w14:textId="77777777" w:rsidR="004B0E2D" w:rsidRPr="004B0E2D" w:rsidRDefault="004B0E2D" w:rsidP="00D0106D">
            <w:pPr>
              <w:pStyle w:val="TableNText"/>
              <w:spacing w:before="0" w:after="0"/>
              <w:rPr>
                <w:rFonts w:ascii="Arial" w:hAnsi="Arial" w:cs="Arial"/>
                <w:color w:val="00264D" w:themeColor="background2"/>
                <w:sz w:val="16"/>
                <w:szCs w:val="16"/>
                <w:lang w:eastAsia="en-AU"/>
              </w:rPr>
            </w:pPr>
            <w:r w:rsidRPr="004B0E2D">
              <w:rPr>
                <w:color w:val="00264D" w:themeColor="background2"/>
                <w:sz w:val="16"/>
                <w:szCs w:val="16"/>
                <w:lang w:eastAsia="en-AU"/>
              </w:rPr>
              <w:t>IP was highly specific to the sponsor agencies and would be challenging to commercialise.</w:t>
            </w:r>
          </w:p>
        </w:tc>
      </w:tr>
      <w:tr w:rsidR="004E0D67" w:rsidRPr="00334135" w14:paraId="20DE462F" w14:textId="77777777" w:rsidTr="00D0106D">
        <w:trPr>
          <w:cnfStyle w:val="000000010000" w:firstRow="0" w:lastRow="0" w:firstColumn="0" w:lastColumn="0" w:oddVBand="0" w:evenVBand="0" w:oddHBand="0" w:evenHBand="1" w:firstRowFirstColumn="0" w:firstRowLastColumn="0" w:lastRowFirstColumn="0" w:lastRowLastColumn="0"/>
          <w:trHeight w:val="41"/>
        </w:trPr>
        <w:tc>
          <w:tcPr>
            <w:tcW w:w="697"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E6E6E1" w:themeFill="accent5"/>
            <w:hideMark/>
          </w:tcPr>
          <w:p w14:paraId="6828E2D5" w14:textId="1D83FB11" w:rsidR="004B0E2D" w:rsidRPr="00610204" w:rsidRDefault="004B0E2D" w:rsidP="00610204">
            <w:pPr>
              <w:pStyle w:val="TableNheader"/>
              <w:spacing w:before="0" w:after="0"/>
              <w:rPr>
                <w:rFonts w:ascii="Arial" w:hAnsi="Arial" w:cs="Arial"/>
                <w:sz w:val="16"/>
                <w:szCs w:val="16"/>
                <w:lang w:eastAsia="en-AU"/>
              </w:rPr>
            </w:pPr>
            <w:r w:rsidRPr="00610204">
              <w:rPr>
                <w:sz w:val="16"/>
                <w:szCs w:val="16"/>
                <w:lang w:eastAsia="en-AU"/>
              </w:rPr>
              <w:t>BRII impact on turnover</w:t>
            </w:r>
          </w:p>
        </w:tc>
        <w:tc>
          <w:tcPr>
            <w:tcW w:w="511"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hideMark/>
          </w:tcPr>
          <w:p w14:paraId="0392FB79" w14:textId="5DD49BD9" w:rsidR="004B0E2D" w:rsidRPr="006A52FC" w:rsidRDefault="006A52FC" w:rsidP="00D0106D">
            <w:pPr>
              <w:spacing w:after="0"/>
              <w:rPr>
                <w:rFonts w:ascii="Arial" w:hAnsi="Arial"/>
                <w:sz w:val="16"/>
                <w:szCs w:val="16"/>
                <w:lang w:eastAsia="en-AU"/>
              </w:rPr>
            </w:pPr>
            <w:r w:rsidRPr="006A52FC">
              <w:rPr>
                <w:color w:val="00264D" w:themeColor="background2"/>
                <w:sz w:val="16"/>
                <w:szCs w:val="16"/>
                <w:lang w:eastAsia="en-AU"/>
              </w:rPr>
              <w:t>Positive</w:t>
            </w:r>
          </w:p>
        </w:tc>
        <w:tc>
          <w:tcPr>
            <w:tcW w:w="548"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hideMark/>
          </w:tcPr>
          <w:p w14:paraId="38C5FF43" w14:textId="2A82EE97" w:rsidR="004B0E2D" w:rsidRPr="006A52FC" w:rsidRDefault="006A52FC" w:rsidP="00D0106D">
            <w:pPr>
              <w:spacing w:after="0"/>
              <w:rPr>
                <w:rFonts w:ascii="Arial" w:hAnsi="Arial"/>
                <w:sz w:val="16"/>
                <w:szCs w:val="16"/>
                <w:lang w:eastAsia="en-AU"/>
              </w:rPr>
            </w:pPr>
            <w:r w:rsidRPr="006A52FC">
              <w:rPr>
                <w:color w:val="00264D" w:themeColor="background2"/>
                <w:sz w:val="16"/>
                <w:szCs w:val="16"/>
                <w:lang w:eastAsia="en-AU"/>
              </w:rPr>
              <w:t>Positive</w:t>
            </w:r>
          </w:p>
        </w:tc>
        <w:tc>
          <w:tcPr>
            <w:tcW w:w="517"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hideMark/>
          </w:tcPr>
          <w:p w14:paraId="1EDE90EC" w14:textId="16454E23" w:rsidR="004B0E2D" w:rsidRPr="006A52FC" w:rsidRDefault="006A52FC" w:rsidP="00D0106D">
            <w:pPr>
              <w:spacing w:after="0"/>
              <w:rPr>
                <w:rFonts w:ascii="Arial" w:hAnsi="Arial"/>
                <w:sz w:val="16"/>
                <w:szCs w:val="16"/>
                <w:lang w:eastAsia="en-AU"/>
              </w:rPr>
            </w:pPr>
            <w:r w:rsidRPr="006A52FC">
              <w:rPr>
                <w:sz w:val="16"/>
                <w:szCs w:val="16"/>
                <w:lang w:eastAsia="en-AU"/>
              </w:rPr>
              <w:t>Neutral</w:t>
            </w:r>
          </w:p>
        </w:tc>
        <w:tc>
          <w:tcPr>
            <w:tcW w:w="423"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hideMark/>
          </w:tcPr>
          <w:p w14:paraId="5B6A7092" w14:textId="579B65FC" w:rsidR="004B0E2D" w:rsidRPr="006A52FC" w:rsidRDefault="006A52FC" w:rsidP="00D0106D">
            <w:pPr>
              <w:spacing w:after="0"/>
              <w:rPr>
                <w:rFonts w:ascii="Arial" w:hAnsi="Arial"/>
                <w:sz w:val="16"/>
                <w:szCs w:val="16"/>
                <w:lang w:eastAsia="en-AU"/>
              </w:rPr>
            </w:pPr>
            <w:r w:rsidRPr="006A52FC">
              <w:rPr>
                <w:color w:val="00264D" w:themeColor="background2"/>
                <w:sz w:val="16"/>
                <w:szCs w:val="16"/>
                <w:lang w:eastAsia="en-AU"/>
              </w:rPr>
              <w:t>Positive</w:t>
            </w:r>
          </w:p>
        </w:tc>
        <w:tc>
          <w:tcPr>
            <w:tcW w:w="465"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hideMark/>
          </w:tcPr>
          <w:p w14:paraId="1D6D6BC8" w14:textId="5F096A7F" w:rsidR="004B0E2D" w:rsidRPr="006A52FC" w:rsidRDefault="006A52FC" w:rsidP="00D0106D">
            <w:pPr>
              <w:spacing w:after="0"/>
              <w:rPr>
                <w:rFonts w:ascii="Arial" w:hAnsi="Arial"/>
                <w:sz w:val="16"/>
                <w:szCs w:val="16"/>
                <w:lang w:eastAsia="en-AU"/>
              </w:rPr>
            </w:pPr>
            <w:r w:rsidRPr="006A52FC">
              <w:rPr>
                <w:color w:val="00264D" w:themeColor="background2"/>
                <w:sz w:val="16"/>
                <w:szCs w:val="16"/>
                <w:lang w:eastAsia="en-AU"/>
              </w:rPr>
              <w:t>Positive</w:t>
            </w:r>
          </w:p>
        </w:tc>
        <w:tc>
          <w:tcPr>
            <w:tcW w:w="558"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hideMark/>
          </w:tcPr>
          <w:p w14:paraId="09CC89DD" w14:textId="595D3949" w:rsidR="004B0E2D" w:rsidRPr="006A52FC" w:rsidRDefault="006A52FC" w:rsidP="00D0106D">
            <w:pPr>
              <w:spacing w:after="0"/>
              <w:rPr>
                <w:rFonts w:ascii="Arial" w:hAnsi="Arial"/>
                <w:sz w:val="16"/>
                <w:szCs w:val="16"/>
                <w:lang w:eastAsia="en-AU"/>
              </w:rPr>
            </w:pPr>
            <w:r w:rsidRPr="006A52FC">
              <w:rPr>
                <w:color w:val="00264D" w:themeColor="background2"/>
                <w:sz w:val="16"/>
                <w:szCs w:val="16"/>
                <w:lang w:eastAsia="en-AU"/>
              </w:rPr>
              <w:t>Positive</w:t>
            </w:r>
          </w:p>
        </w:tc>
        <w:tc>
          <w:tcPr>
            <w:tcW w:w="419"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hideMark/>
          </w:tcPr>
          <w:p w14:paraId="06D18B3A" w14:textId="7E0A8936" w:rsidR="004B0E2D" w:rsidRPr="006A52FC" w:rsidRDefault="006A52FC" w:rsidP="00D0106D">
            <w:pPr>
              <w:spacing w:after="0"/>
              <w:rPr>
                <w:rFonts w:ascii="Arial" w:hAnsi="Arial"/>
                <w:sz w:val="16"/>
                <w:szCs w:val="16"/>
                <w:lang w:eastAsia="en-AU"/>
              </w:rPr>
            </w:pPr>
            <w:r w:rsidRPr="006A52FC">
              <w:rPr>
                <w:color w:val="00264D" w:themeColor="background2"/>
                <w:sz w:val="16"/>
                <w:szCs w:val="16"/>
                <w:lang w:eastAsia="en-AU"/>
              </w:rPr>
              <w:t>Positive</w:t>
            </w:r>
          </w:p>
        </w:tc>
        <w:tc>
          <w:tcPr>
            <w:tcW w:w="419"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hideMark/>
          </w:tcPr>
          <w:p w14:paraId="2FD6DC6E" w14:textId="08F7A70A" w:rsidR="004B0E2D" w:rsidRPr="006A52FC" w:rsidRDefault="006A52FC" w:rsidP="00D0106D">
            <w:pPr>
              <w:spacing w:after="0"/>
              <w:rPr>
                <w:rFonts w:ascii="Arial" w:hAnsi="Arial"/>
                <w:sz w:val="16"/>
                <w:szCs w:val="16"/>
                <w:lang w:eastAsia="en-AU"/>
              </w:rPr>
            </w:pPr>
            <w:r w:rsidRPr="006A52FC">
              <w:rPr>
                <w:color w:val="00264D" w:themeColor="background2"/>
                <w:sz w:val="16"/>
                <w:szCs w:val="16"/>
                <w:lang w:eastAsia="en-AU"/>
              </w:rPr>
              <w:t>Positive</w:t>
            </w:r>
          </w:p>
        </w:tc>
        <w:tc>
          <w:tcPr>
            <w:tcW w:w="443"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hideMark/>
          </w:tcPr>
          <w:p w14:paraId="60D32FD1" w14:textId="02DF3CFD" w:rsidR="004B0E2D" w:rsidRPr="006A52FC" w:rsidRDefault="006A52FC" w:rsidP="00D0106D">
            <w:pPr>
              <w:spacing w:after="0"/>
              <w:rPr>
                <w:rFonts w:ascii="Arial" w:hAnsi="Arial"/>
                <w:sz w:val="16"/>
                <w:szCs w:val="16"/>
                <w:lang w:eastAsia="en-AU"/>
              </w:rPr>
            </w:pPr>
            <w:r w:rsidRPr="006A52FC">
              <w:rPr>
                <w:color w:val="00264D" w:themeColor="background2"/>
                <w:sz w:val="16"/>
                <w:szCs w:val="16"/>
                <w:lang w:eastAsia="en-AU"/>
              </w:rPr>
              <w:t>Positive</w:t>
            </w:r>
          </w:p>
        </w:tc>
      </w:tr>
      <w:tr w:rsidR="004E0D67" w:rsidRPr="00334135" w14:paraId="5CDA3805" w14:textId="77777777" w:rsidTr="00D0106D">
        <w:trPr>
          <w:cnfStyle w:val="000000100000" w:firstRow="0" w:lastRow="0" w:firstColumn="0" w:lastColumn="0" w:oddVBand="0" w:evenVBand="0" w:oddHBand="1" w:evenHBand="0" w:firstRowFirstColumn="0" w:firstRowLastColumn="0" w:lastRowFirstColumn="0" w:lastRowLastColumn="0"/>
          <w:trHeight w:val="175"/>
        </w:trPr>
        <w:tc>
          <w:tcPr>
            <w:tcW w:w="697"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E6E6E1" w:themeFill="accent5"/>
            <w:hideMark/>
          </w:tcPr>
          <w:p w14:paraId="0A374A13" w14:textId="64772299" w:rsidR="004B0E2D" w:rsidRPr="00610204" w:rsidRDefault="004B0E2D" w:rsidP="00610204">
            <w:pPr>
              <w:pStyle w:val="TableNheader"/>
              <w:spacing w:before="0" w:after="0"/>
              <w:rPr>
                <w:rFonts w:ascii="Arial" w:eastAsia="Times New Roman" w:hAnsi="Arial" w:cs="Arial"/>
                <w:sz w:val="16"/>
                <w:szCs w:val="16"/>
                <w:lang w:eastAsia="en-AU"/>
              </w:rPr>
            </w:pPr>
            <w:r w:rsidRPr="00610204">
              <w:rPr>
                <w:rFonts w:eastAsia="Times New Roman" w:cs="Segoe UI Semibold"/>
                <w:color w:val="00264D"/>
                <w:kern w:val="24"/>
                <w:sz w:val="16"/>
                <w:szCs w:val="16"/>
                <w:lang w:eastAsia="en-AU"/>
              </w:rPr>
              <w:t>Lasting collaboration</w:t>
            </w:r>
          </w:p>
        </w:tc>
        <w:tc>
          <w:tcPr>
            <w:tcW w:w="511"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hideMark/>
          </w:tcPr>
          <w:p w14:paraId="06217BF2" w14:textId="77777777" w:rsidR="004B0E2D" w:rsidRPr="004B0E2D" w:rsidRDefault="004B0E2D" w:rsidP="00D0106D">
            <w:pPr>
              <w:pStyle w:val="TableNText"/>
              <w:spacing w:before="0" w:after="0"/>
              <w:rPr>
                <w:rFonts w:ascii="Arial" w:hAnsi="Arial" w:cs="Arial"/>
                <w:color w:val="00264D" w:themeColor="background2"/>
                <w:sz w:val="16"/>
                <w:szCs w:val="16"/>
                <w:lang w:eastAsia="en-AU"/>
              </w:rPr>
            </w:pPr>
            <w:r w:rsidRPr="004B0E2D">
              <w:rPr>
                <w:color w:val="00264D" w:themeColor="background2"/>
                <w:sz w:val="16"/>
                <w:szCs w:val="16"/>
                <w:lang w:eastAsia="en-AU"/>
              </w:rPr>
              <w:t>Subcontracted a software company.</w:t>
            </w:r>
          </w:p>
        </w:tc>
        <w:tc>
          <w:tcPr>
            <w:tcW w:w="548"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hideMark/>
          </w:tcPr>
          <w:p w14:paraId="4D9C9980" w14:textId="77777777" w:rsidR="004B0E2D" w:rsidRPr="004B0E2D" w:rsidRDefault="004B0E2D" w:rsidP="00D0106D">
            <w:pPr>
              <w:pStyle w:val="TableNText"/>
              <w:spacing w:before="0" w:after="0"/>
              <w:rPr>
                <w:rFonts w:ascii="Arial" w:hAnsi="Arial" w:cs="Arial"/>
                <w:color w:val="00264D" w:themeColor="background2"/>
                <w:sz w:val="16"/>
                <w:szCs w:val="16"/>
                <w:lang w:eastAsia="en-AU"/>
              </w:rPr>
            </w:pPr>
            <w:r w:rsidRPr="004B0E2D">
              <w:rPr>
                <w:color w:val="00264D" w:themeColor="background2"/>
                <w:sz w:val="16"/>
                <w:szCs w:val="16"/>
                <w:lang w:eastAsia="en-AU"/>
              </w:rPr>
              <w:t>Data61 CSIRO, Centre for Deliberative Democracy University of Canberra, Engage2.</w:t>
            </w:r>
          </w:p>
        </w:tc>
        <w:tc>
          <w:tcPr>
            <w:tcW w:w="517"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hideMark/>
          </w:tcPr>
          <w:p w14:paraId="0BB9B23F" w14:textId="072E11C3" w:rsidR="004B0E2D" w:rsidRPr="004B0E2D" w:rsidRDefault="004B0E2D" w:rsidP="00D0106D">
            <w:pPr>
              <w:pStyle w:val="TableNText"/>
              <w:spacing w:before="0" w:after="0"/>
              <w:rPr>
                <w:rFonts w:ascii="Arial" w:hAnsi="Arial"/>
                <w:color w:val="00264D" w:themeColor="background2"/>
                <w:sz w:val="16"/>
                <w:szCs w:val="16"/>
                <w:lang w:eastAsia="en-AU"/>
              </w:rPr>
            </w:pPr>
            <w:r w:rsidRPr="004B0E2D">
              <w:rPr>
                <w:color w:val="00264D" w:themeColor="background2"/>
                <w:sz w:val="16"/>
                <w:szCs w:val="16"/>
                <w:lang w:eastAsia="en-AU"/>
              </w:rPr>
              <w:t>n/a</w:t>
            </w:r>
          </w:p>
        </w:tc>
        <w:tc>
          <w:tcPr>
            <w:tcW w:w="423"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hideMark/>
          </w:tcPr>
          <w:p w14:paraId="6DF7E031" w14:textId="77777777" w:rsidR="004B0E2D" w:rsidRPr="004B0E2D" w:rsidRDefault="004B0E2D" w:rsidP="00D0106D">
            <w:pPr>
              <w:pStyle w:val="TableNText"/>
              <w:spacing w:before="0" w:after="0"/>
              <w:rPr>
                <w:rFonts w:ascii="Arial" w:hAnsi="Arial" w:cs="Arial"/>
                <w:color w:val="00264D" w:themeColor="background2"/>
                <w:sz w:val="16"/>
                <w:szCs w:val="16"/>
                <w:lang w:eastAsia="en-AU"/>
              </w:rPr>
            </w:pPr>
            <w:r w:rsidRPr="004B0E2D">
              <w:rPr>
                <w:color w:val="00264D" w:themeColor="background2"/>
                <w:sz w:val="16"/>
                <w:szCs w:val="16"/>
                <w:lang w:eastAsia="en-AU"/>
              </w:rPr>
              <w:t>Queensland University of Technology and Tofwerk AG, Switzerland.</w:t>
            </w:r>
          </w:p>
        </w:tc>
        <w:tc>
          <w:tcPr>
            <w:tcW w:w="465"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hideMark/>
          </w:tcPr>
          <w:p w14:paraId="5960B8AD" w14:textId="77777777" w:rsidR="004B0E2D" w:rsidRPr="004B0E2D" w:rsidRDefault="004B0E2D" w:rsidP="00D0106D">
            <w:pPr>
              <w:pStyle w:val="TableNText"/>
              <w:spacing w:before="0" w:after="0"/>
              <w:rPr>
                <w:rFonts w:ascii="Arial" w:hAnsi="Arial" w:cs="Arial"/>
                <w:color w:val="00264D" w:themeColor="background2"/>
                <w:sz w:val="16"/>
                <w:szCs w:val="16"/>
                <w:lang w:eastAsia="en-AU"/>
              </w:rPr>
            </w:pPr>
            <w:r w:rsidRPr="004B0E2D">
              <w:rPr>
                <w:color w:val="00264D" w:themeColor="background2"/>
                <w:sz w:val="16"/>
                <w:szCs w:val="16"/>
                <w:lang w:eastAsia="en-AU"/>
              </w:rPr>
              <w:t>Collaborating with Innovative Vector Control Consortium.</w:t>
            </w:r>
          </w:p>
        </w:tc>
        <w:tc>
          <w:tcPr>
            <w:tcW w:w="558"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hideMark/>
          </w:tcPr>
          <w:p w14:paraId="6E99AEDE" w14:textId="77777777" w:rsidR="004B0E2D" w:rsidRPr="004B0E2D" w:rsidRDefault="004B0E2D" w:rsidP="00D0106D">
            <w:pPr>
              <w:pStyle w:val="TableNText"/>
              <w:spacing w:before="0" w:after="0"/>
              <w:rPr>
                <w:rFonts w:ascii="Arial" w:hAnsi="Arial" w:cs="Arial"/>
                <w:color w:val="00264D" w:themeColor="background2"/>
                <w:sz w:val="16"/>
                <w:szCs w:val="16"/>
                <w:lang w:eastAsia="en-AU"/>
              </w:rPr>
            </w:pPr>
            <w:r w:rsidRPr="004B0E2D">
              <w:rPr>
                <w:color w:val="00264D" w:themeColor="background2"/>
                <w:sz w:val="16"/>
                <w:szCs w:val="16"/>
                <w:lang w:eastAsia="en-AU"/>
              </w:rPr>
              <w:t>Informal collaboration University of Melbourne and the ANU. Partnered with Silverpond.</w:t>
            </w:r>
          </w:p>
        </w:tc>
        <w:tc>
          <w:tcPr>
            <w:tcW w:w="419"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hideMark/>
          </w:tcPr>
          <w:p w14:paraId="18D67BAD" w14:textId="0C66DF11" w:rsidR="004B0E2D" w:rsidRPr="004B0E2D" w:rsidRDefault="006A52FC" w:rsidP="00D0106D">
            <w:pPr>
              <w:pStyle w:val="TableNText"/>
              <w:spacing w:before="0" w:after="0"/>
              <w:rPr>
                <w:rFonts w:ascii="Arial" w:hAnsi="Arial" w:cs="Arial"/>
                <w:color w:val="00264D" w:themeColor="background2"/>
                <w:sz w:val="16"/>
                <w:szCs w:val="16"/>
                <w:lang w:eastAsia="en-AU"/>
              </w:rPr>
            </w:pPr>
            <w:r>
              <w:rPr>
                <w:rFonts w:cs="Arial"/>
                <w:color w:val="00264D" w:themeColor="background2"/>
                <w:sz w:val="16"/>
                <w:szCs w:val="16"/>
                <w:lang w:eastAsia="en-AU"/>
              </w:rPr>
              <w:t>n/a</w:t>
            </w:r>
          </w:p>
        </w:tc>
        <w:tc>
          <w:tcPr>
            <w:tcW w:w="419"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hideMark/>
          </w:tcPr>
          <w:p w14:paraId="77536D97" w14:textId="5AFF9060" w:rsidR="004B0E2D" w:rsidRPr="004B0E2D" w:rsidRDefault="006A52FC" w:rsidP="00D0106D">
            <w:pPr>
              <w:pStyle w:val="TableNText"/>
              <w:spacing w:before="0" w:after="0"/>
              <w:rPr>
                <w:rFonts w:ascii="Arial" w:hAnsi="Arial" w:cs="Arial"/>
                <w:color w:val="00264D" w:themeColor="background2"/>
                <w:sz w:val="16"/>
                <w:szCs w:val="16"/>
                <w:lang w:eastAsia="en-AU"/>
              </w:rPr>
            </w:pPr>
            <w:r>
              <w:rPr>
                <w:rFonts w:cs="Arial"/>
                <w:color w:val="00264D" w:themeColor="background2"/>
                <w:sz w:val="16"/>
                <w:szCs w:val="16"/>
                <w:lang w:eastAsia="en-AU"/>
              </w:rPr>
              <w:t>n/a</w:t>
            </w:r>
          </w:p>
        </w:tc>
        <w:tc>
          <w:tcPr>
            <w:tcW w:w="443"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hideMark/>
          </w:tcPr>
          <w:p w14:paraId="56A04093" w14:textId="2037E707" w:rsidR="004B0E2D" w:rsidRPr="004B0E2D" w:rsidRDefault="006A52FC" w:rsidP="00D0106D">
            <w:pPr>
              <w:pStyle w:val="TableNText"/>
              <w:spacing w:before="0" w:after="0"/>
              <w:rPr>
                <w:rFonts w:ascii="Arial" w:hAnsi="Arial" w:cs="Arial"/>
                <w:color w:val="00264D" w:themeColor="background2"/>
                <w:sz w:val="16"/>
                <w:szCs w:val="16"/>
                <w:lang w:eastAsia="en-AU"/>
              </w:rPr>
            </w:pPr>
            <w:r>
              <w:rPr>
                <w:rFonts w:cs="Arial"/>
                <w:color w:val="00264D" w:themeColor="background2"/>
                <w:sz w:val="16"/>
                <w:szCs w:val="16"/>
                <w:lang w:eastAsia="en-AU"/>
              </w:rPr>
              <w:t>n/a</w:t>
            </w:r>
          </w:p>
        </w:tc>
      </w:tr>
    </w:tbl>
    <w:p w14:paraId="3AA3F1E2" w14:textId="77777777" w:rsidR="00EF3E77" w:rsidRPr="00334135" w:rsidRDefault="00EF3E77" w:rsidP="00EF3E77">
      <w:pPr>
        <w:pStyle w:val="Source"/>
        <w:spacing w:after="0" w:line="257" w:lineRule="auto"/>
        <w:rPr>
          <w:rFonts w:cs="Segoe UI"/>
          <w:color w:val="00264D"/>
          <w:kern w:val="24"/>
          <w:sz w:val="16"/>
          <w:szCs w:val="16"/>
          <w:lang w:val="en-US"/>
        </w:rPr>
      </w:pPr>
      <w:r>
        <w:t xml:space="preserve">Source: </w:t>
      </w:r>
      <w:r w:rsidRPr="001A5994">
        <w:t>Proof of concept applications; SME interviews; Feasibility stage SME survey; Proof of concept stage SME survey.</w:t>
      </w:r>
      <w:r w:rsidRPr="00334135">
        <w:rPr>
          <w:rFonts w:ascii="Segoe UI Semibold" w:hAnsi="Segoe UI Semibold" w:cs="Segoe UI Semibold"/>
          <w:color w:val="00264D"/>
          <w:kern w:val="24"/>
          <w:sz w:val="16"/>
          <w:szCs w:val="16"/>
        </w:rPr>
        <w:tab/>
      </w:r>
      <w:r w:rsidRPr="00334135">
        <w:rPr>
          <w:rFonts w:cs="Segoe UI"/>
          <w:color w:val="00264D"/>
          <w:kern w:val="24"/>
          <w:sz w:val="16"/>
          <w:szCs w:val="16"/>
        </w:rPr>
        <w:tab/>
      </w:r>
      <w:r w:rsidRPr="00334135">
        <w:rPr>
          <w:rFonts w:cs="Segoe UI"/>
          <w:color w:val="00264D"/>
          <w:kern w:val="24"/>
          <w:sz w:val="16"/>
          <w:szCs w:val="16"/>
        </w:rPr>
        <w:tab/>
      </w:r>
      <w:r w:rsidRPr="00334135">
        <w:rPr>
          <w:rFonts w:cs="Segoe UI"/>
          <w:color w:val="00264D"/>
          <w:kern w:val="24"/>
          <w:sz w:val="16"/>
          <w:szCs w:val="16"/>
          <w:lang w:val="en-US"/>
        </w:rPr>
        <w:tab/>
      </w:r>
      <w:r w:rsidRPr="00334135">
        <w:rPr>
          <w:rFonts w:cs="Segoe UI"/>
          <w:color w:val="00264D"/>
          <w:kern w:val="24"/>
          <w:sz w:val="16"/>
          <w:szCs w:val="16"/>
        </w:rPr>
        <w:tab/>
      </w:r>
      <w:r w:rsidRPr="00334135">
        <w:rPr>
          <w:rFonts w:cs="Segoe UI"/>
          <w:color w:val="00264D"/>
          <w:kern w:val="24"/>
          <w:sz w:val="16"/>
          <w:szCs w:val="16"/>
        </w:rPr>
        <w:tab/>
      </w:r>
      <w:r w:rsidRPr="00334135">
        <w:rPr>
          <w:rFonts w:cs="Segoe UI"/>
          <w:color w:val="00264D"/>
          <w:kern w:val="24"/>
          <w:sz w:val="16"/>
          <w:szCs w:val="16"/>
        </w:rPr>
        <w:tab/>
      </w:r>
      <w:r w:rsidRPr="00334135">
        <w:rPr>
          <w:rFonts w:cs="Segoe UI"/>
          <w:color w:val="00264D"/>
          <w:kern w:val="24"/>
          <w:sz w:val="16"/>
          <w:szCs w:val="16"/>
          <w:lang w:val="en-US"/>
        </w:rPr>
        <w:tab/>
      </w:r>
      <w:r w:rsidRPr="00334135">
        <w:rPr>
          <w:rFonts w:cs="Segoe UI"/>
          <w:color w:val="00264D"/>
          <w:kern w:val="24"/>
          <w:sz w:val="16"/>
          <w:szCs w:val="16"/>
          <w:lang w:val="en-US"/>
        </w:rPr>
        <w:tab/>
      </w:r>
    </w:p>
    <w:p w14:paraId="3E832B51" w14:textId="23280E66" w:rsidR="00EF3E77" w:rsidRPr="002D45F8" w:rsidRDefault="00EF3E77" w:rsidP="00EF3E77">
      <w:pPr>
        <w:pStyle w:val="Caption"/>
      </w:pPr>
      <w:bookmarkStart w:id="68" w:name="_Ref79398062"/>
      <w:r>
        <w:lastRenderedPageBreak/>
        <w:t xml:space="preserve">Table </w:t>
      </w:r>
      <w:r>
        <w:fldChar w:fldCharType="begin"/>
      </w:r>
      <w:r>
        <w:instrText xml:space="preserve"> SEQ Table \* ARABIC </w:instrText>
      </w:r>
      <w:r>
        <w:fldChar w:fldCharType="separate"/>
      </w:r>
      <w:r w:rsidR="00AE607F">
        <w:rPr>
          <w:noProof/>
        </w:rPr>
        <w:t>2</w:t>
      </w:r>
      <w:r>
        <w:fldChar w:fldCharType="end"/>
      </w:r>
      <w:bookmarkEnd w:id="68"/>
      <w:r>
        <w:t xml:space="preserve"> | </w:t>
      </w:r>
      <w:r w:rsidRPr="00EC035D">
        <w:t xml:space="preserve">Overview of the impact of BRII on </w:t>
      </w:r>
      <w:r>
        <w:t>r</w:t>
      </w:r>
      <w:r w:rsidRPr="00EC035D">
        <w:t xml:space="preserve">ound </w:t>
      </w:r>
      <w:r>
        <w:t>two proof of concept</w:t>
      </w:r>
      <w:r w:rsidRPr="00EC035D">
        <w:t xml:space="preserve"> SMEs</w:t>
      </w:r>
    </w:p>
    <w:tbl>
      <w:tblPr>
        <w:tblStyle w:val="NousTableTopandside"/>
        <w:tblW w:w="5000" w:type="pct"/>
        <w:tblLook w:val="0420" w:firstRow="1" w:lastRow="0" w:firstColumn="0" w:lastColumn="0" w:noHBand="0" w:noVBand="1"/>
      </w:tblPr>
      <w:tblGrid>
        <w:gridCol w:w="2223"/>
        <w:gridCol w:w="2170"/>
        <w:gridCol w:w="2170"/>
        <w:gridCol w:w="2173"/>
        <w:gridCol w:w="2320"/>
        <w:gridCol w:w="2024"/>
        <w:gridCol w:w="2161"/>
      </w:tblGrid>
      <w:tr w:rsidR="00D0106D" w:rsidRPr="00D472BA" w14:paraId="75B6BCC9" w14:textId="77777777" w:rsidTr="00D0106D">
        <w:trPr>
          <w:cnfStyle w:val="100000000000" w:firstRow="1" w:lastRow="0" w:firstColumn="0" w:lastColumn="0" w:oddVBand="0" w:evenVBand="0" w:oddHBand="0" w:evenHBand="0" w:firstRowFirstColumn="0" w:firstRowLastColumn="0" w:lastRowFirstColumn="0" w:lastRowLastColumn="0"/>
          <w:trHeight w:val="244"/>
        </w:trPr>
        <w:tc>
          <w:tcPr>
            <w:tcW w:w="729"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5E24DEF4" w14:textId="5F659916" w:rsidR="00980B1C" w:rsidRPr="00D0106D" w:rsidRDefault="00980B1C" w:rsidP="00610204">
            <w:pPr>
              <w:pStyle w:val="TableNheader"/>
              <w:rPr>
                <w:rFonts w:ascii="Arial" w:hAnsi="Arial" w:cs="Arial"/>
                <w:sz w:val="18"/>
                <w:szCs w:val="18"/>
                <w:lang w:eastAsia="en-AU"/>
              </w:rPr>
            </w:pPr>
            <w:r w:rsidRPr="00D0106D">
              <w:rPr>
                <w:sz w:val="18"/>
                <w:szCs w:val="18"/>
                <w:lang w:eastAsia="en-AU"/>
              </w:rPr>
              <w:t>Challenge agency</w:t>
            </w:r>
          </w:p>
        </w:tc>
        <w:tc>
          <w:tcPr>
            <w:tcW w:w="712" w:type="pct"/>
            <w:tcBorders>
              <w:top w:val="single" w:sz="24" w:space="0" w:color="28BEC6"/>
              <w:left w:val="single" w:sz="4" w:space="0" w:color="00264D" w:themeColor="background2"/>
              <w:bottom w:val="single" w:sz="4" w:space="0" w:color="00264D" w:themeColor="background2"/>
              <w:right w:val="single" w:sz="4" w:space="0" w:color="FFFFFF" w:themeColor="background1"/>
            </w:tcBorders>
            <w:shd w:val="clear" w:color="auto" w:fill="00264D" w:themeFill="background2"/>
            <w:hideMark/>
          </w:tcPr>
          <w:p w14:paraId="566B1BD8" w14:textId="54B9CEBB" w:rsidR="00980B1C" w:rsidRPr="00D0106D" w:rsidRDefault="00980B1C" w:rsidP="00610204">
            <w:pPr>
              <w:pStyle w:val="TableNheader"/>
              <w:jc w:val="center"/>
              <w:rPr>
                <w:color w:val="FFFFFF" w:themeColor="background1"/>
                <w:sz w:val="18"/>
                <w:szCs w:val="18"/>
                <w:lang w:eastAsia="en-AU"/>
              </w:rPr>
            </w:pPr>
            <w:r w:rsidRPr="00D0106D">
              <w:rPr>
                <w:b/>
                <w:bCs/>
                <w:color w:val="FFFFFF" w:themeColor="background1"/>
                <w:sz w:val="18"/>
                <w:szCs w:val="18"/>
                <w:lang w:eastAsia="en-AU"/>
              </w:rPr>
              <w:t>A</w:t>
            </w:r>
          </w:p>
          <w:p w14:paraId="2C9E95A8" w14:textId="661801C3" w:rsidR="00980B1C" w:rsidRPr="00D0106D" w:rsidRDefault="00980B1C" w:rsidP="00610204">
            <w:pPr>
              <w:pStyle w:val="TableNheader"/>
              <w:jc w:val="center"/>
              <w:rPr>
                <w:color w:val="FFFFFF" w:themeColor="background1"/>
                <w:sz w:val="18"/>
                <w:szCs w:val="18"/>
                <w:lang w:eastAsia="en-AU"/>
              </w:rPr>
            </w:pPr>
            <w:r w:rsidRPr="00D0106D">
              <w:rPr>
                <w:color w:val="FFFFFF" w:themeColor="background1"/>
                <w:sz w:val="18"/>
                <w:szCs w:val="18"/>
                <w:lang w:eastAsia="en-AU"/>
              </w:rPr>
              <w:t>NAA</w:t>
            </w:r>
          </w:p>
        </w:tc>
        <w:tc>
          <w:tcPr>
            <w:tcW w:w="712" w:type="pct"/>
            <w:tcBorders>
              <w:top w:val="single" w:sz="24" w:space="0" w:color="28BEC6"/>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201B6611" w14:textId="773CAD9A" w:rsidR="00980B1C" w:rsidRPr="00D0106D" w:rsidRDefault="00980B1C" w:rsidP="00610204">
            <w:pPr>
              <w:pStyle w:val="TableNheader"/>
              <w:jc w:val="center"/>
              <w:rPr>
                <w:color w:val="FFFFFF" w:themeColor="background1"/>
                <w:sz w:val="18"/>
                <w:szCs w:val="18"/>
                <w:lang w:eastAsia="en-AU"/>
              </w:rPr>
            </w:pPr>
            <w:r w:rsidRPr="00D0106D">
              <w:rPr>
                <w:b/>
                <w:bCs/>
                <w:color w:val="FFFFFF" w:themeColor="background1"/>
                <w:sz w:val="18"/>
                <w:szCs w:val="18"/>
                <w:lang w:eastAsia="en-AU"/>
              </w:rPr>
              <w:t>A</w:t>
            </w:r>
          </w:p>
          <w:p w14:paraId="478A308C" w14:textId="56276388" w:rsidR="00980B1C" w:rsidRPr="00D0106D" w:rsidRDefault="00980B1C" w:rsidP="00610204">
            <w:pPr>
              <w:pStyle w:val="TableNheader"/>
              <w:jc w:val="center"/>
              <w:rPr>
                <w:rFonts w:ascii="Arial" w:hAnsi="Arial" w:cs="Arial"/>
                <w:color w:val="FFFFFF" w:themeColor="background1"/>
                <w:sz w:val="18"/>
                <w:szCs w:val="18"/>
                <w:lang w:eastAsia="en-AU"/>
              </w:rPr>
            </w:pPr>
            <w:r w:rsidRPr="00D0106D">
              <w:rPr>
                <w:color w:val="FFFFFF" w:themeColor="background1"/>
                <w:sz w:val="18"/>
                <w:szCs w:val="18"/>
                <w:lang w:eastAsia="en-AU"/>
              </w:rPr>
              <w:t>NAA</w:t>
            </w:r>
          </w:p>
        </w:tc>
        <w:tc>
          <w:tcPr>
            <w:tcW w:w="713" w:type="pct"/>
            <w:tcBorders>
              <w:top w:val="single" w:sz="24" w:space="0" w:color="25B3E0" w:themeColor="accent6"/>
              <w:left w:val="single" w:sz="4" w:space="0" w:color="FFFFFF" w:themeColor="background1"/>
              <w:bottom w:val="single" w:sz="4" w:space="0" w:color="00264D" w:themeColor="background2"/>
              <w:right w:val="single" w:sz="4" w:space="0" w:color="FFFFFF" w:themeColor="background1"/>
            </w:tcBorders>
            <w:shd w:val="clear" w:color="auto" w:fill="00264D" w:themeFill="background2"/>
            <w:hideMark/>
          </w:tcPr>
          <w:p w14:paraId="067E8CCA" w14:textId="77777777" w:rsidR="00980B1C" w:rsidRPr="00D0106D" w:rsidRDefault="00980B1C" w:rsidP="00610204">
            <w:pPr>
              <w:pStyle w:val="TableNheader"/>
              <w:jc w:val="center"/>
              <w:rPr>
                <w:b/>
                <w:bCs/>
                <w:color w:val="FFFFFF" w:themeColor="background1"/>
                <w:sz w:val="18"/>
                <w:szCs w:val="18"/>
                <w:lang w:eastAsia="en-AU"/>
              </w:rPr>
            </w:pPr>
            <w:r w:rsidRPr="00D0106D">
              <w:rPr>
                <w:b/>
                <w:bCs/>
                <w:color w:val="FFFFFF" w:themeColor="background1"/>
                <w:sz w:val="18"/>
                <w:szCs w:val="18"/>
                <w:lang w:eastAsia="en-AU"/>
              </w:rPr>
              <w:t>B</w:t>
            </w:r>
          </w:p>
          <w:p w14:paraId="332196E7" w14:textId="3FEBCD4B" w:rsidR="00980B1C" w:rsidRPr="00D0106D" w:rsidRDefault="00980B1C" w:rsidP="00610204">
            <w:pPr>
              <w:pStyle w:val="TableNheader"/>
              <w:jc w:val="center"/>
              <w:rPr>
                <w:b/>
                <w:bCs/>
                <w:color w:val="FFFFFF" w:themeColor="background1"/>
                <w:sz w:val="18"/>
                <w:szCs w:val="18"/>
                <w:lang w:eastAsia="en-AU"/>
              </w:rPr>
            </w:pPr>
            <w:r w:rsidRPr="00D0106D">
              <w:rPr>
                <w:color w:val="FFFFFF" w:themeColor="background1"/>
                <w:sz w:val="18"/>
                <w:szCs w:val="18"/>
                <w:lang w:eastAsia="en-AU"/>
              </w:rPr>
              <w:t>AUSTRADE</w:t>
            </w:r>
          </w:p>
        </w:tc>
        <w:tc>
          <w:tcPr>
            <w:tcW w:w="761" w:type="pct"/>
            <w:tcBorders>
              <w:top w:val="single" w:sz="24" w:space="0" w:color="25B3E0" w:themeColor="accent6"/>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34312F21" w14:textId="77777777" w:rsidR="00980B1C" w:rsidRPr="00D0106D" w:rsidRDefault="00980B1C" w:rsidP="00610204">
            <w:pPr>
              <w:pStyle w:val="TableNheader"/>
              <w:jc w:val="center"/>
              <w:rPr>
                <w:b/>
                <w:bCs/>
                <w:color w:val="FFFFFF" w:themeColor="background1"/>
                <w:sz w:val="18"/>
                <w:szCs w:val="18"/>
                <w:lang w:eastAsia="en-AU"/>
              </w:rPr>
            </w:pPr>
            <w:r w:rsidRPr="00D0106D">
              <w:rPr>
                <w:b/>
                <w:bCs/>
                <w:color w:val="FFFFFF" w:themeColor="background1"/>
                <w:sz w:val="18"/>
                <w:szCs w:val="18"/>
                <w:lang w:eastAsia="en-AU"/>
              </w:rPr>
              <w:t>B</w:t>
            </w:r>
          </w:p>
          <w:p w14:paraId="1B755902" w14:textId="5DE9C221" w:rsidR="00980B1C" w:rsidRPr="00D0106D" w:rsidRDefault="00980B1C" w:rsidP="00610204">
            <w:pPr>
              <w:pStyle w:val="TableNheader"/>
              <w:jc w:val="center"/>
              <w:rPr>
                <w:rFonts w:ascii="Arial" w:hAnsi="Arial" w:cs="Arial"/>
                <w:color w:val="FFFFFF" w:themeColor="background1"/>
                <w:sz w:val="18"/>
                <w:szCs w:val="18"/>
                <w:lang w:eastAsia="en-AU"/>
              </w:rPr>
            </w:pPr>
            <w:r w:rsidRPr="00D0106D">
              <w:rPr>
                <w:color w:val="FFFFFF" w:themeColor="background1"/>
                <w:sz w:val="18"/>
                <w:szCs w:val="18"/>
                <w:lang w:eastAsia="en-AU"/>
              </w:rPr>
              <w:t>AUSTRADE</w:t>
            </w:r>
          </w:p>
        </w:tc>
        <w:tc>
          <w:tcPr>
            <w:tcW w:w="664" w:type="pct"/>
            <w:tcBorders>
              <w:top w:val="single" w:sz="24" w:space="0" w:color="2B72B5"/>
              <w:left w:val="single" w:sz="4" w:space="0" w:color="FFFFFF" w:themeColor="background1"/>
              <w:bottom w:val="single" w:sz="4" w:space="0" w:color="00264D" w:themeColor="background2"/>
              <w:right w:val="single" w:sz="4" w:space="0" w:color="FFFFFF" w:themeColor="background1"/>
            </w:tcBorders>
            <w:shd w:val="clear" w:color="auto" w:fill="00264D" w:themeFill="background2"/>
            <w:hideMark/>
          </w:tcPr>
          <w:p w14:paraId="1ECE0F32" w14:textId="6DDCECB2" w:rsidR="00980B1C" w:rsidRPr="00D0106D" w:rsidRDefault="00980B1C" w:rsidP="00610204">
            <w:pPr>
              <w:pStyle w:val="TableNheader"/>
              <w:jc w:val="center"/>
              <w:rPr>
                <w:color w:val="FFFFFF" w:themeColor="background1"/>
                <w:sz w:val="18"/>
                <w:szCs w:val="18"/>
                <w:lang w:eastAsia="en-AU"/>
              </w:rPr>
            </w:pPr>
            <w:r w:rsidRPr="00D0106D">
              <w:rPr>
                <w:b/>
                <w:bCs/>
                <w:color w:val="FFFFFF" w:themeColor="background1"/>
                <w:sz w:val="18"/>
                <w:szCs w:val="18"/>
                <w:lang w:eastAsia="en-AU"/>
              </w:rPr>
              <w:t>C</w:t>
            </w:r>
          </w:p>
          <w:p w14:paraId="5D04AE77" w14:textId="6229A9E2" w:rsidR="00980B1C" w:rsidRPr="00D0106D" w:rsidRDefault="00980B1C" w:rsidP="00610204">
            <w:pPr>
              <w:pStyle w:val="TableNheader"/>
              <w:jc w:val="center"/>
              <w:rPr>
                <w:color w:val="FFFFFF" w:themeColor="background1"/>
                <w:sz w:val="18"/>
                <w:szCs w:val="18"/>
                <w:lang w:eastAsia="en-AU"/>
              </w:rPr>
            </w:pPr>
            <w:r w:rsidRPr="00D0106D">
              <w:rPr>
                <w:color w:val="FFFFFF" w:themeColor="background1"/>
                <w:sz w:val="18"/>
                <w:szCs w:val="18"/>
                <w:lang w:eastAsia="en-AU"/>
              </w:rPr>
              <w:t>DAWE</w:t>
            </w:r>
          </w:p>
        </w:tc>
        <w:tc>
          <w:tcPr>
            <w:tcW w:w="709" w:type="pct"/>
            <w:tcBorders>
              <w:top w:val="single" w:sz="24" w:space="0" w:color="2B72B5"/>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1886862D" w14:textId="4F715D54" w:rsidR="00980B1C" w:rsidRPr="00D0106D" w:rsidRDefault="00980B1C" w:rsidP="00610204">
            <w:pPr>
              <w:pStyle w:val="TableNheader"/>
              <w:jc w:val="center"/>
              <w:rPr>
                <w:color w:val="FFFFFF" w:themeColor="background1"/>
                <w:sz w:val="18"/>
                <w:szCs w:val="18"/>
                <w:lang w:eastAsia="en-AU"/>
              </w:rPr>
            </w:pPr>
            <w:r w:rsidRPr="00D0106D">
              <w:rPr>
                <w:b/>
                <w:bCs/>
                <w:color w:val="FFFFFF" w:themeColor="background1"/>
                <w:sz w:val="18"/>
                <w:szCs w:val="18"/>
                <w:lang w:eastAsia="en-AU"/>
              </w:rPr>
              <w:t>C</w:t>
            </w:r>
          </w:p>
          <w:p w14:paraId="7FE455A6" w14:textId="7BD63746" w:rsidR="00980B1C" w:rsidRPr="00D0106D" w:rsidRDefault="00980B1C" w:rsidP="00610204">
            <w:pPr>
              <w:pStyle w:val="TableNheader"/>
              <w:jc w:val="center"/>
              <w:rPr>
                <w:rFonts w:ascii="Arial" w:hAnsi="Arial" w:cs="Arial"/>
                <w:color w:val="FFFFFF" w:themeColor="background1"/>
                <w:sz w:val="18"/>
                <w:szCs w:val="18"/>
                <w:lang w:eastAsia="en-AU"/>
              </w:rPr>
            </w:pPr>
            <w:r w:rsidRPr="00D0106D">
              <w:rPr>
                <w:color w:val="FFFFFF" w:themeColor="background1"/>
                <w:sz w:val="18"/>
                <w:szCs w:val="18"/>
                <w:lang w:eastAsia="en-AU"/>
              </w:rPr>
              <w:t>DAWE</w:t>
            </w:r>
          </w:p>
        </w:tc>
      </w:tr>
      <w:tr w:rsidR="00D0106D" w:rsidRPr="00D472BA" w14:paraId="78B17458" w14:textId="77777777" w:rsidTr="00D0106D">
        <w:trPr>
          <w:trHeight w:val="587"/>
        </w:trPr>
        <w:tc>
          <w:tcPr>
            <w:tcW w:w="729"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E6E6E1" w:themeFill="accent5"/>
            <w:hideMark/>
          </w:tcPr>
          <w:p w14:paraId="7E75520B" w14:textId="56B22582" w:rsidR="00EF3E77" w:rsidRPr="00D0106D" w:rsidRDefault="004E0D67" w:rsidP="00610204">
            <w:pPr>
              <w:pStyle w:val="TableNheader"/>
              <w:rPr>
                <w:rFonts w:ascii="Arial" w:hAnsi="Arial" w:cs="Arial"/>
                <w:sz w:val="18"/>
                <w:szCs w:val="18"/>
                <w:lang w:eastAsia="en-AU"/>
              </w:rPr>
            </w:pPr>
            <w:r w:rsidRPr="00D0106D">
              <w:rPr>
                <w:sz w:val="18"/>
                <w:szCs w:val="18"/>
                <w:lang w:eastAsia="en-AU"/>
              </w:rPr>
              <w:t>Proof of concept SME</w:t>
            </w:r>
          </w:p>
        </w:tc>
        <w:tc>
          <w:tcPr>
            <w:tcW w:w="712"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75D966E8" w14:textId="77777777" w:rsidR="00EF3E77" w:rsidRPr="00980B1C" w:rsidRDefault="00EF3E77" w:rsidP="00325FF2">
            <w:pPr>
              <w:spacing w:after="0" w:line="240" w:lineRule="auto"/>
              <w:jc w:val="center"/>
              <w:rPr>
                <w:rFonts w:ascii="Arial" w:eastAsia="Times New Roman" w:hAnsi="Arial" w:cs="Arial"/>
                <w:color w:val="00264D" w:themeColor="background2"/>
                <w:sz w:val="36"/>
                <w:szCs w:val="36"/>
                <w:lang w:eastAsia="en-AU"/>
              </w:rPr>
            </w:pPr>
            <w:r w:rsidRPr="00980B1C">
              <w:rPr>
                <w:rFonts w:ascii="Segoe UI Semibold" w:eastAsia="Times New Roman" w:hAnsi="Segoe UI Semibold" w:cs="Segoe UI Semibold"/>
                <w:color w:val="00264D" w:themeColor="background2"/>
                <w:kern w:val="24"/>
                <w:sz w:val="18"/>
                <w:szCs w:val="18"/>
                <w:lang w:eastAsia="en-AU"/>
              </w:rPr>
              <w:t>LENTICULAR</w:t>
            </w:r>
          </w:p>
        </w:tc>
        <w:tc>
          <w:tcPr>
            <w:tcW w:w="712"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304DB650" w14:textId="77777777" w:rsidR="00EF3E77" w:rsidRPr="00980B1C" w:rsidRDefault="00EF3E77" w:rsidP="00325FF2">
            <w:pPr>
              <w:spacing w:after="0" w:line="240" w:lineRule="auto"/>
              <w:jc w:val="center"/>
              <w:rPr>
                <w:rFonts w:ascii="Arial" w:eastAsia="Times New Roman" w:hAnsi="Arial" w:cs="Arial"/>
                <w:color w:val="00264D" w:themeColor="background2"/>
                <w:sz w:val="36"/>
                <w:szCs w:val="36"/>
                <w:lang w:eastAsia="en-AU"/>
              </w:rPr>
            </w:pPr>
            <w:r w:rsidRPr="00980B1C">
              <w:rPr>
                <w:rFonts w:ascii="Segoe UI Semibold" w:eastAsia="Times New Roman" w:hAnsi="Segoe UI Semibold" w:cs="Segoe UI Semibold"/>
                <w:color w:val="00264D" w:themeColor="background2"/>
                <w:kern w:val="24"/>
                <w:sz w:val="18"/>
                <w:szCs w:val="18"/>
                <w:lang w:eastAsia="en-AU"/>
              </w:rPr>
              <w:t>SURROUND AUSTRALIA</w:t>
            </w:r>
          </w:p>
        </w:tc>
        <w:tc>
          <w:tcPr>
            <w:tcW w:w="713"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3057E16C" w14:textId="77777777" w:rsidR="00EF3E77" w:rsidRPr="00980B1C" w:rsidRDefault="00EF3E77" w:rsidP="00325FF2">
            <w:pPr>
              <w:spacing w:after="0" w:line="240" w:lineRule="auto"/>
              <w:jc w:val="center"/>
              <w:rPr>
                <w:rFonts w:ascii="Arial" w:eastAsia="Times New Roman" w:hAnsi="Arial" w:cs="Arial"/>
                <w:color w:val="00264D" w:themeColor="background2"/>
                <w:sz w:val="36"/>
                <w:szCs w:val="36"/>
                <w:lang w:eastAsia="en-AU"/>
              </w:rPr>
            </w:pPr>
            <w:r w:rsidRPr="00980B1C">
              <w:rPr>
                <w:rFonts w:ascii="Segoe UI Semibold" w:eastAsia="Times New Roman" w:hAnsi="Segoe UI Semibold" w:cs="Segoe UI Semibold"/>
                <w:color w:val="00264D" w:themeColor="background2"/>
                <w:kern w:val="24"/>
                <w:sz w:val="18"/>
                <w:szCs w:val="18"/>
                <w:lang w:eastAsia="en-AU"/>
              </w:rPr>
              <w:t>NEM AUSTRALASIA</w:t>
            </w:r>
          </w:p>
        </w:tc>
        <w:tc>
          <w:tcPr>
            <w:tcW w:w="761"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366FB537" w14:textId="77777777" w:rsidR="00EF3E77" w:rsidRPr="00980B1C" w:rsidRDefault="00EF3E77" w:rsidP="00325FF2">
            <w:pPr>
              <w:spacing w:after="0" w:line="240" w:lineRule="auto"/>
              <w:jc w:val="center"/>
              <w:rPr>
                <w:rFonts w:ascii="Arial" w:eastAsia="Times New Roman" w:hAnsi="Arial" w:cs="Arial"/>
                <w:color w:val="00264D" w:themeColor="background2"/>
                <w:sz w:val="36"/>
                <w:szCs w:val="36"/>
                <w:lang w:eastAsia="en-AU"/>
              </w:rPr>
            </w:pPr>
            <w:r w:rsidRPr="00980B1C">
              <w:rPr>
                <w:rFonts w:ascii="Segoe UI Semibold" w:eastAsia="Times New Roman" w:hAnsi="Segoe UI Semibold" w:cs="Segoe UI Semibold"/>
                <w:color w:val="00264D" w:themeColor="background2"/>
                <w:kern w:val="24"/>
                <w:sz w:val="18"/>
                <w:szCs w:val="18"/>
                <w:lang w:eastAsia="en-AU"/>
              </w:rPr>
              <w:t>WEJUGO</w:t>
            </w:r>
          </w:p>
        </w:tc>
        <w:tc>
          <w:tcPr>
            <w:tcW w:w="664"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7687D5AB" w14:textId="77777777" w:rsidR="00EF3E77" w:rsidRPr="00980B1C" w:rsidRDefault="00EF3E77" w:rsidP="00325FF2">
            <w:pPr>
              <w:spacing w:after="0" w:line="240" w:lineRule="auto"/>
              <w:jc w:val="center"/>
              <w:rPr>
                <w:rFonts w:ascii="Arial" w:eastAsia="Times New Roman" w:hAnsi="Arial" w:cs="Arial"/>
                <w:color w:val="00264D" w:themeColor="background2"/>
                <w:sz w:val="36"/>
                <w:szCs w:val="36"/>
                <w:lang w:eastAsia="en-AU"/>
              </w:rPr>
            </w:pPr>
            <w:r w:rsidRPr="00980B1C">
              <w:rPr>
                <w:rFonts w:ascii="Segoe UI Semibold" w:eastAsia="Times New Roman" w:hAnsi="Segoe UI Semibold" w:cs="Segoe UI Semibold"/>
                <w:color w:val="00264D" w:themeColor="background2"/>
                <w:kern w:val="24"/>
                <w:sz w:val="18"/>
                <w:szCs w:val="18"/>
                <w:lang w:eastAsia="en-AU"/>
              </w:rPr>
              <w:t>INDUSTRY SPEC DRONES</w:t>
            </w:r>
          </w:p>
        </w:tc>
        <w:tc>
          <w:tcPr>
            <w:tcW w:w="709"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541D0764" w14:textId="77777777" w:rsidR="00EF3E77" w:rsidRPr="00980B1C" w:rsidRDefault="00EF3E77" w:rsidP="00325FF2">
            <w:pPr>
              <w:spacing w:after="0" w:line="240" w:lineRule="auto"/>
              <w:jc w:val="center"/>
              <w:rPr>
                <w:rFonts w:ascii="Arial" w:eastAsia="Times New Roman" w:hAnsi="Arial" w:cs="Arial"/>
                <w:color w:val="00264D" w:themeColor="background2"/>
                <w:sz w:val="36"/>
                <w:szCs w:val="36"/>
                <w:lang w:eastAsia="en-AU"/>
              </w:rPr>
            </w:pPr>
            <w:r w:rsidRPr="00980B1C">
              <w:rPr>
                <w:rFonts w:ascii="Segoe UI Semibold" w:eastAsia="Times New Roman" w:hAnsi="Segoe UI Semibold" w:cs="Segoe UI Semibold"/>
                <w:color w:val="00264D" w:themeColor="background2"/>
                <w:kern w:val="24"/>
                <w:sz w:val="18"/>
                <w:szCs w:val="18"/>
                <w:lang w:eastAsia="en-AU"/>
              </w:rPr>
              <w:t>TRELLIS DATA</w:t>
            </w:r>
          </w:p>
        </w:tc>
      </w:tr>
      <w:tr w:rsidR="00325FF2" w:rsidRPr="00D472BA" w14:paraId="75714BB9" w14:textId="77777777" w:rsidTr="00D0106D">
        <w:trPr>
          <w:trHeight w:val="580"/>
        </w:trPr>
        <w:tc>
          <w:tcPr>
            <w:tcW w:w="729"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E6E6E1" w:themeFill="accent5"/>
            <w:hideMark/>
          </w:tcPr>
          <w:p w14:paraId="4AC95F2F" w14:textId="1BB1A6C1" w:rsidR="00325FF2" w:rsidRPr="00D0106D" w:rsidRDefault="00325FF2" w:rsidP="00610204">
            <w:pPr>
              <w:pStyle w:val="TableNheader"/>
              <w:rPr>
                <w:rFonts w:ascii="Arial" w:hAnsi="Arial" w:cs="Arial"/>
                <w:sz w:val="18"/>
                <w:szCs w:val="18"/>
                <w:lang w:eastAsia="en-AU"/>
              </w:rPr>
            </w:pPr>
            <w:r w:rsidRPr="00D0106D">
              <w:rPr>
                <w:sz w:val="18"/>
                <w:szCs w:val="18"/>
                <w:lang w:eastAsia="en-AU"/>
              </w:rPr>
              <w:t xml:space="preserve">Challenge agency </w:t>
            </w:r>
          </w:p>
          <w:p w14:paraId="2A557ACC" w14:textId="66AC0E1D" w:rsidR="00325FF2" w:rsidRPr="00D0106D" w:rsidRDefault="00325FF2" w:rsidP="00610204">
            <w:pPr>
              <w:pStyle w:val="TableNheader"/>
              <w:rPr>
                <w:rFonts w:ascii="Arial" w:hAnsi="Arial" w:cs="Arial"/>
                <w:sz w:val="18"/>
                <w:szCs w:val="18"/>
                <w:lang w:eastAsia="en-AU"/>
              </w:rPr>
            </w:pPr>
            <w:r w:rsidRPr="00D0106D">
              <w:rPr>
                <w:sz w:val="18"/>
                <w:szCs w:val="18"/>
                <w:lang w:eastAsia="en-AU"/>
              </w:rPr>
              <w:t>Procurement</w:t>
            </w:r>
          </w:p>
        </w:tc>
        <w:tc>
          <w:tcPr>
            <w:tcW w:w="712"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66BF17F5" w14:textId="77777777" w:rsidR="00325FF2" w:rsidRPr="00D0106D" w:rsidRDefault="00325FF2" w:rsidP="00D0106D">
            <w:pPr>
              <w:pStyle w:val="TableNText"/>
              <w:rPr>
                <w:rFonts w:ascii="Arial" w:hAnsi="Arial" w:cs="Arial"/>
                <w:sz w:val="16"/>
                <w:szCs w:val="16"/>
                <w:lang w:eastAsia="en-AU"/>
              </w:rPr>
            </w:pPr>
            <w:r w:rsidRPr="00D0106D">
              <w:rPr>
                <w:sz w:val="16"/>
                <w:szCs w:val="16"/>
                <w:lang w:eastAsia="en-AU"/>
              </w:rPr>
              <w:t>The challenge agency is positive about the potential of the solutions and is actively exploring funding options to procure post-BRII.</w:t>
            </w:r>
          </w:p>
        </w:tc>
        <w:tc>
          <w:tcPr>
            <w:tcW w:w="712"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2C54AD17" w14:textId="318750FF" w:rsidR="00325FF2" w:rsidRPr="00D0106D" w:rsidRDefault="00325FF2" w:rsidP="00D0106D">
            <w:pPr>
              <w:pStyle w:val="TableNText"/>
              <w:rPr>
                <w:rFonts w:ascii="Arial" w:hAnsi="Arial" w:cs="Arial"/>
                <w:sz w:val="16"/>
                <w:szCs w:val="16"/>
                <w:lang w:eastAsia="en-AU"/>
              </w:rPr>
            </w:pPr>
            <w:r w:rsidRPr="00D0106D">
              <w:rPr>
                <w:sz w:val="16"/>
                <w:szCs w:val="16"/>
                <w:lang w:eastAsia="en-AU"/>
              </w:rPr>
              <w:t>The challenge agency is positive about the potential of the solutions and is actively exploring funding options to procure post-BRII.</w:t>
            </w:r>
          </w:p>
        </w:tc>
        <w:tc>
          <w:tcPr>
            <w:tcW w:w="713"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2E1862D9" w14:textId="77777777" w:rsidR="00325FF2" w:rsidRPr="00D0106D" w:rsidRDefault="00325FF2" w:rsidP="00D0106D">
            <w:pPr>
              <w:pStyle w:val="TableNText"/>
              <w:rPr>
                <w:rFonts w:ascii="Arial" w:hAnsi="Arial" w:cs="Arial"/>
                <w:sz w:val="16"/>
                <w:szCs w:val="16"/>
                <w:lang w:eastAsia="en-AU"/>
              </w:rPr>
            </w:pPr>
            <w:r w:rsidRPr="00D0106D">
              <w:rPr>
                <w:sz w:val="16"/>
                <w:szCs w:val="16"/>
                <w:lang w:eastAsia="en-AU"/>
              </w:rPr>
              <w:t>The challenge agency is not the primary customer for the solutions and is actively supporting the SMEs to find commercialisation partners.</w:t>
            </w:r>
          </w:p>
        </w:tc>
        <w:tc>
          <w:tcPr>
            <w:tcW w:w="761"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4781220C" w14:textId="0779DB1A" w:rsidR="00325FF2" w:rsidRPr="00D0106D" w:rsidRDefault="00325FF2" w:rsidP="00D0106D">
            <w:pPr>
              <w:pStyle w:val="TableNText"/>
              <w:rPr>
                <w:rFonts w:ascii="Arial" w:hAnsi="Arial" w:cs="Arial"/>
                <w:sz w:val="16"/>
                <w:szCs w:val="16"/>
                <w:lang w:eastAsia="en-AU"/>
              </w:rPr>
            </w:pPr>
            <w:r w:rsidRPr="00D0106D">
              <w:rPr>
                <w:sz w:val="16"/>
                <w:szCs w:val="16"/>
                <w:lang w:eastAsia="en-AU"/>
              </w:rPr>
              <w:t>The challenge agency is not the primary customer for the solutions and is actively supporting the SMEs to find commercialisation partners.</w:t>
            </w:r>
          </w:p>
        </w:tc>
        <w:tc>
          <w:tcPr>
            <w:tcW w:w="664"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676B78AD" w14:textId="77777777" w:rsidR="00325FF2" w:rsidRPr="00D0106D" w:rsidRDefault="00325FF2" w:rsidP="00D0106D">
            <w:pPr>
              <w:pStyle w:val="TableNText"/>
              <w:rPr>
                <w:rFonts w:ascii="Arial" w:hAnsi="Arial" w:cs="Arial"/>
                <w:sz w:val="16"/>
                <w:szCs w:val="16"/>
                <w:lang w:eastAsia="en-AU"/>
              </w:rPr>
            </w:pPr>
            <w:r w:rsidRPr="00D0106D">
              <w:rPr>
                <w:sz w:val="16"/>
                <w:szCs w:val="16"/>
                <w:lang w:eastAsia="en-AU"/>
              </w:rPr>
              <w:t>The challenge agency is positive about the potential of the solutions and is actively exploring funding options to procure post-BRII.</w:t>
            </w:r>
          </w:p>
        </w:tc>
        <w:tc>
          <w:tcPr>
            <w:tcW w:w="709"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40040645" w14:textId="151389D7" w:rsidR="00325FF2" w:rsidRPr="00D0106D" w:rsidRDefault="00325FF2" w:rsidP="00D0106D">
            <w:pPr>
              <w:pStyle w:val="TableNText"/>
              <w:rPr>
                <w:rFonts w:ascii="Arial" w:hAnsi="Arial" w:cs="Arial"/>
                <w:sz w:val="16"/>
                <w:szCs w:val="16"/>
                <w:lang w:eastAsia="en-AU"/>
              </w:rPr>
            </w:pPr>
            <w:r w:rsidRPr="00D0106D">
              <w:rPr>
                <w:sz w:val="16"/>
                <w:szCs w:val="16"/>
                <w:lang w:eastAsia="en-AU"/>
              </w:rPr>
              <w:t>The challenge agency is positive about the potential of the solutions and is actively exploring funding options to procure post-BRII.</w:t>
            </w:r>
          </w:p>
        </w:tc>
      </w:tr>
      <w:tr w:rsidR="00325FF2" w:rsidRPr="00D472BA" w14:paraId="77068B52" w14:textId="77777777" w:rsidTr="00D0106D">
        <w:trPr>
          <w:trHeight w:val="650"/>
        </w:trPr>
        <w:tc>
          <w:tcPr>
            <w:tcW w:w="729"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E6E6E1" w:themeFill="accent5"/>
            <w:hideMark/>
          </w:tcPr>
          <w:p w14:paraId="1672DD10" w14:textId="798294D4" w:rsidR="00325FF2" w:rsidRPr="00D0106D" w:rsidRDefault="00325FF2" w:rsidP="00610204">
            <w:pPr>
              <w:pStyle w:val="TableNheader"/>
              <w:rPr>
                <w:rFonts w:ascii="Arial" w:hAnsi="Arial" w:cs="Arial"/>
                <w:sz w:val="18"/>
                <w:szCs w:val="18"/>
                <w:lang w:eastAsia="en-AU"/>
              </w:rPr>
            </w:pPr>
            <w:r w:rsidRPr="00D0106D">
              <w:rPr>
                <w:sz w:val="18"/>
                <w:szCs w:val="18"/>
                <w:lang w:eastAsia="en-AU"/>
              </w:rPr>
              <w:t>Post BRII commercialisation plans</w:t>
            </w:r>
          </w:p>
        </w:tc>
        <w:tc>
          <w:tcPr>
            <w:tcW w:w="712"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4F97752B" w14:textId="77777777" w:rsidR="00325FF2" w:rsidRPr="00D0106D" w:rsidRDefault="00325FF2" w:rsidP="00D0106D">
            <w:pPr>
              <w:pStyle w:val="TableNText"/>
              <w:rPr>
                <w:rFonts w:ascii="Arial" w:hAnsi="Arial" w:cs="Arial"/>
                <w:sz w:val="16"/>
                <w:szCs w:val="16"/>
                <w:lang w:eastAsia="en-AU"/>
              </w:rPr>
            </w:pPr>
            <w:r w:rsidRPr="00D0106D">
              <w:rPr>
                <w:sz w:val="16"/>
                <w:szCs w:val="16"/>
                <w:lang w:eastAsia="en-AU"/>
              </w:rPr>
              <w:t>Have pitched the solution to five government agencies and are in advanced discussions with one agency to extend proof of concept for their solution.</w:t>
            </w:r>
          </w:p>
        </w:tc>
        <w:tc>
          <w:tcPr>
            <w:tcW w:w="712"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0076E1F8" w14:textId="3C67960C" w:rsidR="00325FF2" w:rsidRPr="00D0106D" w:rsidRDefault="00325FF2" w:rsidP="00D0106D">
            <w:pPr>
              <w:pStyle w:val="TableNText"/>
              <w:rPr>
                <w:rFonts w:ascii="Arial" w:hAnsi="Arial" w:cs="Arial"/>
                <w:sz w:val="16"/>
                <w:szCs w:val="16"/>
                <w:lang w:eastAsia="en-AU"/>
              </w:rPr>
            </w:pPr>
            <w:r w:rsidRPr="00D0106D">
              <w:rPr>
                <w:sz w:val="16"/>
                <w:szCs w:val="16"/>
                <w:lang w:eastAsia="en-AU"/>
              </w:rPr>
              <w:t>Currently investigating the possibility of using the product with Standards Australia, Infosys and Land Information NZ.</w:t>
            </w:r>
          </w:p>
        </w:tc>
        <w:tc>
          <w:tcPr>
            <w:tcW w:w="713"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6BC7976C" w14:textId="77777777" w:rsidR="00325FF2" w:rsidRPr="00D0106D" w:rsidRDefault="00325FF2" w:rsidP="00D0106D">
            <w:pPr>
              <w:pStyle w:val="TableNText"/>
              <w:rPr>
                <w:rFonts w:ascii="Arial" w:hAnsi="Arial" w:cs="Arial"/>
                <w:sz w:val="16"/>
                <w:szCs w:val="16"/>
                <w:lang w:eastAsia="en-AU"/>
              </w:rPr>
            </w:pPr>
            <w:r w:rsidRPr="00D0106D">
              <w:rPr>
                <w:sz w:val="16"/>
                <w:szCs w:val="16"/>
                <w:lang w:eastAsia="en-AU"/>
              </w:rPr>
              <w:t>Currently testing the product with new customers.</w:t>
            </w:r>
          </w:p>
        </w:tc>
        <w:tc>
          <w:tcPr>
            <w:tcW w:w="761"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6308EA24" w14:textId="77777777" w:rsidR="00325FF2" w:rsidRPr="00D0106D" w:rsidRDefault="00325FF2" w:rsidP="00D0106D">
            <w:pPr>
              <w:pStyle w:val="TableNText"/>
              <w:rPr>
                <w:rFonts w:ascii="Arial" w:hAnsi="Arial" w:cs="Arial"/>
                <w:sz w:val="16"/>
                <w:szCs w:val="16"/>
                <w:lang w:eastAsia="en-AU"/>
              </w:rPr>
            </w:pPr>
            <w:r w:rsidRPr="00D0106D">
              <w:rPr>
                <w:sz w:val="16"/>
                <w:szCs w:val="16"/>
                <w:lang w:eastAsia="en-AU"/>
              </w:rPr>
              <w:t>Actively progressing commercial discussions with public and private sector clients and have successfully raised seed capital.</w:t>
            </w:r>
          </w:p>
        </w:tc>
        <w:tc>
          <w:tcPr>
            <w:tcW w:w="664"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680B5FA3" w14:textId="77777777" w:rsidR="00325FF2" w:rsidRPr="00D0106D" w:rsidRDefault="00325FF2" w:rsidP="00D0106D">
            <w:pPr>
              <w:pStyle w:val="TableNText"/>
              <w:rPr>
                <w:rFonts w:ascii="Arial" w:hAnsi="Arial" w:cs="Arial"/>
                <w:sz w:val="16"/>
                <w:szCs w:val="16"/>
                <w:lang w:eastAsia="en-AU"/>
              </w:rPr>
            </w:pPr>
            <w:r w:rsidRPr="00D0106D">
              <w:rPr>
                <w:sz w:val="16"/>
                <w:szCs w:val="16"/>
                <w:lang w:eastAsia="en-AU"/>
              </w:rPr>
              <w:t>Progressing discussions with DAWE to trial the product further.</w:t>
            </w:r>
          </w:p>
        </w:tc>
        <w:tc>
          <w:tcPr>
            <w:tcW w:w="709"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1760D406" w14:textId="77777777" w:rsidR="00325FF2" w:rsidRPr="00D0106D" w:rsidRDefault="00325FF2" w:rsidP="00D0106D">
            <w:pPr>
              <w:pStyle w:val="TableNText"/>
              <w:rPr>
                <w:rFonts w:ascii="Arial" w:hAnsi="Arial" w:cs="Arial"/>
                <w:sz w:val="16"/>
                <w:szCs w:val="16"/>
                <w:lang w:eastAsia="en-AU"/>
              </w:rPr>
            </w:pPr>
            <w:r w:rsidRPr="00D0106D">
              <w:rPr>
                <w:sz w:val="16"/>
                <w:szCs w:val="16"/>
                <w:lang w:eastAsia="en-AU"/>
              </w:rPr>
              <w:t>In discussion with multiple potential domestic and international commercial partners.</w:t>
            </w:r>
          </w:p>
          <w:p w14:paraId="78B29B8E" w14:textId="77777777" w:rsidR="00325FF2" w:rsidRPr="00D0106D" w:rsidRDefault="00325FF2" w:rsidP="00D0106D">
            <w:pPr>
              <w:pStyle w:val="TableNText"/>
              <w:rPr>
                <w:rFonts w:ascii="Arial" w:hAnsi="Arial" w:cs="Arial"/>
                <w:sz w:val="16"/>
                <w:szCs w:val="16"/>
                <w:lang w:eastAsia="en-AU"/>
              </w:rPr>
            </w:pPr>
            <w:r w:rsidRPr="00D0106D">
              <w:rPr>
                <w:sz w:val="16"/>
                <w:szCs w:val="16"/>
                <w:lang w:eastAsia="en-AU"/>
              </w:rPr>
              <w:t>Have identified adjacent opportunity to automate container ID verification.</w:t>
            </w:r>
          </w:p>
        </w:tc>
      </w:tr>
      <w:tr w:rsidR="00325FF2" w:rsidRPr="00D472BA" w14:paraId="3F9F1CAD" w14:textId="77777777" w:rsidTr="00D0106D">
        <w:trPr>
          <w:trHeight w:val="443"/>
        </w:trPr>
        <w:tc>
          <w:tcPr>
            <w:tcW w:w="729"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E6E6E1" w:themeFill="accent5"/>
            <w:hideMark/>
          </w:tcPr>
          <w:p w14:paraId="511BC8FE" w14:textId="76EF5113" w:rsidR="00325FF2" w:rsidRPr="00D0106D" w:rsidRDefault="00325FF2" w:rsidP="00610204">
            <w:pPr>
              <w:pStyle w:val="TableNheader"/>
              <w:rPr>
                <w:rFonts w:ascii="Arial" w:hAnsi="Arial" w:cs="Arial"/>
                <w:sz w:val="18"/>
                <w:szCs w:val="18"/>
                <w:lang w:eastAsia="en-AU"/>
              </w:rPr>
            </w:pPr>
            <w:r w:rsidRPr="00D0106D">
              <w:rPr>
                <w:sz w:val="18"/>
                <w:szCs w:val="18"/>
                <w:lang w:eastAsia="en-AU"/>
              </w:rPr>
              <w:t>Other benefits of the BRII</w:t>
            </w:r>
          </w:p>
        </w:tc>
        <w:tc>
          <w:tcPr>
            <w:tcW w:w="712"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31FA8A05" w14:textId="77777777" w:rsidR="00325FF2" w:rsidRPr="00D0106D" w:rsidRDefault="00325FF2" w:rsidP="00D0106D">
            <w:pPr>
              <w:pStyle w:val="TableNText"/>
              <w:rPr>
                <w:rFonts w:ascii="Arial" w:hAnsi="Arial" w:cs="Arial"/>
                <w:sz w:val="16"/>
                <w:szCs w:val="16"/>
                <w:lang w:eastAsia="en-AU"/>
              </w:rPr>
            </w:pPr>
            <w:r w:rsidRPr="00D0106D">
              <w:rPr>
                <w:sz w:val="16"/>
                <w:szCs w:val="16"/>
                <w:lang w:eastAsia="en-AU"/>
              </w:rPr>
              <w:t>Helped “evolve a product we were already developing"</w:t>
            </w:r>
          </w:p>
        </w:tc>
        <w:tc>
          <w:tcPr>
            <w:tcW w:w="712"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738DC22C" w14:textId="26D2919B" w:rsidR="00325FF2" w:rsidRPr="00D0106D" w:rsidRDefault="00325FF2" w:rsidP="00D0106D">
            <w:pPr>
              <w:pStyle w:val="TableNText"/>
              <w:rPr>
                <w:rFonts w:ascii="Arial" w:hAnsi="Arial" w:cs="Arial"/>
                <w:sz w:val="16"/>
                <w:szCs w:val="16"/>
                <w:lang w:eastAsia="en-AU"/>
              </w:rPr>
            </w:pPr>
            <w:r w:rsidRPr="00D0106D">
              <w:rPr>
                <w:rFonts w:cs="Arial"/>
                <w:sz w:val="16"/>
                <w:szCs w:val="16"/>
                <w:lang w:eastAsia="en-AU"/>
              </w:rPr>
              <w:t>n/a</w:t>
            </w:r>
          </w:p>
        </w:tc>
        <w:tc>
          <w:tcPr>
            <w:tcW w:w="713"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205F0274" w14:textId="77777777" w:rsidR="00325FF2" w:rsidRPr="00D0106D" w:rsidRDefault="00325FF2" w:rsidP="00D0106D">
            <w:pPr>
              <w:pStyle w:val="TableNText"/>
              <w:rPr>
                <w:rFonts w:ascii="Arial" w:hAnsi="Arial" w:cs="Arial"/>
                <w:sz w:val="16"/>
                <w:szCs w:val="16"/>
                <w:lang w:eastAsia="en-AU"/>
              </w:rPr>
            </w:pPr>
            <w:r w:rsidRPr="00D0106D">
              <w:rPr>
                <w:sz w:val="16"/>
                <w:szCs w:val="16"/>
                <w:lang w:val="en-US" w:eastAsia="en-AU"/>
              </w:rPr>
              <w:t>The BRII provided the opportunity to develop a product that NEM would have struggled to finance independently.</w:t>
            </w:r>
          </w:p>
        </w:tc>
        <w:tc>
          <w:tcPr>
            <w:tcW w:w="761"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77EDE857" w14:textId="1D9DF193" w:rsidR="00325FF2" w:rsidRPr="00D0106D" w:rsidRDefault="00325FF2" w:rsidP="00D0106D">
            <w:pPr>
              <w:pStyle w:val="TableNText"/>
              <w:rPr>
                <w:rFonts w:ascii="Arial" w:hAnsi="Arial" w:cs="Arial"/>
                <w:sz w:val="16"/>
                <w:szCs w:val="16"/>
                <w:lang w:eastAsia="en-AU"/>
              </w:rPr>
            </w:pPr>
            <w:r w:rsidRPr="00D0106D">
              <w:rPr>
                <w:sz w:val="16"/>
                <w:szCs w:val="16"/>
                <w:lang w:eastAsia="en-AU"/>
              </w:rPr>
              <w:t>The BRII challenge validated a platform Wejugo were already developing. Participation in the BRII sped up the commercialisation process (e.g. saving Wejugo up to three years of finance raising).</w:t>
            </w:r>
          </w:p>
        </w:tc>
        <w:tc>
          <w:tcPr>
            <w:tcW w:w="664"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7CF74764" w14:textId="6CF4119D" w:rsidR="00325FF2" w:rsidRPr="00D0106D" w:rsidRDefault="00325FF2" w:rsidP="00D0106D">
            <w:pPr>
              <w:pStyle w:val="TableNText"/>
              <w:rPr>
                <w:rFonts w:ascii="Arial" w:hAnsi="Arial" w:cs="Arial"/>
                <w:sz w:val="16"/>
                <w:szCs w:val="16"/>
                <w:lang w:eastAsia="en-AU"/>
              </w:rPr>
            </w:pPr>
            <w:r w:rsidRPr="00D0106D">
              <w:rPr>
                <w:sz w:val="16"/>
                <w:szCs w:val="16"/>
                <w:lang w:eastAsia="en-AU"/>
              </w:rPr>
              <w:t>Helped shape the direction of the business, which was relatively young in the beginning of the program.</w:t>
            </w:r>
          </w:p>
        </w:tc>
        <w:tc>
          <w:tcPr>
            <w:tcW w:w="709"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357AB5D9" w14:textId="77777777" w:rsidR="00325FF2" w:rsidRPr="00D0106D" w:rsidRDefault="00325FF2" w:rsidP="00D0106D">
            <w:pPr>
              <w:pStyle w:val="TableNText"/>
              <w:rPr>
                <w:rFonts w:ascii="Arial" w:hAnsi="Arial" w:cs="Arial"/>
                <w:sz w:val="16"/>
                <w:szCs w:val="16"/>
                <w:lang w:eastAsia="en-AU"/>
              </w:rPr>
            </w:pPr>
            <w:r w:rsidRPr="00D0106D">
              <w:rPr>
                <w:sz w:val="16"/>
                <w:szCs w:val="16"/>
                <w:lang w:eastAsia="en-AU"/>
              </w:rPr>
              <w:t>Has helped identify new issues (and therefore markets) with shipping container contaminants.</w:t>
            </w:r>
          </w:p>
        </w:tc>
      </w:tr>
      <w:tr w:rsidR="00325FF2" w:rsidRPr="00D472BA" w14:paraId="18ABD28C" w14:textId="77777777" w:rsidTr="00D0106D">
        <w:trPr>
          <w:trHeight w:val="20"/>
        </w:trPr>
        <w:tc>
          <w:tcPr>
            <w:tcW w:w="729"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E6E6E1" w:themeFill="accent5"/>
            <w:hideMark/>
          </w:tcPr>
          <w:p w14:paraId="561BE054" w14:textId="133305E7" w:rsidR="00325FF2" w:rsidRPr="00D0106D" w:rsidRDefault="00325FF2" w:rsidP="00610204">
            <w:pPr>
              <w:pStyle w:val="TableNheader"/>
              <w:rPr>
                <w:rFonts w:ascii="Arial" w:hAnsi="Arial" w:cs="Arial"/>
                <w:sz w:val="18"/>
                <w:szCs w:val="18"/>
                <w:lang w:eastAsia="en-AU"/>
              </w:rPr>
            </w:pPr>
            <w:r w:rsidRPr="00D0106D">
              <w:rPr>
                <w:sz w:val="18"/>
                <w:szCs w:val="18"/>
                <w:lang w:eastAsia="en-AU"/>
              </w:rPr>
              <w:t>Lasting collaborations</w:t>
            </w:r>
          </w:p>
        </w:tc>
        <w:tc>
          <w:tcPr>
            <w:tcW w:w="712"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0679DB4C" w14:textId="77777777" w:rsidR="00325FF2" w:rsidRPr="00D0106D" w:rsidRDefault="00325FF2" w:rsidP="00D0106D">
            <w:pPr>
              <w:pStyle w:val="TableNText"/>
              <w:rPr>
                <w:rFonts w:ascii="Arial" w:hAnsi="Arial" w:cs="Arial"/>
                <w:sz w:val="16"/>
                <w:szCs w:val="16"/>
                <w:lang w:eastAsia="en-AU"/>
              </w:rPr>
            </w:pPr>
            <w:r w:rsidRPr="00D0106D">
              <w:rPr>
                <w:sz w:val="16"/>
                <w:szCs w:val="16"/>
                <w:lang w:eastAsia="en-AU"/>
              </w:rPr>
              <w:t>Working closely with CSIRO.</w:t>
            </w:r>
          </w:p>
        </w:tc>
        <w:tc>
          <w:tcPr>
            <w:tcW w:w="712"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0BDEB1DA" w14:textId="41107117" w:rsidR="00325FF2" w:rsidRPr="00D0106D" w:rsidRDefault="00325FF2" w:rsidP="00D0106D">
            <w:pPr>
              <w:pStyle w:val="TableNText"/>
              <w:rPr>
                <w:rFonts w:ascii="Arial" w:hAnsi="Arial" w:cs="Arial"/>
                <w:sz w:val="16"/>
                <w:szCs w:val="16"/>
                <w:lang w:eastAsia="en-AU"/>
              </w:rPr>
            </w:pPr>
            <w:r w:rsidRPr="00D0106D">
              <w:rPr>
                <w:rFonts w:ascii="Arial" w:hAnsi="Arial" w:cs="Arial"/>
                <w:sz w:val="16"/>
                <w:szCs w:val="16"/>
                <w:lang w:eastAsia="en-AU"/>
              </w:rPr>
              <w:t>n/a</w:t>
            </w:r>
          </w:p>
        </w:tc>
        <w:tc>
          <w:tcPr>
            <w:tcW w:w="713"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7959B75B" w14:textId="77777777" w:rsidR="00325FF2" w:rsidRPr="00D0106D" w:rsidRDefault="00325FF2" w:rsidP="00D0106D">
            <w:pPr>
              <w:pStyle w:val="TableNText"/>
              <w:rPr>
                <w:rFonts w:ascii="Arial" w:hAnsi="Arial" w:cs="Arial"/>
                <w:sz w:val="16"/>
                <w:szCs w:val="16"/>
                <w:lang w:eastAsia="en-AU"/>
              </w:rPr>
            </w:pPr>
            <w:r w:rsidRPr="00D0106D">
              <w:rPr>
                <w:sz w:val="16"/>
                <w:szCs w:val="16"/>
                <w:lang w:eastAsia="en-AU"/>
              </w:rPr>
              <w:t>Working with two data providers (a Victorian University and government agency).</w:t>
            </w:r>
          </w:p>
        </w:tc>
        <w:tc>
          <w:tcPr>
            <w:tcW w:w="761"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01DC22FC" w14:textId="77777777" w:rsidR="00325FF2" w:rsidRPr="00D0106D" w:rsidRDefault="00325FF2" w:rsidP="00D0106D">
            <w:pPr>
              <w:pStyle w:val="TableNText"/>
              <w:rPr>
                <w:rFonts w:ascii="Arial" w:hAnsi="Arial" w:cs="Arial"/>
                <w:sz w:val="16"/>
                <w:szCs w:val="16"/>
                <w:lang w:eastAsia="en-AU"/>
              </w:rPr>
            </w:pPr>
            <w:r w:rsidRPr="00D0106D">
              <w:rPr>
                <w:sz w:val="16"/>
                <w:szCs w:val="16"/>
                <w:lang w:eastAsia="en-AU"/>
              </w:rPr>
              <w:t>Five additional commercial partners.</w:t>
            </w:r>
          </w:p>
        </w:tc>
        <w:tc>
          <w:tcPr>
            <w:tcW w:w="664"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7536DA03" w14:textId="77777777" w:rsidR="00325FF2" w:rsidRPr="00D0106D" w:rsidRDefault="00325FF2" w:rsidP="00D0106D">
            <w:pPr>
              <w:pStyle w:val="TableNText"/>
              <w:rPr>
                <w:rFonts w:ascii="Arial" w:hAnsi="Arial" w:cs="Arial"/>
                <w:sz w:val="16"/>
                <w:szCs w:val="16"/>
                <w:lang w:eastAsia="en-AU"/>
              </w:rPr>
            </w:pPr>
            <w:r w:rsidRPr="00D0106D">
              <w:rPr>
                <w:sz w:val="16"/>
                <w:szCs w:val="16"/>
                <w:lang w:eastAsia="en-AU"/>
              </w:rPr>
              <w:t>Collaboration with partner companies for database management and OEM suppliers.</w:t>
            </w:r>
          </w:p>
        </w:tc>
        <w:tc>
          <w:tcPr>
            <w:tcW w:w="709"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54569555" w14:textId="54B13CA8" w:rsidR="00325FF2" w:rsidRPr="00D0106D" w:rsidRDefault="00325FF2" w:rsidP="00D0106D">
            <w:pPr>
              <w:pStyle w:val="TableNText"/>
              <w:rPr>
                <w:rFonts w:ascii="Arial" w:hAnsi="Arial" w:cs="Arial"/>
                <w:sz w:val="16"/>
                <w:szCs w:val="16"/>
                <w:lang w:eastAsia="en-AU"/>
              </w:rPr>
            </w:pPr>
            <w:r w:rsidRPr="00D0106D">
              <w:rPr>
                <w:rFonts w:cs="Arial"/>
                <w:sz w:val="16"/>
                <w:szCs w:val="16"/>
                <w:lang w:eastAsia="en-AU"/>
              </w:rPr>
              <w:t>n/a</w:t>
            </w:r>
          </w:p>
        </w:tc>
      </w:tr>
    </w:tbl>
    <w:p w14:paraId="12B8F138" w14:textId="0736B34A" w:rsidR="00EF3E77" w:rsidRPr="00D472BA" w:rsidRDefault="00EF3E77" w:rsidP="00EF3E77">
      <w:pPr>
        <w:pStyle w:val="Source"/>
        <w:rPr>
          <w:rFonts w:cs="Segoe UI"/>
          <w:color w:val="00264D"/>
          <w:kern w:val="24"/>
          <w:sz w:val="16"/>
          <w:szCs w:val="16"/>
        </w:rPr>
      </w:pPr>
      <w:r>
        <w:t xml:space="preserve">Source: </w:t>
      </w:r>
      <w:r w:rsidRPr="001A5994">
        <w:t xml:space="preserve">Proof of concept applications; SME interviews; </w:t>
      </w:r>
      <w:r w:rsidR="007E7FDF">
        <w:t xml:space="preserve">Challenge agency interviews; </w:t>
      </w:r>
      <w:r w:rsidRPr="001A5994">
        <w:t>Feasibility stage SME survey; Proof of concept stage SME survey.</w:t>
      </w:r>
      <w:r w:rsidRPr="00D472BA">
        <w:rPr>
          <w:rFonts w:cs="Segoe UI"/>
          <w:color w:val="00264D"/>
          <w:kern w:val="24"/>
          <w:sz w:val="16"/>
          <w:szCs w:val="16"/>
        </w:rPr>
        <w:tab/>
      </w:r>
      <w:r w:rsidRPr="00D472BA">
        <w:rPr>
          <w:rFonts w:cs="Segoe UI"/>
          <w:color w:val="00264D"/>
          <w:kern w:val="24"/>
          <w:sz w:val="16"/>
          <w:szCs w:val="16"/>
        </w:rPr>
        <w:tab/>
      </w:r>
    </w:p>
    <w:p w14:paraId="5C0AB933" w14:textId="77777777" w:rsidR="00EF3E77" w:rsidRDefault="00EF3E77" w:rsidP="00EF3E77">
      <w:pPr>
        <w:rPr>
          <w:lang w:eastAsia="en-AU"/>
        </w:rPr>
        <w:sectPr w:rsidR="00EF3E77" w:rsidSect="00E10CFD">
          <w:footerReference w:type="default" r:id="rId52"/>
          <w:pgSz w:w="16839" w:h="11907" w:orient="landscape" w:code="9"/>
          <w:pgMar w:top="567" w:right="794" w:bottom="1418" w:left="794" w:header="720" w:footer="720" w:gutter="0"/>
          <w:cols w:space="720"/>
          <w:titlePg/>
          <w:docGrid w:linePitch="360"/>
        </w:sectPr>
      </w:pPr>
    </w:p>
    <w:p w14:paraId="226FBAC9" w14:textId="77777777" w:rsidR="00EF3E77" w:rsidRDefault="00EF3E77">
      <w:pPr>
        <w:pStyle w:val="Heading2"/>
      </w:pPr>
      <w:bookmarkStart w:id="69" w:name="_Ref79330903"/>
      <w:bookmarkStart w:id="70" w:name="_Toc124435151"/>
      <w:r>
        <w:lastRenderedPageBreak/>
        <w:t>The BRII delivered significant value for challenge agencies</w:t>
      </w:r>
      <w:bookmarkEnd w:id="69"/>
      <w:bookmarkEnd w:id="70"/>
    </w:p>
    <w:p w14:paraId="335D8205" w14:textId="77777777" w:rsidR="00EF3E77" w:rsidRPr="002229EF" w:rsidRDefault="00EF3E77" w:rsidP="00EF3E77">
      <w:r>
        <w:rPr>
          <w:lang w:eastAsia="en-AU"/>
        </w:rPr>
        <w:t>The BRII has resulted in various benefits for challenge agencies. The new approach to procurement has contributed to a culture shift in challenge agencies, while simultaneously allowing agencies to develop new relationships with innovative SMEs. A major benefit of the BRII for government has been the solutions, which have delivered a range of benefits from solving service delivery or policy challenges. Round two solutions have the potential to deliver similar benefits.</w:t>
      </w:r>
    </w:p>
    <w:p w14:paraId="2551BADB" w14:textId="77777777" w:rsidR="00EF3E77" w:rsidRDefault="00EF3E77">
      <w:pPr>
        <w:pStyle w:val="Heading3"/>
      </w:pPr>
      <w:bookmarkStart w:id="71" w:name="_Ref77839145"/>
      <w:r>
        <w:t>The BRII continues to support government innovation</w:t>
      </w:r>
      <w:bookmarkEnd w:id="71"/>
    </w:p>
    <w:p w14:paraId="4B7A3082" w14:textId="77777777" w:rsidR="00EF3E77" w:rsidRPr="00CC7A82" w:rsidRDefault="00EF3E77" w:rsidP="00EA4234">
      <w:pPr>
        <w:pStyle w:val="Heading4"/>
        <w:rPr>
          <w:b/>
          <w:bCs/>
        </w:rPr>
      </w:pPr>
      <w:r w:rsidRPr="00CC7A82">
        <w:rPr>
          <w:lang w:val="en-US"/>
        </w:rPr>
        <w:t>The BRII supports innovation that government procurement does not often support.</w:t>
      </w:r>
      <w:bookmarkStart w:id="72" w:name="_Ref79398734"/>
      <w:r>
        <w:rPr>
          <w:rStyle w:val="FootnoteReference"/>
          <w:lang w:val="en-US"/>
        </w:rPr>
        <w:footnoteReference w:id="30"/>
      </w:r>
      <w:bookmarkEnd w:id="72"/>
    </w:p>
    <w:p w14:paraId="29A3D9F9" w14:textId="77777777" w:rsidR="00EF3E77" w:rsidRPr="00CC7A82" w:rsidRDefault="00EF3E77" w:rsidP="00EF3E77">
      <w:pPr>
        <w:rPr>
          <w:lang w:eastAsia="en-AU"/>
        </w:rPr>
      </w:pPr>
      <w:r w:rsidRPr="00CC7A82">
        <w:rPr>
          <w:lang w:eastAsia="en-AU"/>
        </w:rPr>
        <w:t>Several challenge agencies spoke highly about the opportunity the BRII provided them to work directly with industry on innovation projects. This contrasted with traditional procurement processes that often need a tangible outcome upfront. The BRII differs as only the challenge is specified upfront and not the final product.</w:t>
      </w:r>
    </w:p>
    <w:p w14:paraId="0DEDEAC5" w14:textId="1796D50E" w:rsidR="00EF3E77" w:rsidRPr="00CC7A82" w:rsidRDefault="00EF3E77" w:rsidP="00EF3E77">
      <w:pPr>
        <w:rPr>
          <w:lang w:eastAsia="en-AU"/>
        </w:rPr>
      </w:pPr>
      <w:r w:rsidRPr="00CC7A82">
        <w:rPr>
          <w:lang w:eastAsia="en-AU"/>
        </w:rPr>
        <w:t>Round one challenge agencies were particularly supportive. For some, the BRII has been the catalyst for innovative solutions to wicked problems that may not have been solved otherwise (</w:t>
      </w:r>
      <w:r w:rsidRPr="00D913A6">
        <w:rPr>
          <w:lang w:eastAsia="en-AU"/>
        </w:rPr>
        <w:t xml:space="preserve">see </w:t>
      </w:r>
      <w:r w:rsidR="000673BF">
        <w:rPr>
          <w:lang w:eastAsia="en-AU"/>
        </w:rPr>
        <w:t>Section</w:t>
      </w:r>
      <w:r w:rsidRPr="00D913A6">
        <w:rPr>
          <w:lang w:eastAsia="en-AU"/>
        </w:rPr>
        <w:t xml:space="preserve"> </w:t>
      </w:r>
      <w:r w:rsidR="00F87DA3">
        <w:rPr>
          <w:lang w:eastAsia="en-AU"/>
        </w:rPr>
        <w:fldChar w:fldCharType="begin"/>
      </w:r>
      <w:r w:rsidR="00F87DA3">
        <w:rPr>
          <w:lang w:eastAsia="en-AU"/>
        </w:rPr>
        <w:instrText xml:space="preserve"> REF _Ref79330960 \r \h </w:instrText>
      </w:r>
      <w:r w:rsidR="00F87DA3">
        <w:rPr>
          <w:lang w:eastAsia="en-AU"/>
        </w:rPr>
      </w:r>
      <w:r w:rsidR="00F87DA3">
        <w:rPr>
          <w:lang w:eastAsia="en-AU"/>
        </w:rPr>
        <w:fldChar w:fldCharType="separate"/>
      </w:r>
      <w:r w:rsidR="00AE607F">
        <w:rPr>
          <w:lang w:eastAsia="en-AU"/>
        </w:rPr>
        <w:t>5.2.3</w:t>
      </w:r>
      <w:r w:rsidR="00F87DA3">
        <w:rPr>
          <w:lang w:eastAsia="en-AU"/>
        </w:rPr>
        <w:fldChar w:fldCharType="end"/>
      </w:r>
      <w:r w:rsidRPr="00D913A6">
        <w:rPr>
          <w:lang w:eastAsia="en-AU"/>
        </w:rPr>
        <w:t xml:space="preserve"> </w:t>
      </w:r>
      <w:r>
        <w:rPr>
          <w:lang w:eastAsia="en-AU"/>
        </w:rPr>
        <w:t xml:space="preserve">for a summary of round one solutions </w:t>
      </w:r>
      <w:r w:rsidRPr="00D913A6">
        <w:rPr>
          <w:lang w:eastAsia="en-AU"/>
        </w:rPr>
        <w:t xml:space="preserve">and </w:t>
      </w:r>
      <w:r w:rsidR="000673BF">
        <w:rPr>
          <w:lang w:eastAsia="en-AU"/>
        </w:rPr>
        <w:t>Section</w:t>
      </w:r>
      <w:r w:rsidRPr="006C769D">
        <w:rPr>
          <w:lang w:eastAsia="en-AU"/>
        </w:rPr>
        <w:t xml:space="preserve"> </w:t>
      </w:r>
      <w:r>
        <w:rPr>
          <w:lang w:eastAsia="en-AU"/>
        </w:rPr>
        <w:fldChar w:fldCharType="begin"/>
      </w:r>
      <w:r>
        <w:rPr>
          <w:lang w:eastAsia="en-AU"/>
        </w:rPr>
        <w:instrText xml:space="preserve"> REF _Ref76043077 \r \h </w:instrText>
      </w:r>
      <w:r>
        <w:rPr>
          <w:lang w:eastAsia="en-AU"/>
        </w:rPr>
      </w:r>
      <w:r>
        <w:rPr>
          <w:lang w:eastAsia="en-AU"/>
        </w:rPr>
        <w:fldChar w:fldCharType="separate"/>
      </w:r>
      <w:r w:rsidR="00AE607F">
        <w:rPr>
          <w:lang w:eastAsia="en-AU"/>
        </w:rPr>
        <w:t>6.3</w:t>
      </w:r>
      <w:r>
        <w:rPr>
          <w:lang w:eastAsia="en-AU"/>
        </w:rPr>
        <w:fldChar w:fldCharType="end"/>
      </w:r>
      <w:r>
        <w:rPr>
          <w:lang w:eastAsia="en-AU"/>
        </w:rPr>
        <w:t xml:space="preserve"> for a quantitative analysis of three round one solutions)</w:t>
      </w:r>
      <w:r w:rsidRPr="006C769D">
        <w:rPr>
          <w:lang w:eastAsia="en-AU"/>
        </w:rPr>
        <w:t>.</w:t>
      </w:r>
    </w:p>
    <w:p w14:paraId="7B543BB7" w14:textId="17B851D9" w:rsidR="00EF3E77" w:rsidRPr="00CC7A82" w:rsidRDefault="00EF3E77" w:rsidP="00EF3E77">
      <w:pPr>
        <w:rPr>
          <w:lang w:eastAsia="en-AU"/>
        </w:rPr>
      </w:pPr>
      <w:r w:rsidRPr="00CC7A82">
        <w:rPr>
          <w:lang w:val="en-US" w:eastAsia="en-AU"/>
        </w:rPr>
        <w:t xml:space="preserve">Through the BRII some challenge agencies indicated that they had learnt how to better work with SMEs to support innovation. Regarding innovation, SMEs had mixed responses when it came to their experience working with challenge agencies. Several mentioned that they found challenge agencies to be overly rigid and risk averse. </w:t>
      </w:r>
      <w:r>
        <w:rPr>
          <w:lang w:val="en-US" w:eastAsia="en-AU"/>
        </w:rPr>
        <w:t xml:space="preserve">This may be due to the novelty of </w:t>
      </w:r>
      <w:r w:rsidR="00A019AE">
        <w:rPr>
          <w:lang w:val="en-US" w:eastAsia="en-AU"/>
        </w:rPr>
        <w:t>CBI</w:t>
      </w:r>
      <w:r>
        <w:rPr>
          <w:lang w:val="en-US" w:eastAsia="en-AU"/>
        </w:rPr>
        <w:t xml:space="preserve"> for many challenge agencies. It may also reflect a misalignment between the expectations that SMEs had of government procurement. None the less, a</w:t>
      </w:r>
      <w:r w:rsidRPr="00CC7A82">
        <w:rPr>
          <w:lang w:val="en-US" w:eastAsia="en-AU"/>
        </w:rPr>
        <w:t xml:space="preserve"> common theme </w:t>
      </w:r>
      <w:r>
        <w:rPr>
          <w:lang w:val="en-US" w:eastAsia="en-AU"/>
        </w:rPr>
        <w:t xml:space="preserve">across interviews with SMEs, challenge agencies and other key stakeholders, such as the EPC, </w:t>
      </w:r>
      <w:r w:rsidRPr="00CC7A82">
        <w:rPr>
          <w:lang w:val="en-US" w:eastAsia="en-AU"/>
        </w:rPr>
        <w:t>was the need to change mindsets</w:t>
      </w:r>
      <w:r>
        <w:rPr>
          <w:lang w:val="en-US" w:eastAsia="en-AU"/>
        </w:rPr>
        <w:t xml:space="preserve"> within the APS to support more risk taking.</w:t>
      </w:r>
    </w:p>
    <w:p w14:paraId="6983C580" w14:textId="22C5EA67" w:rsidR="00EF3E77" w:rsidRPr="00CC7A82" w:rsidRDefault="00EF3E77" w:rsidP="00EA4234">
      <w:pPr>
        <w:pStyle w:val="Heading4"/>
        <w:rPr>
          <w:b/>
          <w:bCs/>
        </w:rPr>
      </w:pPr>
      <w:r w:rsidRPr="00CC7A82">
        <w:rPr>
          <w:lang w:val="en-US"/>
        </w:rPr>
        <w:t>The BRII has supported challenge agencies to develop new commercial partnerships with innovative SMEs.</w:t>
      </w:r>
      <w:r w:rsidR="00836DD0">
        <w:rPr>
          <w:lang w:val="en-US"/>
        </w:rPr>
        <w:fldChar w:fldCharType="begin"/>
      </w:r>
      <w:r w:rsidR="00836DD0">
        <w:rPr>
          <w:lang w:val="en-US"/>
        </w:rPr>
        <w:instrText xml:space="preserve"> NOTEREF _Ref79398734 \f \h </w:instrText>
      </w:r>
      <w:r w:rsidR="00EA4234">
        <w:rPr>
          <w:lang w:val="en-US"/>
        </w:rPr>
        <w:instrText xml:space="preserve"> \* MERGEFORMAT </w:instrText>
      </w:r>
      <w:r w:rsidR="00836DD0">
        <w:rPr>
          <w:lang w:val="en-US"/>
        </w:rPr>
      </w:r>
      <w:r w:rsidR="00836DD0">
        <w:rPr>
          <w:lang w:val="en-US"/>
        </w:rPr>
        <w:fldChar w:fldCharType="separate"/>
      </w:r>
      <w:r w:rsidR="00AE607F" w:rsidRPr="00AE607F">
        <w:rPr>
          <w:rStyle w:val="FootnoteReference"/>
        </w:rPr>
        <w:t>29</w:t>
      </w:r>
      <w:r w:rsidR="00836DD0">
        <w:rPr>
          <w:lang w:val="en-US"/>
        </w:rPr>
        <w:fldChar w:fldCharType="end"/>
      </w:r>
      <w:r w:rsidR="00836DD0" w:rsidRPr="00CC7A82">
        <w:rPr>
          <w:bCs/>
        </w:rPr>
        <w:t xml:space="preserve"> </w:t>
      </w:r>
    </w:p>
    <w:p w14:paraId="7F3CC099" w14:textId="77777777" w:rsidR="00EF3E77" w:rsidRPr="00CC7A82" w:rsidRDefault="00EF3E77" w:rsidP="00EF3E77">
      <w:pPr>
        <w:rPr>
          <w:lang w:eastAsia="en-AU"/>
        </w:rPr>
      </w:pPr>
      <w:r w:rsidRPr="00CC7A82">
        <w:rPr>
          <w:lang w:val="en-US" w:eastAsia="en-AU"/>
        </w:rPr>
        <w:t>Many challenge agencies noted that the BRII has brought to their attention innovative SMEs for whom they would not have otherwise known. In some cases, this has resulted in commercial partnerships to support the agency outside the scope of the BRII challenge. For example, one round three challenge agency has identified an opportunity to engage a current feasibility SME on an adjacent opportunity.</w:t>
      </w:r>
      <w:r>
        <w:rPr>
          <w:lang w:val="en-US" w:eastAsia="en-AU"/>
        </w:rPr>
        <w:t xml:space="preserve"> This feasibility SME had been working on solutions in a different agricultural sector that were applicable to the challenge agencies focus.</w:t>
      </w:r>
    </w:p>
    <w:p w14:paraId="58B5AC82" w14:textId="5797865C" w:rsidR="00EF3E77" w:rsidRPr="0027613E" w:rsidRDefault="00EF3E77" w:rsidP="00EA4234">
      <w:pPr>
        <w:pStyle w:val="Heading4"/>
      </w:pPr>
      <w:r w:rsidRPr="0027613E">
        <w:lastRenderedPageBreak/>
        <w:t>Challenge agencies have valued the opportunity to work with multiple SMEs on their challenges.</w:t>
      </w:r>
      <w:r w:rsidR="00836DD0">
        <w:fldChar w:fldCharType="begin"/>
      </w:r>
      <w:r w:rsidR="00836DD0">
        <w:instrText xml:space="preserve"> NOTEREF _Ref79398734 \f \h </w:instrText>
      </w:r>
      <w:r w:rsidR="00836DD0">
        <w:fldChar w:fldCharType="separate"/>
      </w:r>
      <w:r w:rsidR="00AE607F" w:rsidRPr="00AE607F">
        <w:rPr>
          <w:rStyle w:val="FootnoteReference"/>
        </w:rPr>
        <w:t>29</w:t>
      </w:r>
      <w:r w:rsidR="00836DD0">
        <w:fldChar w:fldCharType="end"/>
      </w:r>
      <w:r w:rsidR="00836DD0" w:rsidRPr="0027613E">
        <w:t xml:space="preserve"> </w:t>
      </w:r>
    </w:p>
    <w:p w14:paraId="4CA7EC0A" w14:textId="77777777" w:rsidR="00EF3E77" w:rsidRPr="00CC7A82" w:rsidRDefault="00EF3E77" w:rsidP="00EF3E77">
      <w:pPr>
        <w:rPr>
          <w:lang w:eastAsia="en-AU"/>
        </w:rPr>
      </w:pPr>
      <w:r w:rsidRPr="00CC7A82">
        <w:rPr>
          <w:lang w:val="en-US" w:eastAsia="en-AU"/>
        </w:rPr>
        <w:t>Having multiple SMEs has ensured that challenge agencies have benefited from divergent approaches and solutions. Many agencies thought the competition between SMEs kept them honest, especially at the proof of concept stage. A round one challenge agency noted that the competition also ensured more value for money at the procurement stage. Some challenge agencies and SMEs did identify an opportunity for BRII to support collaboration between SMEs in cases when solutions were complementary and together had a higher likelihood of solving the challenge.</w:t>
      </w:r>
    </w:p>
    <w:p w14:paraId="61171C4A" w14:textId="0A34B6F7" w:rsidR="00EF3E77" w:rsidRPr="00E93963" w:rsidRDefault="00EF3E77" w:rsidP="00EA4234">
      <w:pPr>
        <w:pStyle w:val="Heading4"/>
      </w:pPr>
      <w:r w:rsidRPr="00E93963">
        <w:t>All challenge agencies interviewed from round three report that the feasibility stage has delivered innovative research that may realistically solve their challenge.</w:t>
      </w:r>
      <w:r w:rsidR="00836DD0">
        <w:fldChar w:fldCharType="begin"/>
      </w:r>
      <w:r w:rsidR="00836DD0">
        <w:instrText xml:space="preserve"> NOTEREF _Ref79398734 \f \h </w:instrText>
      </w:r>
      <w:r w:rsidR="00836DD0">
        <w:fldChar w:fldCharType="separate"/>
      </w:r>
      <w:r w:rsidR="00AE607F" w:rsidRPr="00AE607F">
        <w:rPr>
          <w:rStyle w:val="FootnoteReference"/>
        </w:rPr>
        <w:t>29</w:t>
      </w:r>
      <w:r w:rsidR="00836DD0">
        <w:fldChar w:fldCharType="end"/>
      </w:r>
      <w:r w:rsidR="00836DD0" w:rsidRPr="00E93963">
        <w:t xml:space="preserve"> </w:t>
      </w:r>
    </w:p>
    <w:p w14:paraId="4EA528DC" w14:textId="325110CD" w:rsidR="00EF3E77" w:rsidRPr="00E5150B" w:rsidRDefault="0097194A" w:rsidP="00EF3E77">
      <w:pPr>
        <w:rPr>
          <w:lang w:val="en-US" w:eastAsia="en-AU"/>
        </w:rPr>
      </w:pPr>
      <w:r>
        <w:rPr>
          <w:lang w:eastAsia="en-AU"/>
        </w:rPr>
        <w:t>All</w:t>
      </w:r>
      <w:r w:rsidR="00EF3E77" w:rsidRPr="00CC7A82">
        <w:rPr>
          <w:lang w:eastAsia="en-AU"/>
        </w:rPr>
        <w:t xml:space="preserve"> of the round three challenge agencies expressed excitement for what they have seen so far in the feasibility stage. One challenge agency highlighted that they felt the BRII </w:t>
      </w:r>
      <w:r w:rsidR="00EF3E77" w:rsidRPr="00CC7A82">
        <w:rPr>
          <w:lang w:val="en-US" w:eastAsia="en-AU"/>
        </w:rPr>
        <w:t>was a good use of taxpayer funds as it had produced new findings that pushed their understanding of their challenge forward. Each expressed confidence that the proof of concept stage would produce further innovation to solve their challenge. </w:t>
      </w:r>
    </w:p>
    <w:tbl>
      <w:tblPr>
        <w:tblStyle w:val="TableGrid"/>
        <w:tblW w:w="0" w:type="auto"/>
        <w:tblBorders>
          <w:bottom w:val="single" w:sz="24" w:space="0" w:color="F25E21" w:themeColor="accent2"/>
          <w:insideH w:val="none" w:sz="0" w:space="0" w:color="auto"/>
        </w:tblBorders>
        <w:tblLook w:val="0620" w:firstRow="1" w:lastRow="0" w:firstColumn="0" w:lastColumn="0" w:noHBand="1" w:noVBand="1"/>
      </w:tblPr>
      <w:tblGrid>
        <w:gridCol w:w="1417"/>
        <w:gridCol w:w="2497"/>
        <w:gridCol w:w="2504"/>
        <w:gridCol w:w="2507"/>
      </w:tblGrid>
      <w:tr w:rsidR="00EF3E77" w14:paraId="3CC3BF1E" w14:textId="77777777" w:rsidTr="00F40D93">
        <w:trPr>
          <w:cnfStyle w:val="100000000000" w:firstRow="1" w:lastRow="0" w:firstColumn="0" w:lastColumn="0" w:oddVBand="0" w:evenVBand="0" w:oddHBand="0" w:evenHBand="0" w:firstRowFirstColumn="0" w:firstRowLastColumn="0" w:lastRowFirstColumn="0" w:lastRowLastColumn="0"/>
        </w:trPr>
        <w:tc>
          <w:tcPr>
            <w:tcW w:w="1276" w:type="dxa"/>
            <w:tcBorders>
              <w:top w:val="single" w:sz="4" w:space="0" w:color="00264D" w:themeColor="background2"/>
              <w:bottom w:val="single" w:sz="24" w:space="0" w:color="F25E21" w:themeColor="accent2"/>
            </w:tcBorders>
            <w:shd w:val="clear" w:color="auto" w:fill="00264D" w:themeFill="background2"/>
            <w:vAlign w:val="bottom"/>
          </w:tcPr>
          <w:p w14:paraId="30B5E220" w14:textId="77777777" w:rsidR="00980B1C" w:rsidRDefault="00980B1C" w:rsidP="00980B1C">
            <w:pPr>
              <w:pStyle w:val="TableNheader"/>
              <w:rPr>
                <w:color w:val="FFFFFF" w:themeColor="background1"/>
                <w:lang w:eastAsia="en-AU"/>
              </w:rPr>
            </w:pPr>
            <w:r w:rsidRPr="00980B1C">
              <w:rPr>
                <w:color w:val="FFFFFF" w:themeColor="background1"/>
                <w:lang w:eastAsia="en-AU"/>
              </w:rPr>
              <w:t>Quote from respondent</w:t>
            </w:r>
          </w:p>
          <w:p w14:paraId="311D61EE" w14:textId="68E83E96" w:rsidR="00EF3E77" w:rsidRDefault="00980B1C" w:rsidP="00980B1C">
            <w:pPr>
              <w:pStyle w:val="TableNheader"/>
              <w:rPr>
                <w:lang w:eastAsia="en-AU"/>
              </w:rPr>
            </w:pPr>
            <w:r w:rsidRPr="00FC69A3">
              <w:rPr>
                <w:noProof/>
                <w:lang w:eastAsia="en-AU"/>
              </w:rPr>
              <w:t xml:space="preserve"> </w:t>
            </w:r>
            <w:r w:rsidR="00EF3E77" w:rsidRPr="00FC69A3">
              <w:rPr>
                <w:noProof/>
                <w:lang w:eastAsia="en-AU"/>
              </w:rPr>
              <w:drawing>
                <wp:inline distT="0" distB="0" distL="0" distR="0" wp14:anchorId="45157F49" wp14:editId="785B64C4">
                  <wp:extent cx="504825" cy="1095375"/>
                  <wp:effectExtent l="0" t="0" r="9525" b="9525"/>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extLst>
                              <a:ext uri="{C183D7F6-B498-43B3-948B-1728B52AA6E4}">
                                <adec:decorative xmlns:adec="http://schemas.microsoft.com/office/drawing/2017/decorative" val="1"/>
                              </a:ext>
                            </a:extLs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4825" cy="1095375"/>
                          </a:xfrm>
                          <a:prstGeom prst="rect">
                            <a:avLst/>
                          </a:prstGeom>
                          <a:noFill/>
                          <a:ln>
                            <a:noFill/>
                          </a:ln>
                        </pic:spPr>
                      </pic:pic>
                    </a:graphicData>
                  </a:graphic>
                </wp:inline>
              </w:drawing>
            </w:r>
          </w:p>
        </w:tc>
        <w:tc>
          <w:tcPr>
            <w:tcW w:w="2551" w:type="dxa"/>
            <w:tcBorders>
              <w:top w:val="single" w:sz="4" w:space="0" w:color="00264D" w:themeColor="background2"/>
              <w:bottom w:val="single" w:sz="24" w:space="0" w:color="F25E21" w:themeColor="accent2"/>
              <w:right w:val="single" w:sz="4" w:space="0" w:color="00264D" w:themeColor="background2"/>
            </w:tcBorders>
            <w:vAlign w:val="top"/>
          </w:tcPr>
          <w:p w14:paraId="4F42B16A" w14:textId="77777777" w:rsidR="00EF3E77" w:rsidRPr="00A43F87" w:rsidRDefault="00EF3E77" w:rsidP="00226F49">
            <w:pPr>
              <w:rPr>
                <w:i/>
                <w:iCs/>
              </w:rPr>
            </w:pPr>
            <w:r>
              <w:t>“</w:t>
            </w:r>
            <w:r w:rsidRPr="00CA38F8">
              <w:rPr>
                <w:i/>
                <w:iCs/>
              </w:rPr>
              <w:t>We have gone years ahead in a very short period of time. BRII has helped us to harness a huge amount of energy and resources on an [ongoing] problem. We will advance 5 years in 18 months” – Challenge agency</w:t>
            </w:r>
          </w:p>
        </w:tc>
        <w:tc>
          <w:tcPr>
            <w:tcW w:w="2551" w:type="dxa"/>
            <w:tcBorders>
              <w:top w:val="single" w:sz="4" w:space="0" w:color="00264D" w:themeColor="background2"/>
              <w:left w:val="single" w:sz="4" w:space="0" w:color="00264D" w:themeColor="background2"/>
              <w:bottom w:val="single" w:sz="24" w:space="0" w:color="F25E21" w:themeColor="accent2"/>
              <w:right w:val="single" w:sz="4" w:space="0" w:color="00264D" w:themeColor="background2"/>
            </w:tcBorders>
            <w:vAlign w:val="top"/>
          </w:tcPr>
          <w:p w14:paraId="4C9D1410" w14:textId="77777777" w:rsidR="00EF3E77" w:rsidRDefault="00EF3E77" w:rsidP="00226F49">
            <w:pPr>
              <w:rPr>
                <w:lang w:eastAsia="en-AU"/>
              </w:rPr>
            </w:pPr>
            <w:r w:rsidRPr="00CA38F8">
              <w:rPr>
                <w:i/>
                <w:iCs/>
              </w:rPr>
              <w:t>“[The solution] is a new opportunity. We don’t want to just [improve] what we do now, we want to revisit the full possibilities of what we can do and how it changes how we operate” – Challenge agency</w:t>
            </w:r>
          </w:p>
        </w:tc>
        <w:tc>
          <w:tcPr>
            <w:tcW w:w="2552" w:type="dxa"/>
            <w:tcBorders>
              <w:top w:val="single" w:sz="4" w:space="0" w:color="00264D" w:themeColor="background2"/>
              <w:left w:val="single" w:sz="4" w:space="0" w:color="00264D" w:themeColor="background2"/>
              <w:bottom w:val="single" w:sz="24" w:space="0" w:color="F25E21" w:themeColor="accent2"/>
              <w:right w:val="single" w:sz="4" w:space="0" w:color="00264D" w:themeColor="background2"/>
            </w:tcBorders>
            <w:vAlign w:val="top"/>
          </w:tcPr>
          <w:p w14:paraId="41177A83" w14:textId="77777777" w:rsidR="00EF3E77" w:rsidRDefault="00EF3E77" w:rsidP="00226F49">
            <w:pPr>
              <w:rPr>
                <w:lang w:eastAsia="en-AU"/>
              </w:rPr>
            </w:pPr>
            <w:r w:rsidRPr="00CA38F8">
              <w:rPr>
                <w:i/>
                <w:iCs/>
              </w:rPr>
              <w:t>“[BRII] provided a unique opportunity for government departments to work with businesses and explain what governments are looking for in a solution, which is not typical in BAU procurement processes” – Challenge agency</w:t>
            </w:r>
          </w:p>
        </w:tc>
      </w:tr>
    </w:tbl>
    <w:p w14:paraId="3C87BF56" w14:textId="77777777" w:rsidR="00EF3E77" w:rsidRDefault="00EF3E77" w:rsidP="00EF3E77">
      <w:pPr>
        <w:rPr>
          <w:lang w:val="en-US" w:eastAsia="en-AU"/>
        </w:rPr>
      </w:pPr>
    </w:p>
    <w:p w14:paraId="3EC40D20" w14:textId="77777777" w:rsidR="00EF3E77" w:rsidRDefault="00EF3E77">
      <w:pPr>
        <w:pStyle w:val="Heading3"/>
      </w:pPr>
      <w:bookmarkStart w:id="73" w:name="_Ref79330931"/>
      <w:r w:rsidRPr="00981FE2">
        <w:t>Several challenge agencies have embraced challenge-based innovation since participating in the BRII</w:t>
      </w:r>
      <w:r>
        <w:t>.</w:t>
      </w:r>
      <w:bookmarkEnd w:id="73"/>
    </w:p>
    <w:p w14:paraId="02385806" w14:textId="55D8BCA9" w:rsidR="00EF3E77" w:rsidRDefault="00EF3E77" w:rsidP="00EF3E77">
      <w:r w:rsidRPr="00ED68B5">
        <w:rPr>
          <w:lang w:val="en-US"/>
        </w:rPr>
        <w:t xml:space="preserve">Many of the challenge agencies that have participated in the BRII have adopted their own </w:t>
      </w:r>
      <w:r w:rsidR="00A019AE">
        <w:rPr>
          <w:lang w:val="en-US"/>
        </w:rPr>
        <w:t>CBI</w:t>
      </w:r>
      <w:r w:rsidRPr="00ED68B5">
        <w:rPr>
          <w:lang w:val="en-US"/>
        </w:rPr>
        <w:t xml:space="preserve"> initiatives. Some examples are outlined below.</w:t>
      </w:r>
    </w:p>
    <w:p w14:paraId="46959806" w14:textId="19F7255B" w:rsidR="00EF3E77" w:rsidRPr="001D109B" w:rsidRDefault="00EF3E77">
      <w:pPr>
        <w:pStyle w:val="Bullet"/>
      </w:pPr>
      <w:r w:rsidRPr="007E79A5">
        <w:rPr>
          <w:rFonts w:ascii="Segoe UI Semibold" w:eastAsiaTheme="minorEastAsia" w:hAnsi="Segoe UI Semibold" w:cs="Segoe UI Semibold"/>
        </w:rPr>
        <w:t>DAWE has participated</w:t>
      </w:r>
      <w:r w:rsidRPr="001D109B">
        <w:rPr>
          <w:rFonts w:eastAsiaTheme="minorEastAsia"/>
        </w:rPr>
        <w:t xml:space="preserve"> </w:t>
      </w:r>
      <w:r w:rsidRPr="007E79A5">
        <w:rPr>
          <w:rFonts w:ascii="Segoe UI Semibold" w:eastAsiaTheme="minorEastAsia" w:hAnsi="Segoe UI Semibold" w:cs="Segoe UI Semibold"/>
        </w:rPr>
        <w:t>in</w:t>
      </w:r>
      <w:r w:rsidRPr="001D109B">
        <w:rPr>
          <w:rFonts w:ascii="Segoe UI Semibold" w:eastAsiaTheme="minorEastAsia" w:hAnsi="Segoe UI Semibold" w:cs="Segoe UI Semibold"/>
        </w:rPr>
        <w:t xml:space="preserve"> two of the three rounds of the BRII and was a successful challenge agency applicant for round four (the </w:t>
      </w:r>
      <w:r>
        <w:rPr>
          <w:rFonts w:ascii="Segoe UI Semibold" w:eastAsiaTheme="minorEastAsia" w:hAnsi="Segoe UI Semibold" w:cs="Segoe UI Semibold"/>
        </w:rPr>
        <w:t>R</w:t>
      </w:r>
      <w:r w:rsidRPr="001D109B">
        <w:rPr>
          <w:rFonts w:ascii="Segoe UI Semibold" w:eastAsiaTheme="minorEastAsia" w:hAnsi="Segoe UI Semibold" w:cs="Segoe UI Semibold"/>
        </w:rPr>
        <w:t>eg</w:t>
      </w:r>
      <w:r>
        <w:rPr>
          <w:rFonts w:ascii="Segoe UI Semibold" w:eastAsiaTheme="minorEastAsia" w:hAnsi="Segoe UI Semibold" w:cs="Segoe UI Semibold"/>
        </w:rPr>
        <w:t>T</w:t>
      </w:r>
      <w:r w:rsidRPr="001D109B">
        <w:rPr>
          <w:rFonts w:ascii="Segoe UI Semibold" w:eastAsiaTheme="minorEastAsia" w:hAnsi="Segoe UI Semibold" w:cs="Segoe UI Semibold"/>
        </w:rPr>
        <w:t>ech round).</w:t>
      </w:r>
      <w:r w:rsidRPr="001D109B">
        <w:rPr>
          <w:rFonts w:eastAsiaTheme="minorEastAsia"/>
        </w:rPr>
        <w:t xml:space="preserve"> DAWE also introduced a biosecurity innovation program soon after their initial engagement in BRII</w:t>
      </w:r>
      <w:r>
        <w:rPr>
          <w:rFonts w:eastAsiaTheme="minorEastAsia"/>
        </w:rPr>
        <w:t>.</w:t>
      </w:r>
      <w:r w:rsidRPr="00E06C1C">
        <w:rPr>
          <w:rStyle w:val="FootnoteReference"/>
          <w:rFonts w:eastAsiaTheme="minorEastAsia"/>
        </w:rPr>
        <w:footnoteReference w:id="31"/>
      </w:r>
      <w:r w:rsidRPr="001D109B">
        <w:rPr>
          <w:rFonts w:eastAsiaTheme="minorEastAsia"/>
        </w:rPr>
        <w:t xml:space="preserve"> The biosecurity </w:t>
      </w:r>
      <w:r w:rsidRPr="001D109B">
        <w:rPr>
          <w:rFonts w:eastAsiaTheme="minorEastAsia"/>
        </w:rPr>
        <w:lastRenderedPageBreak/>
        <w:t xml:space="preserve">innovation program has evolved to now include a Biosecurity Industry Innovation Challenge that DAWE </w:t>
      </w:r>
      <w:r w:rsidR="00EE477E">
        <w:rPr>
          <w:rFonts w:eastAsiaTheme="minorEastAsia"/>
        </w:rPr>
        <w:t>ran</w:t>
      </w:r>
      <w:r w:rsidRPr="001D109B">
        <w:rPr>
          <w:rFonts w:eastAsiaTheme="minorEastAsia"/>
        </w:rPr>
        <w:t xml:space="preserve"> in partnership with the Canberra Innovation Network</w:t>
      </w:r>
      <w:r>
        <w:rPr>
          <w:rFonts w:eastAsiaTheme="minorEastAsia"/>
        </w:rPr>
        <w:t>.</w:t>
      </w:r>
      <w:r w:rsidRPr="002D45F8">
        <w:rPr>
          <w:rStyle w:val="FootnoteReference"/>
          <w:rFonts w:eastAsiaTheme="minorEastAsia"/>
        </w:rPr>
        <w:footnoteReference w:id="32"/>
      </w:r>
    </w:p>
    <w:p w14:paraId="73F600B6" w14:textId="705EBD0F" w:rsidR="00EF3E77" w:rsidRPr="001D109B" w:rsidRDefault="00EF3E77">
      <w:pPr>
        <w:pStyle w:val="Bullet"/>
        <w:rPr>
          <w:rFonts w:eastAsiaTheme="minorHAnsi"/>
        </w:rPr>
      </w:pPr>
      <w:r w:rsidRPr="001D109B">
        <w:rPr>
          <w:rFonts w:ascii="Segoe UI Semibold" w:eastAsiaTheme="minorHAnsi" w:hAnsi="Segoe UI Semibold" w:cs="Segoe UI Semibold"/>
        </w:rPr>
        <w:t xml:space="preserve">Several </w:t>
      </w:r>
      <w:r w:rsidR="00B167F6">
        <w:rPr>
          <w:rFonts w:ascii="Segoe UI Semibold" w:eastAsiaTheme="minorHAnsi" w:hAnsi="Segoe UI Semibold" w:cs="Segoe UI Semibold"/>
        </w:rPr>
        <w:t>g</w:t>
      </w:r>
      <w:r w:rsidRPr="001D109B">
        <w:rPr>
          <w:rFonts w:ascii="Segoe UI Semibold" w:eastAsiaTheme="minorHAnsi" w:hAnsi="Segoe UI Semibold" w:cs="Segoe UI Semibold"/>
        </w:rPr>
        <w:t xml:space="preserve">overnment </w:t>
      </w:r>
      <w:r w:rsidR="00B167F6">
        <w:rPr>
          <w:rFonts w:ascii="Segoe UI Semibold" w:eastAsiaTheme="minorHAnsi" w:hAnsi="Segoe UI Semibold" w:cs="Segoe UI Semibold"/>
        </w:rPr>
        <w:t>agencies</w:t>
      </w:r>
      <w:r w:rsidRPr="001D109B">
        <w:rPr>
          <w:rFonts w:ascii="Segoe UI Semibold" w:eastAsiaTheme="minorHAnsi" w:hAnsi="Segoe UI Semibold" w:cs="Segoe UI Semibold"/>
        </w:rPr>
        <w:t xml:space="preserve"> have approached the BRII team to run a dedicated BRII round.</w:t>
      </w:r>
      <w:r w:rsidRPr="001D109B">
        <w:rPr>
          <w:rFonts w:eastAsiaTheme="minorHAnsi"/>
        </w:rPr>
        <w:t xml:space="preserve"> This includes </w:t>
      </w:r>
      <w:r w:rsidR="002265AB">
        <w:rPr>
          <w:rFonts w:eastAsiaTheme="minorHAnsi"/>
        </w:rPr>
        <w:t>the Department of the</w:t>
      </w:r>
      <w:r w:rsidRPr="001D109B">
        <w:rPr>
          <w:rFonts w:eastAsiaTheme="minorHAnsi"/>
        </w:rPr>
        <w:t xml:space="preserve"> Prime Minister and Cabinet and the Attorney General’s Department.</w:t>
      </w:r>
      <w:r>
        <w:rPr>
          <w:rStyle w:val="FootnoteReference"/>
          <w:rFonts w:eastAsiaTheme="minorHAnsi"/>
        </w:rPr>
        <w:footnoteReference w:id="33"/>
      </w:r>
    </w:p>
    <w:p w14:paraId="3F86317D" w14:textId="3DB12B5F" w:rsidR="00EF3E77" w:rsidRPr="001D109B" w:rsidRDefault="00EF3E77">
      <w:pPr>
        <w:pStyle w:val="Bullet"/>
      </w:pPr>
      <w:r w:rsidRPr="007E79A5">
        <w:rPr>
          <w:rFonts w:ascii="Segoe UI Semibold" w:eastAsiaTheme="minorEastAsia" w:hAnsi="Segoe UI Semibold" w:cs="Segoe UI Semibold"/>
        </w:rPr>
        <w:t xml:space="preserve">The BRII team has also received interest to run </w:t>
      </w:r>
      <w:r w:rsidR="00A019AE" w:rsidRPr="007E79A5">
        <w:rPr>
          <w:rFonts w:ascii="Segoe UI Semibold" w:eastAsiaTheme="minorEastAsia" w:hAnsi="Segoe UI Semibold" w:cs="Segoe UI Semibold"/>
        </w:rPr>
        <w:t>CBI</w:t>
      </w:r>
      <w:r w:rsidRPr="007E79A5">
        <w:rPr>
          <w:rFonts w:ascii="Segoe UI Semibold" w:eastAsiaTheme="minorEastAsia" w:hAnsi="Segoe UI Semibold" w:cs="Segoe UI Semibold"/>
        </w:rPr>
        <w:t xml:space="preserve"> rounds</w:t>
      </w:r>
      <w:r w:rsidRPr="001D109B">
        <w:rPr>
          <w:rFonts w:asciiTheme="majorHAnsi" w:eastAsiaTheme="minorEastAsia" w:hAnsiTheme="majorHAnsi" w:cstheme="majorHAnsi"/>
        </w:rPr>
        <w:t xml:space="preserve"> from other policy areas within DISER.</w:t>
      </w:r>
      <w:r w:rsidRPr="001D109B">
        <w:rPr>
          <w:rFonts w:eastAsiaTheme="minorEastAsia"/>
        </w:rPr>
        <w:t xml:space="preserve"> This has resulted in the most recent RegTech round.</w:t>
      </w:r>
      <w:r w:rsidR="00301E9B">
        <w:rPr>
          <w:rStyle w:val="FootnoteReference"/>
          <w:rFonts w:eastAsiaTheme="minorEastAsia"/>
        </w:rPr>
        <w:footnoteReference w:id="34"/>
      </w:r>
      <w:r w:rsidR="00301E9B" w:rsidRPr="001D109B">
        <w:t xml:space="preserve"> </w:t>
      </w:r>
    </w:p>
    <w:p w14:paraId="1A256D7E" w14:textId="7C91C38A" w:rsidR="00EF3E77" w:rsidRPr="001D109B" w:rsidRDefault="00EF3E77">
      <w:pPr>
        <w:pStyle w:val="Bullet"/>
      </w:pPr>
      <w:r w:rsidRPr="007E79A5">
        <w:rPr>
          <w:rFonts w:ascii="Segoe UI Semibold" w:eastAsiaTheme="minorEastAsia" w:hAnsi="Segoe UI Semibold" w:cs="Segoe UI Semibold"/>
        </w:rPr>
        <w:t>The NSW Department of Communities</w:t>
      </w:r>
      <w:r w:rsidRPr="001D109B">
        <w:rPr>
          <w:rFonts w:asciiTheme="majorHAnsi" w:eastAsiaTheme="minorEastAsia" w:hAnsiTheme="majorHAnsi" w:cstheme="majorHAnsi"/>
        </w:rPr>
        <w:t xml:space="preserve"> and Justice </w:t>
      </w:r>
      <w:r w:rsidR="00883A3E">
        <w:rPr>
          <w:rFonts w:asciiTheme="majorHAnsi" w:eastAsiaTheme="minorEastAsia" w:hAnsiTheme="majorHAnsi" w:cstheme="majorHAnsi"/>
        </w:rPr>
        <w:t xml:space="preserve">(DCJ) </w:t>
      </w:r>
      <w:r w:rsidRPr="001D109B">
        <w:rPr>
          <w:rFonts w:asciiTheme="majorHAnsi" w:eastAsiaTheme="minorEastAsia" w:hAnsiTheme="majorHAnsi" w:cstheme="majorHAnsi"/>
        </w:rPr>
        <w:t>has incorporated design features from the BRII into their technology procurement processes.</w:t>
      </w:r>
      <w:r w:rsidRPr="001D109B">
        <w:rPr>
          <w:rFonts w:eastAsiaTheme="minorEastAsia"/>
        </w:rPr>
        <w:t xml:space="preserve"> This includes a challenge style feasibility stage for procurements that require a more innovative so</w:t>
      </w:r>
      <w:bookmarkStart w:id="74" w:name="_Ref79400065"/>
      <w:r w:rsidRPr="001D109B">
        <w:rPr>
          <w:rFonts w:eastAsiaTheme="minorEastAsia"/>
        </w:rPr>
        <w:t>l</w:t>
      </w:r>
      <w:bookmarkEnd w:id="74"/>
      <w:r w:rsidRPr="001D109B">
        <w:rPr>
          <w:rFonts w:eastAsiaTheme="minorEastAsia"/>
        </w:rPr>
        <w:t>ution.</w:t>
      </w:r>
      <w:bookmarkStart w:id="75" w:name="_Ref79400406"/>
      <w:r>
        <w:rPr>
          <w:rStyle w:val="FootnoteReference"/>
          <w:rFonts w:eastAsiaTheme="minorEastAsia"/>
        </w:rPr>
        <w:footnoteReference w:id="35"/>
      </w:r>
      <w:bookmarkEnd w:id="75"/>
    </w:p>
    <w:p w14:paraId="668EE598" w14:textId="17764841" w:rsidR="00981B61" w:rsidRPr="00105A0B" w:rsidRDefault="00EF3E77">
      <w:pPr>
        <w:pStyle w:val="Bullet"/>
        <w:spacing w:after="240" w:line="257" w:lineRule="auto"/>
      </w:pPr>
      <w:r w:rsidRPr="00337812">
        <w:rPr>
          <w:rFonts w:asciiTheme="majorHAnsi" w:eastAsiaTheme="minorEastAsia" w:hAnsiTheme="majorHAnsi" w:cstheme="majorHAnsi"/>
        </w:rPr>
        <w:t>Both the Cotton</w:t>
      </w:r>
      <w:r w:rsidRPr="00522062">
        <w:rPr>
          <w:rFonts w:eastAsiaTheme="minorEastAsia"/>
        </w:rPr>
        <w:t xml:space="preserve"> </w:t>
      </w:r>
      <w:r w:rsidRPr="00522062">
        <w:rPr>
          <w:rFonts w:asciiTheme="majorHAnsi" w:eastAsiaTheme="minorEastAsia" w:hAnsiTheme="majorHAnsi" w:cstheme="majorHAnsi"/>
        </w:rPr>
        <w:t xml:space="preserve">Research and Development Corporation and the Australian Renewable Energy Agency intend to utilise </w:t>
      </w:r>
      <w:r w:rsidR="00A019AE">
        <w:rPr>
          <w:rFonts w:asciiTheme="majorHAnsi" w:eastAsiaTheme="minorEastAsia" w:hAnsiTheme="majorHAnsi" w:cstheme="majorHAnsi"/>
        </w:rPr>
        <w:t>CBI</w:t>
      </w:r>
      <w:r w:rsidRPr="00522062">
        <w:rPr>
          <w:rFonts w:asciiTheme="majorHAnsi" w:eastAsiaTheme="minorEastAsia" w:hAnsiTheme="majorHAnsi" w:cstheme="majorHAnsi"/>
        </w:rPr>
        <w:t xml:space="preserve"> post BRII.</w:t>
      </w:r>
      <w:r>
        <w:rPr>
          <w:rFonts w:eastAsiaTheme="minorEastAsia"/>
        </w:rPr>
        <w:t xml:space="preserve"> Both agencies indicated that they </w:t>
      </w:r>
      <w:r w:rsidRPr="001D109B">
        <w:rPr>
          <w:rFonts w:eastAsiaTheme="minorEastAsia"/>
        </w:rPr>
        <w:t xml:space="preserve">have already had internal discussions about how they can </w:t>
      </w:r>
      <w:r>
        <w:rPr>
          <w:rFonts w:eastAsiaTheme="minorEastAsia"/>
        </w:rPr>
        <w:t>incorporate</w:t>
      </w:r>
      <w:r w:rsidRPr="001D109B">
        <w:rPr>
          <w:rFonts w:eastAsiaTheme="minorEastAsia"/>
        </w:rPr>
        <w:t xml:space="preserve"> </w:t>
      </w:r>
      <w:r w:rsidR="00A019AE">
        <w:rPr>
          <w:rFonts w:eastAsiaTheme="minorEastAsia"/>
        </w:rPr>
        <w:t>CBI</w:t>
      </w:r>
      <w:r w:rsidRPr="001D109B">
        <w:rPr>
          <w:rFonts w:eastAsiaTheme="minorEastAsia"/>
        </w:rPr>
        <w:t xml:space="preserve"> as part of their internal R&amp;D toolkit.</w:t>
      </w:r>
      <w:r w:rsidR="00000411">
        <w:rPr>
          <w:rFonts w:eastAsiaTheme="minorEastAsia"/>
        </w:rPr>
        <w:fldChar w:fldCharType="begin"/>
      </w:r>
      <w:r w:rsidR="00000411">
        <w:rPr>
          <w:rFonts w:eastAsiaTheme="minorEastAsia"/>
        </w:rPr>
        <w:instrText xml:space="preserve"> NOTEREF _Ref79400406 \f \h </w:instrText>
      </w:r>
      <w:r w:rsidR="00000411">
        <w:rPr>
          <w:rFonts w:eastAsiaTheme="minorEastAsia"/>
        </w:rPr>
      </w:r>
      <w:r w:rsidR="00000411">
        <w:rPr>
          <w:rFonts w:eastAsiaTheme="minorEastAsia"/>
        </w:rPr>
        <w:fldChar w:fldCharType="separate"/>
      </w:r>
      <w:r w:rsidR="00AE607F" w:rsidRPr="00AE607F">
        <w:rPr>
          <w:rStyle w:val="FootnoteReference"/>
          <w:rFonts w:eastAsiaTheme="minorEastAsia"/>
        </w:rPr>
        <w:t>34</w:t>
      </w:r>
      <w:r w:rsidR="00000411">
        <w:rPr>
          <w:rFonts w:eastAsiaTheme="minorEastAsia"/>
        </w:rPr>
        <w:fldChar w:fldCharType="end"/>
      </w:r>
    </w:p>
    <w:tbl>
      <w:tblPr>
        <w:tblStyle w:val="NousLongformcallout"/>
        <w:tblW w:w="5000" w:type="pct"/>
        <w:tblCellMar>
          <w:top w:w="170" w:type="dxa"/>
          <w:bottom w:w="170" w:type="dxa"/>
        </w:tblCellMar>
        <w:tblLook w:val="04A0" w:firstRow="1" w:lastRow="0" w:firstColumn="1" w:lastColumn="0" w:noHBand="0" w:noVBand="1"/>
      </w:tblPr>
      <w:tblGrid>
        <w:gridCol w:w="8907"/>
      </w:tblGrid>
      <w:tr w:rsidR="00105A0B" w:rsidRPr="005563B1" w14:paraId="4B6C57B5" w14:textId="77777777" w:rsidTr="00D81A29">
        <w:tc>
          <w:tcPr>
            <w:tcW w:w="5000" w:type="pct"/>
          </w:tcPr>
          <w:p w14:paraId="2C4E3E60" w14:textId="0450FC4E" w:rsidR="00105A0B" w:rsidRDefault="00105A0B" w:rsidP="000A6FAC">
            <w:pPr>
              <w:pStyle w:val="TableNheader"/>
            </w:pPr>
            <w:r w:rsidRPr="005563B1">
              <w:t>Spillovers and unintended consequences</w:t>
            </w:r>
          </w:p>
          <w:p w14:paraId="50BBB06E" w14:textId="4EECB6DA" w:rsidR="00105A0B" w:rsidRPr="005563B1" w:rsidRDefault="00555991" w:rsidP="000A6FAC">
            <w:pPr>
              <w:pStyle w:val="TableNText"/>
            </w:pPr>
            <w:r>
              <w:t xml:space="preserve">DISER has </w:t>
            </w:r>
            <w:r w:rsidR="006C69EF">
              <w:t>taken</w:t>
            </w:r>
            <w:r w:rsidR="00105A0B">
              <w:t xml:space="preserve"> the </w:t>
            </w:r>
            <w:r w:rsidR="006C69EF">
              <w:t xml:space="preserve">initiative to </w:t>
            </w:r>
            <w:r w:rsidR="0099683F">
              <w:t>convene</w:t>
            </w:r>
            <w:r w:rsidR="00763DE5">
              <w:t xml:space="preserve"> </w:t>
            </w:r>
            <w:r w:rsidR="00A019AE">
              <w:t>CBI</w:t>
            </w:r>
            <w:r w:rsidR="00F112DE">
              <w:t xml:space="preserve"> </w:t>
            </w:r>
            <w:r w:rsidR="0099683F">
              <w:t>practitioners through two key forums</w:t>
            </w:r>
            <w:r w:rsidR="005507E7">
              <w:t xml:space="preserve"> </w:t>
            </w:r>
            <w:r>
              <w:t xml:space="preserve">that </w:t>
            </w:r>
            <w:r w:rsidR="005507E7">
              <w:t>stakeholder</w:t>
            </w:r>
            <w:r w:rsidR="00337812">
              <w:t>s</w:t>
            </w:r>
            <w:r w:rsidR="005507E7">
              <w:t xml:space="preserve"> saw as positive spillovers from the BRII</w:t>
            </w:r>
            <w:r w:rsidR="0099683F">
              <w:t xml:space="preserve">. The first was </w:t>
            </w:r>
            <w:r>
              <w:t xml:space="preserve">the </w:t>
            </w:r>
            <w:r w:rsidR="00EB58D8" w:rsidRPr="00EB58D8">
              <w:t>2019 Challenge-Based Innovation Forum</w:t>
            </w:r>
            <w:r w:rsidR="00EB58D8">
              <w:t xml:space="preserve">. The </w:t>
            </w:r>
            <w:r w:rsidR="00A019AE" w:rsidRPr="00EB58D8">
              <w:t xml:space="preserve">Challenge-Based Innovation </w:t>
            </w:r>
            <w:r w:rsidR="00EB58D8">
              <w:t xml:space="preserve">Forum brought together </w:t>
            </w:r>
            <w:r w:rsidR="00F10029">
              <w:t xml:space="preserve">experts from the US SBIR and the UK SBRI to share insights with interested stakeholders. </w:t>
            </w:r>
            <w:r w:rsidR="00AC36B4">
              <w:t xml:space="preserve">Representatives from Canada who had recently launched the ISC also attended. This was the first such forum to be hosted. The </w:t>
            </w:r>
            <w:r>
              <w:t xml:space="preserve">BRII </w:t>
            </w:r>
            <w:r w:rsidR="00AC36B4">
              <w:t xml:space="preserve">team took away critical learnings from this forum that informed future program design. </w:t>
            </w:r>
            <w:r w:rsidR="00DF219E">
              <w:t xml:space="preserve">The second </w:t>
            </w:r>
            <w:r w:rsidR="00B3288F">
              <w:t>was</w:t>
            </w:r>
            <w:r w:rsidR="00DF219E">
              <w:t xml:space="preserve"> the</w:t>
            </w:r>
            <w:r w:rsidR="00105A0B">
              <w:t xml:space="preserve"> </w:t>
            </w:r>
            <w:r w:rsidR="00812678">
              <w:t>g</w:t>
            </w:r>
            <w:r w:rsidR="00105A0B" w:rsidRPr="000A6FAC">
              <w:t>overnment</w:t>
            </w:r>
            <w:r w:rsidR="00105A0B">
              <w:t xml:space="preserve"> community of practice for </w:t>
            </w:r>
            <w:r w:rsidR="00A019AE">
              <w:t>CBI</w:t>
            </w:r>
            <w:r w:rsidR="00105A0B">
              <w:t xml:space="preserve">. </w:t>
            </w:r>
            <w:r w:rsidR="00AA1CBD">
              <w:t xml:space="preserve">The community of practice includes representatives from across most State governments. A direct result of the community of practice has been the launch of the </w:t>
            </w:r>
            <w:r w:rsidR="008E01C3">
              <w:t>NSW Small Business Innovation and Research program</w:t>
            </w:r>
            <w:r w:rsidR="00E01C33" w:rsidRPr="00812678">
              <w:rPr>
                <w:vertAlign w:val="superscript"/>
              </w:rPr>
              <w:footnoteReference w:id="36"/>
            </w:r>
            <w:r w:rsidR="008E01C3">
              <w:t xml:space="preserve">, which was directly modelled off the BRII program. As the NSW SBIR and other similar programs launch across Australia there </w:t>
            </w:r>
            <w:r w:rsidR="00105A0B" w:rsidRPr="007A4C58">
              <w:t xml:space="preserve">is an opportunity </w:t>
            </w:r>
            <w:r w:rsidR="008E01C3">
              <w:t xml:space="preserve">to use the community </w:t>
            </w:r>
            <w:r w:rsidR="00C5377D">
              <w:t>o</w:t>
            </w:r>
            <w:r w:rsidR="008E01C3">
              <w:t xml:space="preserve">f practice to continue to </w:t>
            </w:r>
            <w:r w:rsidR="00105A0B" w:rsidRPr="007A4C58">
              <w:t>engage</w:t>
            </w:r>
            <w:r w:rsidR="00105A0B">
              <w:t>, collaborate and share lessons</w:t>
            </w:r>
            <w:r w:rsidR="009E3D5E">
              <w:t xml:space="preserve"> across jurisdictions</w:t>
            </w:r>
            <w:r w:rsidR="00105A0B">
              <w:t>.</w:t>
            </w:r>
          </w:p>
        </w:tc>
      </w:tr>
    </w:tbl>
    <w:p w14:paraId="21B9FCBA" w14:textId="3E03D907" w:rsidR="00EF3E77" w:rsidRPr="005A1099" w:rsidRDefault="00EF3E77" w:rsidP="005E3ACE">
      <w:pPr>
        <w:spacing w:before="240"/>
      </w:pPr>
      <w:r w:rsidRPr="00C233C8">
        <w:rPr>
          <w:lang w:val="en-US"/>
        </w:rPr>
        <w:t xml:space="preserve">Additionally, all the challenge agencies interviewed expressed that they would participate in the program again. Several provided qualified statements based on the need to improve some aspects of the program (these are explored in </w:t>
      </w:r>
      <w:r w:rsidR="000673BF">
        <w:rPr>
          <w:lang w:val="en-US"/>
        </w:rPr>
        <w:t>Section</w:t>
      </w:r>
      <w:r w:rsidRPr="00C233C8">
        <w:rPr>
          <w:lang w:val="en-US"/>
        </w:rPr>
        <w:t xml:space="preserve"> </w:t>
      </w:r>
      <w:r w:rsidRPr="00C233C8">
        <w:rPr>
          <w:lang w:val="en-US"/>
        </w:rPr>
        <w:fldChar w:fldCharType="begin"/>
      </w:r>
      <w:r w:rsidRPr="00C233C8">
        <w:rPr>
          <w:lang w:val="en-US"/>
        </w:rPr>
        <w:instrText xml:space="preserve"> REF _Ref75330957 \r \h  \* MERGEFORMAT </w:instrText>
      </w:r>
      <w:r w:rsidRPr="00C233C8">
        <w:rPr>
          <w:lang w:val="en-US"/>
        </w:rPr>
      </w:r>
      <w:r w:rsidRPr="00C233C8">
        <w:rPr>
          <w:lang w:val="en-US"/>
        </w:rPr>
        <w:fldChar w:fldCharType="separate"/>
      </w:r>
      <w:r w:rsidR="00AE607F">
        <w:rPr>
          <w:lang w:val="en-US"/>
        </w:rPr>
        <w:t>7.3.3</w:t>
      </w:r>
      <w:r w:rsidRPr="00C233C8">
        <w:rPr>
          <w:lang w:val="en-US"/>
        </w:rPr>
        <w:fldChar w:fldCharType="end"/>
      </w:r>
      <w:r w:rsidRPr="00C233C8">
        <w:rPr>
          <w:lang w:val="en-US"/>
        </w:rPr>
        <w:t xml:space="preserve">). However, the strong support for </w:t>
      </w:r>
      <w:r w:rsidRPr="00C233C8">
        <w:rPr>
          <w:lang w:val="en-US"/>
        </w:rPr>
        <w:lastRenderedPageBreak/>
        <w:t>the BRII from challenge agencies reflects both the value they have received from the program and an opportunity to expand opportunities through a scaled-up version of the program.</w:t>
      </w:r>
    </w:p>
    <w:tbl>
      <w:tblPr>
        <w:tblStyle w:val="TableGrid"/>
        <w:tblW w:w="5000" w:type="pct"/>
        <w:tblBorders>
          <w:top w:val="single" w:sz="4" w:space="0" w:color="00264D" w:themeColor="background2"/>
          <w:left w:val="single" w:sz="4" w:space="0" w:color="00264D" w:themeColor="background2"/>
          <w:bottom w:val="single" w:sz="24" w:space="0" w:color="F25E21" w:themeColor="accent2"/>
          <w:right w:val="single" w:sz="4" w:space="0" w:color="00264D" w:themeColor="background2"/>
          <w:insideH w:val="single" w:sz="4" w:space="0" w:color="00264D" w:themeColor="background2"/>
          <w:insideV w:val="single" w:sz="4" w:space="0" w:color="00264D" w:themeColor="background2"/>
        </w:tblBorders>
        <w:tblLook w:val="0620" w:firstRow="1" w:lastRow="0" w:firstColumn="0" w:lastColumn="0" w:noHBand="1" w:noVBand="1"/>
      </w:tblPr>
      <w:tblGrid>
        <w:gridCol w:w="1417"/>
        <w:gridCol w:w="2500"/>
        <w:gridCol w:w="2501"/>
        <w:gridCol w:w="2502"/>
      </w:tblGrid>
      <w:tr w:rsidR="00EF3E77" w14:paraId="51C8B903" w14:textId="77777777" w:rsidTr="00D51AD3">
        <w:trPr>
          <w:cnfStyle w:val="100000000000" w:firstRow="1" w:lastRow="0" w:firstColumn="0" w:lastColumn="0" w:oddVBand="0" w:evenVBand="0" w:oddHBand="0" w:evenHBand="0" w:firstRowFirstColumn="0" w:firstRowLastColumn="0" w:lastRowFirstColumn="0" w:lastRowLastColumn="0"/>
        </w:trPr>
        <w:tc>
          <w:tcPr>
            <w:tcW w:w="714"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264D" w:themeFill="background2"/>
            <w:vAlign w:val="bottom"/>
          </w:tcPr>
          <w:p w14:paraId="77212543" w14:textId="4FD26181" w:rsidR="00EF3E77" w:rsidRPr="00980B1C" w:rsidRDefault="00980B1C" w:rsidP="00980B1C">
            <w:pPr>
              <w:pStyle w:val="TableNheader"/>
              <w:rPr>
                <w:color w:val="FFFFFF" w:themeColor="background1"/>
                <w:lang w:eastAsia="en-AU"/>
              </w:rPr>
            </w:pPr>
            <w:r w:rsidRPr="00980B1C">
              <w:rPr>
                <w:color w:val="FFFFFF" w:themeColor="background1"/>
                <w:lang w:eastAsia="en-AU"/>
              </w:rPr>
              <w:t>Quote from respondent</w:t>
            </w:r>
            <w:r w:rsidR="00EF3E77" w:rsidRPr="00980B1C">
              <w:rPr>
                <w:noProof/>
                <w:color w:val="FFFFFF" w:themeColor="background1"/>
                <w:lang w:eastAsia="en-AU"/>
              </w:rPr>
              <w:drawing>
                <wp:inline distT="0" distB="0" distL="0" distR="0" wp14:anchorId="563F6C89" wp14:editId="63E4E622">
                  <wp:extent cx="504825" cy="1095375"/>
                  <wp:effectExtent l="0" t="0" r="9525" b="9525"/>
                  <wp:docPr id="27841" name="Picture 27841" descr="Quotes from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41" name="Picture 27841" descr="Quotes from respondent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4825" cy="1095375"/>
                          </a:xfrm>
                          <a:prstGeom prst="rect">
                            <a:avLst/>
                          </a:prstGeom>
                          <a:noFill/>
                          <a:ln>
                            <a:noFill/>
                          </a:ln>
                        </pic:spPr>
                      </pic:pic>
                    </a:graphicData>
                  </a:graphic>
                </wp:inline>
              </w:drawing>
            </w:r>
          </w:p>
        </w:tc>
        <w:tc>
          <w:tcPr>
            <w:tcW w:w="1428"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4D9F764C" w14:textId="77777777" w:rsidR="00EF3E77" w:rsidRPr="00A43F87" w:rsidRDefault="00EF3E77" w:rsidP="00226F49">
            <w:pPr>
              <w:rPr>
                <w:i/>
                <w:iCs/>
              </w:rPr>
            </w:pPr>
            <w:r w:rsidRPr="004D26E2">
              <w:rPr>
                <w:i/>
                <w:iCs/>
              </w:rPr>
              <w:t>“[CBI] allows a good idea to flourish. It's very blue sky, nothing's off limits. It allows a lot of flexibility on what you do. Novelty is the only way to succeed, and BRII allows that. It also allows you to fail - we haven’t achieved all the KPI's. Normal procurement there's more pressure to tick all the boxes” – Challenge agency</w:t>
            </w:r>
          </w:p>
        </w:tc>
        <w:tc>
          <w:tcPr>
            <w:tcW w:w="1428"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798A1E4B" w14:textId="77777777" w:rsidR="00EF3E77" w:rsidRDefault="00EF3E77" w:rsidP="00226F49">
            <w:pPr>
              <w:rPr>
                <w:lang w:eastAsia="en-AU"/>
              </w:rPr>
            </w:pPr>
            <w:r w:rsidRPr="004D26E2">
              <w:rPr>
                <w:i/>
                <w:iCs/>
              </w:rPr>
              <w:t>“We are starting to think about maybe having a challenge round here” – Challenge agency</w:t>
            </w:r>
          </w:p>
        </w:tc>
        <w:tc>
          <w:tcPr>
            <w:tcW w:w="1429"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42B91789" w14:textId="77777777" w:rsidR="00EF3E77" w:rsidRDefault="00EF3E77" w:rsidP="00226F49">
            <w:pPr>
              <w:rPr>
                <w:lang w:eastAsia="en-AU"/>
              </w:rPr>
            </w:pPr>
            <w:r w:rsidRPr="004D26E2">
              <w:rPr>
                <w:i/>
                <w:iCs/>
              </w:rPr>
              <w:t>“Yes, I would look to do this [BRII] if there was another round particularly to leverage funds – if I can contribute money…we would look to do something on a more permanent basis” – Challenge agency</w:t>
            </w:r>
          </w:p>
        </w:tc>
      </w:tr>
    </w:tbl>
    <w:p w14:paraId="1C6E848E" w14:textId="13C01DCB" w:rsidR="00EF3E77" w:rsidRDefault="00A169ED">
      <w:pPr>
        <w:pStyle w:val="Heading3"/>
      </w:pPr>
      <w:bookmarkStart w:id="76" w:name="_Ref79330960"/>
      <w:r>
        <w:t>R</w:t>
      </w:r>
      <w:r w:rsidR="00EF3E77" w:rsidRPr="00981FE2">
        <w:t xml:space="preserve">ound one </w:t>
      </w:r>
      <w:r>
        <w:t>challenge</w:t>
      </w:r>
      <w:r w:rsidR="00EF3E77" w:rsidRPr="00981FE2">
        <w:t xml:space="preserve"> solutions have delivered a range of benefits</w:t>
      </w:r>
      <w:bookmarkEnd w:id="76"/>
    </w:p>
    <w:p w14:paraId="56DFF49B" w14:textId="77777777" w:rsidR="00EF3E77" w:rsidRPr="00322DDB" w:rsidRDefault="00EF3E77" w:rsidP="00EF3E77">
      <w:pPr>
        <w:rPr>
          <w:lang w:eastAsia="en-AU"/>
        </w:rPr>
      </w:pPr>
      <w:r w:rsidRPr="00322DDB">
        <w:rPr>
          <w:lang w:eastAsia="en-AU"/>
        </w:rPr>
        <w:t xml:space="preserve">The potential economic benefits and public value of solutions </w:t>
      </w:r>
      <w:r>
        <w:rPr>
          <w:lang w:eastAsia="en-AU"/>
        </w:rPr>
        <w:t xml:space="preserve">that </w:t>
      </w:r>
      <w:r w:rsidRPr="00322DDB">
        <w:rPr>
          <w:lang w:eastAsia="en-AU"/>
        </w:rPr>
        <w:t xml:space="preserve">round one solutions generated were explored as part of the 2018 program evaluation. This assessment was made using initial challenge applications. Since the completion of the BRII, </w:t>
      </w:r>
      <w:r>
        <w:rPr>
          <w:lang w:eastAsia="en-AU"/>
        </w:rPr>
        <w:t>challenge agencies</w:t>
      </w:r>
      <w:r w:rsidRPr="00322DDB">
        <w:rPr>
          <w:lang w:eastAsia="en-AU"/>
        </w:rPr>
        <w:t xml:space="preserve"> directly procured or supported four out of five </w:t>
      </w:r>
      <w:r>
        <w:rPr>
          <w:lang w:eastAsia="en-AU"/>
        </w:rPr>
        <w:t xml:space="preserve">challenge </w:t>
      </w:r>
      <w:r w:rsidRPr="00322DDB">
        <w:rPr>
          <w:lang w:eastAsia="en-AU"/>
        </w:rPr>
        <w:t>solutions. This has provided the opportunity to assess the realised benefits.</w:t>
      </w:r>
    </w:p>
    <w:p w14:paraId="68B7C0E9" w14:textId="53F748BC" w:rsidR="00EF3E77" w:rsidRDefault="00301E9B" w:rsidP="00EF3E77">
      <w:pPr>
        <w:rPr>
          <w:lang w:eastAsia="en-AU"/>
        </w:rPr>
      </w:pPr>
      <w:r>
        <w:rPr>
          <w:lang w:eastAsia="en-AU"/>
        </w:rPr>
        <w:fldChar w:fldCharType="begin"/>
      </w:r>
      <w:r>
        <w:rPr>
          <w:lang w:eastAsia="en-AU"/>
        </w:rPr>
        <w:instrText xml:space="preserve"> REF _Ref79400106 \h </w:instrText>
      </w:r>
      <w:r>
        <w:rPr>
          <w:lang w:eastAsia="en-AU"/>
        </w:rPr>
      </w:r>
      <w:r>
        <w:rPr>
          <w:lang w:eastAsia="en-AU"/>
        </w:rPr>
        <w:fldChar w:fldCharType="separate"/>
      </w:r>
      <w:r w:rsidR="00AE607F">
        <w:t xml:space="preserve">Table </w:t>
      </w:r>
      <w:r w:rsidR="00AE607F">
        <w:rPr>
          <w:noProof/>
        </w:rPr>
        <w:t>3</w:t>
      </w:r>
      <w:r>
        <w:rPr>
          <w:lang w:eastAsia="en-AU"/>
        </w:rPr>
        <w:fldChar w:fldCharType="end"/>
      </w:r>
      <w:r>
        <w:rPr>
          <w:lang w:eastAsia="en-AU"/>
        </w:rPr>
        <w:t xml:space="preserve"> </w:t>
      </w:r>
      <w:r w:rsidR="00EF3E77" w:rsidRPr="00322DDB">
        <w:rPr>
          <w:lang w:eastAsia="en-AU"/>
        </w:rPr>
        <w:t>outlines the economic and public benefits that both solution designers (i.e. SMEs) and solution beneficiaries (e.g. government) have described through interviews and other correspondence. Where possible, the economic benefits associated with a small selection of BRII solutions have also been presented as part of the CBA</w:t>
      </w:r>
      <w:r w:rsidR="00EF3E77">
        <w:rPr>
          <w:lang w:eastAsia="en-AU"/>
        </w:rPr>
        <w:t xml:space="preserve"> (see </w:t>
      </w:r>
      <w:r w:rsidR="000673BF">
        <w:rPr>
          <w:lang w:eastAsia="en-AU"/>
        </w:rPr>
        <w:t>Section</w:t>
      </w:r>
      <w:r w:rsidR="00EF3E77">
        <w:rPr>
          <w:lang w:eastAsia="en-AU"/>
        </w:rPr>
        <w:t xml:space="preserve"> </w:t>
      </w:r>
      <w:r w:rsidR="00EF3E77">
        <w:rPr>
          <w:lang w:eastAsia="en-AU"/>
        </w:rPr>
        <w:fldChar w:fldCharType="begin"/>
      </w:r>
      <w:r w:rsidR="00EF3E77">
        <w:rPr>
          <w:lang w:eastAsia="en-AU"/>
        </w:rPr>
        <w:instrText xml:space="preserve"> REF _Ref76043060 \r \h </w:instrText>
      </w:r>
      <w:r w:rsidR="00EF3E77">
        <w:rPr>
          <w:lang w:eastAsia="en-AU"/>
        </w:rPr>
      </w:r>
      <w:r w:rsidR="00EF3E77">
        <w:rPr>
          <w:lang w:eastAsia="en-AU"/>
        </w:rPr>
        <w:fldChar w:fldCharType="separate"/>
      </w:r>
      <w:r w:rsidR="00AE607F">
        <w:rPr>
          <w:lang w:eastAsia="en-AU"/>
        </w:rPr>
        <w:t>6.3</w:t>
      </w:r>
      <w:r w:rsidR="00EF3E77">
        <w:rPr>
          <w:lang w:eastAsia="en-AU"/>
        </w:rPr>
        <w:fldChar w:fldCharType="end"/>
      </w:r>
      <w:r w:rsidR="00EF3E77">
        <w:rPr>
          <w:lang w:eastAsia="en-AU"/>
        </w:rPr>
        <w:t>).</w:t>
      </w:r>
    </w:p>
    <w:p w14:paraId="6C70AC58" w14:textId="4F7FB8E9" w:rsidR="00EF3E77" w:rsidRDefault="00A169ED">
      <w:pPr>
        <w:pStyle w:val="Heading3"/>
      </w:pPr>
      <w:bookmarkStart w:id="77" w:name="_Ref79331003"/>
      <w:r>
        <w:t>Round two c</w:t>
      </w:r>
      <w:r w:rsidR="00EF3E77" w:rsidRPr="00981FE2">
        <w:t>hallenge solutions have the potential to deliver similar benefits</w:t>
      </w:r>
      <w:bookmarkEnd w:id="77"/>
      <w:r>
        <w:t xml:space="preserve"> to round one solutions</w:t>
      </w:r>
    </w:p>
    <w:p w14:paraId="399095EB" w14:textId="2068A820" w:rsidR="00EF3E77" w:rsidRPr="00B47DF8" w:rsidRDefault="00EF3E77" w:rsidP="00EF3E77">
      <w:pPr>
        <w:rPr>
          <w:lang w:eastAsia="en-AU"/>
        </w:rPr>
      </w:pPr>
      <w:r w:rsidRPr="00B47DF8">
        <w:rPr>
          <w:lang w:eastAsia="en-AU"/>
        </w:rPr>
        <w:t>Consultation</w:t>
      </w:r>
      <w:r w:rsidR="00675C03">
        <w:rPr>
          <w:lang w:eastAsia="en-AU"/>
        </w:rPr>
        <w:t>s</w:t>
      </w:r>
      <w:r w:rsidRPr="00B47DF8">
        <w:rPr>
          <w:lang w:eastAsia="en-AU"/>
        </w:rPr>
        <w:t xml:space="preserve"> with challenge agencies and SMEs from round two indicates that if implemented, proof of concept solutions have the potential to deliver a range of economic and public value benefits, not only to their challenge agency, but to Australia more broadly. As round one solutions have demonstrated, the magnitude of potential benefits and the time over which they are realised will vary by solution.</w:t>
      </w:r>
      <w:r>
        <w:rPr>
          <w:lang w:eastAsia="en-AU"/>
        </w:rPr>
        <w:t xml:space="preserve"> </w:t>
      </w:r>
      <w:r w:rsidR="00144B26">
        <w:rPr>
          <w:lang w:eastAsia="en-AU"/>
        </w:rPr>
        <w:fldChar w:fldCharType="begin"/>
      </w:r>
      <w:r w:rsidR="00144B26">
        <w:rPr>
          <w:lang w:eastAsia="en-AU"/>
        </w:rPr>
        <w:instrText xml:space="preserve"> REF _Ref79400355 \h </w:instrText>
      </w:r>
      <w:r w:rsidR="00144B26">
        <w:rPr>
          <w:lang w:eastAsia="en-AU"/>
        </w:rPr>
      </w:r>
      <w:r w:rsidR="00144B26">
        <w:rPr>
          <w:lang w:eastAsia="en-AU"/>
        </w:rPr>
        <w:fldChar w:fldCharType="separate"/>
      </w:r>
      <w:r w:rsidR="00AE607F">
        <w:t xml:space="preserve">Table </w:t>
      </w:r>
      <w:r w:rsidR="00AE607F">
        <w:rPr>
          <w:noProof/>
        </w:rPr>
        <w:t>4</w:t>
      </w:r>
      <w:r w:rsidR="00144B26">
        <w:rPr>
          <w:lang w:eastAsia="en-AU"/>
        </w:rPr>
        <w:fldChar w:fldCharType="end"/>
      </w:r>
      <w:r>
        <w:rPr>
          <w:lang w:eastAsia="en-AU"/>
        </w:rPr>
        <w:t xml:space="preserve"> on page </w:t>
      </w:r>
      <w:r w:rsidR="00144B26">
        <w:rPr>
          <w:lang w:eastAsia="en-AU"/>
        </w:rPr>
        <w:fldChar w:fldCharType="begin"/>
      </w:r>
      <w:r w:rsidR="00144B26">
        <w:rPr>
          <w:lang w:eastAsia="en-AU"/>
        </w:rPr>
        <w:instrText xml:space="preserve"> PAGEREF _Ref79400373 \h </w:instrText>
      </w:r>
      <w:r w:rsidR="00144B26">
        <w:rPr>
          <w:lang w:eastAsia="en-AU"/>
        </w:rPr>
      </w:r>
      <w:r w:rsidR="00144B26">
        <w:rPr>
          <w:lang w:eastAsia="en-AU"/>
        </w:rPr>
        <w:fldChar w:fldCharType="separate"/>
      </w:r>
      <w:r w:rsidR="00AE607F">
        <w:rPr>
          <w:noProof/>
          <w:lang w:eastAsia="en-AU"/>
        </w:rPr>
        <w:t>39</w:t>
      </w:r>
      <w:r w:rsidR="00144B26">
        <w:rPr>
          <w:lang w:eastAsia="en-AU"/>
        </w:rPr>
        <w:fldChar w:fldCharType="end"/>
      </w:r>
      <w:r w:rsidR="00144B26">
        <w:rPr>
          <w:lang w:eastAsia="en-AU"/>
        </w:rPr>
        <w:t xml:space="preserve"> </w:t>
      </w:r>
      <w:r w:rsidRPr="00B47DF8">
        <w:rPr>
          <w:lang w:eastAsia="en-AU"/>
        </w:rPr>
        <w:t xml:space="preserve">provides an indication of benefits that could potentially stem from </w:t>
      </w:r>
      <w:r>
        <w:rPr>
          <w:lang w:eastAsia="en-AU"/>
        </w:rPr>
        <w:t>r</w:t>
      </w:r>
      <w:r w:rsidRPr="00B47DF8">
        <w:rPr>
          <w:lang w:eastAsia="en-AU"/>
        </w:rPr>
        <w:t xml:space="preserve">ound two. </w:t>
      </w:r>
    </w:p>
    <w:p w14:paraId="7AD42C36" w14:textId="77777777" w:rsidR="00EF3E77" w:rsidRDefault="00EF3E77" w:rsidP="00EF3E77">
      <w:pPr>
        <w:rPr>
          <w:lang w:eastAsia="en-AU"/>
        </w:rPr>
      </w:pPr>
    </w:p>
    <w:p w14:paraId="38B11DA3" w14:textId="77777777" w:rsidR="00EF3E77" w:rsidRDefault="00EF3E77" w:rsidP="00EF3E77">
      <w:pPr>
        <w:rPr>
          <w:lang w:eastAsia="en-AU"/>
        </w:rPr>
        <w:sectPr w:rsidR="00EF3E77" w:rsidSect="00AE1109">
          <w:headerReference w:type="first" r:id="rId53"/>
          <w:pgSz w:w="11907" w:h="16839" w:code="9"/>
          <w:pgMar w:top="1418" w:right="1418" w:bottom="1701" w:left="1559" w:header="720" w:footer="720" w:gutter="0"/>
          <w:cols w:space="720"/>
          <w:titlePg/>
          <w:docGrid w:linePitch="360"/>
        </w:sectPr>
      </w:pPr>
    </w:p>
    <w:p w14:paraId="7DCAC02A" w14:textId="6DDE935F" w:rsidR="00EF3E77" w:rsidRPr="00046FBB" w:rsidRDefault="00EF3E77" w:rsidP="00EF3E77">
      <w:pPr>
        <w:pStyle w:val="Caption"/>
      </w:pPr>
      <w:bookmarkStart w:id="78" w:name="_Ref79400106"/>
      <w:r>
        <w:lastRenderedPageBreak/>
        <w:t xml:space="preserve">Table </w:t>
      </w:r>
      <w:r>
        <w:fldChar w:fldCharType="begin"/>
      </w:r>
      <w:r>
        <w:instrText xml:space="preserve"> SEQ Table \* ARABIC </w:instrText>
      </w:r>
      <w:r>
        <w:fldChar w:fldCharType="separate"/>
      </w:r>
      <w:r w:rsidR="00AE607F">
        <w:rPr>
          <w:noProof/>
        </w:rPr>
        <w:t>3</w:t>
      </w:r>
      <w:r>
        <w:fldChar w:fldCharType="end"/>
      </w:r>
      <w:bookmarkEnd w:id="78"/>
      <w:r>
        <w:t xml:space="preserve"> | Indication of benefits by challenge (round one)</w:t>
      </w:r>
      <w:r w:rsidR="00C46D86">
        <w:rPr>
          <w:rStyle w:val="FootnoteReference"/>
        </w:rPr>
        <w:footnoteReference w:id="37"/>
      </w:r>
    </w:p>
    <w:tbl>
      <w:tblPr>
        <w:tblStyle w:val="NousTableTopandside"/>
        <w:tblW w:w="5000" w:type="pct"/>
        <w:tblBorders>
          <w:top w:val="single" w:sz="4" w:space="0" w:color="00264D" w:themeColor="background2"/>
          <w:left w:val="single" w:sz="4" w:space="0" w:color="00264D" w:themeColor="background2"/>
          <w:bottom w:val="single" w:sz="4" w:space="0" w:color="00264D" w:themeColor="background2"/>
          <w:right w:val="single" w:sz="4" w:space="0" w:color="00264D" w:themeColor="background2"/>
          <w:insideH w:val="single" w:sz="4" w:space="0" w:color="00264D" w:themeColor="background2"/>
          <w:insideV w:val="single" w:sz="4" w:space="0" w:color="00264D" w:themeColor="background2"/>
        </w:tblBorders>
        <w:tblLayout w:type="fixed"/>
        <w:tblLook w:val="0420" w:firstRow="1" w:lastRow="0" w:firstColumn="0" w:lastColumn="0" w:noHBand="0" w:noVBand="1"/>
      </w:tblPr>
      <w:tblGrid>
        <w:gridCol w:w="1474"/>
        <w:gridCol w:w="3770"/>
        <w:gridCol w:w="3258"/>
        <w:gridCol w:w="3258"/>
        <w:gridCol w:w="3367"/>
      </w:tblGrid>
      <w:tr w:rsidR="00D0106D" w:rsidRPr="00981FE2" w14:paraId="12EF8CE3" w14:textId="77777777" w:rsidTr="009852C8">
        <w:trPr>
          <w:cnfStyle w:val="100000000000" w:firstRow="1" w:lastRow="0" w:firstColumn="0" w:lastColumn="0" w:oddVBand="0" w:evenVBand="0" w:oddHBand="0" w:evenHBand="0" w:firstRowFirstColumn="0" w:firstRowLastColumn="0" w:lastRowFirstColumn="0" w:lastRowLastColumn="0"/>
          <w:trHeight w:val="1027"/>
        </w:trPr>
        <w:tc>
          <w:tcPr>
            <w:tcW w:w="487" w:type="pct"/>
            <w:tcBorders>
              <w:top w:val="none" w:sz="0" w:space="0" w:color="auto"/>
              <w:right w:val="none" w:sz="0" w:space="0" w:color="auto"/>
            </w:tcBorders>
            <w:hideMark/>
          </w:tcPr>
          <w:p w14:paraId="6E98E2AB" w14:textId="0EB24E97" w:rsidR="00325FF2" w:rsidRPr="00D0106D" w:rsidRDefault="00325FF2" w:rsidP="00D0106D">
            <w:pPr>
              <w:pStyle w:val="TableNheader"/>
              <w:rPr>
                <w:sz w:val="18"/>
                <w:szCs w:val="16"/>
              </w:rPr>
            </w:pPr>
            <w:r w:rsidRPr="00D0106D">
              <w:rPr>
                <w:sz w:val="18"/>
                <w:szCs w:val="16"/>
              </w:rPr>
              <w:t>Challenges</w:t>
            </w:r>
          </w:p>
        </w:tc>
        <w:tc>
          <w:tcPr>
            <w:tcW w:w="1246" w:type="pct"/>
            <w:tcBorders>
              <w:top w:val="single" w:sz="24" w:space="0" w:color="FF3A40" w:themeColor="accent1"/>
              <w:left w:val="none" w:sz="0" w:space="0" w:color="auto"/>
              <w:right w:val="single" w:sz="4" w:space="0" w:color="FFFFFF" w:themeColor="background1"/>
            </w:tcBorders>
            <w:shd w:val="clear" w:color="auto" w:fill="00264D" w:themeFill="background2"/>
            <w:hideMark/>
          </w:tcPr>
          <w:p w14:paraId="3EAF8EEA" w14:textId="700A777A" w:rsidR="00325FF2" w:rsidRPr="00D0106D" w:rsidRDefault="00325FF2" w:rsidP="00D0106D">
            <w:pPr>
              <w:pStyle w:val="TableNheader"/>
              <w:jc w:val="center"/>
              <w:rPr>
                <w:color w:val="FFFFFF" w:themeColor="background1"/>
                <w:sz w:val="18"/>
                <w:szCs w:val="16"/>
              </w:rPr>
            </w:pPr>
            <w:r w:rsidRPr="00D0106D">
              <w:rPr>
                <w:color w:val="FFFFFF" w:themeColor="background1"/>
                <w:sz w:val="18"/>
                <w:szCs w:val="16"/>
              </w:rPr>
              <w:t>A</w:t>
            </w:r>
          </w:p>
          <w:p w14:paraId="7A3CA065" w14:textId="2D1CA340" w:rsidR="00325FF2" w:rsidRPr="00D0106D" w:rsidRDefault="00325FF2" w:rsidP="00D0106D">
            <w:pPr>
              <w:pStyle w:val="TableNheader"/>
              <w:jc w:val="center"/>
              <w:rPr>
                <w:color w:val="FFFFFF" w:themeColor="background1"/>
                <w:sz w:val="18"/>
                <w:szCs w:val="16"/>
              </w:rPr>
            </w:pPr>
            <w:r w:rsidRPr="00D0106D">
              <w:rPr>
                <w:color w:val="FFFFFF" w:themeColor="background1"/>
                <w:sz w:val="18"/>
                <w:szCs w:val="16"/>
              </w:rPr>
              <w:t>Digitally enabled community engagement in policy and program design</w:t>
            </w:r>
          </w:p>
        </w:tc>
        <w:tc>
          <w:tcPr>
            <w:tcW w:w="1077" w:type="pct"/>
            <w:tcBorders>
              <w:top w:val="single" w:sz="24" w:space="0" w:color="F25E21" w:themeColor="accent2"/>
              <w:left w:val="single" w:sz="4" w:space="0" w:color="FFFFFF" w:themeColor="background1"/>
              <w:right w:val="single" w:sz="4" w:space="0" w:color="FFFFFF" w:themeColor="background1"/>
            </w:tcBorders>
            <w:shd w:val="clear" w:color="auto" w:fill="00264D" w:themeFill="background2"/>
            <w:hideMark/>
          </w:tcPr>
          <w:p w14:paraId="23903EE0" w14:textId="6FC8D15E" w:rsidR="00325FF2" w:rsidRPr="00D0106D" w:rsidRDefault="00325FF2" w:rsidP="00D0106D">
            <w:pPr>
              <w:pStyle w:val="TableNheader"/>
              <w:jc w:val="center"/>
              <w:rPr>
                <w:color w:val="FFFFFF" w:themeColor="background1"/>
                <w:sz w:val="18"/>
                <w:szCs w:val="16"/>
              </w:rPr>
            </w:pPr>
            <w:r w:rsidRPr="00D0106D">
              <w:rPr>
                <w:color w:val="FFFFFF" w:themeColor="background1"/>
                <w:sz w:val="18"/>
                <w:szCs w:val="16"/>
              </w:rPr>
              <w:t>B</w:t>
            </w:r>
          </w:p>
          <w:p w14:paraId="02E240A6" w14:textId="641C0F9F" w:rsidR="00325FF2" w:rsidRPr="00D0106D" w:rsidRDefault="00325FF2" w:rsidP="00D0106D">
            <w:pPr>
              <w:pStyle w:val="TableNheader"/>
              <w:jc w:val="center"/>
              <w:rPr>
                <w:color w:val="FFFFFF" w:themeColor="background1"/>
                <w:sz w:val="18"/>
                <w:szCs w:val="16"/>
              </w:rPr>
            </w:pPr>
            <w:r w:rsidRPr="00D0106D">
              <w:rPr>
                <w:color w:val="FFFFFF" w:themeColor="background1"/>
                <w:sz w:val="18"/>
                <w:szCs w:val="16"/>
              </w:rPr>
              <w:t>Improve transparency and reliability of water market information</w:t>
            </w:r>
          </w:p>
        </w:tc>
        <w:tc>
          <w:tcPr>
            <w:tcW w:w="1077" w:type="pct"/>
            <w:tcBorders>
              <w:left w:val="single" w:sz="4" w:space="0" w:color="FFFFFF" w:themeColor="background1"/>
              <w:right w:val="single" w:sz="4" w:space="0" w:color="FFFFFF" w:themeColor="background1"/>
            </w:tcBorders>
            <w:shd w:val="clear" w:color="auto" w:fill="00264D" w:themeFill="background2"/>
            <w:hideMark/>
          </w:tcPr>
          <w:p w14:paraId="2770E5F7" w14:textId="3132FC37" w:rsidR="00325FF2" w:rsidRPr="00D0106D" w:rsidRDefault="00325FF2" w:rsidP="00D0106D">
            <w:pPr>
              <w:pStyle w:val="TableNheader"/>
              <w:jc w:val="center"/>
              <w:rPr>
                <w:color w:val="FFFFFF" w:themeColor="background1"/>
                <w:sz w:val="18"/>
                <w:szCs w:val="16"/>
              </w:rPr>
            </w:pPr>
            <w:r w:rsidRPr="00D0106D">
              <w:rPr>
                <w:color w:val="FFFFFF" w:themeColor="background1"/>
                <w:sz w:val="18"/>
                <w:szCs w:val="16"/>
              </w:rPr>
              <w:t>C</w:t>
            </w:r>
          </w:p>
          <w:p w14:paraId="3CD6E0D2" w14:textId="64E8FB81" w:rsidR="00325FF2" w:rsidRPr="00D0106D" w:rsidRDefault="00325FF2" w:rsidP="00D0106D">
            <w:pPr>
              <w:pStyle w:val="TableNheader"/>
              <w:jc w:val="center"/>
              <w:rPr>
                <w:color w:val="FFFFFF" w:themeColor="background1"/>
                <w:sz w:val="18"/>
                <w:szCs w:val="16"/>
              </w:rPr>
            </w:pPr>
            <w:r w:rsidRPr="00D0106D">
              <w:rPr>
                <w:color w:val="FFFFFF" w:themeColor="background1"/>
                <w:sz w:val="18"/>
                <w:szCs w:val="16"/>
              </w:rPr>
              <w:t>On-the-spot technology for measuring pyrethroid surface residue</w:t>
            </w:r>
          </w:p>
        </w:tc>
        <w:tc>
          <w:tcPr>
            <w:tcW w:w="1113" w:type="pct"/>
            <w:tcBorders>
              <w:top w:val="single" w:sz="24" w:space="0" w:color="FED13B" w:themeColor="accent4"/>
              <w:left w:val="single" w:sz="4" w:space="0" w:color="FFFFFF" w:themeColor="background1"/>
            </w:tcBorders>
            <w:shd w:val="clear" w:color="auto" w:fill="00264D" w:themeFill="background2"/>
            <w:hideMark/>
          </w:tcPr>
          <w:p w14:paraId="17B1A218" w14:textId="14A42EAA" w:rsidR="00325FF2" w:rsidRPr="00D0106D" w:rsidRDefault="00325FF2" w:rsidP="00D0106D">
            <w:pPr>
              <w:pStyle w:val="TableNheader"/>
              <w:jc w:val="center"/>
              <w:rPr>
                <w:color w:val="FFFFFF" w:themeColor="background1"/>
                <w:sz w:val="18"/>
                <w:szCs w:val="16"/>
              </w:rPr>
            </w:pPr>
            <w:r w:rsidRPr="00D0106D">
              <w:rPr>
                <w:color w:val="FFFFFF" w:themeColor="background1"/>
                <w:sz w:val="18"/>
                <w:szCs w:val="16"/>
              </w:rPr>
              <w:t>D</w:t>
            </w:r>
          </w:p>
          <w:p w14:paraId="1A7B9AD5" w14:textId="4931D47D" w:rsidR="00325FF2" w:rsidRPr="00D0106D" w:rsidRDefault="00325FF2" w:rsidP="00D0106D">
            <w:pPr>
              <w:pStyle w:val="TableNheader"/>
              <w:jc w:val="center"/>
              <w:rPr>
                <w:color w:val="FFFFFF" w:themeColor="background1"/>
                <w:sz w:val="18"/>
                <w:szCs w:val="16"/>
              </w:rPr>
            </w:pPr>
            <w:r w:rsidRPr="00D0106D">
              <w:rPr>
                <w:color w:val="FFFFFF" w:themeColor="background1"/>
                <w:sz w:val="18"/>
                <w:szCs w:val="16"/>
              </w:rPr>
              <w:t>Sharing information nationally to ensure child safety</w:t>
            </w:r>
          </w:p>
        </w:tc>
      </w:tr>
      <w:tr w:rsidR="00EF3E77" w:rsidRPr="00981FE2" w14:paraId="75655571" w14:textId="77777777" w:rsidTr="00D0106D">
        <w:trPr>
          <w:trHeight w:val="437"/>
        </w:trPr>
        <w:tc>
          <w:tcPr>
            <w:tcW w:w="487" w:type="pct"/>
            <w:shd w:val="clear" w:color="auto" w:fill="E6E6E1" w:themeFill="accent5"/>
            <w:hideMark/>
          </w:tcPr>
          <w:p w14:paraId="0AFC9A17" w14:textId="169FFDAC" w:rsidR="00EF3E77" w:rsidRPr="00610204" w:rsidRDefault="00325FF2" w:rsidP="00610204">
            <w:pPr>
              <w:pStyle w:val="TableNheader"/>
              <w:rPr>
                <w:rFonts w:ascii="Arial" w:hAnsi="Arial" w:cs="Arial"/>
                <w:sz w:val="18"/>
                <w:szCs w:val="18"/>
                <w:lang w:eastAsia="en-AU"/>
              </w:rPr>
            </w:pPr>
            <w:r w:rsidRPr="00610204">
              <w:rPr>
                <w:sz w:val="18"/>
                <w:szCs w:val="18"/>
                <w:lang w:eastAsia="en-AU"/>
              </w:rPr>
              <w:t>Solution</w:t>
            </w:r>
          </w:p>
        </w:tc>
        <w:tc>
          <w:tcPr>
            <w:tcW w:w="1246" w:type="pct"/>
            <w:hideMark/>
          </w:tcPr>
          <w:p w14:paraId="17B00B9F" w14:textId="77777777" w:rsidR="00EF3E77" w:rsidRPr="00325FF2" w:rsidRDefault="00EF3E77" w:rsidP="00325FF2">
            <w:pPr>
              <w:pStyle w:val="TableNBullet"/>
              <w:spacing w:before="0" w:after="0"/>
              <w:rPr>
                <w:sz w:val="16"/>
                <w:szCs w:val="16"/>
              </w:rPr>
            </w:pPr>
            <w:r w:rsidRPr="00325FF2">
              <w:rPr>
                <w:sz w:val="16"/>
                <w:szCs w:val="16"/>
              </w:rPr>
              <w:t>Converlens – AI powered web-based consultation platform that can collect, process and analyse complex qualitative data</w:t>
            </w:r>
          </w:p>
        </w:tc>
        <w:tc>
          <w:tcPr>
            <w:tcW w:w="1077" w:type="pct"/>
            <w:hideMark/>
          </w:tcPr>
          <w:p w14:paraId="57BA8D21" w14:textId="77777777" w:rsidR="00EF3E77" w:rsidRPr="00325FF2" w:rsidRDefault="00EF3E77" w:rsidP="00325FF2">
            <w:pPr>
              <w:pStyle w:val="TableNBullet"/>
              <w:spacing w:before="0" w:after="0"/>
              <w:rPr>
                <w:sz w:val="16"/>
                <w:szCs w:val="16"/>
              </w:rPr>
            </w:pPr>
            <w:r w:rsidRPr="00325FF2">
              <w:rPr>
                <w:sz w:val="16"/>
                <w:szCs w:val="16"/>
              </w:rPr>
              <w:t>Waterflow digital tool – platform that provides aggregated professional water market information</w:t>
            </w:r>
          </w:p>
        </w:tc>
        <w:tc>
          <w:tcPr>
            <w:tcW w:w="1077" w:type="pct"/>
            <w:hideMark/>
          </w:tcPr>
          <w:p w14:paraId="2AC517F0" w14:textId="77777777" w:rsidR="00EF3E77" w:rsidRPr="00325FF2" w:rsidRDefault="00EF3E77" w:rsidP="00325FF2">
            <w:pPr>
              <w:pStyle w:val="TableNBullet"/>
              <w:spacing w:before="0" w:after="0"/>
              <w:rPr>
                <w:sz w:val="16"/>
                <w:szCs w:val="16"/>
              </w:rPr>
            </w:pPr>
            <w:r w:rsidRPr="00325FF2">
              <w:rPr>
                <w:sz w:val="16"/>
                <w:szCs w:val="16"/>
              </w:rPr>
              <w:t>Pyrethroid Sampling System - portable sampling and analysis device</w:t>
            </w:r>
          </w:p>
        </w:tc>
        <w:tc>
          <w:tcPr>
            <w:tcW w:w="1113" w:type="pct"/>
            <w:hideMark/>
          </w:tcPr>
          <w:p w14:paraId="663409B5" w14:textId="77777777" w:rsidR="00EF3E77" w:rsidRPr="00325FF2" w:rsidRDefault="00EF3E77" w:rsidP="00325FF2">
            <w:pPr>
              <w:pStyle w:val="TableNBullet"/>
              <w:spacing w:before="0" w:after="0"/>
              <w:rPr>
                <w:sz w:val="16"/>
                <w:szCs w:val="16"/>
              </w:rPr>
            </w:pPr>
            <w:r w:rsidRPr="00325FF2">
              <w:rPr>
                <w:sz w:val="16"/>
                <w:szCs w:val="16"/>
              </w:rPr>
              <w:t>Objective REACH – platform that allows users to share sensitive data across multiple systems and organisations</w:t>
            </w:r>
          </w:p>
        </w:tc>
      </w:tr>
      <w:tr w:rsidR="00EF3E77" w:rsidRPr="00981FE2" w14:paraId="3B9C8736" w14:textId="77777777" w:rsidTr="00D0106D">
        <w:trPr>
          <w:trHeight w:val="627"/>
        </w:trPr>
        <w:tc>
          <w:tcPr>
            <w:tcW w:w="487" w:type="pct"/>
            <w:shd w:val="clear" w:color="auto" w:fill="E6E6E1" w:themeFill="accent5"/>
            <w:hideMark/>
          </w:tcPr>
          <w:p w14:paraId="4B8BD772" w14:textId="5448B4DD" w:rsidR="00EF3E77" w:rsidRPr="00610204" w:rsidRDefault="00325FF2" w:rsidP="00610204">
            <w:pPr>
              <w:pStyle w:val="TableNheader"/>
              <w:rPr>
                <w:rFonts w:ascii="Arial" w:hAnsi="Arial" w:cs="Arial"/>
                <w:sz w:val="18"/>
                <w:szCs w:val="18"/>
                <w:lang w:eastAsia="en-AU"/>
              </w:rPr>
            </w:pPr>
            <w:r w:rsidRPr="00610204">
              <w:rPr>
                <w:sz w:val="18"/>
                <w:szCs w:val="18"/>
                <w:lang w:eastAsia="en-AU"/>
              </w:rPr>
              <w:t>Economic benefits</w:t>
            </w:r>
          </w:p>
        </w:tc>
        <w:tc>
          <w:tcPr>
            <w:tcW w:w="1246" w:type="pct"/>
            <w:hideMark/>
          </w:tcPr>
          <w:p w14:paraId="4ED512F2" w14:textId="77777777" w:rsidR="00EF3E77" w:rsidRPr="00325FF2" w:rsidRDefault="00EF3E77" w:rsidP="00325FF2">
            <w:pPr>
              <w:pStyle w:val="TableNBullet"/>
              <w:spacing w:before="0" w:after="0"/>
              <w:rPr>
                <w:sz w:val="16"/>
                <w:szCs w:val="16"/>
              </w:rPr>
            </w:pPr>
            <w:r w:rsidRPr="00325FF2">
              <w:rPr>
                <w:sz w:val="16"/>
                <w:szCs w:val="16"/>
              </w:rPr>
              <w:t>Reduced cost of public consultation by capturing more stakeholder views in a shorter amount of time</w:t>
            </w:r>
          </w:p>
          <w:p w14:paraId="5F44A248" w14:textId="32A7D7C8" w:rsidR="00EF3E77" w:rsidRPr="00325FF2" w:rsidRDefault="00EF3E77" w:rsidP="00325FF2">
            <w:pPr>
              <w:pStyle w:val="TableNBullet"/>
              <w:spacing w:before="0" w:after="0"/>
              <w:rPr>
                <w:sz w:val="16"/>
                <w:szCs w:val="16"/>
              </w:rPr>
            </w:pPr>
            <w:r w:rsidRPr="00325FF2">
              <w:rPr>
                <w:sz w:val="16"/>
                <w:szCs w:val="16"/>
              </w:rPr>
              <w:t>Increased ‘back-end’ efficiency in developing insights from across multiple different stakeholder engagements (e.g. producing engagement summary reports on a specific topic 90 per</w:t>
            </w:r>
            <w:r w:rsidR="00167101" w:rsidRPr="00325FF2">
              <w:rPr>
                <w:sz w:val="16"/>
                <w:szCs w:val="16"/>
              </w:rPr>
              <w:t xml:space="preserve"> </w:t>
            </w:r>
            <w:r w:rsidRPr="00325FF2">
              <w:rPr>
                <w:sz w:val="16"/>
                <w:szCs w:val="16"/>
              </w:rPr>
              <w:t>cent faster)</w:t>
            </w:r>
          </w:p>
        </w:tc>
        <w:tc>
          <w:tcPr>
            <w:tcW w:w="1077" w:type="pct"/>
            <w:hideMark/>
          </w:tcPr>
          <w:p w14:paraId="67129239" w14:textId="77777777" w:rsidR="00EF3E77" w:rsidRPr="00325FF2" w:rsidRDefault="00EF3E77" w:rsidP="00325FF2">
            <w:pPr>
              <w:pStyle w:val="TableNBullet"/>
              <w:spacing w:before="0" w:after="0"/>
              <w:rPr>
                <w:sz w:val="16"/>
                <w:szCs w:val="16"/>
              </w:rPr>
            </w:pPr>
            <w:r w:rsidRPr="00325FF2">
              <w:rPr>
                <w:sz w:val="16"/>
                <w:szCs w:val="16"/>
              </w:rPr>
              <w:t>Reduced information asymmetry for water market participants</w:t>
            </w:r>
          </w:p>
          <w:p w14:paraId="4E808E64" w14:textId="77777777" w:rsidR="00EF3E77" w:rsidRPr="00325FF2" w:rsidRDefault="00EF3E77" w:rsidP="00325FF2">
            <w:pPr>
              <w:pStyle w:val="TableNBullet"/>
              <w:spacing w:before="0" w:after="0"/>
              <w:rPr>
                <w:sz w:val="16"/>
                <w:szCs w:val="16"/>
              </w:rPr>
            </w:pPr>
            <w:r w:rsidRPr="00325FF2">
              <w:rPr>
                <w:sz w:val="16"/>
                <w:szCs w:val="16"/>
              </w:rPr>
              <w:t>Improved transparency in the water market for 2,000 monthly users, leading to more competitive pricing and efficient water allocations (highlighted in the ACC’s recent inquiry)</w:t>
            </w:r>
            <w:r w:rsidRPr="00325FF2">
              <w:rPr>
                <w:rStyle w:val="FootnoteReference"/>
                <w:sz w:val="16"/>
                <w:szCs w:val="16"/>
                <w:vertAlign w:val="baseline"/>
              </w:rPr>
              <w:footnoteReference w:id="38"/>
            </w:r>
          </w:p>
          <w:p w14:paraId="34E36B92" w14:textId="2D495512" w:rsidR="00EF3E77" w:rsidRPr="00325FF2" w:rsidRDefault="00EF3E77" w:rsidP="00325FF2">
            <w:pPr>
              <w:pStyle w:val="TableNBullet"/>
              <w:spacing w:before="0" w:after="0"/>
              <w:rPr>
                <w:sz w:val="16"/>
                <w:szCs w:val="16"/>
              </w:rPr>
            </w:pPr>
            <w:r w:rsidRPr="00325FF2">
              <w:rPr>
                <w:sz w:val="16"/>
                <w:szCs w:val="16"/>
              </w:rPr>
              <w:t>Reduced time for 200 monthly water market searches</w:t>
            </w:r>
          </w:p>
        </w:tc>
        <w:tc>
          <w:tcPr>
            <w:tcW w:w="1077" w:type="pct"/>
            <w:hideMark/>
          </w:tcPr>
          <w:p w14:paraId="13A28055" w14:textId="77777777" w:rsidR="00EF3E77" w:rsidRPr="00325FF2" w:rsidRDefault="00EF3E77" w:rsidP="00325FF2">
            <w:pPr>
              <w:pStyle w:val="TableNBullet"/>
              <w:spacing w:before="0" w:after="0"/>
              <w:rPr>
                <w:sz w:val="16"/>
                <w:szCs w:val="16"/>
              </w:rPr>
            </w:pPr>
            <w:r w:rsidRPr="00325FF2">
              <w:rPr>
                <w:sz w:val="16"/>
                <w:szCs w:val="16"/>
              </w:rPr>
              <w:t>Significant avoided costs through mitigation of biosecurity/public health risks by (a) sampling a greater number of planes with potential pests entering Australia; and (b) more accurate sampling of planes entering Australia</w:t>
            </w:r>
          </w:p>
          <w:p w14:paraId="5C21EA82" w14:textId="77777777" w:rsidR="00EF3E77" w:rsidRPr="00325FF2" w:rsidRDefault="00EF3E77" w:rsidP="00325FF2">
            <w:pPr>
              <w:pStyle w:val="TableNBullet"/>
              <w:spacing w:before="0" w:after="0"/>
              <w:rPr>
                <w:sz w:val="16"/>
                <w:szCs w:val="16"/>
              </w:rPr>
            </w:pPr>
            <w:r w:rsidRPr="00325FF2">
              <w:rPr>
                <w:sz w:val="16"/>
                <w:szCs w:val="16"/>
              </w:rPr>
              <w:t>Reduced time and cost of current monitoring processes (e.g. pyrethroid sampling system runs 10 samples in 20 minutes)</w:t>
            </w:r>
          </w:p>
        </w:tc>
        <w:tc>
          <w:tcPr>
            <w:tcW w:w="1113" w:type="pct"/>
            <w:hideMark/>
          </w:tcPr>
          <w:p w14:paraId="1C2E6ED2" w14:textId="77777777" w:rsidR="00EF3E77" w:rsidRPr="00325FF2" w:rsidRDefault="00EF3E77" w:rsidP="00325FF2">
            <w:pPr>
              <w:pStyle w:val="TableNBullet"/>
              <w:spacing w:before="0" w:after="0"/>
              <w:rPr>
                <w:sz w:val="16"/>
                <w:szCs w:val="16"/>
              </w:rPr>
            </w:pPr>
            <w:r w:rsidRPr="00325FF2">
              <w:rPr>
                <w:sz w:val="16"/>
                <w:szCs w:val="16"/>
              </w:rPr>
              <w:t>Reduced time and costs of information sharing across jurisdictions</w:t>
            </w:r>
          </w:p>
          <w:p w14:paraId="3C5E2FDA" w14:textId="77777777" w:rsidR="00EF3E77" w:rsidRPr="00325FF2" w:rsidRDefault="00EF3E77" w:rsidP="00325FF2">
            <w:pPr>
              <w:pStyle w:val="TableNBullet"/>
              <w:spacing w:before="0" w:after="0"/>
              <w:rPr>
                <w:sz w:val="16"/>
                <w:szCs w:val="16"/>
              </w:rPr>
            </w:pPr>
            <w:r w:rsidRPr="00325FF2">
              <w:rPr>
                <w:sz w:val="16"/>
                <w:szCs w:val="16"/>
              </w:rPr>
              <w:t>Reduced likelihood of error in sharing sensitive information</w:t>
            </w:r>
          </w:p>
          <w:p w14:paraId="261AA839" w14:textId="77777777" w:rsidR="00EF3E77" w:rsidRPr="00325FF2" w:rsidRDefault="008D766D" w:rsidP="00325FF2">
            <w:pPr>
              <w:pStyle w:val="TableNBullet"/>
              <w:spacing w:before="0" w:after="0"/>
              <w:rPr>
                <w:sz w:val="16"/>
                <w:szCs w:val="16"/>
              </w:rPr>
            </w:pPr>
            <w:r w:rsidRPr="00325FF2">
              <w:rPr>
                <w:sz w:val="16"/>
                <w:szCs w:val="16"/>
              </w:rPr>
              <w:t>Reduced cost to governments from more effective child protection system</w:t>
            </w:r>
          </w:p>
          <w:p w14:paraId="045E9591" w14:textId="67B464AD" w:rsidR="00EF3E77" w:rsidRPr="00325FF2" w:rsidRDefault="00EF3E77" w:rsidP="00325FF2">
            <w:pPr>
              <w:pStyle w:val="TableNBullet"/>
              <w:spacing w:before="0" w:after="0"/>
              <w:rPr>
                <w:sz w:val="16"/>
                <w:szCs w:val="16"/>
              </w:rPr>
            </w:pPr>
            <w:r w:rsidRPr="00325FF2">
              <w:rPr>
                <w:sz w:val="16"/>
                <w:szCs w:val="16"/>
              </w:rPr>
              <w:t>Potential for solution to be applied in other complex information sharing contexts</w:t>
            </w:r>
          </w:p>
        </w:tc>
      </w:tr>
      <w:tr w:rsidR="00EF3E77" w:rsidRPr="00981FE2" w14:paraId="33C7D04A" w14:textId="77777777" w:rsidTr="00D0106D">
        <w:trPr>
          <w:trHeight w:val="942"/>
        </w:trPr>
        <w:tc>
          <w:tcPr>
            <w:tcW w:w="487" w:type="pct"/>
            <w:shd w:val="clear" w:color="auto" w:fill="E6E6E1" w:themeFill="accent5"/>
            <w:hideMark/>
          </w:tcPr>
          <w:p w14:paraId="7EFBEA8B" w14:textId="74E13A09" w:rsidR="00EF3E77" w:rsidRPr="00610204" w:rsidRDefault="00325FF2" w:rsidP="00610204">
            <w:pPr>
              <w:pStyle w:val="TableNheader"/>
              <w:rPr>
                <w:rFonts w:ascii="Arial" w:hAnsi="Arial" w:cs="Arial"/>
                <w:sz w:val="18"/>
                <w:szCs w:val="18"/>
                <w:lang w:eastAsia="en-AU"/>
              </w:rPr>
            </w:pPr>
            <w:r w:rsidRPr="00610204">
              <w:rPr>
                <w:sz w:val="18"/>
                <w:szCs w:val="18"/>
                <w:lang w:eastAsia="en-AU"/>
              </w:rPr>
              <w:t>Public benefits</w:t>
            </w:r>
          </w:p>
        </w:tc>
        <w:tc>
          <w:tcPr>
            <w:tcW w:w="1246" w:type="pct"/>
            <w:hideMark/>
          </w:tcPr>
          <w:p w14:paraId="2161E516" w14:textId="068F6036" w:rsidR="00EF3E77" w:rsidRPr="00325FF2" w:rsidRDefault="00EF3E77" w:rsidP="00325FF2">
            <w:pPr>
              <w:pStyle w:val="TableNBullet"/>
              <w:spacing w:before="0" w:after="0"/>
              <w:rPr>
                <w:sz w:val="16"/>
                <w:szCs w:val="16"/>
              </w:rPr>
            </w:pPr>
            <w:r w:rsidRPr="00325FF2">
              <w:rPr>
                <w:sz w:val="16"/>
                <w:szCs w:val="16"/>
              </w:rPr>
              <w:t xml:space="preserve">More direct contribution </w:t>
            </w:r>
            <w:r w:rsidR="009D0566" w:rsidRPr="00325FF2">
              <w:rPr>
                <w:sz w:val="16"/>
                <w:szCs w:val="16"/>
              </w:rPr>
              <w:t xml:space="preserve">of citizen views </w:t>
            </w:r>
            <w:r w:rsidRPr="00325FF2">
              <w:rPr>
                <w:sz w:val="16"/>
                <w:szCs w:val="16"/>
              </w:rPr>
              <w:t>to policymaking and public debate</w:t>
            </w:r>
          </w:p>
        </w:tc>
        <w:tc>
          <w:tcPr>
            <w:tcW w:w="1077" w:type="pct"/>
            <w:hideMark/>
          </w:tcPr>
          <w:p w14:paraId="492CED24" w14:textId="77777777" w:rsidR="00EF3E77" w:rsidRPr="00325FF2" w:rsidRDefault="00EF3E77" w:rsidP="00325FF2">
            <w:pPr>
              <w:pStyle w:val="TableNBullet"/>
              <w:spacing w:before="0" w:after="0"/>
              <w:rPr>
                <w:sz w:val="16"/>
                <w:szCs w:val="16"/>
              </w:rPr>
            </w:pPr>
            <w:r w:rsidRPr="00325FF2">
              <w:rPr>
                <w:sz w:val="16"/>
                <w:szCs w:val="16"/>
              </w:rPr>
              <w:t>Increased community confidence in water markets</w:t>
            </w:r>
          </w:p>
          <w:p w14:paraId="439E49F2" w14:textId="375AE9A9" w:rsidR="00EF3E77" w:rsidRPr="00325FF2" w:rsidRDefault="00770125" w:rsidP="00325FF2">
            <w:pPr>
              <w:pStyle w:val="TableNBullet"/>
              <w:spacing w:before="0" w:after="0"/>
              <w:rPr>
                <w:sz w:val="16"/>
                <w:szCs w:val="16"/>
              </w:rPr>
            </w:pPr>
            <w:r w:rsidRPr="00325FF2">
              <w:rPr>
                <w:sz w:val="16"/>
                <w:szCs w:val="16"/>
              </w:rPr>
              <w:t>Better information available to improve government policy outcomes and service delivery</w:t>
            </w:r>
          </w:p>
        </w:tc>
        <w:tc>
          <w:tcPr>
            <w:tcW w:w="1077" w:type="pct"/>
            <w:hideMark/>
          </w:tcPr>
          <w:p w14:paraId="2A87914C" w14:textId="64AA1CC3" w:rsidR="00EF3E77" w:rsidRPr="00325FF2" w:rsidRDefault="00814481" w:rsidP="00325FF2">
            <w:pPr>
              <w:pStyle w:val="TableNBullet"/>
              <w:spacing w:before="0" w:after="0"/>
              <w:rPr>
                <w:sz w:val="16"/>
                <w:szCs w:val="16"/>
              </w:rPr>
            </w:pPr>
            <w:r w:rsidRPr="00325FF2">
              <w:rPr>
                <w:sz w:val="16"/>
                <w:szCs w:val="16"/>
              </w:rPr>
              <w:t>Increased public safety from the r</w:t>
            </w:r>
            <w:r w:rsidR="00635B91" w:rsidRPr="00325FF2">
              <w:rPr>
                <w:sz w:val="16"/>
                <w:szCs w:val="16"/>
              </w:rPr>
              <w:t xml:space="preserve">educed likelihood of the </w:t>
            </w:r>
            <w:r w:rsidR="003B1B1A" w:rsidRPr="00325FF2">
              <w:rPr>
                <w:sz w:val="16"/>
                <w:szCs w:val="16"/>
              </w:rPr>
              <w:t>introduction of exotic mosquito vectors into Australia</w:t>
            </w:r>
          </w:p>
        </w:tc>
        <w:tc>
          <w:tcPr>
            <w:tcW w:w="1113" w:type="pct"/>
            <w:hideMark/>
          </w:tcPr>
          <w:p w14:paraId="2DDDD5EB" w14:textId="77777777" w:rsidR="00EF3E77" w:rsidRPr="00325FF2" w:rsidRDefault="00EF3E77" w:rsidP="00325FF2">
            <w:pPr>
              <w:pStyle w:val="TableNBullet"/>
              <w:spacing w:before="0" w:after="0"/>
              <w:rPr>
                <w:sz w:val="16"/>
                <w:szCs w:val="16"/>
              </w:rPr>
            </w:pPr>
            <w:r w:rsidRPr="00325FF2">
              <w:rPr>
                <w:sz w:val="16"/>
                <w:szCs w:val="16"/>
              </w:rPr>
              <w:t xml:space="preserve">Earlier identification of children at risk </w:t>
            </w:r>
          </w:p>
          <w:p w14:paraId="326472E3" w14:textId="77777777" w:rsidR="00EF3E77" w:rsidRPr="00325FF2" w:rsidRDefault="00EF3E77" w:rsidP="00325FF2">
            <w:pPr>
              <w:pStyle w:val="TableNBullet"/>
              <w:spacing w:before="0" w:after="0"/>
              <w:rPr>
                <w:sz w:val="16"/>
                <w:szCs w:val="16"/>
              </w:rPr>
            </w:pPr>
            <w:r w:rsidRPr="00325FF2">
              <w:rPr>
                <w:sz w:val="16"/>
                <w:szCs w:val="16"/>
              </w:rPr>
              <w:t>More tailored interventions</w:t>
            </w:r>
          </w:p>
          <w:p w14:paraId="52983220" w14:textId="77777777" w:rsidR="00EF3E77" w:rsidRPr="00325FF2" w:rsidRDefault="00EF3E77" w:rsidP="00325FF2">
            <w:pPr>
              <w:pStyle w:val="TableNBullet"/>
              <w:spacing w:before="0" w:after="0"/>
              <w:rPr>
                <w:sz w:val="16"/>
                <w:szCs w:val="16"/>
              </w:rPr>
            </w:pPr>
            <w:r w:rsidRPr="00325FF2">
              <w:rPr>
                <w:sz w:val="16"/>
                <w:szCs w:val="16"/>
              </w:rPr>
              <w:t>Enhanced child safety</w:t>
            </w:r>
          </w:p>
        </w:tc>
      </w:tr>
      <w:tr w:rsidR="00EF3E77" w:rsidRPr="00981FE2" w14:paraId="54A3FF8F" w14:textId="77777777" w:rsidTr="00D0106D">
        <w:trPr>
          <w:trHeight w:val="19"/>
        </w:trPr>
        <w:tc>
          <w:tcPr>
            <w:tcW w:w="487" w:type="pct"/>
            <w:shd w:val="clear" w:color="auto" w:fill="E6E6E1" w:themeFill="accent5"/>
            <w:hideMark/>
          </w:tcPr>
          <w:p w14:paraId="138E787C" w14:textId="5F40003A" w:rsidR="00EF3E77" w:rsidRPr="00610204" w:rsidRDefault="00325FF2" w:rsidP="00610204">
            <w:pPr>
              <w:pStyle w:val="TableNheader"/>
              <w:rPr>
                <w:rFonts w:ascii="Arial" w:hAnsi="Arial" w:cs="Arial"/>
                <w:sz w:val="18"/>
                <w:szCs w:val="18"/>
                <w:lang w:eastAsia="en-AU"/>
              </w:rPr>
            </w:pPr>
            <w:r w:rsidRPr="00610204">
              <w:rPr>
                <w:sz w:val="18"/>
                <w:szCs w:val="18"/>
                <w:lang w:eastAsia="en-AU"/>
              </w:rPr>
              <w:t>Likely beneficiaries</w:t>
            </w:r>
          </w:p>
        </w:tc>
        <w:tc>
          <w:tcPr>
            <w:tcW w:w="1246" w:type="pct"/>
            <w:hideMark/>
          </w:tcPr>
          <w:p w14:paraId="5BB0D91A" w14:textId="77777777" w:rsidR="00EF3E77" w:rsidRPr="00325FF2" w:rsidRDefault="00EF3E77" w:rsidP="00325FF2">
            <w:pPr>
              <w:pStyle w:val="TableNBullet"/>
              <w:spacing w:before="0" w:after="0" w:line="228" w:lineRule="auto"/>
              <w:rPr>
                <w:sz w:val="16"/>
                <w:szCs w:val="16"/>
              </w:rPr>
            </w:pPr>
            <w:r w:rsidRPr="00325FF2">
              <w:rPr>
                <w:sz w:val="16"/>
                <w:szCs w:val="16"/>
              </w:rPr>
              <w:t>DISER, DSS and other agencies that adopt the solution</w:t>
            </w:r>
          </w:p>
          <w:p w14:paraId="2A85B328" w14:textId="77777777" w:rsidR="00EF3E77" w:rsidRPr="00325FF2" w:rsidRDefault="00EF3E77" w:rsidP="00325FF2">
            <w:pPr>
              <w:pStyle w:val="TableNBullet"/>
              <w:spacing w:before="0" w:after="0" w:line="228" w:lineRule="auto"/>
              <w:rPr>
                <w:sz w:val="16"/>
                <w:szCs w:val="16"/>
              </w:rPr>
            </w:pPr>
            <w:r w:rsidRPr="00325FF2">
              <w:rPr>
                <w:sz w:val="16"/>
                <w:szCs w:val="16"/>
              </w:rPr>
              <w:t>Citizens who contribute to government consultations</w:t>
            </w:r>
          </w:p>
        </w:tc>
        <w:tc>
          <w:tcPr>
            <w:tcW w:w="1077" w:type="pct"/>
            <w:hideMark/>
          </w:tcPr>
          <w:p w14:paraId="6636D0E8" w14:textId="77777777" w:rsidR="00EF3E77" w:rsidRPr="00325FF2" w:rsidRDefault="00EF3E77" w:rsidP="00325FF2">
            <w:pPr>
              <w:pStyle w:val="TableNBullet"/>
              <w:spacing w:before="0" w:after="0" w:line="228" w:lineRule="auto"/>
              <w:rPr>
                <w:sz w:val="16"/>
                <w:szCs w:val="16"/>
              </w:rPr>
            </w:pPr>
            <w:r w:rsidRPr="00325FF2">
              <w:rPr>
                <w:sz w:val="16"/>
                <w:szCs w:val="16"/>
              </w:rPr>
              <w:t>Water market participants, including farmers and water brokers</w:t>
            </w:r>
          </w:p>
          <w:p w14:paraId="5FF94A24" w14:textId="77777777" w:rsidR="00EF3E77" w:rsidRPr="00325FF2" w:rsidRDefault="00EF3E77" w:rsidP="00325FF2">
            <w:pPr>
              <w:pStyle w:val="TableNBullet"/>
              <w:spacing w:before="0" w:after="0" w:line="228" w:lineRule="auto"/>
              <w:rPr>
                <w:sz w:val="16"/>
                <w:szCs w:val="16"/>
              </w:rPr>
            </w:pPr>
            <w:r w:rsidRPr="00325FF2">
              <w:rPr>
                <w:sz w:val="16"/>
                <w:szCs w:val="16"/>
              </w:rPr>
              <w:t>DAWE and other relevant Australian and state government agencies</w:t>
            </w:r>
          </w:p>
        </w:tc>
        <w:tc>
          <w:tcPr>
            <w:tcW w:w="1077" w:type="pct"/>
            <w:hideMark/>
          </w:tcPr>
          <w:p w14:paraId="799E3C90" w14:textId="77777777" w:rsidR="00EF3E77" w:rsidRPr="00325FF2" w:rsidRDefault="00EF3E77" w:rsidP="00325FF2">
            <w:pPr>
              <w:pStyle w:val="TableNBullet"/>
              <w:spacing w:before="0" w:after="0" w:line="228" w:lineRule="auto"/>
              <w:rPr>
                <w:sz w:val="16"/>
                <w:szCs w:val="16"/>
              </w:rPr>
            </w:pPr>
            <w:r w:rsidRPr="00325FF2">
              <w:rPr>
                <w:sz w:val="16"/>
                <w:szCs w:val="16"/>
              </w:rPr>
              <w:t>DAWE</w:t>
            </w:r>
          </w:p>
          <w:p w14:paraId="46865952" w14:textId="77777777" w:rsidR="00EF3E77" w:rsidRPr="00325FF2" w:rsidRDefault="00EF3E77" w:rsidP="00325FF2">
            <w:pPr>
              <w:pStyle w:val="TableNBullet"/>
              <w:spacing w:before="0" w:after="0" w:line="228" w:lineRule="auto"/>
              <w:rPr>
                <w:sz w:val="16"/>
                <w:szCs w:val="16"/>
              </w:rPr>
            </w:pPr>
            <w:r w:rsidRPr="00325FF2">
              <w:rPr>
                <w:sz w:val="16"/>
                <w:szCs w:val="16"/>
              </w:rPr>
              <w:t>Australian public</w:t>
            </w:r>
          </w:p>
          <w:p w14:paraId="2B1D861E" w14:textId="77777777" w:rsidR="00EF3E77" w:rsidRPr="00325FF2" w:rsidRDefault="00EF3E77" w:rsidP="00325FF2">
            <w:pPr>
              <w:pStyle w:val="TableNBullet"/>
              <w:spacing w:before="0" w:after="0" w:line="228" w:lineRule="auto"/>
              <w:rPr>
                <w:sz w:val="16"/>
                <w:szCs w:val="16"/>
              </w:rPr>
            </w:pPr>
            <w:r w:rsidRPr="00325FF2">
              <w:rPr>
                <w:sz w:val="16"/>
                <w:szCs w:val="16"/>
              </w:rPr>
              <w:t>The aviation industry, including airline staff</w:t>
            </w:r>
          </w:p>
        </w:tc>
        <w:tc>
          <w:tcPr>
            <w:tcW w:w="1113" w:type="pct"/>
            <w:hideMark/>
          </w:tcPr>
          <w:p w14:paraId="26AEF2E2" w14:textId="0FA5DF19" w:rsidR="00EF3E77" w:rsidRPr="00325FF2" w:rsidRDefault="00EF3E77" w:rsidP="00325FF2">
            <w:pPr>
              <w:pStyle w:val="TableNBullet"/>
              <w:spacing w:before="0" w:after="0" w:line="228" w:lineRule="auto"/>
              <w:rPr>
                <w:sz w:val="16"/>
                <w:szCs w:val="16"/>
              </w:rPr>
            </w:pPr>
            <w:r w:rsidRPr="00325FF2">
              <w:rPr>
                <w:sz w:val="16"/>
                <w:szCs w:val="16"/>
              </w:rPr>
              <w:t>Vulnerable children</w:t>
            </w:r>
            <w:r w:rsidR="00E3718A" w:rsidRPr="00325FF2">
              <w:rPr>
                <w:sz w:val="16"/>
                <w:szCs w:val="16"/>
              </w:rPr>
              <w:t xml:space="preserve"> and their families</w:t>
            </w:r>
          </w:p>
          <w:p w14:paraId="20A8949B" w14:textId="77777777" w:rsidR="00EF3E77" w:rsidRPr="00325FF2" w:rsidRDefault="00EF3E77" w:rsidP="00325FF2">
            <w:pPr>
              <w:pStyle w:val="TableNBullet"/>
              <w:spacing w:before="0" w:after="0" w:line="228" w:lineRule="auto"/>
              <w:rPr>
                <w:sz w:val="16"/>
                <w:szCs w:val="16"/>
              </w:rPr>
            </w:pPr>
            <w:r w:rsidRPr="00325FF2">
              <w:rPr>
                <w:sz w:val="16"/>
                <w:szCs w:val="16"/>
              </w:rPr>
              <w:t>State and national child protection authorities</w:t>
            </w:r>
          </w:p>
          <w:p w14:paraId="7E59C33D" w14:textId="77777777" w:rsidR="00EF3E77" w:rsidRPr="00325FF2" w:rsidRDefault="00EF3E77" w:rsidP="00325FF2">
            <w:pPr>
              <w:pStyle w:val="TableNBullet"/>
              <w:spacing w:before="0" w:after="0"/>
              <w:rPr>
                <w:sz w:val="16"/>
                <w:szCs w:val="16"/>
              </w:rPr>
            </w:pPr>
            <w:r w:rsidRPr="00325FF2">
              <w:rPr>
                <w:sz w:val="16"/>
                <w:szCs w:val="16"/>
              </w:rPr>
              <w:t>Frontline child protection practitioners</w:t>
            </w:r>
          </w:p>
        </w:tc>
      </w:tr>
    </w:tbl>
    <w:p w14:paraId="328FE94A" w14:textId="77777777" w:rsidR="00EF3E77" w:rsidRDefault="00EF3E77" w:rsidP="00EF3E77">
      <w:pPr>
        <w:pStyle w:val="Source"/>
      </w:pPr>
      <w:r>
        <w:t>Sources: feasibility study final reports; SME interviews and surveys; challenge agency interviews</w:t>
      </w:r>
      <w:r>
        <w:br w:type="page"/>
      </w:r>
    </w:p>
    <w:p w14:paraId="55F59BA4" w14:textId="1EC96683" w:rsidR="00EF3E77" w:rsidRPr="00046FBB" w:rsidRDefault="00EF3E77" w:rsidP="00EF3E77">
      <w:pPr>
        <w:pStyle w:val="Caption"/>
      </w:pPr>
      <w:bookmarkStart w:id="79" w:name="_Ref79400355"/>
      <w:bookmarkStart w:id="80" w:name="_Ref79400373"/>
      <w:r>
        <w:lastRenderedPageBreak/>
        <w:t xml:space="preserve">Table </w:t>
      </w:r>
      <w:r>
        <w:fldChar w:fldCharType="begin"/>
      </w:r>
      <w:r>
        <w:instrText xml:space="preserve"> SEQ Table \* ARABIC </w:instrText>
      </w:r>
      <w:r>
        <w:fldChar w:fldCharType="separate"/>
      </w:r>
      <w:r w:rsidR="00AE607F">
        <w:rPr>
          <w:noProof/>
        </w:rPr>
        <w:t>4</w:t>
      </w:r>
      <w:r>
        <w:fldChar w:fldCharType="end"/>
      </w:r>
      <w:bookmarkEnd w:id="79"/>
      <w:r>
        <w:t xml:space="preserve"> | Indication of benefits by challenge (round two)</w:t>
      </w:r>
      <w:bookmarkEnd w:id="80"/>
    </w:p>
    <w:tbl>
      <w:tblPr>
        <w:tblStyle w:val="NousTableTopandside"/>
        <w:tblW w:w="5000" w:type="pct"/>
        <w:tblBorders>
          <w:top w:val="single" w:sz="4" w:space="0" w:color="00264D" w:themeColor="background2"/>
          <w:left w:val="single" w:sz="4" w:space="0" w:color="00264D" w:themeColor="background2"/>
          <w:bottom w:val="single" w:sz="4" w:space="0" w:color="00264D" w:themeColor="background2"/>
          <w:right w:val="single" w:sz="4" w:space="0" w:color="00264D" w:themeColor="background2"/>
          <w:insideH w:val="single" w:sz="4" w:space="0" w:color="00264D" w:themeColor="background2"/>
          <w:insideV w:val="single" w:sz="4" w:space="0" w:color="00264D" w:themeColor="background2"/>
        </w:tblBorders>
        <w:tblLook w:val="0420" w:firstRow="1" w:lastRow="0" w:firstColumn="0" w:lastColumn="0" w:noHBand="0" w:noVBand="1"/>
      </w:tblPr>
      <w:tblGrid>
        <w:gridCol w:w="2338"/>
        <w:gridCol w:w="4263"/>
        <w:gridCol w:w="4263"/>
        <w:gridCol w:w="4263"/>
      </w:tblGrid>
      <w:tr w:rsidR="00EF3E77" w:rsidRPr="00981FE2" w14:paraId="3CA7C943" w14:textId="77777777" w:rsidTr="003C631D">
        <w:trPr>
          <w:cnfStyle w:val="100000000000" w:firstRow="1" w:lastRow="0" w:firstColumn="0" w:lastColumn="0" w:oddVBand="0" w:evenVBand="0" w:oddHBand="0" w:evenHBand="0" w:firstRowFirstColumn="0" w:firstRowLastColumn="0" w:lastRowFirstColumn="0" w:lastRowLastColumn="0"/>
          <w:trHeight w:val="17"/>
        </w:trPr>
        <w:tc>
          <w:tcPr>
            <w:tcW w:w="773" w:type="pct"/>
            <w:tcBorders>
              <w:top w:val="none" w:sz="0" w:space="0" w:color="auto"/>
              <w:right w:val="none" w:sz="0" w:space="0" w:color="auto"/>
            </w:tcBorders>
            <w:hideMark/>
          </w:tcPr>
          <w:p w14:paraId="39428D47" w14:textId="77777777" w:rsidR="00EF3E77" w:rsidRPr="00325FF2" w:rsidRDefault="00EF3E77" w:rsidP="00325FF2">
            <w:pPr>
              <w:pStyle w:val="TableNheader"/>
              <w:rPr>
                <w:rFonts w:ascii="Times New Roman" w:hAnsi="Times New Roman" w:cs="Times New Roman"/>
                <w:sz w:val="18"/>
                <w:szCs w:val="18"/>
                <w:lang w:eastAsia="en-AU"/>
              </w:rPr>
            </w:pPr>
            <w:r w:rsidRPr="00325FF2">
              <w:rPr>
                <w:sz w:val="18"/>
                <w:szCs w:val="18"/>
                <w:lang w:eastAsia="en-AU"/>
              </w:rPr>
              <w:t>CHALLENGES</w:t>
            </w:r>
          </w:p>
        </w:tc>
        <w:tc>
          <w:tcPr>
            <w:tcW w:w="1409" w:type="pct"/>
            <w:tcBorders>
              <w:top w:val="single" w:sz="24" w:space="0" w:color="28BEC6"/>
              <w:left w:val="none" w:sz="0" w:space="0" w:color="auto"/>
              <w:right w:val="single" w:sz="4" w:space="0" w:color="FFFFFF" w:themeColor="background1"/>
            </w:tcBorders>
            <w:shd w:val="clear" w:color="auto" w:fill="00264D" w:themeFill="background2"/>
            <w:hideMark/>
          </w:tcPr>
          <w:p w14:paraId="056A439C" w14:textId="58B0592A" w:rsidR="00325FF2" w:rsidRPr="00325FF2" w:rsidRDefault="00325FF2" w:rsidP="00325FF2">
            <w:pPr>
              <w:pStyle w:val="TableNheader"/>
              <w:jc w:val="center"/>
              <w:rPr>
                <w:color w:val="FFFFFF" w:themeColor="background1"/>
                <w:sz w:val="18"/>
                <w:szCs w:val="18"/>
              </w:rPr>
            </w:pPr>
            <w:r w:rsidRPr="00325FF2">
              <w:rPr>
                <w:color w:val="FFFFFF" w:themeColor="background1"/>
                <w:sz w:val="18"/>
                <w:szCs w:val="18"/>
                <w:lang w:eastAsia="en-AU"/>
              </w:rPr>
              <w:t>A</w:t>
            </w:r>
          </w:p>
          <w:p w14:paraId="4932A39A" w14:textId="72822249" w:rsidR="00EF3E77" w:rsidRPr="00325FF2" w:rsidRDefault="00EF3E77" w:rsidP="00325FF2">
            <w:pPr>
              <w:pStyle w:val="TableNheader"/>
              <w:jc w:val="center"/>
              <w:rPr>
                <w:rFonts w:ascii="Arial" w:hAnsi="Arial" w:cs="Arial"/>
                <w:color w:val="FFFFFF" w:themeColor="background1"/>
                <w:sz w:val="18"/>
                <w:szCs w:val="18"/>
                <w:lang w:eastAsia="en-AU"/>
              </w:rPr>
            </w:pPr>
            <w:r w:rsidRPr="00325FF2">
              <w:rPr>
                <w:color w:val="FFFFFF" w:themeColor="background1"/>
                <w:sz w:val="18"/>
                <w:szCs w:val="18"/>
              </w:rPr>
              <w:t>Automating complex determinations for Australian Government information</w:t>
            </w:r>
          </w:p>
        </w:tc>
        <w:tc>
          <w:tcPr>
            <w:tcW w:w="1409" w:type="pct"/>
            <w:tcBorders>
              <w:top w:val="single" w:sz="24" w:space="0" w:color="25B3E0" w:themeColor="accent6"/>
              <w:left w:val="single" w:sz="4" w:space="0" w:color="FFFFFF" w:themeColor="background1"/>
              <w:right w:val="single" w:sz="4" w:space="0" w:color="FFFFFF" w:themeColor="background1"/>
            </w:tcBorders>
            <w:shd w:val="clear" w:color="auto" w:fill="00264D" w:themeFill="background2"/>
            <w:hideMark/>
          </w:tcPr>
          <w:p w14:paraId="237BB2DE" w14:textId="5B89B2FB" w:rsidR="00325FF2" w:rsidRPr="00325FF2" w:rsidRDefault="00325FF2" w:rsidP="00325FF2">
            <w:pPr>
              <w:pStyle w:val="TableNheader"/>
              <w:jc w:val="center"/>
              <w:rPr>
                <w:color w:val="FFFFFF" w:themeColor="background1"/>
                <w:sz w:val="18"/>
                <w:szCs w:val="18"/>
                <w:lang w:eastAsia="en-AU"/>
              </w:rPr>
            </w:pPr>
            <w:r w:rsidRPr="00325FF2">
              <w:rPr>
                <w:color w:val="FFFFFF" w:themeColor="background1"/>
                <w:sz w:val="18"/>
                <w:szCs w:val="18"/>
                <w:lang w:eastAsia="en-AU"/>
              </w:rPr>
              <w:t>B</w:t>
            </w:r>
          </w:p>
          <w:p w14:paraId="36BB1760" w14:textId="546E3889" w:rsidR="00EF3E77" w:rsidRPr="00325FF2" w:rsidRDefault="00EF3E77" w:rsidP="00325FF2">
            <w:pPr>
              <w:pStyle w:val="TableNheader"/>
              <w:jc w:val="center"/>
              <w:rPr>
                <w:rFonts w:ascii="Arial" w:hAnsi="Arial" w:cs="Arial"/>
                <w:color w:val="FFFFFF" w:themeColor="background1"/>
                <w:sz w:val="18"/>
                <w:szCs w:val="18"/>
                <w:lang w:eastAsia="en-AU"/>
              </w:rPr>
            </w:pPr>
            <w:r w:rsidRPr="00325FF2">
              <w:rPr>
                <w:color w:val="FFFFFF" w:themeColor="background1"/>
                <w:sz w:val="18"/>
                <w:szCs w:val="18"/>
                <w:lang w:eastAsia="en-AU"/>
              </w:rPr>
              <w:t xml:space="preserve">Intelligent data to transform tourism </w:t>
            </w:r>
            <w:r w:rsidRPr="00325FF2">
              <w:rPr>
                <w:color w:val="FFFFFF" w:themeColor="background1"/>
                <w:sz w:val="18"/>
                <w:szCs w:val="18"/>
                <w:lang w:eastAsia="en-AU"/>
              </w:rPr>
              <w:br/>
              <w:t>service delivery</w:t>
            </w:r>
          </w:p>
        </w:tc>
        <w:tc>
          <w:tcPr>
            <w:tcW w:w="1409" w:type="pct"/>
            <w:tcBorders>
              <w:top w:val="single" w:sz="24" w:space="0" w:color="2B72B5"/>
              <w:left w:val="single" w:sz="4" w:space="0" w:color="FFFFFF" w:themeColor="background1"/>
            </w:tcBorders>
            <w:shd w:val="clear" w:color="auto" w:fill="00264D" w:themeFill="background2"/>
            <w:hideMark/>
          </w:tcPr>
          <w:p w14:paraId="22775A95" w14:textId="57DAC01F" w:rsidR="00325FF2" w:rsidRPr="00325FF2" w:rsidRDefault="00325FF2" w:rsidP="00325FF2">
            <w:pPr>
              <w:pStyle w:val="TableNheader"/>
              <w:jc w:val="center"/>
              <w:rPr>
                <w:color w:val="FFFFFF" w:themeColor="background1"/>
                <w:sz w:val="18"/>
                <w:szCs w:val="18"/>
                <w:lang w:eastAsia="en-AU"/>
              </w:rPr>
            </w:pPr>
            <w:r w:rsidRPr="00325FF2">
              <w:rPr>
                <w:color w:val="FFFFFF" w:themeColor="background1"/>
                <w:sz w:val="18"/>
                <w:szCs w:val="18"/>
                <w:lang w:eastAsia="en-AU"/>
              </w:rPr>
              <w:t>C</w:t>
            </w:r>
          </w:p>
          <w:p w14:paraId="427C7BD7" w14:textId="6349D4D8" w:rsidR="00EF3E77" w:rsidRPr="00325FF2" w:rsidRDefault="00EF3E77" w:rsidP="00325FF2">
            <w:pPr>
              <w:pStyle w:val="TableNheader"/>
              <w:jc w:val="center"/>
              <w:rPr>
                <w:rFonts w:ascii="Arial" w:hAnsi="Arial" w:cs="Arial"/>
                <w:color w:val="FFFFFF" w:themeColor="background1"/>
                <w:sz w:val="18"/>
                <w:szCs w:val="18"/>
                <w:lang w:eastAsia="en-AU"/>
              </w:rPr>
            </w:pPr>
            <w:r w:rsidRPr="00325FF2">
              <w:rPr>
                <w:color w:val="FFFFFF" w:themeColor="background1"/>
                <w:sz w:val="18"/>
                <w:szCs w:val="18"/>
                <w:lang w:eastAsia="en-AU"/>
              </w:rPr>
              <w:t>Managing the risks of hitchhiking pests and contaminants on shipping containers</w:t>
            </w:r>
          </w:p>
        </w:tc>
      </w:tr>
      <w:tr w:rsidR="00EF3E77" w:rsidRPr="00981FE2" w14:paraId="54CAE39C" w14:textId="77777777" w:rsidTr="009852C8">
        <w:trPr>
          <w:trHeight w:val="2122"/>
        </w:trPr>
        <w:tc>
          <w:tcPr>
            <w:tcW w:w="773" w:type="pct"/>
            <w:shd w:val="clear" w:color="auto" w:fill="E6E6E1" w:themeFill="accent5"/>
            <w:hideMark/>
          </w:tcPr>
          <w:p w14:paraId="0BE0E73C" w14:textId="77777777" w:rsidR="00EF3E77" w:rsidRPr="00325FF2" w:rsidRDefault="00EF3E77" w:rsidP="00325FF2">
            <w:pPr>
              <w:pStyle w:val="TableNheader"/>
              <w:rPr>
                <w:rFonts w:ascii="Arial" w:hAnsi="Arial" w:cs="Arial"/>
                <w:sz w:val="18"/>
                <w:szCs w:val="18"/>
                <w:lang w:eastAsia="en-AU"/>
              </w:rPr>
            </w:pPr>
            <w:r w:rsidRPr="00325FF2">
              <w:rPr>
                <w:sz w:val="18"/>
                <w:szCs w:val="18"/>
                <w:lang w:eastAsia="en-AU"/>
              </w:rPr>
              <w:t>POTENTIAL ECONOMIC BENEFITS</w:t>
            </w:r>
          </w:p>
        </w:tc>
        <w:tc>
          <w:tcPr>
            <w:tcW w:w="1409" w:type="pct"/>
            <w:hideMark/>
          </w:tcPr>
          <w:p w14:paraId="4E139EBF" w14:textId="77777777" w:rsidR="00EF3E77" w:rsidRPr="00610204" w:rsidRDefault="00EF3E77" w:rsidP="00325FF2">
            <w:pPr>
              <w:pStyle w:val="TableNBullet"/>
              <w:rPr>
                <w:rFonts w:ascii="Arial" w:hAnsi="Arial" w:cs="Arial"/>
                <w:sz w:val="18"/>
                <w:szCs w:val="16"/>
              </w:rPr>
            </w:pPr>
            <w:r w:rsidRPr="00610204">
              <w:rPr>
                <w:sz w:val="18"/>
                <w:szCs w:val="16"/>
              </w:rPr>
              <w:t>Reduction in the backlog of un-evaluated data avoiding labour intensive costs of traditional manual methods</w:t>
            </w:r>
          </w:p>
          <w:p w14:paraId="61BDD6D5" w14:textId="77777777" w:rsidR="00EF3E77" w:rsidRPr="00610204" w:rsidRDefault="00EF3E77" w:rsidP="00325FF2">
            <w:pPr>
              <w:pStyle w:val="TableNBullet"/>
              <w:rPr>
                <w:rFonts w:ascii="Arial" w:hAnsi="Arial" w:cs="Arial"/>
                <w:sz w:val="18"/>
                <w:szCs w:val="16"/>
              </w:rPr>
            </w:pPr>
            <w:r w:rsidRPr="00610204">
              <w:rPr>
                <w:sz w:val="18"/>
                <w:szCs w:val="16"/>
              </w:rPr>
              <w:t>Greater capacity to free up valuable IT infrastructure resources for other more productive means</w:t>
            </w:r>
          </w:p>
          <w:p w14:paraId="4AE7943A" w14:textId="77777777" w:rsidR="00EF3E77" w:rsidRPr="00610204" w:rsidRDefault="00EF3E77" w:rsidP="00325FF2">
            <w:pPr>
              <w:pStyle w:val="TableNBullet"/>
              <w:rPr>
                <w:rFonts w:ascii="Arial" w:hAnsi="Arial" w:cs="Arial"/>
                <w:sz w:val="18"/>
                <w:szCs w:val="16"/>
              </w:rPr>
            </w:pPr>
            <w:r w:rsidRPr="00610204">
              <w:rPr>
                <w:sz w:val="18"/>
                <w:szCs w:val="16"/>
              </w:rPr>
              <w:t>Transferrable technology that can be used across all types of archives (both government and private sector)</w:t>
            </w:r>
          </w:p>
        </w:tc>
        <w:tc>
          <w:tcPr>
            <w:tcW w:w="1409" w:type="pct"/>
            <w:hideMark/>
          </w:tcPr>
          <w:p w14:paraId="312E4FA9" w14:textId="77777777" w:rsidR="00EF3E77" w:rsidRPr="00610204" w:rsidRDefault="00EF3E77" w:rsidP="00325FF2">
            <w:pPr>
              <w:pStyle w:val="TableNBullet"/>
              <w:rPr>
                <w:rFonts w:ascii="Arial" w:hAnsi="Arial" w:cs="Arial"/>
                <w:sz w:val="18"/>
                <w:szCs w:val="16"/>
              </w:rPr>
            </w:pPr>
            <w:r w:rsidRPr="00610204">
              <w:rPr>
                <w:sz w:val="18"/>
                <w:szCs w:val="16"/>
              </w:rPr>
              <w:t>Improved evidence base to enable more effective and better informed policy interventions that deliver better value for the Australian taxpayers and improved outcomes for tourism</w:t>
            </w:r>
          </w:p>
          <w:p w14:paraId="58B2D106" w14:textId="77777777" w:rsidR="00EF3E77" w:rsidRPr="00610204" w:rsidRDefault="00EF3E77" w:rsidP="00325FF2">
            <w:pPr>
              <w:pStyle w:val="TableNBullet"/>
              <w:rPr>
                <w:rFonts w:ascii="Arial" w:hAnsi="Arial" w:cs="Arial"/>
                <w:sz w:val="18"/>
                <w:szCs w:val="16"/>
              </w:rPr>
            </w:pPr>
            <w:r w:rsidRPr="00610204">
              <w:rPr>
                <w:sz w:val="18"/>
                <w:szCs w:val="16"/>
              </w:rPr>
              <w:t>Increasing tourism trade and facilitating continued foreign investment</w:t>
            </w:r>
          </w:p>
        </w:tc>
        <w:tc>
          <w:tcPr>
            <w:tcW w:w="1409" w:type="pct"/>
            <w:hideMark/>
          </w:tcPr>
          <w:p w14:paraId="5F09A9B8" w14:textId="77777777" w:rsidR="00EF3E77" w:rsidRPr="00610204" w:rsidRDefault="00EF3E77" w:rsidP="00325FF2">
            <w:pPr>
              <w:pStyle w:val="TableNBullet"/>
              <w:rPr>
                <w:rFonts w:ascii="Arial" w:hAnsi="Arial" w:cs="Arial"/>
                <w:sz w:val="18"/>
                <w:szCs w:val="16"/>
              </w:rPr>
            </w:pPr>
            <w:r w:rsidRPr="00610204">
              <w:rPr>
                <w:sz w:val="18"/>
                <w:szCs w:val="16"/>
              </w:rPr>
              <w:t>Reduced pressure in the freight supply chain achieved with faster clearance of goods</w:t>
            </w:r>
          </w:p>
          <w:p w14:paraId="10C0F02F" w14:textId="77777777" w:rsidR="00EF3E77" w:rsidRPr="00610204" w:rsidRDefault="00EF3E77" w:rsidP="00325FF2">
            <w:pPr>
              <w:pStyle w:val="TableNBullet"/>
              <w:rPr>
                <w:rFonts w:ascii="Arial" w:hAnsi="Arial" w:cs="Arial"/>
                <w:sz w:val="18"/>
                <w:szCs w:val="16"/>
              </w:rPr>
            </w:pPr>
            <w:r w:rsidRPr="00610204">
              <w:rPr>
                <w:sz w:val="18"/>
                <w:szCs w:val="16"/>
              </w:rPr>
              <w:t>Cost savings for both government and importers through reduced, more targeted inspections</w:t>
            </w:r>
          </w:p>
        </w:tc>
      </w:tr>
      <w:tr w:rsidR="00EF3E77" w:rsidRPr="00981FE2" w14:paraId="0AEE3134" w14:textId="77777777" w:rsidTr="009852C8">
        <w:trPr>
          <w:trHeight w:val="599"/>
        </w:trPr>
        <w:tc>
          <w:tcPr>
            <w:tcW w:w="773" w:type="pct"/>
            <w:shd w:val="clear" w:color="auto" w:fill="E6E6E1" w:themeFill="accent5"/>
            <w:hideMark/>
          </w:tcPr>
          <w:p w14:paraId="068ABBC8" w14:textId="77777777" w:rsidR="00EF3E77" w:rsidRPr="00325FF2" w:rsidRDefault="00EF3E77" w:rsidP="00325FF2">
            <w:pPr>
              <w:pStyle w:val="TableNheader"/>
              <w:rPr>
                <w:rFonts w:ascii="Arial" w:hAnsi="Arial" w:cs="Arial"/>
                <w:sz w:val="18"/>
                <w:szCs w:val="18"/>
                <w:lang w:eastAsia="en-AU"/>
              </w:rPr>
            </w:pPr>
            <w:r w:rsidRPr="00325FF2">
              <w:rPr>
                <w:sz w:val="18"/>
                <w:szCs w:val="18"/>
                <w:lang w:eastAsia="en-AU"/>
              </w:rPr>
              <w:t>PUBLIC BENEFITS</w:t>
            </w:r>
          </w:p>
        </w:tc>
        <w:tc>
          <w:tcPr>
            <w:tcW w:w="1409" w:type="pct"/>
            <w:hideMark/>
          </w:tcPr>
          <w:p w14:paraId="13528E8C" w14:textId="77777777" w:rsidR="00EF3E77" w:rsidRPr="00610204" w:rsidRDefault="00EF3E77" w:rsidP="00325FF2">
            <w:pPr>
              <w:pStyle w:val="TableNBullet"/>
              <w:rPr>
                <w:rFonts w:ascii="Arial" w:hAnsi="Arial" w:cs="Arial"/>
                <w:sz w:val="18"/>
                <w:szCs w:val="16"/>
              </w:rPr>
            </w:pPr>
            <w:r w:rsidRPr="00610204">
              <w:rPr>
                <w:sz w:val="18"/>
                <w:szCs w:val="16"/>
              </w:rPr>
              <w:t>Reduced risk of losing important cultural artefacts</w:t>
            </w:r>
          </w:p>
        </w:tc>
        <w:tc>
          <w:tcPr>
            <w:tcW w:w="1409" w:type="pct"/>
            <w:hideMark/>
          </w:tcPr>
          <w:p w14:paraId="61334EC0" w14:textId="77777777" w:rsidR="00EF3E77" w:rsidRPr="00610204" w:rsidRDefault="00EF3E77" w:rsidP="00325FF2">
            <w:pPr>
              <w:pStyle w:val="TableNBullet"/>
              <w:rPr>
                <w:rFonts w:ascii="Arial" w:hAnsi="Arial" w:cs="Arial"/>
                <w:sz w:val="18"/>
                <w:szCs w:val="16"/>
              </w:rPr>
            </w:pPr>
            <w:r w:rsidRPr="00610204">
              <w:rPr>
                <w:sz w:val="18"/>
                <w:szCs w:val="16"/>
              </w:rPr>
              <w:t>Promotion of tourism outwardly</w:t>
            </w:r>
          </w:p>
        </w:tc>
        <w:tc>
          <w:tcPr>
            <w:tcW w:w="1409" w:type="pct"/>
            <w:hideMark/>
          </w:tcPr>
          <w:p w14:paraId="0860F6F1" w14:textId="77777777" w:rsidR="00EF3E77" w:rsidRPr="00610204" w:rsidRDefault="00EF3E77" w:rsidP="00325FF2">
            <w:pPr>
              <w:pStyle w:val="TableNBullet"/>
              <w:rPr>
                <w:rFonts w:ascii="Arial" w:hAnsi="Arial" w:cs="Arial"/>
                <w:sz w:val="18"/>
                <w:szCs w:val="16"/>
              </w:rPr>
            </w:pPr>
            <w:r w:rsidRPr="00610204">
              <w:rPr>
                <w:sz w:val="18"/>
                <w:szCs w:val="16"/>
              </w:rPr>
              <w:t>Increased consumer confidence in the national biosecurity system</w:t>
            </w:r>
          </w:p>
        </w:tc>
      </w:tr>
      <w:tr w:rsidR="00EF3E77" w:rsidRPr="00981FE2" w14:paraId="4A7C0CF9" w14:textId="77777777" w:rsidTr="009852C8">
        <w:trPr>
          <w:trHeight w:val="816"/>
        </w:trPr>
        <w:tc>
          <w:tcPr>
            <w:tcW w:w="773" w:type="pct"/>
            <w:shd w:val="clear" w:color="auto" w:fill="E6E6E1" w:themeFill="accent5"/>
            <w:hideMark/>
          </w:tcPr>
          <w:p w14:paraId="6EE24D76" w14:textId="77777777" w:rsidR="00EF3E77" w:rsidRPr="00325FF2" w:rsidRDefault="00EF3E77" w:rsidP="00325FF2">
            <w:pPr>
              <w:pStyle w:val="TableNheader"/>
              <w:rPr>
                <w:rFonts w:ascii="Arial" w:hAnsi="Arial" w:cs="Arial"/>
                <w:sz w:val="18"/>
                <w:szCs w:val="18"/>
                <w:lang w:eastAsia="en-AU"/>
              </w:rPr>
            </w:pPr>
            <w:r w:rsidRPr="00325FF2">
              <w:rPr>
                <w:sz w:val="18"/>
                <w:szCs w:val="18"/>
                <w:lang w:eastAsia="en-AU"/>
              </w:rPr>
              <w:t>LIKELY BENEFICIARIES</w:t>
            </w:r>
          </w:p>
        </w:tc>
        <w:tc>
          <w:tcPr>
            <w:tcW w:w="1409" w:type="pct"/>
            <w:hideMark/>
          </w:tcPr>
          <w:p w14:paraId="7AC2A332" w14:textId="77777777" w:rsidR="00EF3E77" w:rsidRPr="00610204" w:rsidRDefault="00EF3E77" w:rsidP="00325FF2">
            <w:pPr>
              <w:pStyle w:val="TableNBullet"/>
              <w:rPr>
                <w:rFonts w:ascii="Arial" w:hAnsi="Arial" w:cs="Arial"/>
                <w:sz w:val="18"/>
                <w:szCs w:val="16"/>
              </w:rPr>
            </w:pPr>
            <w:r w:rsidRPr="00610204">
              <w:rPr>
                <w:sz w:val="18"/>
                <w:szCs w:val="16"/>
              </w:rPr>
              <w:t>National Archives and other government agencies</w:t>
            </w:r>
          </w:p>
          <w:p w14:paraId="17FBB4C5" w14:textId="77777777" w:rsidR="00EF3E77" w:rsidRPr="00610204" w:rsidRDefault="00EF3E77" w:rsidP="00325FF2">
            <w:pPr>
              <w:pStyle w:val="TableNBullet"/>
              <w:rPr>
                <w:rFonts w:ascii="Arial" w:hAnsi="Arial" w:cs="Arial"/>
                <w:sz w:val="18"/>
                <w:szCs w:val="16"/>
              </w:rPr>
            </w:pPr>
            <w:r w:rsidRPr="00610204">
              <w:rPr>
                <w:sz w:val="18"/>
                <w:szCs w:val="16"/>
              </w:rPr>
              <w:t>Australian private sector</w:t>
            </w:r>
          </w:p>
        </w:tc>
        <w:tc>
          <w:tcPr>
            <w:tcW w:w="1409" w:type="pct"/>
            <w:hideMark/>
          </w:tcPr>
          <w:p w14:paraId="2E52A9EE" w14:textId="77777777" w:rsidR="00EF3E77" w:rsidRPr="00610204" w:rsidRDefault="00EF3E77" w:rsidP="00325FF2">
            <w:pPr>
              <w:pStyle w:val="TableNBullet"/>
              <w:rPr>
                <w:rFonts w:ascii="Arial" w:hAnsi="Arial" w:cs="Arial"/>
                <w:sz w:val="18"/>
                <w:szCs w:val="16"/>
              </w:rPr>
            </w:pPr>
            <w:r w:rsidRPr="00610204">
              <w:rPr>
                <w:sz w:val="18"/>
                <w:szCs w:val="16"/>
              </w:rPr>
              <w:t>Austrade and Tourism Research Australia (TRA)</w:t>
            </w:r>
          </w:p>
          <w:p w14:paraId="344DEA6D" w14:textId="77777777" w:rsidR="00EF3E77" w:rsidRPr="00610204" w:rsidRDefault="00EF3E77" w:rsidP="00325FF2">
            <w:pPr>
              <w:pStyle w:val="TableNBullet"/>
              <w:rPr>
                <w:rFonts w:ascii="Arial" w:hAnsi="Arial" w:cs="Arial"/>
                <w:sz w:val="18"/>
                <w:szCs w:val="16"/>
              </w:rPr>
            </w:pPr>
            <w:r w:rsidRPr="00610204">
              <w:rPr>
                <w:sz w:val="18"/>
                <w:szCs w:val="16"/>
              </w:rPr>
              <w:t>State tourism agencies</w:t>
            </w:r>
          </w:p>
          <w:p w14:paraId="2C271EB5" w14:textId="77777777" w:rsidR="00EF3E77" w:rsidRPr="00610204" w:rsidRDefault="00EF3E77" w:rsidP="00325FF2">
            <w:pPr>
              <w:pStyle w:val="TableNBullet"/>
              <w:rPr>
                <w:rFonts w:ascii="Arial" w:hAnsi="Arial" w:cs="Arial"/>
                <w:sz w:val="18"/>
                <w:szCs w:val="16"/>
              </w:rPr>
            </w:pPr>
            <w:r w:rsidRPr="00610204">
              <w:rPr>
                <w:sz w:val="18"/>
                <w:szCs w:val="16"/>
              </w:rPr>
              <w:t>Tourism operators and peaks</w:t>
            </w:r>
          </w:p>
          <w:p w14:paraId="73D1C7B0" w14:textId="77777777" w:rsidR="00EF3E77" w:rsidRPr="00610204" w:rsidRDefault="00EF3E77" w:rsidP="00325FF2">
            <w:pPr>
              <w:pStyle w:val="TableNBullet"/>
              <w:rPr>
                <w:rFonts w:ascii="Arial" w:hAnsi="Arial" w:cs="Arial"/>
                <w:sz w:val="18"/>
                <w:szCs w:val="16"/>
              </w:rPr>
            </w:pPr>
            <w:r w:rsidRPr="00610204">
              <w:rPr>
                <w:sz w:val="18"/>
                <w:szCs w:val="16"/>
              </w:rPr>
              <w:t>Small businesses and tourism businesses in tourism-centric areas</w:t>
            </w:r>
          </w:p>
        </w:tc>
        <w:tc>
          <w:tcPr>
            <w:tcW w:w="1409" w:type="pct"/>
            <w:hideMark/>
          </w:tcPr>
          <w:p w14:paraId="51E6A525" w14:textId="77777777" w:rsidR="00EF3E77" w:rsidRPr="00610204" w:rsidRDefault="00EF3E77" w:rsidP="00325FF2">
            <w:pPr>
              <w:pStyle w:val="TableNBullet"/>
              <w:rPr>
                <w:rFonts w:ascii="Arial" w:hAnsi="Arial" w:cs="Arial"/>
                <w:sz w:val="18"/>
                <w:szCs w:val="16"/>
              </w:rPr>
            </w:pPr>
            <w:r w:rsidRPr="00610204">
              <w:rPr>
                <w:sz w:val="18"/>
                <w:szCs w:val="16"/>
              </w:rPr>
              <w:t>DAWE</w:t>
            </w:r>
          </w:p>
          <w:p w14:paraId="185A602C" w14:textId="77777777" w:rsidR="00EF3E77" w:rsidRPr="00610204" w:rsidRDefault="00EF3E77" w:rsidP="00325FF2">
            <w:pPr>
              <w:pStyle w:val="TableNBullet"/>
              <w:rPr>
                <w:rFonts w:ascii="Arial" w:hAnsi="Arial" w:cs="Arial"/>
                <w:sz w:val="18"/>
                <w:szCs w:val="16"/>
              </w:rPr>
            </w:pPr>
            <w:r w:rsidRPr="00610204">
              <w:rPr>
                <w:sz w:val="18"/>
                <w:szCs w:val="16"/>
              </w:rPr>
              <w:t>Importers and stevedores</w:t>
            </w:r>
          </w:p>
          <w:p w14:paraId="5E2848C1" w14:textId="77777777" w:rsidR="00EF3E77" w:rsidRPr="00610204" w:rsidRDefault="00EF3E77" w:rsidP="00325FF2">
            <w:pPr>
              <w:pStyle w:val="TableNBullet"/>
              <w:rPr>
                <w:rFonts w:ascii="Arial" w:hAnsi="Arial" w:cs="Arial"/>
                <w:sz w:val="18"/>
                <w:szCs w:val="16"/>
              </w:rPr>
            </w:pPr>
            <w:r w:rsidRPr="00610204">
              <w:rPr>
                <w:sz w:val="18"/>
                <w:szCs w:val="16"/>
              </w:rPr>
              <w:t>Freight industry</w:t>
            </w:r>
          </w:p>
        </w:tc>
      </w:tr>
    </w:tbl>
    <w:p w14:paraId="140A85C6" w14:textId="77777777" w:rsidR="00EF3E77" w:rsidRPr="00981FE2" w:rsidRDefault="00EF3E77" w:rsidP="00EF3E77">
      <w:pPr>
        <w:pStyle w:val="Source"/>
      </w:pPr>
      <w:r>
        <w:t>Sources: feasibility study final reports; SME interviews and surveys; challenge agency interviews</w:t>
      </w:r>
      <w:r w:rsidRPr="00981FE2">
        <w:tab/>
      </w:r>
    </w:p>
    <w:p w14:paraId="72BAC42F" w14:textId="77777777" w:rsidR="00EF3E77" w:rsidRDefault="00EF3E77" w:rsidP="00EF3E77">
      <w:pPr>
        <w:rPr>
          <w:lang w:eastAsia="en-AU"/>
        </w:rPr>
        <w:sectPr w:rsidR="00EF3E77" w:rsidSect="00FA544A">
          <w:pgSz w:w="16839" w:h="11907" w:orient="landscape" w:code="9"/>
          <w:pgMar w:top="851" w:right="851" w:bottom="851" w:left="851" w:header="720" w:footer="720" w:gutter="0"/>
          <w:cols w:space="720"/>
          <w:titlePg/>
          <w:docGrid w:linePitch="360"/>
        </w:sectPr>
      </w:pPr>
    </w:p>
    <w:p w14:paraId="02053551" w14:textId="77777777" w:rsidR="00EF3E77" w:rsidRDefault="00EF3E77">
      <w:pPr>
        <w:pStyle w:val="Heading2"/>
      </w:pPr>
      <w:bookmarkStart w:id="81" w:name="_Ref79331033"/>
      <w:bookmarkStart w:id="82" w:name="_Toc124435152"/>
      <w:r>
        <w:lastRenderedPageBreak/>
        <w:t xml:space="preserve">The BRII delivers comparable outcomes to similar international programs </w:t>
      </w:r>
      <w:r>
        <w:rPr>
          <w:rFonts w:asciiTheme="majorHAnsi" w:hAnsiTheme="majorHAnsi" w:cstheme="majorHAnsi"/>
        </w:rPr>
        <w:t>but lags in scale</w:t>
      </w:r>
      <w:bookmarkEnd w:id="81"/>
      <w:bookmarkEnd w:id="82"/>
    </w:p>
    <w:p w14:paraId="1CDB09D1" w14:textId="0CF000B9" w:rsidR="00EF3E77" w:rsidRDefault="00EF3E77" w:rsidP="00EF3E77">
      <w:pPr>
        <w:rPr>
          <w:lang w:eastAsia="en-AU"/>
        </w:rPr>
      </w:pPr>
      <w:r w:rsidDel="00F662CA">
        <w:rPr>
          <w:lang w:eastAsia="en-AU"/>
        </w:rPr>
        <w:t xml:space="preserve">The </w:t>
      </w:r>
      <w:r>
        <w:rPr>
          <w:lang w:eastAsia="en-AU"/>
        </w:rPr>
        <w:t>evaluation completed a comparative analysis of BRII with three similar programs around the world:</w:t>
      </w:r>
      <w:r w:rsidDel="00F662CA">
        <w:rPr>
          <w:lang w:eastAsia="en-AU"/>
        </w:rPr>
        <w:t xml:space="preserve"> </w:t>
      </w:r>
      <w:r>
        <w:rPr>
          <w:lang w:eastAsia="en-AU"/>
        </w:rPr>
        <w:t>the SBIR (US), the ISC (Canada) and the SBRI (UK). These programs are not identical to the BRII and have a variety of different design characteristics (see</w:t>
      </w:r>
      <w:r w:rsidDel="00F662CA">
        <w:rPr>
          <w:lang w:eastAsia="en-AU"/>
        </w:rPr>
        <w:t xml:space="preserve"> </w:t>
      </w:r>
      <w:r>
        <w:rPr>
          <w:lang w:eastAsia="en-AU"/>
        </w:rPr>
        <w:t xml:space="preserve">Appendix </w:t>
      </w:r>
      <w:r>
        <w:rPr>
          <w:lang w:eastAsia="en-AU"/>
        </w:rPr>
        <w:fldChar w:fldCharType="begin"/>
      </w:r>
      <w:r>
        <w:rPr>
          <w:lang w:eastAsia="en-AU"/>
        </w:rPr>
        <w:instrText xml:space="preserve"> REF _Ref75899974 \n \h </w:instrText>
      </w:r>
      <w:r>
        <w:rPr>
          <w:lang w:eastAsia="en-AU"/>
        </w:rPr>
      </w:r>
      <w:r>
        <w:rPr>
          <w:lang w:eastAsia="en-AU"/>
        </w:rPr>
        <w:fldChar w:fldCharType="separate"/>
      </w:r>
      <w:r w:rsidR="00AE607F">
        <w:rPr>
          <w:lang w:eastAsia="en-AU"/>
        </w:rPr>
        <w:t>A.2</w:t>
      </w:r>
      <w:r>
        <w:rPr>
          <w:lang w:eastAsia="en-AU"/>
        </w:rPr>
        <w:fldChar w:fldCharType="end"/>
      </w:r>
      <w:r>
        <w:rPr>
          <w:lang w:eastAsia="en-AU"/>
        </w:rPr>
        <w:t xml:space="preserve">). </w:t>
      </w:r>
    </w:p>
    <w:p w14:paraId="1A1462E8" w14:textId="77777777" w:rsidR="00EF3E77" w:rsidRDefault="00EF3E77" w:rsidP="00EF3E77">
      <w:pPr>
        <w:rPr>
          <w:lang w:eastAsia="en-AU"/>
        </w:rPr>
      </w:pPr>
      <w:r>
        <w:rPr>
          <w:lang w:eastAsia="en-AU"/>
        </w:rPr>
        <w:t>The SBIR has a variety of outcome evaluations against which some BRII outcomes can be compared. The Innovative Solutions Canada</w:t>
      </w:r>
      <w:r w:rsidRPr="00B7293F">
        <w:rPr>
          <w:lang w:eastAsia="en-AU"/>
        </w:rPr>
        <w:t xml:space="preserve"> (</w:t>
      </w:r>
      <w:r>
        <w:rPr>
          <w:lang w:eastAsia="en-AU"/>
        </w:rPr>
        <w:t>ISC</w:t>
      </w:r>
      <w:r w:rsidRPr="00B7293F">
        <w:rPr>
          <w:lang w:eastAsia="en-AU"/>
        </w:rPr>
        <w:t>)</w:t>
      </w:r>
      <w:r>
        <w:rPr>
          <w:lang w:eastAsia="en-AU"/>
        </w:rPr>
        <w:t xml:space="preserve"> program is too young for any outcome or impact evaluations to have taken place. However, the design and delivery of the program to date has been compared to the BRII. Key findings from the comparative analysis are provided below. </w:t>
      </w:r>
    </w:p>
    <w:p w14:paraId="1B232FCE" w14:textId="52B2B735" w:rsidR="00EF3E77" w:rsidRDefault="00EF3E77" w:rsidP="00EF3E77">
      <w:pPr>
        <w:rPr>
          <w:lang w:eastAsia="en-AU"/>
        </w:rPr>
      </w:pPr>
      <w:r>
        <w:rPr>
          <w:lang w:eastAsia="en-AU"/>
        </w:rPr>
        <w:t xml:space="preserve">Only the UK SBRI has a comparable CBA. A comparison of the UK SBRI and BRII CBA results is outlined in </w:t>
      </w:r>
      <w:r w:rsidR="000673BF">
        <w:rPr>
          <w:lang w:eastAsia="en-AU"/>
        </w:rPr>
        <w:t>Section</w:t>
      </w:r>
      <w:r>
        <w:rPr>
          <w:lang w:eastAsia="en-AU"/>
        </w:rPr>
        <w:t xml:space="preserve"> </w:t>
      </w:r>
      <w:r>
        <w:rPr>
          <w:lang w:eastAsia="en-AU"/>
        </w:rPr>
        <w:fldChar w:fldCharType="begin"/>
      </w:r>
      <w:r>
        <w:rPr>
          <w:lang w:eastAsia="en-AU"/>
        </w:rPr>
        <w:instrText xml:space="preserve"> REF _Ref75966079 \r \h </w:instrText>
      </w:r>
      <w:r>
        <w:rPr>
          <w:lang w:eastAsia="en-AU"/>
        </w:rPr>
      </w:r>
      <w:r>
        <w:rPr>
          <w:lang w:eastAsia="en-AU"/>
        </w:rPr>
        <w:fldChar w:fldCharType="separate"/>
      </w:r>
      <w:r w:rsidR="00AE607F">
        <w:rPr>
          <w:lang w:eastAsia="en-AU"/>
        </w:rPr>
        <w:t>6.5</w:t>
      </w:r>
      <w:r>
        <w:rPr>
          <w:lang w:eastAsia="en-AU"/>
        </w:rPr>
        <w:fldChar w:fldCharType="end"/>
      </w:r>
      <w:r>
        <w:rPr>
          <w:lang w:eastAsia="en-AU"/>
        </w:rPr>
        <w:t>.</w:t>
      </w:r>
    </w:p>
    <w:p w14:paraId="2FEDBD4A" w14:textId="77777777" w:rsidR="00EF3E77" w:rsidRDefault="00EF3E77">
      <w:pPr>
        <w:pStyle w:val="Heading3"/>
      </w:pPr>
      <w:bookmarkStart w:id="83" w:name="_Ref79331064"/>
      <w:r>
        <w:t>The BRII compares favourably to the US SBIR in some key measures</w:t>
      </w:r>
      <w:bookmarkEnd w:id="83"/>
      <w:r>
        <w:t xml:space="preserve"> </w:t>
      </w:r>
    </w:p>
    <w:p w14:paraId="4E839659" w14:textId="77777777" w:rsidR="00EF3E77" w:rsidRDefault="00EF3E77" w:rsidP="00EF3E77">
      <w:pPr>
        <w:rPr>
          <w:lang w:eastAsia="en-AU"/>
        </w:rPr>
      </w:pPr>
      <w:r>
        <w:rPr>
          <w:lang w:eastAsia="en-AU"/>
        </w:rPr>
        <w:t>The SBIR in the US (founded in 1982) is significantly older than the BRII. It is also significantly larger. In 2019, the SBIR distributed over three billion dollars in grant funding. Although there are significant differences in maturity there are several directly comparable measures from recent evaluations of the SBIR. There were also several proxy measures that supported an indirect comparison.</w:t>
      </w:r>
    </w:p>
    <w:p w14:paraId="292BC5B3" w14:textId="77777777" w:rsidR="00EF3E77" w:rsidRDefault="00EF3E77" w:rsidP="00EF3E77">
      <w:pPr>
        <w:spacing w:before="240"/>
        <w:rPr>
          <w:lang w:eastAsia="en-AU"/>
        </w:rPr>
      </w:pPr>
      <w:r>
        <w:rPr>
          <w:lang w:eastAsia="en-AU"/>
        </w:rPr>
        <w:t>Many of the firm-level outcomes that the BRII achieved (noting the small sample size) compare favourably to the SBIR. These are outlined below.</w:t>
      </w:r>
    </w:p>
    <w:p w14:paraId="0F4C370D" w14:textId="6E50286E" w:rsidR="00EF3E77" w:rsidRDefault="00EF3E77">
      <w:pPr>
        <w:pStyle w:val="Bullet"/>
      </w:pPr>
      <w:r w:rsidRPr="00D01AAF">
        <w:rPr>
          <w:b/>
        </w:rPr>
        <w:t xml:space="preserve">BRII firms were just as likely to commercialise their IP as SBIR firms. </w:t>
      </w:r>
      <w:r w:rsidRPr="00436313">
        <w:t>According to survey responses, 75</w:t>
      </w:r>
      <w:r>
        <w:t xml:space="preserve"> per cent</w:t>
      </w:r>
      <w:r w:rsidRPr="00D01AAF">
        <w:t xml:space="preserve"> of</w:t>
      </w:r>
      <w:r>
        <w:t xml:space="preserve"> the</w:t>
      </w:r>
      <w:r w:rsidRPr="00436313">
        <w:t xml:space="preserve"> BRII proof of concept SMEs have already commercialised their IP, while a further 12.5</w:t>
      </w:r>
      <w:r>
        <w:t xml:space="preserve"> per cent</w:t>
      </w:r>
      <w:r w:rsidRPr="00436313">
        <w:t xml:space="preserve"> plan to in the near future. This compared </w:t>
      </w:r>
      <w:r>
        <w:t xml:space="preserve">favourably with </w:t>
      </w:r>
      <w:r w:rsidRPr="00436313">
        <w:t>the SBIR’s “market reach” indicator, which outlines the proportion of firms whose idea has been commercialised in some capacity.</w:t>
      </w:r>
      <w:r w:rsidR="00A46331">
        <w:rPr>
          <w:rStyle w:val="FootnoteReference"/>
        </w:rPr>
        <w:footnoteReference w:id="39"/>
      </w:r>
      <w:r w:rsidRPr="00436313">
        <w:t xml:space="preserve"> In </w:t>
      </w:r>
      <w:r w:rsidR="00A46331">
        <w:t xml:space="preserve">the </w:t>
      </w:r>
      <w:r w:rsidRPr="00436313">
        <w:t xml:space="preserve">SBIR, </w:t>
      </w:r>
      <w:r w:rsidR="007B6BF1">
        <w:t xml:space="preserve">the market reach indicator varied from </w:t>
      </w:r>
      <w:r w:rsidRPr="00436313">
        <w:t>40</w:t>
      </w:r>
      <w:r w:rsidR="0054034A">
        <w:t xml:space="preserve"> to </w:t>
      </w:r>
      <w:r w:rsidRPr="00436313">
        <w:t>70</w:t>
      </w:r>
      <w:r>
        <w:t xml:space="preserve"> per cent</w:t>
      </w:r>
      <w:r w:rsidRPr="00436313">
        <w:t xml:space="preserve"> depending on the challenge agency.</w:t>
      </w:r>
    </w:p>
    <w:p w14:paraId="79E8AB16" w14:textId="593756B9" w:rsidR="00EF3E77" w:rsidRDefault="00EF3E77">
      <w:pPr>
        <w:pStyle w:val="Bullet"/>
      </w:pPr>
      <w:r w:rsidRPr="00D01AAF">
        <w:rPr>
          <w:b/>
        </w:rPr>
        <w:t xml:space="preserve">BRII firms were more likely to develop relationships </w:t>
      </w:r>
      <w:r w:rsidR="007A1CBC">
        <w:rPr>
          <w:b/>
        </w:rPr>
        <w:t>than</w:t>
      </w:r>
      <w:r w:rsidRPr="00D01AAF">
        <w:rPr>
          <w:b/>
        </w:rPr>
        <w:t xml:space="preserve"> SBIR firms.</w:t>
      </w:r>
      <w:r>
        <w:t xml:space="preserve"> Almost 90 </w:t>
      </w:r>
      <w:r w:rsidRPr="00D01AAF">
        <w:t>per</w:t>
      </w:r>
      <w:r>
        <w:t xml:space="preserve"> </w:t>
      </w:r>
      <w:r w:rsidRPr="00D01AAF">
        <w:t>cent</w:t>
      </w:r>
      <w:r>
        <w:t xml:space="preserve"> of BRII feasibility SMEs and 100 per</w:t>
      </w:r>
      <w:r w:rsidR="00E83103">
        <w:t xml:space="preserve"> </w:t>
      </w:r>
      <w:r>
        <w:t xml:space="preserve">cent of proof of concept SMEs suggested that the BRII helped them to build innovative new partnerships. This compared with 30-70 </w:t>
      </w:r>
      <w:r w:rsidRPr="00D01AAF">
        <w:t>per</w:t>
      </w:r>
      <w:r>
        <w:t xml:space="preserve"> </w:t>
      </w:r>
      <w:r w:rsidRPr="00D01AAF">
        <w:t>cent</w:t>
      </w:r>
      <w:r>
        <w:t xml:space="preserve"> of SBIR projects (depending on the agency) that used academic support in some capacity. While these measures are not directly comparable, they do provide a proxy comparison of the impact of each program on firm relationship building.</w:t>
      </w:r>
    </w:p>
    <w:p w14:paraId="6DF86220" w14:textId="26B76866" w:rsidR="00EF3E77" w:rsidRDefault="00EF3E77">
      <w:pPr>
        <w:pStyle w:val="Bullet"/>
      </w:pPr>
      <w:r w:rsidRPr="00D01AAF">
        <w:rPr>
          <w:b/>
        </w:rPr>
        <w:t>The BRII created a similar level of additionality to SBIR through the support of projects that would not have occurred otherwise.</w:t>
      </w:r>
      <w:r>
        <w:t xml:space="preserve"> </w:t>
      </w:r>
      <w:r w:rsidR="001C5FE6">
        <w:t xml:space="preserve">Seventy five </w:t>
      </w:r>
      <w:r w:rsidR="00DC39DC">
        <w:t>per</w:t>
      </w:r>
      <w:r w:rsidR="000A6917">
        <w:t xml:space="preserve"> </w:t>
      </w:r>
      <w:r w:rsidR="00DC39DC">
        <w:t xml:space="preserve">cent </w:t>
      </w:r>
      <w:r>
        <w:t xml:space="preserve">of the BRII proof </w:t>
      </w:r>
      <w:r>
        <w:lastRenderedPageBreak/>
        <w:t>of concept projects and 67 per</w:t>
      </w:r>
      <w:r w:rsidR="00167101">
        <w:t xml:space="preserve"> </w:t>
      </w:r>
      <w:r>
        <w:t xml:space="preserve">cent of feasibility projects would not have started without the BRII funding compared with 70 per cent of SBIR projects. </w:t>
      </w:r>
    </w:p>
    <w:p w14:paraId="6CD95EA2" w14:textId="30C80975" w:rsidR="00EF3E77" w:rsidRDefault="00EF3E77">
      <w:pPr>
        <w:pStyle w:val="Bullet"/>
      </w:pPr>
      <w:r w:rsidRPr="00D01AAF">
        <w:rPr>
          <w:b/>
        </w:rPr>
        <w:t>The BRII catalysed start-up creation at the same rate as the SBIR.</w:t>
      </w:r>
      <w:r>
        <w:t xml:space="preserve"> </w:t>
      </w:r>
      <w:r w:rsidR="001C5FE6">
        <w:t>Eighteen</w:t>
      </w:r>
      <w:r>
        <w:t xml:space="preserve"> per cent of SBIR companies were founded because of the program, </w:t>
      </w:r>
      <w:r w:rsidRPr="00F96D10">
        <w:t xml:space="preserve">while 17 per cent of BRII feasibility grant recipients in rounds </w:t>
      </w:r>
      <w:r w:rsidR="00E83103">
        <w:t>one</w:t>
      </w:r>
      <w:r w:rsidR="000A6917">
        <w:t>, two and</w:t>
      </w:r>
      <w:r w:rsidR="00E83103">
        <w:t xml:space="preserve"> three</w:t>
      </w:r>
      <w:r w:rsidRPr="00F96D10">
        <w:t xml:space="preserve"> were formed in the same year as the BRII round commenced. </w:t>
      </w:r>
    </w:p>
    <w:p w14:paraId="6A10542D" w14:textId="6B4BB55A" w:rsidR="00EF3E77" w:rsidRDefault="00EF3E77">
      <w:pPr>
        <w:pStyle w:val="Bullet"/>
      </w:pPr>
      <w:r w:rsidRPr="00D01AAF">
        <w:rPr>
          <w:b/>
        </w:rPr>
        <w:t xml:space="preserve">The BRII has had a strongly positive impact on business performance that is similar to the SBIR. </w:t>
      </w:r>
      <w:r w:rsidR="001C5FE6">
        <w:t>Seventy five</w:t>
      </w:r>
      <w:r w:rsidR="000A6917">
        <w:t xml:space="preserve"> per cent </w:t>
      </w:r>
      <w:r>
        <w:t xml:space="preserve">of the BRII proof of concept SMEs noted a positive impact on their turnover from the BRII compared with 70 </w:t>
      </w:r>
      <w:r w:rsidRPr="00D01AAF">
        <w:t>per</w:t>
      </w:r>
      <w:r>
        <w:t xml:space="preserve"> </w:t>
      </w:r>
      <w:r w:rsidRPr="00D01AAF">
        <w:t>cent</w:t>
      </w:r>
      <w:r>
        <w:t xml:space="preserve"> of SBIR firms that noted a transformative or strongly positive impact on their business trajectory. </w:t>
      </w:r>
    </w:p>
    <w:p w14:paraId="0F7A2EC6" w14:textId="24F926E1" w:rsidR="00EF3E77" w:rsidRDefault="00EF3E77" w:rsidP="00EF3E77">
      <w:pPr>
        <w:rPr>
          <w:lang w:eastAsia="en-AU"/>
        </w:rPr>
      </w:pPr>
      <w:r>
        <w:rPr>
          <w:lang w:eastAsia="en-AU"/>
        </w:rPr>
        <w:t xml:space="preserve">The comparison measures are outlined in </w:t>
      </w:r>
      <w:r w:rsidR="00897126">
        <w:rPr>
          <w:lang w:eastAsia="en-AU"/>
        </w:rPr>
        <w:fldChar w:fldCharType="begin"/>
      </w:r>
      <w:r w:rsidR="00897126">
        <w:rPr>
          <w:lang w:eastAsia="en-AU"/>
        </w:rPr>
        <w:instrText xml:space="preserve"> REF _Ref79400640 \h </w:instrText>
      </w:r>
      <w:r w:rsidR="00897126">
        <w:rPr>
          <w:lang w:eastAsia="en-AU"/>
        </w:rPr>
      </w:r>
      <w:r w:rsidR="00897126">
        <w:rPr>
          <w:lang w:eastAsia="en-AU"/>
        </w:rPr>
        <w:fldChar w:fldCharType="separate"/>
      </w:r>
      <w:r w:rsidR="00AE607F">
        <w:t xml:space="preserve">Table </w:t>
      </w:r>
      <w:r w:rsidR="00AE607F">
        <w:rPr>
          <w:noProof/>
        </w:rPr>
        <w:t>5</w:t>
      </w:r>
      <w:r w:rsidR="00897126">
        <w:rPr>
          <w:lang w:eastAsia="en-AU"/>
        </w:rPr>
        <w:fldChar w:fldCharType="end"/>
      </w:r>
      <w:r>
        <w:rPr>
          <w:lang w:eastAsia="en-AU"/>
        </w:rPr>
        <w:t>.</w:t>
      </w:r>
    </w:p>
    <w:p w14:paraId="5D610F09" w14:textId="5B1C1FE5" w:rsidR="00EF3E77" w:rsidRPr="00023B8F" w:rsidRDefault="00EF3E77" w:rsidP="00EF3E77">
      <w:pPr>
        <w:pStyle w:val="Caption"/>
        <w:rPr>
          <w:lang w:eastAsia="en-AU"/>
        </w:rPr>
      </w:pPr>
      <w:bookmarkStart w:id="84" w:name="_Ref79400640"/>
      <w:r>
        <w:t xml:space="preserve">Table </w:t>
      </w:r>
      <w:r>
        <w:fldChar w:fldCharType="begin"/>
      </w:r>
      <w:r>
        <w:instrText xml:space="preserve"> SEQ Table \* ARABIC </w:instrText>
      </w:r>
      <w:r>
        <w:fldChar w:fldCharType="separate"/>
      </w:r>
      <w:r w:rsidR="00AE607F">
        <w:rPr>
          <w:noProof/>
        </w:rPr>
        <w:t>5</w:t>
      </w:r>
      <w:r>
        <w:fldChar w:fldCharType="end"/>
      </w:r>
      <w:bookmarkEnd w:id="84"/>
      <w:r>
        <w:t xml:space="preserve"> | Summary of BRII and SBIR comparator statistics</w:t>
      </w:r>
    </w:p>
    <w:tbl>
      <w:tblPr>
        <w:tblStyle w:val="TableGrid"/>
        <w:tblW w:w="5000" w:type="pct"/>
        <w:tblLook w:val="04A0" w:firstRow="1" w:lastRow="0" w:firstColumn="1" w:lastColumn="0" w:noHBand="0" w:noVBand="1"/>
      </w:tblPr>
      <w:tblGrid>
        <w:gridCol w:w="1958"/>
        <w:gridCol w:w="2578"/>
        <w:gridCol w:w="2197"/>
        <w:gridCol w:w="2197"/>
      </w:tblGrid>
      <w:tr w:rsidR="006E79F7" w14:paraId="06B0EF64" w14:textId="77777777" w:rsidTr="00610204">
        <w:trPr>
          <w:cnfStyle w:val="100000000000" w:firstRow="1" w:lastRow="0" w:firstColumn="0" w:lastColumn="0" w:oddVBand="0" w:evenVBand="0" w:oddHBand="0" w:evenHBand="0" w:firstRowFirstColumn="0" w:firstRowLastColumn="0" w:lastRowFirstColumn="0" w:lastRowLastColumn="0"/>
        </w:trPr>
        <w:tc>
          <w:tcPr>
            <w:tcW w:w="1096" w:type="pct"/>
            <w:tcBorders>
              <w:top w:val="nil"/>
              <w:bottom w:val="single" w:sz="4" w:space="0" w:color="00264D" w:themeColor="background2"/>
            </w:tcBorders>
            <w:shd w:val="clear" w:color="auto" w:fill="00264D" w:themeFill="background2"/>
          </w:tcPr>
          <w:p w14:paraId="6F8AB371" w14:textId="77777777" w:rsidR="00EF3E77" w:rsidRPr="00610204" w:rsidRDefault="00EF3E77" w:rsidP="00610204">
            <w:pPr>
              <w:pStyle w:val="TableNheader"/>
              <w:rPr>
                <w:color w:val="FFFFFF" w:themeColor="background1"/>
                <w:lang w:eastAsia="en-AU"/>
              </w:rPr>
            </w:pPr>
            <w:r w:rsidRPr="00610204">
              <w:rPr>
                <w:color w:val="FFFFFF" w:themeColor="background1"/>
                <w:lang w:eastAsia="en-AU"/>
              </w:rPr>
              <w:t>Characteristic</w:t>
            </w:r>
          </w:p>
        </w:tc>
        <w:tc>
          <w:tcPr>
            <w:tcW w:w="1443" w:type="pct"/>
            <w:tcBorders>
              <w:top w:val="nil"/>
              <w:bottom w:val="single" w:sz="4" w:space="0" w:color="00264D" w:themeColor="background2"/>
            </w:tcBorders>
            <w:shd w:val="clear" w:color="auto" w:fill="00264D" w:themeFill="background2"/>
          </w:tcPr>
          <w:p w14:paraId="3712FAD3" w14:textId="77777777" w:rsidR="00EF3E77" w:rsidRPr="00610204" w:rsidRDefault="00EF3E77" w:rsidP="00610204">
            <w:pPr>
              <w:pStyle w:val="TableNheader"/>
              <w:rPr>
                <w:color w:val="FFFFFF" w:themeColor="background1"/>
                <w:lang w:eastAsia="en-AU"/>
              </w:rPr>
            </w:pPr>
            <w:r w:rsidRPr="00610204">
              <w:rPr>
                <w:color w:val="FFFFFF" w:themeColor="background1"/>
                <w:lang w:eastAsia="en-AU"/>
              </w:rPr>
              <w:t>Measure(s)</w:t>
            </w:r>
          </w:p>
        </w:tc>
        <w:tc>
          <w:tcPr>
            <w:tcW w:w="1230" w:type="pct"/>
            <w:tcBorders>
              <w:top w:val="nil"/>
              <w:bottom w:val="single" w:sz="4" w:space="0" w:color="00264D" w:themeColor="background2"/>
            </w:tcBorders>
            <w:shd w:val="clear" w:color="auto" w:fill="00264D" w:themeFill="background2"/>
          </w:tcPr>
          <w:p w14:paraId="6E2D4565" w14:textId="77777777" w:rsidR="00EF3E77" w:rsidRPr="00610204" w:rsidRDefault="00EF3E77" w:rsidP="00610204">
            <w:pPr>
              <w:pStyle w:val="TableNheader"/>
              <w:rPr>
                <w:color w:val="FFFFFF" w:themeColor="background1"/>
                <w:lang w:eastAsia="en-AU"/>
              </w:rPr>
            </w:pPr>
            <w:r w:rsidRPr="00610204">
              <w:rPr>
                <w:color w:val="FFFFFF" w:themeColor="background1"/>
                <w:lang w:eastAsia="en-AU"/>
              </w:rPr>
              <w:t>BRII</w:t>
            </w:r>
          </w:p>
        </w:tc>
        <w:tc>
          <w:tcPr>
            <w:tcW w:w="1230" w:type="pct"/>
            <w:tcBorders>
              <w:top w:val="nil"/>
              <w:bottom w:val="single" w:sz="4" w:space="0" w:color="00264D" w:themeColor="background2"/>
            </w:tcBorders>
            <w:shd w:val="clear" w:color="auto" w:fill="00264D" w:themeFill="background2"/>
          </w:tcPr>
          <w:p w14:paraId="59CC1E3D" w14:textId="77777777" w:rsidR="00EF3E77" w:rsidRPr="00610204" w:rsidRDefault="00EF3E77" w:rsidP="00610204">
            <w:pPr>
              <w:pStyle w:val="TableNheader"/>
              <w:rPr>
                <w:color w:val="FFFFFF" w:themeColor="background1"/>
                <w:lang w:eastAsia="en-AU"/>
              </w:rPr>
            </w:pPr>
            <w:r w:rsidRPr="00610204">
              <w:rPr>
                <w:color w:val="FFFFFF" w:themeColor="background1"/>
                <w:lang w:eastAsia="en-AU"/>
              </w:rPr>
              <w:t>SBIR</w:t>
            </w:r>
          </w:p>
        </w:tc>
      </w:tr>
      <w:tr w:rsidR="00EF3E77" w14:paraId="7EA57AD3" w14:textId="77777777" w:rsidTr="00610204">
        <w:trPr>
          <w:cnfStyle w:val="000000100000" w:firstRow="0" w:lastRow="0" w:firstColumn="0" w:lastColumn="0" w:oddVBand="0" w:evenVBand="0" w:oddHBand="1" w:evenHBand="0" w:firstRowFirstColumn="0" w:firstRowLastColumn="0" w:lastRowFirstColumn="0" w:lastRowLastColumn="0"/>
        </w:trPr>
        <w:tc>
          <w:tcPr>
            <w:tcW w:w="1096"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tcPr>
          <w:p w14:paraId="4CDC9204" w14:textId="77777777" w:rsidR="00EF3E77" w:rsidRPr="001F2E96" w:rsidRDefault="00EF3E77" w:rsidP="00610204">
            <w:pPr>
              <w:pStyle w:val="TableNText"/>
              <w:rPr>
                <w:lang w:eastAsia="en-AU"/>
              </w:rPr>
            </w:pPr>
            <w:r w:rsidRPr="001F2E96">
              <w:rPr>
                <w:lang w:eastAsia="en-AU"/>
              </w:rPr>
              <w:t>Commercialisation</w:t>
            </w:r>
          </w:p>
        </w:tc>
        <w:tc>
          <w:tcPr>
            <w:tcW w:w="1443"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tcPr>
          <w:p w14:paraId="44DA7041" w14:textId="77777777" w:rsidR="00EF3E77" w:rsidRPr="001F2E96" w:rsidRDefault="00EF3E77" w:rsidP="00610204">
            <w:pPr>
              <w:pStyle w:val="TableNText"/>
              <w:rPr>
                <w:lang w:eastAsia="en-AU"/>
              </w:rPr>
            </w:pPr>
            <w:r w:rsidRPr="00301272">
              <w:rPr>
                <w:b/>
                <w:bCs/>
                <w:lang w:eastAsia="en-AU"/>
              </w:rPr>
              <w:t>BRII</w:t>
            </w:r>
            <w:r w:rsidRPr="00301272">
              <w:rPr>
                <w:lang w:eastAsia="en-AU"/>
              </w:rPr>
              <w:t xml:space="preserve"> - Proportion of firms that have already c</w:t>
            </w:r>
            <w:r w:rsidRPr="001F2E96">
              <w:rPr>
                <w:lang w:eastAsia="en-AU"/>
              </w:rPr>
              <w:t>ommercialised IP</w:t>
            </w:r>
          </w:p>
          <w:p w14:paraId="0B114E6D" w14:textId="77777777" w:rsidR="00EF3E77" w:rsidRPr="001F2E96" w:rsidRDefault="00EF3E77" w:rsidP="00610204">
            <w:pPr>
              <w:pStyle w:val="TableNText"/>
              <w:rPr>
                <w:lang w:eastAsia="en-AU"/>
              </w:rPr>
            </w:pPr>
            <w:r w:rsidRPr="00301272">
              <w:rPr>
                <w:b/>
                <w:bCs/>
                <w:lang w:eastAsia="en-AU"/>
              </w:rPr>
              <w:t>SBIR</w:t>
            </w:r>
            <w:r w:rsidRPr="00301272">
              <w:rPr>
                <w:lang w:eastAsia="en-AU"/>
              </w:rPr>
              <w:t xml:space="preserve"> - </w:t>
            </w:r>
            <w:r w:rsidRPr="001F2E96">
              <w:rPr>
                <w:lang w:eastAsia="en-AU"/>
              </w:rPr>
              <w:t>Projects that have “reached the market”</w:t>
            </w:r>
          </w:p>
          <w:p w14:paraId="31FA52C9" w14:textId="77777777" w:rsidR="00EF3E77" w:rsidRPr="001F2E96" w:rsidRDefault="00EF3E77" w:rsidP="00610204">
            <w:pPr>
              <w:pStyle w:val="TableNText"/>
              <w:rPr>
                <w:lang w:eastAsia="en-AU"/>
              </w:rPr>
            </w:pPr>
            <w:r w:rsidRPr="00301272">
              <w:rPr>
                <w:b/>
                <w:bCs/>
                <w:lang w:eastAsia="en-AU"/>
              </w:rPr>
              <w:t>SBI</w:t>
            </w:r>
            <w:r>
              <w:rPr>
                <w:b/>
                <w:bCs/>
                <w:lang w:eastAsia="en-AU"/>
              </w:rPr>
              <w:t>R</w:t>
            </w:r>
            <w:r w:rsidRPr="00301272">
              <w:rPr>
                <w:lang w:eastAsia="en-AU"/>
              </w:rPr>
              <w:t xml:space="preserve"> - </w:t>
            </w:r>
            <w:r w:rsidRPr="001F2E96">
              <w:rPr>
                <w:lang w:eastAsia="en-AU"/>
              </w:rPr>
              <w:t>Projects that have made sales/expect to make sales (</w:t>
            </w:r>
            <w:r w:rsidRPr="00301272">
              <w:rPr>
                <w:lang w:eastAsia="en-AU"/>
              </w:rPr>
              <w:t>Energy projects only</w:t>
            </w:r>
            <w:r w:rsidRPr="001F2E96">
              <w:rPr>
                <w:lang w:eastAsia="en-AU"/>
              </w:rPr>
              <w:t>)</w:t>
            </w:r>
          </w:p>
        </w:tc>
        <w:tc>
          <w:tcPr>
            <w:tcW w:w="1230"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tcPr>
          <w:p w14:paraId="6B46C2C8" w14:textId="4A9D7E94" w:rsidR="00EF3E77" w:rsidRPr="00C139B9" w:rsidRDefault="00EF3E77" w:rsidP="00610204">
            <w:pPr>
              <w:pStyle w:val="TableNText"/>
              <w:rPr>
                <w:lang w:eastAsia="en-AU"/>
              </w:rPr>
            </w:pPr>
            <w:r w:rsidRPr="00C139B9">
              <w:rPr>
                <w:lang w:eastAsia="en-AU"/>
              </w:rPr>
              <w:t>75</w:t>
            </w:r>
            <w:r w:rsidR="004D3661">
              <w:rPr>
                <w:lang w:eastAsia="en-AU"/>
              </w:rPr>
              <w:t>%</w:t>
            </w:r>
            <w:r w:rsidRPr="00C139B9">
              <w:rPr>
                <w:lang w:eastAsia="en-AU"/>
              </w:rPr>
              <w:t xml:space="preserve"> (proof of concept)</w:t>
            </w:r>
            <w:bookmarkStart w:id="85" w:name="_Ref79400903"/>
            <w:r>
              <w:rPr>
                <w:rStyle w:val="FootnoteReference"/>
                <w:sz w:val="17"/>
                <w:szCs w:val="17"/>
                <w:lang w:eastAsia="en-AU"/>
              </w:rPr>
              <w:footnoteReference w:id="40"/>
            </w:r>
            <w:bookmarkEnd w:id="85"/>
          </w:p>
          <w:p w14:paraId="14AB63BA" w14:textId="19F52EE7" w:rsidR="00EF3E77" w:rsidRPr="00C139B9" w:rsidRDefault="00EF3E77" w:rsidP="00610204">
            <w:pPr>
              <w:pStyle w:val="TableNText"/>
              <w:rPr>
                <w:lang w:eastAsia="en-AU"/>
              </w:rPr>
            </w:pPr>
            <w:r w:rsidRPr="00C139B9">
              <w:rPr>
                <w:lang w:eastAsia="en-AU"/>
              </w:rPr>
              <w:t>40</w:t>
            </w:r>
            <w:r w:rsidR="004D3661">
              <w:rPr>
                <w:lang w:eastAsia="en-AU"/>
              </w:rPr>
              <w:t>%</w:t>
            </w:r>
            <w:r w:rsidRPr="00C139B9">
              <w:rPr>
                <w:lang w:eastAsia="en-AU"/>
              </w:rPr>
              <w:t xml:space="preserve"> (feasibility)</w:t>
            </w:r>
            <w:bookmarkStart w:id="86" w:name="_Ref79400908"/>
            <w:r>
              <w:rPr>
                <w:rStyle w:val="FootnoteReference"/>
                <w:sz w:val="17"/>
                <w:szCs w:val="17"/>
                <w:lang w:eastAsia="en-AU"/>
              </w:rPr>
              <w:footnoteReference w:id="41"/>
            </w:r>
            <w:bookmarkEnd w:id="86"/>
          </w:p>
        </w:tc>
        <w:tc>
          <w:tcPr>
            <w:tcW w:w="1230"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tcPr>
          <w:p w14:paraId="0E1D8DCC" w14:textId="2BC61BB9" w:rsidR="00EF3E77" w:rsidRPr="00C139B9" w:rsidRDefault="00EF3E77" w:rsidP="00610204">
            <w:pPr>
              <w:pStyle w:val="TableNText"/>
              <w:rPr>
                <w:lang w:eastAsia="en-AU"/>
              </w:rPr>
            </w:pPr>
            <w:r w:rsidRPr="00C139B9">
              <w:rPr>
                <w:lang w:eastAsia="en-AU"/>
              </w:rPr>
              <w:t>40-70</w:t>
            </w:r>
            <w:r w:rsidR="004D3661">
              <w:rPr>
                <w:lang w:eastAsia="en-AU"/>
              </w:rPr>
              <w:t>%</w:t>
            </w:r>
            <w:r w:rsidRPr="00C139B9">
              <w:rPr>
                <w:lang w:eastAsia="en-AU"/>
              </w:rPr>
              <w:t xml:space="preserve"> (reached the market)</w:t>
            </w:r>
            <w:bookmarkStart w:id="87" w:name="_Ref79400916"/>
            <w:r>
              <w:rPr>
                <w:rStyle w:val="FootnoteReference"/>
                <w:sz w:val="17"/>
                <w:szCs w:val="17"/>
                <w:lang w:eastAsia="en-AU"/>
              </w:rPr>
              <w:footnoteReference w:id="42"/>
            </w:r>
            <w:bookmarkEnd w:id="87"/>
          </w:p>
          <w:p w14:paraId="1ED57991" w14:textId="353D8F75" w:rsidR="00EF3E77" w:rsidRPr="00C139B9" w:rsidRDefault="00EF3E77" w:rsidP="00610204">
            <w:pPr>
              <w:pStyle w:val="TableNText"/>
              <w:rPr>
                <w:lang w:eastAsia="en-AU"/>
              </w:rPr>
            </w:pPr>
            <w:r w:rsidRPr="00C139B9">
              <w:rPr>
                <w:lang w:eastAsia="en-AU"/>
              </w:rPr>
              <w:t>72</w:t>
            </w:r>
            <w:r w:rsidR="004D3661">
              <w:rPr>
                <w:lang w:eastAsia="en-AU"/>
              </w:rPr>
              <w:t>%</w:t>
            </w:r>
            <w:r w:rsidRPr="00C139B9">
              <w:rPr>
                <w:lang w:eastAsia="en-AU"/>
              </w:rPr>
              <w:t xml:space="preserve"> (sales/expected sales)</w:t>
            </w:r>
            <w:r>
              <w:rPr>
                <w:rStyle w:val="FootnoteReference"/>
                <w:sz w:val="17"/>
                <w:szCs w:val="17"/>
                <w:lang w:eastAsia="en-AU"/>
              </w:rPr>
              <w:footnoteReference w:id="43"/>
            </w:r>
          </w:p>
        </w:tc>
      </w:tr>
      <w:tr w:rsidR="00EF3E77" w14:paraId="51C0521E" w14:textId="77777777" w:rsidTr="00610204">
        <w:trPr>
          <w:cnfStyle w:val="000000010000" w:firstRow="0" w:lastRow="0" w:firstColumn="0" w:lastColumn="0" w:oddVBand="0" w:evenVBand="0" w:oddHBand="0" w:evenHBand="1" w:firstRowFirstColumn="0" w:firstRowLastColumn="0" w:lastRowFirstColumn="0" w:lastRowLastColumn="0"/>
        </w:trPr>
        <w:tc>
          <w:tcPr>
            <w:tcW w:w="1096"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tcPr>
          <w:p w14:paraId="2D65F7F9" w14:textId="77777777" w:rsidR="00EF3E77" w:rsidRPr="001F2E96" w:rsidRDefault="00EF3E77" w:rsidP="00610204">
            <w:pPr>
              <w:pStyle w:val="TableNText"/>
              <w:rPr>
                <w:lang w:eastAsia="en-AU"/>
              </w:rPr>
            </w:pPr>
            <w:r w:rsidRPr="001F2E96">
              <w:rPr>
                <w:lang w:eastAsia="en-AU"/>
              </w:rPr>
              <w:t>Relationship building</w:t>
            </w:r>
          </w:p>
        </w:tc>
        <w:tc>
          <w:tcPr>
            <w:tcW w:w="1443"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tcPr>
          <w:p w14:paraId="3BE6E718" w14:textId="77777777" w:rsidR="00EF3E77" w:rsidRPr="00C139B9" w:rsidRDefault="00EF3E77" w:rsidP="00610204">
            <w:pPr>
              <w:pStyle w:val="TableNText"/>
              <w:rPr>
                <w:lang w:eastAsia="en-AU"/>
              </w:rPr>
            </w:pPr>
            <w:r w:rsidRPr="00C139B9">
              <w:rPr>
                <w:b/>
                <w:bCs/>
                <w:lang w:eastAsia="en-AU"/>
              </w:rPr>
              <w:t>BRII</w:t>
            </w:r>
            <w:r w:rsidRPr="00C139B9">
              <w:rPr>
                <w:lang w:eastAsia="en-AU"/>
              </w:rPr>
              <w:t xml:space="preserve"> - New innovative partnerships formed </w:t>
            </w:r>
          </w:p>
          <w:p w14:paraId="243C632E" w14:textId="77777777" w:rsidR="00EF3E77" w:rsidRPr="00C139B9" w:rsidRDefault="00EF3E77" w:rsidP="00610204">
            <w:pPr>
              <w:pStyle w:val="TableNText"/>
              <w:rPr>
                <w:lang w:eastAsia="en-AU"/>
              </w:rPr>
            </w:pPr>
            <w:r w:rsidRPr="00C139B9">
              <w:rPr>
                <w:b/>
                <w:bCs/>
                <w:lang w:eastAsia="en-AU"/>
              </w:rPr>
              <w:t>SBIR</w:t>
            </w:r>
            <w:r w:rsidRPr="00C139B9">
              <w:rPr>
                <w:lang w:eastAsia="en-AU"/>
              </w:rPr>
              <w:t xml:space="preserve"> - Use of academic support throughout project (SBIR)</w:t>
            </w:r>
          </w:p>
        </w:tc>
        <w:tc>
          <w:tcPr>
            <w:tcW w:w="1230"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tcPr>
          <w:p w14:paraId="3BB59EEC" w14:textId="468C094F" w:rsidR="00EF3E77" w:rsidRPr="00C139B9" w:rsidRDefault="00EF3E77" w:rsidP="00610204">
            <w:pPr>
              <w:pStyle w:val="TableNText"/>
              <w:rPr>
                <w:lang w:eastAsia="en-AU"/>
              </w:rPr>
            </w:pPr>
            <w:r w:rsidRPr="00C139B9">
              <w:rPr>
                <w:lang w:eastAsia="en-AU"/>
              </w:rPr>
              <w:t>100</w:t>
            </w:r>
            <w:r w:rsidR="004D3661">
              <w:rPr>
                <w:lang w:eastAsia="en-AU"/>
              </w:rPr>
              <w:t>%</w:t>
            </w:r>
            <w:r w:rsidRPr="00C139B9">
              <w:rPr>
                <w:lang w:eastAsia="en-AU"/>
              </w:rPr>
              <w:t xml:space="preserve"> (proof of concept)</w:t>
            </w:r>
            <w:r w:rsidR="00EF656F">
              <w:rPr>
                <w:lang w:eastAsia="en-AU"/>
              </w:rPr>
              <w:fldChar w:fldCharType="begin"/>
            </w:r>
            <w:r w:rsidR="00EF656F">
              <w:rPr>
                <w:lang w:eastAsia="en-AU"/>
              </w:rPr>
              <w:instrText xml:space="preserve"> NOTEREF _Ref79400903 \f \h </w:instrText>
            </w:r>
            <w:r w:rsidR="00610204">
              <w:rPr>
                <w:lang w:eastAsia="en-AU"/>
              </w:rPr>
              <w:instrText xml:space="preserve"> \* MERGEFORMAT </w:instrText>
            </w:r>
            <w:r w:rsidR="00EF656F">
              <w:rPr>
                <w:lang w:eastAsia="en-AU"/>
              </w:rPr>
            </w:r>
            <w:r w:rsidR="00EF656F">
              <w:rPr>
                <w:lang w:eastAsia="en-AU"/>
              </w:rPr>
              <w:fldChar w:fldCharType="separate"/>
            </w:r>
            <w:r w:rsidR="00AE607F" w:rsidRPr="00AE607F">
              <w:rPr>
                <w:rStyle w:val="FootnoteReference"/>
              </w:rPr>
              <w:t>39</w:t>
            </w:r>
            <w:r w:rsidR="00EF656F">
              <w:rPr>
                <w:lang w:eastAsia="en-AU"/>
              </w:rPr>
              <w:fldChar w:fldCharType="end"/>
            </w:r>
          </w:p>
          <w:p w14:paraId="419E9AF3" w14:textId="4537BBD1" w:rsidR="00EF3E77" w:rsidRPr="00C139B9" w:rsidRDefault="00EF3E77" w:rsidP="00610204">
            <w:pPr>
              <w:pStyle w:val="TableNText"/>
              <w:rPr>
                <w:lang w:eastAsia="en-AU"/>
              </w:rPr>
            </w:pPr>
            <w:r w:rsidRPr="00C139B9">
              <w:rPr>
                <w:lang w:eastAsia="en-AU"/>
              </w:rPr>
              <w:t>87</w:t>
            </w:r>
            <w:r w:rsidR="004D3661">
              <w:rPr>
                <w:lang w:eastAsia="en-AU"/>
              </w:rPr>
              <w:t>%</w:t>
            </w:r>
            <w:r w:rsidRPr="00C139B9">
              <w:rPr>
                <w:lang w:eastAsia="en-AU"/>
              </w:rPr>
              <w:t xml:space="preserve"> (feasibility)</w:t>
            </w:r>
            <w:r w:rsidR="00EF656F">
              <w:rPr>
                <w:lang w:eastAsia="en-AU"/>
              </w:rPr>
              <w:fldChar w:fldCharType="begin"/>
            </w:r>
            <w:r w:rsidR="00EF656F">
              <w:rPr>
                <w:lang w:eastAsia="en-AU"/>
              </w:rPr>
              <w:instrText xml:space="preserve"> NOTEREF _Ref79400908 \f \h </w:instrText>
            </w:r>
            <w:r w:rsidR="00610204">
              <w:rPr>
                <w:lang w:eastAsia="en-AU"/>
              </w:rPr>
              <w:instrText xml:space="preserve"> \* MERGEFORMAT </w:instrText>
            </w:r>
            <w:r w:rsidR="00EF656F">
              <w:rPr>
                <w:lang w:eastAsia="en-AU"/>
              </w:rPr>
            </w:r>
            <w:r w:rsidR="00EF656F">
              <w:rPr>
                <w:lang w:eastAsia="en-AU"/>
              </w:rPr>
              <w:fldChar w:fldCharType="separate"/>
            </w:r>
            <w:r w:rsidR="00AE607F" w:rsidRPr="00AE607F">
              <w:rPr>
                <w:rStyle w:val="FootnoteReference"/>
              </w:rPr>
              <w:t>40</w:t>
            </w:r>
            <w:r w:rsidR="00EF656F">
              <w:rPr>
                <w:lang w:eastAsia="en-AU"/>
              </w:rPr>
              <w:fldChar w:fldCharType="end"/>
            </w:r>
          </w:p>
        </w:tc>
        <w:tc>
          <w:tcPr>
            <w:tcW w:w="1230"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tcPr>
          <w:p w14:paraId="7CAB4699" w14:textId="062D0F14" w:rsidR="00EF3E77" w:rsidRPr="00C139B9" w:rsidRDefault="00EF3E77" w:rsidP="00610204">
            <w:pPr>
              <w:pStyle w:val="TableNText"/>
              <w:rPr>
                <w:lang w:eastAsia="en-AU"/>
              </w:rPr>
            </w:pPr>
            <w:r w:rsidRPr="00C139B9">
              <w:rPr>
                <w:lang w:eastAsia="en-AU"/>
              </w:rPr>
              <w:t>30-70</w:t>
            </w:r>
            <w:r w:rsidR="004D3661">
              <w:rPr>
                <w:lang w:eastAsia="en-AU"/>
              </w:rPr>
              <w:t>%</w:t>
            </w:r>
            <w:r w:rsidRPr="00C139B9">
              <w:rPr>
                <w:lang w:eastAsia="en-AU"/>
              </w:rPr>
              <w:t xml:space="preserve"> (depending on agency)</w:t>
            </w:r>
            <w:r w:rsidR="000D2863">
              <w:rPr>
                <w:lang w:eastAsia="en-AU"/>
              </w:rPr>
              <w:fldChar w:fldCharType="begin"/>
            </w:r>
            <w:r w:rsidR="000D2863">
              <w:rPr>
                <w:lang w:eastAsia="en-AU"/>
              </w:rPr>
              <w:instrText xml:space="preserve"> NOTEREF _Ref79400916 \f \h </w:instrText>
            </w:r>
            <w:r w:rsidR="00610204">
              <w:rPr>
                <w:lang w:eastAsia="en-AU"/>
              </w:rPr>
              <w:instrText xml:space="preserve"> \* MERGEFORMAT </w:instrText>
            </w:r>
            <w:r w:rsidR="000D2863">
              <w:rPr>
                <w:lang w:eastAsia="en-AU"/>
              </w:rPr>
            </w:r>
            <w:r w:rsidR="000D2863">
              <w:rPr>
                <w:lang w:eastAsia="en-AU"/>
              </w:rPr>
              <w:fldChar w:fldCharType="separate"/>
            </w:r>
            <w:r w:rsidR="00AE607F" w:rsidRPr="00AE607F">
              <w:rPr>
                <w:rStyle w:val="FootnoteReference"/>
              </w:rPr>
              <w:t>41</w:t>
            </w:r>
            <w:r w:rsidR="000D2863">
              <w:rPr>
                <w:lang w:eastAsia="en-AU"/>
              </w:rPr>
              <w:fldChar w:fldCharType="end"/>
            </w:r>
          </w:p>
        </w:tc>
      </w:tr>
      <w:tr w:rsidR="00EF3E77" w14:paraId="58F400C3" w14:textId="77777777" w:rsidTr="00610204">
        <w:trPr>
          <w:cnfStyle w:val="000000100000" w:firstRow="0" w:lastRow="0" w:firstColumn="0" w:lastColumn="0" w:oddVBand="0" w:evenVBand="0" w:oddHBand="1" w:evenHBand="0" w:firstRowFirstColumn="0" w:firstRowLastColumn="0" w:lastRowFirstColumn="0" w:lastRowLastColumn="0"/>
        </w:trPr>
        <w:tc>
          <w:tcPr>
            <w:tcW w:w="1096"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tcPr>
          <w:p w14:paraId="5A1B3086" w14:textId="77777777" w:rsidR="00EF3E77" w:rsidRPr="001F2E96" w:rsidRDefault="00EF3E77" w:rsidP="00610204">
            <w:pPr>
              <w:pStyle w:val="TableNText"/>
              <w:rPr>
                <w:lang w:eastAsia="en-AU"/>
              </w:rPr>
            </w:pPr>
            <w:r w:rsidRPr="001F2E96">
              <w:rPr>
                <w:lang w:eastAsia="en-AU"/>
              </w:rPr>
              <w:t>Additionality</w:t>
            </w:r>
          </w:p>
        </w:tc>
        <w:tc>
          <w:tcPr>
            <w:tcW w:w="1443"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tcPr>
          <w:p w14:paraId="60216689" w14:textId="77777777" w:rsidR="00EF3E77" w:rsidRPr="00C139B9" w:rsidRDefault="00EF3E77" w:rsidP="00610204">
            <w:pPr>
              <w:pStyle w:val="TableNText"/>
              <w:rPr>
                <w:lang w:eastAsia="en-AU"/>
              </w:rPr>
            </w:pPr>
            <w:r>
              <w:rPr>
                <w:b/>
                <w:bCs/>
                <w:lang w:eastAsia="en-AU"/>
              </w:rPr>
              <w:t xml:space="preserve">SBIR, </w:t>
            </w:r>
            <w:r w:rsidRPr="00C139B9">
              <w:rPr>
                <w:b/>
                <w:bCs/>
                <w:lang w:eastAsia="en-AU"/>
              </w:rPr>
              <w:t>BRII</w:t>
            </w:r>
            <w:r>
              <w:rPr>
                <w:lang w:eastAsia="en-AU"/>
              </w:rPr>
              <w:t xml:space="preserve"> - </w:t>
            </w:r>
            <w:r w:rsidRPr="00C139B9">
              <w:rPr>
                <w:lang w:eastAsia="en-AU"/>
              </w:rPr>
              <w:t>Proportion of projects that would not have taken place without funding (SBIR, BRII)</w:t>
            </w:r>
          </w:p>
        </w:tc>
        <w:tc>
          <w:tcPr>
            <w:tcW w:w="1230"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tcPr>
          <w:p w14:paraId="7C677826" w14:textId="09A8370E" w:rsidR="00EF3E77" w:rsidRPr="00C139B9" w:rsidRDefault="00EF3E77" w:rsidP="00610204">
            <w:pPr>
              <w:pStyle w:val="TableNText"/>
              <w:rPr>
                <w:lang w:eastAsia="en-AU"/>
              </w:rPr>
            </w:pPr>
            <w:r w:rsidRPr="00C139B9">
              <w:rPr>
                <w:lang w:eastAsia="en-AU"/>
              </w:rPr>
              <w:t>75</w:t>
            </w:r>
            <w:r w:rsidR="004D3661">
              <w:rPr>
                <w:lang w:eastAsia="en-AU"/>
              </w:rPr>
              <w:t>%</w:t>
            </w:r>
            <w:r w:rsidRPr="00C139B9">
              <w:rPr>
                <w:lang w:eastAsia="en-AU"/>
              </w:rPr>
              <w:t xml:space="preserve"> (proof of concept)</w:t>
            </w:r>
            <w:r w:rsidR="00EF656F">
              <w:rPr>
                <w:lang w:eastAsia="en-AU"/>
              </w:rPr>
              <w:fldChar w:fldCharType="begin"/>
            </w:r>
            <w:r w:rsidR="00EF656F">
              <w:rPr>
                <w:lang w:eastAsia="en-AU"/>
              </w:rPr>
              <w:instrText xml:space="preserve"> NOTEREF _Ref79400903 \f \h </w:instrText>
            </w:r>
            <w:r w:rsidR="00610204">
              <w:rPr>
                <w:lang w:eastAsia="en-AU"/>
              </w:rPr>
              <w:instrText xml:space="preserve"> \* MERGEFORMAT </w:instrText>
            </w:r>
            <w:r w:rsidR="00EF656F">
              <w:rPr>
                <w:lang w:eastAsia="en-AU"/>
              </w:rPr>
            </w:r>
            <w:r w:rsidR="00EF656F">
              <w:rPr>
                <w:lang w:eastAsia="en-AU"/>
              </w:rPr>
              <w:fldChar w:fldCharType="separate"/>
            </w:r>
            <w:r w:rsidR="00AE607F" w:rsidRPr="00AE607F">
              <w:rPr>
                <w:rStyle w:val="FootnoteReference"/>
              </w:rPr>
              <w:t>39</w:t>
            </w:r>
            <w:r w:rsidR="00EF656F">
              <w:rPr>
                <w:lang w:eastAsia="en-AU"/>
              </w:rPr>
              <w:fldChar w:fldCharType="end"/>
            </w:r>
          </w:p>
          <w:p w14:paraId="2879369A" w14:textId="0DD8297D" w:rsidR="00EF3E77" w:rsidRPr="00C139B9" w:rsidRDefault="00EF3E77" w:rsidP="00610204">
            <w:pPr>
              <w:pStyle w:val="TableNText"/>
              <w:rPr>
                <w:lang w:eastAsia="en-AU"/>
              </w:rPr>
            </w:pPr>
            <w:r w:rsidRPr="00C139B9">
              <w:rPr>
                <w:lang w:eastAsia="en-AU"/>
              </w:rPr>
              <w:t>67</w:t>
            </w:r>
            <w:r w:rsidR="004D3661">
              <w:rPr>
                <w:lang w:eastAsia="en-AU"/>
              </w:rPr>
              <w:t xml:space="preserve">% </w:t>
            </w:r>
            <w:r w:rsidRPr="00C139B9">
              <w:rPr>
                <w:lang w:eastAsia="en-AU"/>
              </w:rPr>
              <w:t>(feasibility)</w:t>
            </w:r>
            <w:r w:rsidR="00EF656F" w:rsidRPr="004D3661">
              <w:rPr>
                <w:vertAlign w:val="superscript"/>
                <w:lang w:eastAsia="en-AU"/>
              </w:rPr>
              <w:fldChar w:fldCharType="begin"/>
            </w:r>
            <w:r w:rsidR="00EF656F" w:rsidRPr="004D3661">
              <w:rPr>
                <w:vertAlign w:val="superscript"/>
                <w:lang w:eastAsia="en-AU"/>
              </w:rPr>
              <w:instrText xml:space="preserve"> NOTEREF _Ref79400908 \f \h </w:instrText>
            </w:r>
            <w:r w:rsidR="004D3661">
              <w:rPr>
                <w:vertAlign w:val="superscript"/>
                <w:lang w:eastAsia="en-AU"/>
              </w:rPr>
              <w:instrText xml:space="preserve"> \* MERGEFORMAT </w:instrText>
            </w:r>
            <w:r w:rsidR="00EF656F" w:rsidRPr="004D3661">
              <w:rPr>
                <w:vertAlign w:val="superscript"/>
                <w:lang w:eastAsia="en-AU"/>
              </w:rPr>
            </w:r>
            <w:r w:rsidR="00EF656F" w:rsidRPr="004D3661">
              <w:rPr>
                <w:vertAlign w:val="superscript"/>
                <w:lang w:eastAsia="en-AU"/>
              </w:rPr>
              <w:fldChar w:fldCharType="separate"/>
            </w:r>
            <w:r w:rsidR="00AE607F" w:rsidRPr="00AE607F">
              <w:rPr>
                <w:rStyle w:val="FootnoteReference"/>
              </w:rPr>
              <w:t>40</w:t>
            </w:r>
            <w:r w:rsidR="00EF656F" w:rsidRPr="004D3661">
              <w:rPr>
                <w:vertAlign w:val="superscript"/>
                <w:lang w:eastAsia="en-AU"/>
              </w:rPr>
              <w:fldChar w:fldCharType="end"/>
            </w:r>
            <w:r w:rsidRPr="00C139B9">
              <w:rPr>
                <w:lang w:eastAsia="en-AU"/>
              </w:rPr>
              <w:t xml:space="preserve"> </w:t>
            </w:r>
          </w:p>
        </w:tc>
        <w:tc>
          <w:tcPr>
            <w:tcW w:w="1230"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tcPr>
          <w:p w14:paraId="4D3081E5" w14:textId="1554BDD3" w:rsidR="00EF3E77" w:rsidRPr="00C139B9" w:rsidRDefault="00EF3E77" w:rsidP="00610204">
            <w:pPr>
              <w:pStyle w:val="TableNText"/>
              <w:rPr>
                <w:lang w:eastAsia="en-AU"/>
              </w:rPr>
            </w:pPr>
            <w:r w:rsidRPr="00C139B9">
              <w:rPr>
                <w:lang w:eastAsia="en-AU"/>
              </w:rPr>
              <w:t>70</w:t>
            </w:r>
            <w:r w:rsidR="004D3661">
              <w:rPr>
                <w:lang w:eastAsia="en-AU"/>
              </w:rPr>
              <w:t>%</w:t>
            </w:r>
            <w:r w:rsidR="00753A17">
              <w:rPr>
                <w:lang w:eastAsia="en-AU"/>
              </w:rPr>
              <w:fldChar w:fldCharType="begin"/>
            </w:r>
            <w:r w:rsidR="00753A17">
              <w:rPr>
                <w:lang w:eastAsia="en-AU"/>
              </w:rPr>
              <w:instrText xml:space="preserve"> NOTEREF _Ref79400916 \f \h </w:instrText>
            </w:r>
            <w:r w:rsidR="00610204">
              <w:rPr>
                <w:lang w:eastAsia="en-AU"/>
              </w:rPr>
              <w:instrText xml:space="preserve"> \* MERGEFORMAT </w:instrText>
            </w:r>
            <w:r w:rsidR="00753A17">
              <w:rPr>
                <w:lang w:eastAsia="en-AU"/>
              </w:rPr>
            </w:r>
            <w:r w:rsidR="00753A17">
              <w:rPr>
                <w:lang w:eastAsia="en-AU"/>
              </w:rPr>
              <w:fldChar w:fldCharType="separate"/>
            </w:r>
            <w:r w:rsidR="00AE607F" w:rsidRPr="00AE607F">
              <w:rPr>
                <w:rStyle w:val="FootnoteReference"/>
              </w:rPr>
              <w:t>41</w:t>
            </w:r>
            <w:r w:rsidR="00753A17">
              <w:rPr>
                <w:lang w:eastAsia="en-AU"/>
              </w:rPr>
              <w:fldChar w:fldCharType="end"/>
            </w:r>
          </w:p>
        </w:tc>
      </w:tr>
      <w:tr w:rsidR="00EF3E77" w14:paraId="0B7F41CA" w14:textId="77777777" w:rsidTr="00610204">
        <w:trPr>
          <w:cnfStyle w:val="000000010000" w:firstRow="0" w:lastRow="0" w:firstColumn="0" w:lastColumn="0" w:oddVBand="0" w:evenVBand="0" w:oddHBand="0" w:evenHBand="1" w:firstRowFirstColumn="0" w:firstRowLastColumn="0" w:lastRowFirstColumn="0" w:lastRowLastColumn="0"/>
        </w:trPr>
        <w:tc>
          <w:tcPr>
            <w:tcW w:w="1096"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tcPr>
          <w:p w14:paraId="23CE1920" w14:textId="77777777" w:rsidR="00EF3E77" w:rsidRPr="001F2E96" w:rsidRDefault="00EF3E77" w:rsidP="00610204">
            <w:pPr>
              <w:pStyle w:val="TableNText"/>
              <w:rPr>
                <w:lang w:eastAsia="en-AU"/>
              </w:rPr>
            </w:pPr>
            <w:r w:rsidRPr="001F2E96">
              <w:rPr>
                <w:lang w:eastAsia="en-AU"/>
              </w:rPr>
              <w:lastRenderedPageBreak/>
              <w:t>Start-up creation</w:t>
            </w:r>
          </w:p>
        </w:tc>
        <w:tc>
          <w:tcPr>
            <w:tcW w:w="1443"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tcPr>
          <w:p w14:paraId="34A6A3C3" w14:textId="77777777" w:rsidR="00EF3E77" w:rsidRPr="00F84F61" w:rsidRDefault="00EF3E77" w:rsidP="00610204">
            <w:pPr>
              <w:pStyle w:val="TableNText"/>
              <w:rPr>
                <w:lang w:eastAsia="en-AU"/>
              </w:rPr>
            </w:pPr>
            <w:r>
              <w:rPr>
                <w:b/>
                <w:bCs/>
                <w:lang w:eastAsia="en-AU"/>
              </w:rPr>
              <w:t>BRII</w:t>
            </w:r>
            <w:r>
              <w:rPr>
                <w:lang w:eastAsia="en-AU"/>
              </w:rPr>
              <w:t xml:space="preserve"> – proportion of feasibility grant recipients founded in the year of the BRII round</w:t>
            </w:r>
          </w:p>
          <w:p w14:paraId="77E54016" w14:textId="77777777" w:rsidR="00EF3E77" w:rsidRPr="00C139B9" w:rsidRDefault="00EF3E77" w:rsidP="00610204">
            <w:pPr>
              <w:pStyle w:val="TableNText"/>
              <w:rPr>
                <w:lang w:eastAsia="en-AU"/>
              </w:rPr>
            </w:pPr>
            <w:r w:rsidRPr="00C139B9">
              <w:rPr>
                <w:b/>
                <w:bCs/>
                <w:lang w:eastAsia="en-AU"/>
              </w:rPr>
              <w:t xml:space="preserve">SBIR </w:t>
            </w:r>
            <w:r>
              <w:rPr>
                <w:lang w:eastAsia="en-AU"/>
              </w:rPr>
              <w:t xml:space="preserve">- </w:t>
            </w:r>
            <w:r w:rsidRPr="00C139B9">
              <w:rPr>
                <w:lang w:eastAsia="en-AU"/>
              </w:rPr>
              <w:t>Proportion of Phase II (proof of concept equivalent) firms founded because of SBIR grant</w:t>
            </w:r>
            <w:r>
              <w:rPr>
                <w:lang w:eastAsia="en-AU"/>
              </w:rPr>
              <w:t>s</w:t>
            </w:r>
          </w:p>
        </w:tc>
        <w:tc>
          <w:tcPr>
            <w:tcW w:w="1230"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tcPr>
          <w:p w14:paraId="30D87A70" w14:textId="1A10ECF9" w:rsidR="00EF3E77" w:rsidRPr="00C139B9" w:rsidRDefault="00EF3E77" w:rsidP="00610204">
            <w:pPr>
              <w:pStyle w:val="TableNText"/>
              <w:rPr>
                <w:lang w:eastAsia="en-AU"/>
              </w:rPr>
            </w:pPr>
            <w:r>
              <w:rPr>
                <w:lang w:eastAsia="en-AU"/>
              </w:rPr>
              <w:t>17</w:t>
            </w:r>
            <w:r w:rsidR="004D3661">
              <w:rPr>
                <w:lang w:eastAsia="en-AU"/>
              </w:rPr>
              <w:t>%</w:t>
            </w:r>
            <w:r>
              <w:rPr>
                <w:lang w:eastAsia="en-AU"/>
              </w:rPr>
              <w:t xml:space="preserve"> (feasibility grants)</w:t>
            </w:r>
            <w:r>
              <w:rPr>
                <w:rStyle w:val="FootnoteReference"/>
                <w:sz w:val="17"/>
                <w:szCs w:val="17"/>
                <w:lang w:eastAsia="en-AU"/>
              </w:rPr>
              <w:footnoteReference w:id="44"/>
            </w:r>
          </w:p>
        </w:tc>
        <w:tc>
          <w:tcPr>
            <w:tcW w:w="1230"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tcPr>
          <w:p w14:paraId="7BDDEAA2" w14:textId="6F0301CB" w:rsidR="00EF3E77" w:rsidRPr="00C139B9" w:rsidRDefault="00EF3E77" w:rsidP="00610204">
            <w:pPr>
              <w:pStyle w:val="TableNText"/>
              <w:rPr>
                <w:lang w:eastAsia="en-AU"/>
              </w:rPr>
            </w:pPr>
            <w:r w:rsidRPr="00C139B9">
              <w:rPr>
                <w:lang w:eastAsia="en-AU"/>
              </w:rPr>
              <w:t>18</w:t>
            </w:r>
            <w:r w:rsidR="004D3661">
              <w:rPr>
                <w:lang w:eastAsia="en-AU"/>
              </w:rPr>
              <w:t>%</w:t>
            </w:r>
            <w:r w:rsidR="00753A17">
              <w:rPr>
                <w:lang w:eastAsia="en-AU"/>
              </w:rPr>
              <w:fldChar w:fldCharType="begin"/>
            </w:r>
            <w:r w:rsidR="00753A17">
              <w:rPr>
                <w:lang w:eastAsia="en-AU"/>
              </w:rPr>
              <w:instrText xml:space="preserve"> NOTEREF _Ref79400916 \f \h </w:instrText>
            </w:r>
            <w:r w:rsidR="00610204">
              <w:rPr>
                <w:lang w:eastAsia="en-AU"/>
              </w:rPr>
              <w:instrText xml:space="preserve"> \* MERGEFORMAT </w:instrText>
            </w:r>
            <w:r w:rsidR="00753A17">
              <w:rPr>
                <w:lang w:eastAsia="en-AU"/>
              </w:rPr>
            </w:r>
            <w:r w:rsidR="00753A17">
              <w:rPr>
                <w:lang w:eastAsia="en-AU"/>
              </w:rPr>
              <w:fldChar w:fldCharType="separate"/>
            </w:r>
            <w:r w:rsidR="00AE607F" w:rsidRPr="00AE607F">
              <w:rPr>
                <w:rStyle w:val="FootnoteReference"/>
              </w:rPr>
              <w:t>41</w:t>
            </w:r>
            <w:r w:rsidR="00753A17">
              <w:rPr>
                <w:lang w:eastAsia="en-AU"/>
              </w:rPr>
              <w:fldChar w:fldCharType="end"/>
            </w:r>
          </w:p>
        </w:tc>
      </w:tr>
      <w:tr w:rsidR="00EF3E77" w14:paraId="5D257852" w14:textId="77777777" w:rsidTr="00610204">
        <w:trPr>
          <w:cnfStyle w:val="000000100000" w:firstRow="0" w:lastRow="0" w:firstColumn="0" w:lastColumn="0" w:oddVBand="0" w:evenVBand="0" w:oddHBand="1" w:evenHBand="0" w:firstRowFirstColumn="0" w:firstRowLastColumn="0" w:lastRowFirstColumn="0" w:lastRowLastColumn="0"/>
        </w:trPr>
        <w:tc>
          <w:tcPr>
            <w:tcW w:w="1096"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tcPr>
          <w:p w14:paraId="2C0B9C74" w14:textId="77777777" w:rsidR="00EF3E77" w:rsidRPr="001F2E96" w:rsidRDefault="00EF3E77" w:rsidP="00610204">
            <w:pPr>
              <w:pStyle w:val="TableNText"/>
              <w:rPr>
                <w:lang w:eastAsia="en-AU"/>
              </w:rPr>
            </w:pPr>
            <w:r w:rsidRPr="001F2E96">
              <w:rPr>
                <w:lang w:eastAsia="en-AU"/>
              </w:rPr>
              <w:t>Impact on business performance</w:t>
            </w:r>
          </w:p>
        </w:tc>
        <w:tc>
          <w:tcPr>
            <w:tcW w:w="1443"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tcPr>
          <w:p w14:paraId="547DDF36" w14:textId="77777777" w:rsidR="00EF3E77" w:rsidRPr="00C139B9" w:rsidRDefault="00EF3E77" w:rsidP="00610204">
            <w:pPr>
              <w:pStyle w:val="TableNText"/>
              <w:rPr>
                <w:lang w:eastAsia="en-AU"/>
              </w:rPr>
            </w:pPr>
            <w:r w:rsidRPr="00C139B9">
              <w:rPr>
                <w:b/>
                <w:bCs/>
                <w:lang w:eastAsia="en-AU"/>
              </w:rPr>
              <w:t>BRII</w:t>
            </w:r>
            <w:r>
              <w:rPr>
                <w:lang w:eastAsia="en-AU"/>
              </w:rPr>
              <w:t xml:space="preserve"> - </w:t>
            </w:r>
            <w:r w:rsidRPr="00C139B9">
              <w:rPr>
                <w:lang w:eastAsia="en-AU"/>
              </w:rPr>
              <w:t xml:space="preserve">Proportion of firms with a positive impact on turnover </w:t>
            </w:r>
          </w:p>
          <w:p w14:paraId="7BE908FC" w14:textId="77777777" w:rsidR="00EF3E77" w:rsidRPr="00C139B9" w:rsidRDefault="00EF3E77" w:rsidP="00610204">
            <w:pPr>
              <w:pStyle w:val="TableNText"/>
              <w:rPr>
                <w:lang w:eastAsia="en-AU"/>
              </w:rPr>
            </w:pPr>
            <w:r w:rsidRPr="00C139B9">
              <w:rPr>
                <w:b/>
                <w:bCs/>
                <w:lang w:eastAsia="en-AU"/>
              </w:rPr>
              <w:t>SBIR</w:t>
            </w:r>
            <w:r w:rsidRPr="00C139B9">
              <w:rPr>
                <w:lang w:eastAsia="en-AU"/>
              </w:rPr>
              <w:t xml:space="preserve"> </w:t>
            </w:r>
            <w:r>
              <w:rPr>
                <w:lang w:eastAsia="en-AU"/>
              </w:rPr>
              <w:t xml:space="preserve">- </w:t>
            </w:r>
            <w:r w:rsidRPr="00C139B9">
              <w:rPr>
                <w:lang w:eastAsia="en-AU"/>
              </w:rPr>
              <w:t>Proportion of firms with a transformative or strongly positive impact on business trajectory</w:t>
            </w:r>
          </w:p>
        </w:tc>
        <w:tc>
          <w:tcPr>
            <w:tcW w:w="1230"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tcPr>
          <w:p w14:paraId="16FEB9F3" w14:textId="6168C726" w:rsidR="000D2863" w:rsidRDefault="00EF3E77" w:rsidP="00610204">
            <w:pPr>
              <w:pStyle w:val="TableNText"/>
              <w:rPr>
                <w:lang w:eastAsia="en-AU"/>
              </w:rPr>
            </w:pPr>
            <w:r w:rsidRPr="00C139B9">
              <w:rPr>
                <w:lang w:eastAsia="en-AU"/>
              </w:rPr>
              <w:t>75</w:t>
            </w:r>
            <w:r w:rsidR="004D3661">
              <w:rPr>
                <w:lang w:eastAsia="en-AU"/>
              </w:rPr>
              <w:t>%</w:t>
            </w:r>
            <w:r w:rsidRPr="00C139B9">
              <w:rPr>
                <w:lang w:eastAsia="en-AU"/>
              </w:rPr>
              <w:t xml:space="preserve"> (proof of concept)</w:t>
            </w:r>
            <w:r w:rsidR="000D2863">
              <w:rPr>
                <w:lang w:eastAsia="en-AU"/>
              </w:rPr>
              <w:fldChar w:fldCharType="begin"/>
            </w:r>
            <w:r w:rsidR="000D2863">
              <w:rPr>
                <w:lang w:eastAsia="en-AU"/>
              </w:rPr>
              <w:instrText xml:space="preserve"> NOTEREF _Ref79400903 \f \h </w:instrText>
            </w:r>
            <w:r w:rsidR="00610204">
              <w:rPr>
                <w:lang w:eastAsia="en-AU"/>
              </w:rPr>
              <w:instrText xml:space="preserve"> \* MERGEFORMAT </w:instrText>
            </w:r>
            <w:r w:rsidR="000D2863">
              <w:rPr>
                <w:lang w:eastAsia="en-AU"/>
              </w:rPr>
            </w:r>
            <w:r w:rsidR="000D2863">
              <w:rPr>
                <w:lang w:eastAsia="en-AU"/>
              </w:rPr>
              <w:fldChar w:fldCharType="separate"/>
            </w:r>
            <w:r w:rsidR="00AE607F" w:rsidRPr="00AE607F">
              <w:rPr>
                <w:rStyle w:val="FootnoteReference"/>
              </w:rPr>
              <w:t>39</w:t>
            </w:r>
            <w:r w:rsidR="000D2863">
              <w:rPr>
                <w:lang w:eastAsia="en-AU"/>
              </w:rPr>
              <w:fldChar w:fldCharType="end"/>
            </w:r>
          </w:p>
          <w:p w14:paraId="4FDF33C7" w14:textId="0BACE722" w:rsidR="00EF3E77" w:rsidRPr="00C139B9" w:rsidRDefault="00EF3E77" w:rsidP="00610204">
            <w:pPr>
              <w:pStyle w:val="TableNText"/>
              <w:rPr>
                <w:lang w:eastAsia="en-AU"/>
              </w:rPr>
            </w:pPr>
            <w:r w:rsidRPr="00C139B9">
              <w:rPr>
                <w:lang w:eastAsia="en-AU"/>
              </w:rPr>
              <w:t>40</w:t>
            </w:r>
            <w:r w:rsidR="004D3661">
              <w:rPr>
                <w:lang w:eastAsia="en-AU"/>
              </w:rPr>
              <w:t>%</w:t>
            </w:r>
            <w:r w:rsidRPr="00C139B9">
              <w:rPr>
                <w:lang w:eastAsia="en-AU"/>
              </w:rPr>
              <w:t xml:space="preserve"> (feasibility)</w:t>
            </w:r>
            <w:r w:rsidR="000D2863">
              <w:rPr>
                <w:lang w:eastAsia="en-AU"/>
              </w:rPr>
              <w:fldChar w:fldCharType="begin"/>
            </w:r>
            <w:r w:rsidR="000D2863">
              <w:rPr>
                <w:lang w:eastAsia="en-AU"/>
              </w:rPr>
              <w:instrText xml:space="preserve"> NOTEREF _Ref79400908 \f \h </w:instrText>
            </w:r>
            <w:r w:rsidR="00610204">
              <w:rPr>
                <w:lang w:eastAsia="en-AU"/>
              </w:rPr>
              <w:instrText xml:space="preserve"> \* MERGEFORMAT </w:instrText>
            </w:r>
            <w:r w:rsidR="000D2863">
              <w:rPr>
                <w:lang w:eastAsia="en-AU"/>
              </w:rPr>
            </w:r>
            <w:r w:rsidR="000D2863">
              <w:rPr>
                <w:lang w:eastAsia="en-AU"/>
              </w:rPr>
              <w:fldChar w:fldCharType="separate"/>
            </w:r>
            <w:r w:rsidR="00AE607F" w:rsidRPr="00AE607F">
              <w:rPr>
                <w:rStyle w:val="FootnoteReference"/>
              </w:rPr>
              <w:t>40</w:t>
            </w:r>
            <w:r w:rsidR="000D2863">
              <w:rPr>
                <w:lang w:eastAsia="en-AU"/>
              </w:rPr>
              <w:fldChar w:fldCharType="end"/>
            </w:r>
            <w:r w:rsidRPr="00C139B9">
              <w:rPr>
                <w:lang w:eastAsia="en-AU"/>
              </w:rPr>
              <w:t xml:space="preserve"> </w:t>
            </w:r>
          </w:p>
        </w:tc>
        <w:tc>
          <w:tcPr>
            <w:tcW w:w="1230"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tcPr>
          <w:p w14:paraId="40D24172" w14:textId="032BAD2A" w:rsidR="00EF3E77" w:rsidRPr="00C139B9" w:rsidRDefault="00EF3E77" w:rsidP="00610204">
            <w:pPr>
              <w:pStyle w:val="TableNText"/>
              <w:rPr>
                <w:lang w:eastAsia="en-AU"/>
              </w:rPr>
            </w:pPr>
            <w:r w:rsidRPr="00C139B9">
              <w:rPr>
                <w:lang w:eastAsia="en-AU"/>
              </w:rPr>
              <w:t>70</w:t>
            </w:r>
            <w:r w:rsidR="004D3661">
              <w:rPr>
                <w:lang w:eastAsia="en-AU"/>
              </w:rPr>
              <w:t>%</w:t>
            </w:r>
            <w:r w:rsidR="000D2863">
              <w:rPr>
                <w:lang w:eastAsia="en-AU"/>
              </w:rPr>
              <w:fldChar w:fldCharType="begin"/>
            </w:r>
            <w:r w:rsidR="000D2863">
              <w:rPr>
                <w:lang w:eastAsia="en-AU"/>
              </w:rPr>
              <w:instrText xml:space="preserve"> NOTEREF _Ref79400916 \f \h </w:instrText>
            </w:r>
            <w:r w:rsidR="00610204">
              <w:rPr>
                <w:lang w:eastAsia="en-AU"/>
              </w:rPr>
              <w:instrText xml:space="preserve"> \* MERGEFORMAT </w:instrText>
            </w:r>
            <w:r w:rsidR="000D2863">
              <w:rPr>
                <w:lang w:eastAsia="en-AU"/>
              </w:rPr>
            </w:r>
            <w:r w:rsidR="000D2863">
              <w:rPr>
                <w:lang w:eastAsia="en-AU"/>
              </w:rPr>
              <w:fldChar w:fldCharType="separate"/>
            </w:r>
            <w:r w:rsidR="00AE607F" w:rsidRPr="00AE607F">
              <w:rPr>
                <w:rStyle w:val="FootnoteReference"/>
              </w:rPr>
              <w:t>41</w:t>
            </w:r>
            <w:r w:rsidR="000D2863">
              <w:rPr>
                <w:lang w:eastAsia="en-AU"/>
              </w:rPr>
              <w:fldChar w:fldCharType="end"/>
            </w:r>
          </w:p>
        </w:tc>
      </w:tr>
    </w:tbl>
    <w:p w14:paraId="0185CDB1" w14:textId="77777777" w:rsidR="00EF3E77" w:rsidRDefault="00EF3E77">
      <w:pPr>
        <w:pStyle w:val="Heading3"/>
        <w:ind w:left="0" w:firstLine="0"/>
      </w:pPr>
      <w:bookmarkStart w:id="88" w:name="_Ref79331086"/>
      <w:r>
        <w:t>The ISC has grown at a significantly faster pace than the BRII</w:t>
      </w:r>
      <w:bookmarkEnd w:id="88"/>
    </w:p>
    <w:p w14:paraId="0530A1FF" w14:textId="4AF6AD6B" w:rsidR="00EF3E77" w:rsidRDefault="00EF3E77" w:rsidP="00EF3E77">
      <w:pPr>
        <w:rPr>
          <w:lang w:eastAsia="en-AU"/>
        </w:rPr>
      </w:pPr>
      <w:r>
        <w:rPr>
          <w:lang w:eastAsia="en-AU"/>
        </w:rPr>
        <w:t>The ISC (founded in 2017) is newer than the BRII and has not yet had an evaluation published. Due to this, th</w:t>
      </w:r>
      <w:r w:rsidR="008E4C9E">
        <w:rPr>
          <w:lang w:eastAsia="en-AU"/>
        </w:rPr>
        <w:t>is</w:t>
      </w:r>
      <w:r>
        <w:rPr>
          <w:lang w:eastAsia="en-AU"/>
        </w:rPr>
        <w:t xml:space="preserve"> evaluation could not make a direct comparison of outcomes and impact. However, it was beneficial to compare some characteristics of each program, particularly relating to program delivery and scale, due to the relatively similar ages of both programs. </w:t>
      </w:r>
    </w:p>
    <w:p w14:paraId="35C36AF0" w14:textId="77777777" w:rsidR="00EF3E77" w:rsidRDefault="00EF3E77" w:rsidP="00EF3E77">
      <w:pPr>
        <w:rPr>
          <w:lang w:eastAsia="en-AU"/>
        </w:rPr>
      </w:pPr>
      <w:r>
        <w:rPr>
          <w:lang w:eastAsia="en-AU"/>
        </w:rPr>
        <w:t>The major difference has been the pace at which the ISC has reached scale. The ISC has completed almost five times more challenges (70 versus 15) than the BRII in a shorter amount of time (excluding the RegTech round). A major driver of this difference is the use of mandated procurement targets for participating agencies in the ISC program. The ISC has also been more flexible in its challenge rollout than BRII. This has allowed the ISC to be more responsive to urgent policy needs. As an example, the ISC supported several COVID-19 specific challenges while the BRII has not.</w:t>
      </w:r>
      <w:r>
        <w:rPr>
          <w:rStyle w:val="FootnoteReference"/>
          <w:lang w:eastAsia="en-AU"/>
        </w:rPr>
        <w:footnoteReference w:id="45"/>
      </w:r>
    </w:p>
    <w:p w14:paraId="24EA3A1C" w14:textId="78900A7B" w:rsidR="00EF3E77" w:rsidRDefault="00EF3E77" w:rsidP="00EF3E77">
      <w:pPr>
        <w:rPr>
          <w:lang w:eastAsia="en-AU"/>
        </w:rPr>
      </w:pPr>
      <w:r>
        <w:rPr>
          <w:lang w:eastAsia="en-AU"/>
        </w:rPr>
        <w:t>One similarity is the challenge focus areas. The majority of ISC challenges have focused on environmental technologies, sensors and artificial intelligence. However, the most common challenge agencies for the ISC to date have been the National Research Council and the Department of National Defence. The Australian equivalents are yet to participate in the BRII.</w:t>
      </w:r>
    </w:p>
    <w:p w14:paraId="7290BF8D" w14:textId="59326C54" w:rsidR="00866DB0" w:rsidRPr="00C95412" w:rsidRDefault="00D5567E">
      <w:pPr>
        <w:pStyle w:val="Heading1"/>
      </w:pPr>
      <w:bookmarkStart w:id="89" w:name="_Ref75899737"/>
      <w:bookmarkStart w:id="90" w:name="_Ref75899766"/>
      <w:bookmarkStart w:id="91" w:name="_Ref75899770"/>
      <w:bookmarkStart w:id="92" w:name="_Toc124435153"/>
      <w:r>
        <w:rPr>
          <w:noProof/>
        </w:rPr>
        <w:lastRenderedPageBreak/>
        <w:drawing>
          <wp:anchor distT="0" distB="0" distL="114300" distR="114300" simplePos="0" relativeHeight="251678208" behindDoc="0" locked="0" layoutInCell="1" allowOverlap="1" wp14:anchorId="49D906D3" wp14:editId="7E72A7DB">
            <wp:simplePos x="0" y="0"/>
            <wp:positionH relativeFrom="page">
              <wp:align>right</wp:align>
            </wp:positionH>
            <wp:positionV relativeFrom="paragraph">
              <wp:posOffset>-785495</wp:posOffset>
            </wp:positionV>
            <wp:extent cx="7632700" cy="1530350"/>
            <wp:effectExtent l="0" t="0" r="635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632700" cy="1530350"/>
                    </a:xfrm>
                    <a:prstGeom prst="rect">
                      <a:avLst/>
                    </a:prstGeom>
                    <a:noFill/>
                  </pic:spPr>
                </pic:pic>
              </a:graphicData>
            </a:graphic>
          </wp:anchor>
        </w:drawing>
      </w:r>
      <w:r w:rsidR="00334135" w:rsidRPr="00C95412">
        <w:t>Cost-benefit analysis</w:t>
      </w:r>
      <w:bookmarkEnd w:id="89"/>
      <w:bookmarkEnd w:id="90"/>
      <w:bookmarkEnd w:id="91"/>
      <w:bookmarkEnd w:id="92"/>
    </w:p>
    <w:p w14:paraId="704630B4" w14:textId="7344EE40" w:rsidR="000170D6" w:rsidRDefault="00610204" w:rsidP="000170D6">
      <w:pPr>
        <w:rPr>
          <w:b/>
          <w:noProof/>
        </w:rPr>
      </w:pPr>
      <w:r>
        <w:rPr>
          <w:b/>
          <w:noProof/>
        </w:rPr>
        <w:drawing>
          <wp:inline distT="0" distB="0" distL="0" distR="0" wp14:anchorId="40C2FD65" wp14:editId="4488EF0A">
            <wp:extent cx="5700395" cy="481330"/>
            <wp:effectExtent l="0" t="0" r="0" b="0"/>
            <wp:docPr id="474" name="Picture 474" descr="Summary of fin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Picture 474" descr="Summary of finding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00395" cy="481330"/>
                    </a:xfrm>
                    <a:prstGeom prst="rect">
                      <a:avLst/>
                    </a:prstGeom>
                    <a:noFill/>
                  </pic:spPr>
                </pic:pic>
              </a:graphicData>
            </a:graphic>
          </wp:inline>
        </w:drawing>
      </w:r>
    </w:p>
    <w:p w14:paraId="42CBAA5F" w14:textId="77777777" w:rsidR="00610204" w:rsidRPr="00610204" w:rsidRDefault="00610204" w:rsidP="00610204">
      <w:pPr>
        <w:pBdr>
          <w:top w:val="single" w:sz="18" w:space="1" w:color="00264D" w:themeColor="background2"/>
          <w:bottom w:val="single" w:sz="18" w:space="1" w:color="00264D" w:themeColor="background2"/>
        </w:pBdr>
        <w:shd w:val="clear" w:color="auto" w:fill="E6E6E1" w:themeFill="accent5"/>
        <w:rPr>
          <w:rFonts w:asciiTheme="majorHAnsi" w:hAnsiTheme="majorHAnsi" w:cstheme="majorHAnsi"/>
          <w:color w:val="00264D" w:themeColor="background2"/>
        </w:rPr>
      </w:pPr>
      <w:r w:rsidRPr="00610204">
        <w:rPr>
          <w:rFonts w:asciiTheme="majorHAnsi" w:hAnsiTheme="majorHAnsi" w:cstheme="majorHAnsi"/>
          <w:color w:val="00264D" w:themeColor="background2"/>
        </w:rPr>
        <w:t xml:space="preserve">Summary </w:t>
      </w:r>
    </w:p>
    <w:p w14:paraId="1A53CD0A" w14:textId="77777777" w:rsidR="00610204" w:rsidRPr="00610204" w:rsidRDefault="00610204" w:rsidP="00610204">
      <w:pPr>
        <w:pBdr>
          <w:top w:val="single" w:sz="18" w:space="1" w:color="00264D" w:themeColor="background2"/>
          <w:bottom w:val="single" w:sz="18" w:space="1" w:color="00264D" w:themeColor="background2"/>
        </w:pBdr>
        <w:shd w:val="clear" w:color="auto" w:fill="E6E6E1" w:themeFill="accent5"/>
        <w:rPr>
          <w:rFonts w:asciiTheme="majorHAnsi" w:hAnsiTheme="majorHAnsi" w:cstheme="majorHAnsi"/>
        </w:rPr>
      </w:pPr>
      <w:r w:rsidRPr="00610204">
        <w:rPr>
          <w:rFonts w:asciiTheme="majorHAnsi" w:hAnsiTheme="majorHAnsi" w:cstheme="majorHAnsi"/>
        </w:rPr>
        <w:fldChar w:fldCharType="begin"/>
      </w:r>
      <w:r w:rsidRPr="00610204">
        <w:rPr>
          <w:rFonts w:asciiTheme="majorHAnsi" w:hAnsiTheme="majorHAnsi" w:cstheme="majorHAnsi"/>
        </w:rPr>
        <w:instrText xml:space="preserve"> REF _Ref76035754 \h  \* MERGEFORMAT </w:instrText>
      </w:r>
      <w:r w:rsidRPr="00610204">
        <w:rPr>
          <w:rFonts w:asciiTheme="majorHAnsi" w:hAnsiTheme="majorHAnsi" w:cstheme="majorHAnsi"/>
        </w:rPr>
      </w:r>
      <w:r w:rsidRPr="00610204">
        <w:rPr>
          <w:rFonts w:asciiTheme="majorHAnsi" w:hAnsiTheme="majorHAnsi" w:cstheme="majorHAnsi"/>
        </w:rPr>
        <w:fldChar w:fldCharType="separate"/>
      </w:r>
      <w:r w:rsidRPr="00610204">
        <w:rPr>
          <w:rFonts w:asciiTheme="majorHAnsi" w:hAnsiTheme="majorHAnsi" w:cstheme="majorHAnsi"/>
        </w:rPr>
        <w:t>Round one of the BRII will achieve an estimated net benefit of $10.4 million and return $1.64 for every $1 invested</w:t>
      </w:r>
      <w:r w:rsidRPr="00610204">
        <w:rPr>
          <w:rFonts w:asciiTheme="majorHAnsi" w:hAnsiTheme="majorHAnsi" w:cstheme="majorHAnsi"/>
        </w:rPr>
        <w:fldChar w:fldCharType="end"/>
      </w:r>
      <w:r w:rsidRPr="00610204">
        <w:rPr>
          <w:rFonts w:asciiTheme="majorHAnsi" w:hAnsiTheme="majorHAnsi" w:cstheme="majorHAnsi"/>
        </w:rPr>
        <w:t>.</w:t>
      </w:r>
    </w:p>
    <w:p w14:paraId="1BEDB9E6" w14:textId="77777777" w:rsidR="00610204" w:rsidRPr="004D6E81" w:rsidRDefault="00610204" w:rsidP="00610204">
      <w:pPr>
        <w:pStyle w:val="Bullet"/>
        <w:pBdr>
          <w:top w:val="single" w:sz="18" w:space="1" w:color="00264D" w:themeColor="background2"/>
          <w:bottom w:val="single" w:sz="18" w:space="1" w:color="00264D" w:themeColor="background2"/>
        </w:pBdr>
        <w:shd w:val="clear" w:color="auto" w:fill="E6E6E1" w:themeFill="accent5"/>
        <w:rPr>
          <w:rFonts w:asciiTheme="minorHAnsi" w:hAnsiTheme="minorHAnsi" w:cstheme="minorHAnsi"/>
        </w:rPr>
      </w:pPr>
      <w:r w:rsidRPr="00610204">
        <w:rPr>
          <w:rFonts w:asciiTheme="majorHAnsi" w:hAnsiTheme="majorHAnsi" w:cstheme="majorHAnsi"/>
        </w:rPr>
        <w:fldChar w:fldCharType="begin"/>
      </w:r>
      <w:r w:rsidRPr="00610204">
        <w:rPr>
          <w:rFonts w:asciiTheme="majorHAnsi" w:hAnsiTheme="majorHAnsi" w:cstheme="majorHAnsi"/>
        </w:rPr>
        <w:instrText xml:space="preserve"> REF _Ref76035840 \h  \* MERGEFORMAT </w:instrText>
      </w:r>
      <w:r w:rsidRPr="00610204">
        <w:rPr>
          <w:rFonts w:asciiTheme="majorHAnsi" w:hAnsiTheme="majorHAnsi" w:cstheme="majorHAnsi"/>
        </w:rPr>
      </w:r>
      <w:r w:rsidRPr="00610204">
        <w:rPr>
          <w:rFonts w:asciiTheme="majorHAnsi" w:hAnsiTheme="majorHAnsi" w:cstheme="majorHAnsi"/>
        </w:rPr>
        <w:fldChar w:fldCharType="separate"/>
      </w:r>
      <w:r w:rsidRPr="00610204">
        <w:rPr>
          <w:rFonts w:asciiTheme="majorHAnsi" w:hAnsiTheme="majorHAnsi" w:cstheme="majorHAnsi"/>
        </w:rPr>
        <w:t>Mixed methods quantified the benefits from improved business performance and solution implementation</w:t>
      </w:r>
      <w:r w:rsidRPr="00610204">
        <w:rPr>
          <w:rFonts w:asciiTheme="majorHAnsi" w:hAnsiTheme="majorHAnsi" w:cstheme="majorHAnsi"/>
        </w:rPr>
        <w:fldChar w:fldCharType="end"/>
      </w:r>
      <w:r w:rsidRPr="00610204">
        <w:rPr>
          <w:rFonts w:asciiTheme="majorHAnsi" w:hAnsiTheme="majorHAnsi" w:cstheme="majorHAnsi"/>
        </w:rPr>
        <w:t>.</w:t>
      </w:r>
      <w:r w:rsidRPr="004D6E81">
        <w:t xml:space="preserve"> </w:t>
      </w:r>
      <w:r w:rsidRPr="004D6E81">
        <w:rPr>
          <w:rFonts w:asciiTheme="minorHAnsi" w:hAnsiTheme="minorHAnsi" w:cstheme="minorHAnsi"/>
        </w:rPr>
        <w:t>The CBA was designed to measure the dual objectives of the BRII. As such, the first objective of the CBA was to quantify the benefit from the direct impact of BRII on the business performance of round one proof of concept SMEs. The second objective was to quantify the outcomes to government and society from successful government-SMEs partnerships. The CBA framework developed in this evaluation provides a foundation to track and demonstrate the impact of the BRII over time.</w:t>
      </w:r>
    </w:p>
    <w:p w14:paraId="0A01680D" w14:textId="77777777" w:rsidR="00610204" w:rsidRPr="004D6E81" w:rsidRDefault="00610204" w:rsidP="00610204">
      <w:pPr>
        <w:pStyle w:val="Bullet"/>
        <w:pBdr>
          <w:top w:val="single" w:sz="18" w:space="1" w:color="00264D" w:themeColor="background2"/>
          <w:bottom w:val="single" w:sz="18" w:space="1" w:color="00264D" w:themeColor="background2"/>
        </w:pBdr>
        <w:shd w:val="clear" w:color="auto" w:fill="E6E6E1" w:themeFill="accent5"/>
        <w:rPr>
          <w:rFonts w:asciiTheme="minorHAnsi" w:hAnsiTheme="minorHAnsi" w:cstheme="minorHAnsi"/>
        </w:rPr>
      </w:pPr>
      <w:r w:rsidRPr="00610204">
        <w:rPr>
          <w:rFonts w:asciiTheme="majorHAnsi" w:hAnsiTheme="majorHAnsi" w:cstheme="majorHAnsi"/>
        </w:rPr>
        <w:fldChar w:fldCharType="begin"/>
      </w:r>
      <w:r w:rsidRPr="00610204">
        <w:rPr>
          <w:rFonts w:asciiTheme="majorHAnsi" w:hAnsiTheme="majorHAnsi" w:cstheme="majorHAnsi"/>
        </w:rPr>
        <w:instrText xml:space="preserve"> REF _Ref76035852 \h  \* MERGEFORMAT </w:instrText>
      </w:r>
      <w:r w:rsidRPr="00610204">
        <w:rPr>
          <w:rFonts w:asciiTheme="majorHAnsi" w:hAnsiTheme="majorHAnsi" w:cstheme="majorHAnsi"/>
        </w:rPr>
      </w:r>
      <w:r w:rsidRPr="00610204">
        <w:rPr>
          <w:rFonts w:asciiTheme="majorHAnsi" w:hAnsiTheme="majorHAnsi" w:cstheme="majorHAnsi"/>
        </w:rPr>
        <w:fldChar w:fldCharType="separate"/>
      </w:r>
      <w:r w:rsidRPr="00610204">
        <w:rPr>
          <w:rFonts w:asciiTheme="majorHAnsi" w:eastAsiaTheme="minorHAnsi" w:hAnsiTheme="majorHAnsi" w:cstheme="majorHAnsi"/>
        </w:rPr>
        <w:t>Improved business performance was the driver of total benefits with a small contribution from the BRII solutions</w:t>
      </w:r>
      <w:r w:rsidRPr="00610204">
        <w:rPr>
          <w:rFonts w:asciiTheme="majorHAnsi" w:hAnsiTheme="majorHAnsi" w:cstheme="majorHAnsi"/>
        </w:rPr>
        <w:fldChar w:fldCharType="end"/>
      </w:r>
      <w:r w:rsidRPr="00610204">
        <w:rPr>
          <w:rFonts w:asciiTheme="majorHAnsi" w:hAnsiTheme="majorHAnsi" w:cstheme="majorHAnsi"/>
        </w:rPr>
        <w:t>.</w:t>
      </w:r>
      <w:r w:rsidRPr="004D6E81">
        <w:t xml:space="preserve"> </w:t>
      </w:r>
      <w:r w:rsidRPr="004D6E81">
        <w:rPr>
          <w:rFonts w:asciiTheme="minorHAnsi" w:hAnsiTheme="minorHAnsi" w:cstheme="minorHAnsi"/>
        </w:rPr>
        <w:t>The BRII is estimated to provide a total of $26.8 million in benefits over the period FY16/17 to FY24/25. $25.7 million</w:t>
      </w:r>
      <w:r>
        <w:rPr>
          <w:rFonts w:asciiTheme="minorHAnsi" w:hAnsiTheme="minorHAnsi" w:cstheme="minorHAnsi"/>
        </w:rPr>
        <w:t xml:space="preserve"> (</w:t>
      </w:r>
      <w:r w:rsidRPr="004D6E81">
        <w:rPr>
          <w:rFonts w:asciiTheme="minorHAnsi" w:hAnsiTheme="minorHAnsi" w:cstheme="minorHAnsi"/>
        </w:rPr>
        <w:t xml:space="preserve">96 </w:t>
      </w:r>
      <w:r>
        <w:rPr>
          <w:rFonts w:asciiTheme="minorHAnsi" w:hAnsiTheme="minorHAnsi" w:cstheme="minorHAnsi"/>
        </w:rPr>
        <w:t>per cent)</w:t>
      </w:r>
      <w:r w:rsidRPr="004D6E81">
        <w:rPr>
          <w:rFonts w:asciiTheme="minorHAnsi" w:hAnsiTheme="minorHAnsi" w:cstheme="minorHAnsi"/>
        </w:rPr>
        <w:t xml:space="preserve"> of the benefits were created through improved SME performance and the resultant </w:t>
      </w:r>
      <w:r>
        <w:rPr>
          <w:rFonts w:asciiTheme="minorHAnsi" w:hAnsiTheme="minorHAnsi" w:cstheme="minorHAnsi"/>
        </w:rPr>
        <w:t>G</w:t>
      </w:r>
      <w:r w:rsidRPr="004D6E81">
        <w:rPr>
          <w:rFonts w:asciiTheme="minorHAnsi" w:hAnsiTheme="minorHAnsi" w:cstheme="minorHAnsi"/>
        </w:rPr>
        <w:t xml:space="preserve">ross </w:t>
      </w:r>
      <w:r>
        <w:rPr>
          <w:rFonts w:asciiTheme="minorHAnsi" w:hAnsiTheme="minorHAnsi" w:cstheme="minorHAnsi"/>
        </w:rPr>
        <w:t>V</w:t>
      </w:r>
      <w:r w:rsidRPr="004D6E81">
        <w:rPr>
          <w:rFonts w:asciiTheme="minorHAnsi" w:hAnsiTheme="minorHAnsi" w:cstheme="minorHAnsi"/>
        </w:rPr>
        <w:t xml:space="preserve">alue </w:t>
      </w:r>
      <w:r>
        <w:rPr>
          <w:rFonts w:asciiTheme="minorHAnsi" w:hAnsiTheme="minorHAnsi" w:cstheme="minorHAnsi"/>
        </w:rPr>
        <w:t>A</w:t>
      </w:r>
      <w:r w:rsidRPr="004D6E81">
        <w:rPr>
          <w:rFonts w:asciiTheme="minorHAnsi" w:hAnsiTheme="minorHAnsi" w:cstheme="minorHAnsi"/>
        </w:rPr>
        <w:t>dded</w:t>
      </w:r>
      <w:r>
        <w:rPr>
          <w:rFonts w:asciiTheme="minorHAnsi" w:hAnsiTheme="minorHAnsi" w:cstheme="minorHAnsi"/>
        </w:rPr>
        <w:t xml:space="preserve"> (GVA)</w:t>
      </w:r>
      <w:r w:rsidRPr="004D6E81">
        <w:rPr>
          <w:rFonts w:asciiTheme="minorHAnsi" w:hAnsiTheme="minorHAnsi" w:cstheme="minorHAnsi"/>
        </w:rPr>
        <w:t>, which extend the benefits beyond the SMEs. Three commercialised solutions from round one deliver $1.1 million in benefits</w:t>
      </w:r>
      <w:r>
        <w:rPr>
          <w:rFonts w:asciiTheme="minorHAnsi" w:hAnsiTheme="minorHAnsi" w:cstheme="minorHAnsi"/>
        </w:rPr>
        <w:t xml:space="preserve"> to a variety of users, depending on the solution</w:t>
      </w:r>
      <w:r w:rsidRPr="004D6E81">
        <w:rPr>
          <w:rFonts w:asciiTheme="minorHAnsi" w:hAnsiTheme="minorHAnsi" w:cstheme="minorHAnsi"/>
        </w:rPr>
        <w:t xml:space="preserve">. </w:t>
      </w:r>
    </w:p>
    <w:p w14:paraId="730176BD" w14:textId="77777777" w:rsidR="00610204" w:rsidRPr="004D6E81" w:rsidRDefault="00610204" w:rsidP="00610204">
      <w:pPr>
        <w:pStyle w:val="Bullet"/>
        <w:pBdr>
          <w:top w:val="single" w:sz="18" w:space="1" w:color="00264D" w:themeColor="background2"/>
          <w:bottom w:val="single" w:sz="18" w:space="1" w:color="00264D" w:themeColor="background2"/>
        </w:pBdr>
        <w:shd w:val="clear" w:color="auto" w:fill="E6E6E1" w:themeFill="accent5"/>
      </w:pPr>
      <w:r w:rsidRPr="00610204">
        <w:rPr>
          <w:rFonts w:asciiTheme="majorHAnsi" w:hAnsiTheme="majorHAnsi" w:cstheme="majorHAnsi"/>
        </w:rPr>
        <w:fldChar w:fldCharType="begin"/>
      </w:r>
      <w:r w:rsidRPr="00610204">
        <w:rPr>
          <w:rFonts w:asciiTheme="majorHAnsi" w:hAnsiTheme="majorHAnsi" w:cstheme="majorHAnsi"/>
        </w:rPr>
        <w:instrText xml:space="preserve"> REF _Ref79137548 \h  \* MERGEFORMAT </w:instrText>
      </w:r>
      <w:r w:rsidRPr="00610204">
        <w:rPr>
          <w:rFonts w:asciiTheme="majorHAnsi" w:hAnsiTheme="majorHAnsi" w:cstheme="majorHAnsi"/>
        </w:rPr>
      </w:r>
      <w:r w:rsidRPr="00610204">
        <w:rPr>
          <w:rFonts w:asciiTheme="majorHAnsi" w:hAnsiTheme="majorHAnsi" w:cstheme="majorHAnsi"/>
        </w:rPr>
        <w:fldChar w:fldCharType="separate"/>
      </w:r>
      <w:r w:rsidRPr="00610204">
        <w:rPr>
          <w:rFonts w:asciiTheme="majorHAnsi" w:hAnsiTheme="majorHAnsi" w:cstheme="majorHAnsi"/>
        </w:rPr>
        <w:t>The BRII contributes to other benefits that are not captured as part of this CBA</w:t>
      </w:r>
      <w:r w:rsidRPr="00610204">
        <w:rPr>
          <w:rFonts w:asciiTheme="majorHAnsi" w:hAnsiTheme="majorHAnsi" w:cstheme="majorHAnsi"/>
        </w:rPr>
        <w:fldChar w:fldCharType="end"/>
      </w:r>
      <w:r w:rsidRPr="004D6E81">
        <w:t>. These non-quantified benefits include other benefits for government and society from the three case study solutions beyond those accounted for in the CBA; benefits created from solutions that are not yet measurable; non-monetary benefits that accrue to both round one SMEs and challenge agencies; and benefits that round one feasibility SMEs might create through the BRII. For this reason</w:t>
      </w:r>
      <w:r>
        <w:t>,</w:t>
      </w:r>
      <w:r w:rsidRPr="004D6E81">
        <w:t xml:space="preserve"> the CBA can be considered conservative in benefits measurement.</w:t>
      </w:r>
    </w:p>
    <w:p w14:paraId="1A351D75" w14:textId="77777777" w:rsidR="00610204" w:rsidRPr="004D6E81" w:rsidRDefault="00610204" w:rsidP="00610204">
      <w:pPr>
        <w:pStyle w:val="Bullet"/>
        <w:pBdr>
          <w:top w:val="single" w:sz="18" w:space="1" w:color="00264D" w:themeColor="background2"/>
          <w:bottom w:val="single" w:sz="18" w:space="1" w:color="00264D" w:themeColor="background2"/>
        </w:pBdr>
        <w:shd w:val="clear" w:color="auto" w:fill="E6E6E1" w:themeFill="accent5"/>
      </w:pPr>
      <w:r w:rsidRPr="00610204">
        <w:rPr>
          <w:rFonts w:asciiTheme="majorHAnsi" w:hAnsiTheme="majorHAnsi" w:cstheme="majorHAnsi"/>
        </w:rPr>
        <w:fldChar w:fldCharType="begin"/>
      </w:r>
      <w:r w:rsidRPr="00610204">
        <w:rPr>
          <w:rFonts w:asciiTheme="majorHAnsi" w:hAnsiTheme="majorHAnsi" w:cstheme="majorHAnsi"/>
        </w:rPr>
        <w:instrText xml:space="preserve"> REF _Ref75874916 \h  \* MERGEFORMAT </w:instrText>
      </w:r>
      <w:r w:rsidRPr="00610204">
        <w:rPr>
          <w:rFonts w:asciiTheme="majorHAnsi" w:hAnsiTheme="majorHAnsi" w:cstheme="majorHAnsi"/>
        </w:rPr>
      </w:r>
      <w:r w:rsidRPr="00610204">
        <w:rPr>
          <w:rFonts w:asciiTheme="majorHAnsi" w:hAnsiTheme="majorHAnsi" w:cstheme="majorHAnsi"/>
        </w:rPr>
        <w:fldChar w:fldCharType="separate"/>
      </w:r>
      <w:r w:rsidRPr="00610204">
        <w:rPr>
          <w:rFonts w:asciiTheme="majorHAnsi" w:hAnsiTheme="majorHAnsi" w:cstheme="majorHAnsi"/>
        </w:rPr>
        <w:t>Grant funding and program administration are the major costs for the BRII</w:t>
      </w:r>
      <w:r w:rsidRPr="00610204">
        <w:rPr>
          <w:rFonts w:asciiTheme="majorHAnsi" w:hAnsiTheme="majorHAnsi" w:cstheme="majorHAnsi"/>
        </w:rPr>
        <w:fldChar w:fldCharType="end"/>
      </w:r>
      <w:r w:rsidRPr="00610204">
        <w:rPr>
          <w:rFonts w:asciiTheme="majorHAnsi" w:hAnsiTheme="majorHAnsi" w:cstheme="majorHAnsi"/>
        </w:rPr>
        <w:t xml:space="preserve">. </w:t>
      </w:r>
      <w:r w:rsidRPr="004D6E81">
        <w:rPr>
          <w:rFonts w:asciiTheme="minorHAnsi" w:hAnsiTheme="minorHAnsi" w:cstheme="minorHAnsi"/>
        </w:rPr>
        <w:t>Round one of the BRII is estimated to cost a total of $16.</w:t>
      </w:r>
      <w:r>
        <w:rPr>
          <w:rFonts w:asciiTheme="minorHAnsi" w:hAnsiTheme="minorHAnsi" w:cstheme="minorHAnsi"/>
        </w:rPr>
        <w:t>4</w:t>
      </w:r>
      <w:r w:rsidRPr="004D6E81">
        <w:rPr>
          <w:rFonts w:asciiTheme="minorHAnsi" w:hAnsiTheme="minorHAnsi" w:cstheme="minorHAnsi"/>
        </w:rPr>
        <w:t xml:space="preserve"> million. This included $13.2 million in grant funding, $3.</w:t>
      </w:r>
      <w:r>
        <w:rPr>
          <w:rFonts w:asciiTheme="minorHAnsi" w:hAnsiTheme="minorHAnsi" w:cstheme="minorHAnsi"/>
        </w:rPr>
        <w:t>1</w:t>
      </w:r>
      <w:r w:rsidRPr="004D6E81">
        <w:rPr>
          <w:rFonts w:asciiTheme="minorHAnsi" w:hAnsiTheme="minorHAnsi" w:cstheme="minorHAnsi"/>
        </w:rPr>
        <w:t xml:space="preserve"> million in program administration costs and $0.1 million in challenge agency labour costs.</w:t>
      </w:r>
    </w:p>
    <w:p w14:paraId="77C19C9D" w14:textId="02B7E175" w:rsidR="00610204" w:rsidRPr="000170D6" w:rsidRDefault="00610204" w:rsidP="00610204">
      <w:pPr>
        <w:pBdr>
          <w:top w:val="single" w:sz="18" w:space="1" w:color="00264D" w:themeColor="background2"/>
          <w:bottom w:val="single" w:sz="18" w:space="1" w:color="00264D" w:themeColor="background2"/>
        </w:pBdr>
        <w:shd w:val="clear" w:color="auto" w:fill="E6E6E1" w:themeFill="accent5"/>
        <w:rPr>
          <w:lang w:eastAsia="en-AU"/>
        </w:rPr>
      </w:pPr>
      <w:r w:rsidRPr="004D6E81">
        <w:rPr>
          <w:rFonts w:asciiTheme="majorHAnsi" w:hAnsiTheme="majorHAnsi" w:cstheme="majorHAnsi"/>
          <w:bCs/>
        </w:rPr>
        <w:fldChar w:fldCharType="begin"/>
      </w:r>
      <w:r w:rsidRPr="004D6E81">
        <w:rPr>
          <w:rFonts w:asciiTheme="majorHAnsi" w:hAnsiTheme="majorHAnsi" w:cstheme="majorHAnsi"/>
          <w:bCs/>
        </w:rPr>
        <w:instrText xml:space="preserve"> REF _Ref75966079 \h  \* MERGEFORMAT </w:instrText>
      </w:r>
      <w:r w:rsidRPr="004D6E81">
        <w:rPr>
          <w:rFonts w:asciiTheme="majorHAnsi" w:hAnsiTheme="majorHAnsi" w:cstheme="majorHAnsi"/>
          <w:bCs/>
        </w:rPr>
      </w:r>
      <w:r w:rsidRPr="004D6E81">
        <w:rPr>
          <w:rFonts w:asciiTheme="majorHAnsi" w:hAnsiTheme="majorHAnsi" w:cstheme="majorHAnsi"/>
          <w:bCs/>
        </w:rPr>
        <w:fldChar w:fldCharType="separate"/>
      </w:r>
      <w:r w:rsidRPr="00AE607F">
        <w:rPr>
          <w:rFonts w:asciiTheme="majorHAnsi" w:hAnsiTheme="majorHAnsi" w:cstheme="majorHAnsi"/>
        </w:rPr>
        <w:t>The BRII had a similar benefit-cost ratio to the UK SBRI</w:t>
      </w:r>
      <w:r w:rsidRPr="004D6E81">
        <w:rPr>
          <w:rFonts w:asciiTheme="majorHAnsi" w:hAnsiTheme="majorHAnsi" w:cstheme="majorHAnsi"/>
          <w:bCs/>
        </w:rPr>
        <w:fldChar w:fldCharType="end"/>
      </w:r>
      <w:r w:rsidRPr="004D6E81">
        <w:rPr>
          <w:rFonts w:asciiTheme="majorHAnsi" w:hAnsiTheme="majorHAnsi" w:cstheme="majorHAnsi"/>
          <w:bCs/>
        </w:rPr>
        <w:t xml:space="preserve">. </w:t>
      </w:r>
      <w:r w:rsidRPr="004D6E81">
        <w:rPr>
          <w:rFonts w:asciiTheme="minorHAnsi" w:hAnsiTheme="minorHAnsi" w:cstheme="minorHAnsi"/>
          <w:bCs/>
        </w:rPr>
        <w:t xml:space="preserve">The BRII BCR of </w:t>
      </w:r>
      <w:r w:rsidRPr="004D6E81">
        <w:rPr>
          <w:rFonts w:asciiTheme="minorHAnsi" w:hAnsiTheme="minorHAnsi" w:cstheme="minorHAnsi"/>
        </w:rPr>
        <w:t>1.6</w:t>
      </w:r>
      <w:r w:rsidRPr="004D6E81">
        <w:rPr>
          <w:rFonts w:asciiTheme="minorHAnsi" w:hAnsiTheme="minorHAnsi" w:cstheme="minorHAnsi"/>
          <w:bCs/>
        </w:rPr>
        <w:t xml:space="preserve"> was comparable to the UK SBRI BCR of 1.6 (based on self-reported SME data) and 2.4 (based</w:t>
      </w:r>
      <w:r>
        <w:rPr>
          <w:rFonts w:asciiTheme="minorHAnsi" w:hAnsiTheme="minorHAnsi" w:cstheme="minorHAnsi"/>
          <w:bCs/>
        </w:rPr>
        <w:t xml:space="preserve"> on econometric analysis). </w:t>
      </w:r>
      <w:r w:rsidRPr="00762060">
        <w:rPr>
          <w:rFonts w:asciiTheme="minorHAnsi" w:hAnsiTheme="minorHAnsi" w:cstheme="minorHAnsi"/>
          <w:bCs/>
        </w:rPr>
        <w:t>This highlights potential for further impact for the BRII</w:t>
      </w:r>
      <w:r>
        <w:rPr>
          <w:rFonts w:asciiTheme="minorHAnsi" w:hAnsiTheme="minorHAnsi" w:cstheme="minorHAnsi"/>
          <w:bCs/>
        </w:rPr>
        <w:t>.</w:t>
      </w:r>
    </w:p>
    <w:p w14:paraId="2BC0656F" w14:textId="27E4805E" w:rsidR="00646DB3" w:rsidRPr="004D6E81" w:rsidRDefault="00F62FCE">
      <w:pPr>
        <w:pStyle w:val="Heading2"/>
      </w:pPr>
      <w:bookmarkStart w:id="93" w:name="_Ref76035754"/>
      <w:bookmarkStart w:id="94" w:name="_Toc124435154"/>
      <w:r w:rsidRPr="004D6E81">
        <w:lastRenderedPageBreak/>
        <w:t>Round one of t</w:t>
      </w:r>
      <w:r w:rsidR="00F70E84" w:rsidRPr="004D6E81">
        <w:t xml:space="preserve">he BRII </w:t>
      </w:r>
      <w:r w:rsidR="0044131A">
        <w:t>will achieve</w:t>
      </w:r>
      <w:r w:rsidR="00F70E84" w:rsidRPr="004D6E81">
        <w:t xml:space="preserve"> a</w:t>
      </w:r>
      <w:r w:rsidRPr="004D6E81">
        <w:t>n estimated</w:t>
      </w:r>
      <w:r w:rsidR="00F70E84" w:rsidRPr="004D6E81">
        <w:t xml:space="preserve"> net benefit of $</w:t>
      </w:r>
      <w:r w:rsidR="004D6E81" w:rsidRPr="004D6E81">
        <w:t>10</w:t>
      </w:r>
      <w:r w:rsidR="008C3A51">
        <w:t>.4</w:t>
      </w:r>
      <w:r w:rsidR="00F70E84" w:rsidRPr="004D6E81">
        <w:t xml:space="preserve"> million</w:t>
      </w:r>
      <w:r w:rsidR="00821E41" w:rsidRPr="004D6E81">
        <w:t xml:space="preserve"> and return $1.</w:t>
      </w:r>
      <w:r w:rsidR="004D6E81" w:rsidRPr="004D6E81">
        <w:t>6</w:t>
      </w:r>
      <w:r w:rsidR="008C3A51">
        <w:t>4</w:t>
      </w:r>
      <w:r w:rsidR="00821E41" w:rsidRPr="004D6E81">
        <w:t xml:space="preserve"> for every $1 invested</w:t>
      </w:r>
      <w:bookmarkEnd w:id="93"/>
      <w:bookmarkEnd w:id="94"/>
    </w:p>
    <w:p w14:paraId="347F06EF" w14:textId="3AF3CBC1" w:rsidR="008A4832" w:rsidRPr="008A4832" w:rsidRDefault="00D53C0F" w:rsidP="000308B2">
      <w:r>
        <w:t xml:space="preserve">As outlined in the preceding section, the BRII has had a positive impact on most participating SMEs and delivered significant value for </w:t>
      </w:r>
      <w:r w:rsidR="004D07D1">
        <w:t xml:space="preserve">challenge agencies. Of note is the positive impact </w:t>
      </w:r>
      <w:r w:rsidR="00A91ED9">
        <w:t>t</w:t>
      </w:r>
      <w:r w:rsidR="004D07D1">
        <w:t xml:space="preserve">hat round one SMEs (see </w:t>
      </w:r>
      <w:r w:rsidR="000673BF">
        <w:t>Section</w:t>
      </w:r>
      <w:r w:rsidR="004D07D1">
        <w:t xml:space="preserve"> </w:t>
      </w:r>
      <w:r w:rsidR="00897126">
        <w:fldChar w:fldCharType="begin"/>
      </w:r>
      <w:r w:rsidR="00897126">
        <w:instrText xml:space="preserve"> REF _Ref79330750 \r \h </w:instrText>
      </w:r>
      <w:r w:rsidR="00897126">
        <w:fldChar w:fldCharType="separate"/>
      </w:r>
      <w:r w:rsidR="00AE607F">
        <w:t>5.1</w:t>
      </w:r>
      <w:r w:rsidR="00897126">
        <w:fldChar w:fldCharType="end"/>
      </w:r>
      <w:r w:rsidR="004D07D1">
        <w:t xml:space="preserve">) and challenge agencies experienced (see </w:t>
      </w:r>
      <w:r w:rsidR="000673BF">
        <w:t>Section</w:t>
      </w:r>
      <w:r w:rsidR="004D07D1">
        <w:t xml:space="preserve"> </w:t>
      </w:r>
      <w:r w:rsidR="00897126">
        <w:fldChar w:fldCharType="begin"/>
      </w:r>
      <w:r w:rsidR="00897126">
        <w:instrText xml:space="preserve"> REF _Ref79330903 \r \h </w:instrText>
      </w:r>
      <w:r w:rsidR="00897126">
        <w:fldChar w:fldCharType="separate"/>
      </w:r>
      <w:r w:rsidR="00AE607F">
        <w:t>5.2</w:t>
      </w:r>
      <w:r w:rsidR="00897126">
        <w:fldChar w:fldCharType="end"/>
      </w:r>
      <w:r w:rsidR="004D07D1">
        <w:t>) from participating in the BRII.</w:t>
      </w:r>
    </w:p>
    <w:p w14:paraId="16892CF8" w14:textId="3EE10936" w:rsidR="001C1D77" w:rsidRPr="001C1D77" w:rsidRDefault="001B6EB3" w:rsidP="000308B2">
      <w:r>
        <w:t xml:space="preserve">This evaluation undertook a CBA of round one of the BRII to further demonstrate </w:t>
      </w:r>
      <w:r w:rsidR="00A91ED9">
        <w:t xml:space="preserve">and quantify </w:t>
      </w:r>
      <w:r>
        <w:t xml:space="preserve">the impact of the BRII. The CBA </w:t>
      </w:r>
      <w:r w:rsidR="00A91ED9">
        <w:t>compares</w:t>
      </w:r>
      <w:r w:rsidR="00CE5BF6">
        <w:t xml:space="preserve"> the total costs to deliver round one against the total benefit to society.</w:t>
      </w:r>
      <w:r w:rsidR="00413AB1">
        <w:rPr>
          <w:rStyle w:val="FootnoteReference"/>
        </w:rPr>
        <w:footnoteReference w:id="46"/>
      </w:r>
      <w:r w:rsidR="00A91ED9">
        <w:t xml:space="preserve"> </w:t>
      </w:r>
      <w:r w:rsidR="00AD27E6">
        <w:t xml:space="preserve">The CBA focuses on </w:t>
      </w:r>
      <w:r w:rsidR="00683E6F">
        <w:t xml:space="preserve">the benefits accrued from round one </w:t>
      </w:r>
      <w:r w:rsidR="002048CC">
        <w:rPr>
          <w:lang w:eastAsia="en-AU"/>
        </w:rPr>
        <w:t xml:space="preserve">before sufficient time has passed since launching this round </w:t>
      </w:r>
      <w:r w:rsidR="0075529A">
        <w:rPr>
          <w:lang w:eastAsia="en-AU"/>
        </w:rPr>
        <w:t xml:space="preserve">to </w:t>
      </w:r>
      <w:r w:rsidR="00F44BF1">
        <w:rPr>
          <w:lang w:eastAsia="en-AU"/>
        </w:rPr>
        <w:t xml:space="preserve">complete </w:t>
      </w:r>
      <w:r w:rsidR="00F44BF1" w:rsidRPr="00F91F12">
        <w:rPr>
          <w:lang w:eastAsia="en-AU"/>
        </w:rPr>
        <w:t xml:space="preserve">a robust </w:t>
      </w:r>
      <w:r w:rsidR="00F44BF1">
        <w:rPr>
          <w:lang w:eastAsia="en-AU"/>
        </w:rPr>
        <w:t xml:space="preserve">ex-post </w:t>
      </w:r>
      <w:r w:rsidR="00F44BF1" w:rsidRPr="00F91F12">
        <w:rPr>
          <w:lang w:eastAsia="en-AU"/>
        </w:rPr>
        <w:t xml:space="preserve">assessment of </w:t>
      </w:r>
      <w:r w:rsidR="0075529A">
        <w:rPr>
          <w:lang w:eastAsia="en-AU"/>
        </w:rPr>
        <w:t xml:space="preserve">the </w:t>
      </w:r>
      <w:r w:rsidR="00F44BF1" w:rsidRPr="00F91F12">
        <w:rPr>
          <w:lang w:eastAsia="en-AU"/>
        </w:rPr>
        <w:t xml:space="preserve">program’s </w:t>
      </w:r>
      <w:r w:rsidR="0075529A">
        <w:rPr>
          <w:lang w:eastAsia="en-AU"/>
        </w:rPr>
        <w:t xml:space="preserve">impact on SME performance </w:t>
      </w:r>
      <w:r w:rsidR="00177666">
        <w:rPr>
          <w:lang w:eastAsia="en-AU"/>
        </w:rPr>
        <w:t xml:space="preserve">and </w:t>
      </w:r>
      <w:r w:rsidR="00683E6F" w:rsidRPr="00F91F12">
        <w:rPr>
          <w:lang w:eastAsia="en-AU"/>
        </w:rPr>
        <w:t xml:space="preserve">the </w:t>
      </w:r>
      <w:r w:rsidR="00683E6F">
        <w:rPr>
          <w:lang w:eastAsia="en-AU"/>
        </w:rPr>
        <w:t xml:space="preserve">benefits </w:t>
      </w:r>
      <w:r w:rsidR="00413AB1">
        <w:rPr>
          <w:lang w:eastAsia="en-AU"/>
        </w:rPr>
        <w:t xml:space="preserve">created </w:t>
      </w:r>
      <w:r w:rsidR="00177666">
        <w:rPr>
          <w:lang w:eastAsia="en-AU"/>
        </w:rPr>
        <w:t xml:space="preserve">from </w:t>
      </w:r>
      <w:r w:rsidR="00413AB1">
        <w:rPr>
          <w:lang w:eastAsia="en-AU"/>
        </w:rPr>
        <w:t>the implementation of BRII</w:t>
      </w:r>
      <w:r w:rsidR="00177666">
        <w:rPr>
          <w:lang w:eastAsia="en-AU"/>
        </w:rPr>
        <w:t xml:space="preserve"> solutions.</w:t>
      </w:r>
      <w:r w:rsidR="005A6C56" w:rsidRPr="00F91F12">
        <w:rPr>
          <w:rStyle w:val="FootnoteReference"/>
          <w:szCs w:val="19"/>
          <w:lang w:eastAsia="en-AU"/>
        </w:rPr>
        <w:footnoteReference w:id="47"/>
      </w:r>
      <w:r w:rsidR="005A6C56">
        <w:rPr>
          <w:lang w:eastAsia="en-AU"/>
        </w:rPr>
        <w:t xml:space="preserve"> </w:t>
      </w:r>
      <w:r w:rsidR="005A6C56">
        <w:rPr>
          <w:rStyle w:val="FootnoteReference"/>
          <w:szCs w:val="19"/>
          <w:lang w:eastAsia="en-AU"/>
        </w:rPr>
        <w:footnoteReference w:id="48"/>
      </w:r>
    </w:p>
    <w:p w14:paraId="48AC41C4" w14:textId="76DFF39A" w:rsidR="00F469E4" w:rsidRDefault="00357ACE" w:rsidP="00F469E4">
      <w:pPr>
        <w:rPr>
          <w:lang w:eastAsia="en-AU"/>
        </w:rPr>
      </w:pPr>
      <w:r>
        <w:t xml:space="preserve">The </w:t>
      </w:r>
      <w:r w:rsidR="00177666">
        <w:t xml:space="preserve">results of the </w:t>
      </w:r>
      <w:r>
        <w:t xml:space="preserve">CBA demonstrate that </w:t>
      </w:r>
      <w:r w:rsidR="00A1107A">
        <w:t xml:space="preserve">round one of </w:t>
      </w:r>
      <w:r>
        <w:t xml:space="preserve">the BRII </w:t>
      </w:r>
      <w:r w:rsidR="00177666">
        <w:t xml:space="preserve">has so far </w:t>
      </w:r>
      <w:r>
        <w:t>deliver</w:t>
      </w:r>
      <w:r w:rsidR="00177666">
        <w:t>ed</w:t>
      </w:r>
      <w:r>
        <w:t xml:space="preserve"> a net benefit </w:t>
      </w:r>
      <w:r w:rsidR="00A1107A">
        <w:t>of $</w:t>
      </w:r>
      <w:r w:rsidR="00783807">
        <w:t>10</w:t>
      </w:r>
      <w:r w:rsidR="00CA5FCE">
        <w:t>.4</w:t>
      </w:r>
      <w:r w:rsidR="00A1107A">
        <w:t xml:space="preserve"> million </w:t>
      </w:r>
      <w:r>
        <w:t xml:space="preserve">to Australia. </w:t>
      </w:r>
      <w:r w:rsidR="00A1107A">
        <w:t xml:space="preserve">This </w:t>
      </w:r>
      <w:r w:rsidR="00F51AB1">
        <w:t>included</w:t>
      </w:r>
      <w:r w:rsidR="00CC0188">
        <w:t xml:space="preserve"> total benefits of </w:t>
      </w:r>
      <w:r w:rsidR="003B6F45">
        <w:t>$</w:t>
      </w:r>
      <w:r w:rsidR="007A5C7F">
        <w:t>26.8</w:t>
      </w:r>
      <w:r w:rsidR="003B6F45">
        <w:t xml:space="preserve"> million</w:t>
      </w:r>
      <w:r w:rsidR="00F51AB1">
        <w:t>, which</w:t>
      </w:r>
      <w:r w:rsidR="00D6101D">
        <w:t xml:space="preserve"> were made up of </w:t>
      </w:r>
      <w:r w:rsidR="00A92728">
        <w:t>$2</w:t>
      </w:r>
      <w:r w:rsidR="0062119C">
        <w:t>5.7</w:t>
      </w:r>
      <w:r w:rsidR="00A92728">
        <w:t xml:space="preserve"> million </w:t>
      </w:r>
      <w:r w:rsidR="004B1AF6">
        <w:t>of benefits created through improved SME performance and $</w:t>
      </w:r>
      <w:r w:rsidR="0062119C">
        <w:t>1.1</w:t>
      </w:r>
      <w:r w:rsidR="004B1AF6">
        <w:t xml:space="preserve"> million in </w:t>
      </w:r>
      <w:r w:rsidR="00840515">
        <w:t xml:space="preserve">benefits created through the implementation of </w:t>
      </w:r>
      <w:r w:rsidR="007A1001">
        <w:t xml:space="preserve">three </w:t>
      </w:r>
      <w:r w:rsidR="00840515">
        <w:t>round one solutions.</w:t>
      </w:r>
      <w:r w:rsidR="003B6F45">
        <w:t xml:space="preserve"> </w:t>
      </w:r>
      <w:r w:rsidR="00840515">
        <w:t>The</w:t>
      </w:r>
      <w:r w:rsidR="003B6F45">
        <w:t xml:space="preserve"> total costs </w:t>
      </w:r>
      <w:r w:rsidR="00840515">
        <w:t xml:space="preserve">amounted to </w:t>
      </w:r>
      <w:r w:rsidR="00A1107A">
        <w:t>$</w:t>
      </w:r>
      <w:r w:rsidR="003B6F45">
        <w:t>1</w:t>
      </w:r>
      <w:r w:rsidR="00A1107A">
        <w:t>6.</w:t>
      </w:r>
      <w:r w:rsidR="00226EA9">
        <w:t>4</w:t>
      </w:r>
      <w:r w:rsidR="00A1107A">
        <w:t xml:space="preserve"> million</w:t>
      </w:r>
      <w:r w:rsidR="009466DD">
        <w:t xml:space="preserve">, which </w:t>
      </w:r>
      <w:r w:rsidR="00F51AB1">
        <w:t>were</w:t>
      </w:r>
      <w:r w:rsidR="009466DD">
        <w:t xml:space="preserve"> predominantly made up of grant funding costs</w:t>
      </w:r>
      <w:r w:rsidR="000B178C">
        <w:t xml:space="preserve"> alongside some </w:t>
      </w:r>
      <w:r w:rsidR="00B2410D">
        <w:t xml:space="preserve">administrative </w:t>
      </w:r>
      <w:r w:rsidR="000B178C">
        <w:t>costs</w:t>
      </w:r>
      <w:r w:rsidR="00A1107A">
        <w:t>.</w:t>
      </w:r>
      <w:r w:rsidR="00794975">
        <w:t xml:space="preserve"> </w:t>
      </w:r>
      <w:r w:rsidR="00C350ED">
        <w:t>These results reflect a BCR of 1.</w:t>
      </w:r>
      <w:r w:rsidR="0062119C">
        <w:t>6</w:t>
      </w:r>
      <w:r w:rsidR="003A0552">
        <w:t>4</w:t>
      </w:r>
      <w:r w:rsidR="00C350ED">
        <w:t xml:space="preserve"> to 1</w:t>
      </w:r>
      <w:r w:rsidR="00F81436">
        <w:t xml:space="preserve"> (see </w:t>
      </w:r>
      <w:r w:rsidR="00F81436">
        <w:fldChar w:fldCharType="begin"/>
      </w:r>
      <w:r w:rsidR="00F81436">
        <w:instrText xml:space="preserve"> REF _Ref75986124 \h </w:instrText>
      </w:r>
      <w:r w:rsidR="00F81436">
        <w:fldChar w:fldCharType="separate"/>
      </w:r>
      <w:r w:rsidR="00AE607F">
        <w:t xml:space="preserve">Figure </w:t>
      </w:r>
      <w:r w:rsidR="00AE607F">
        <w:rPr>
          <w:noProof/>
        </w:rPr>
        <w:t>20</w:t>
      </w:r>
      <w:r w:rsidR="00F81436">
        <w:fldChar w:fldCharType="end"/>
      </w:r>
      <w:r w:rsidR="00F81436">
        <w:t>)</w:t>
      </w:r>
      <w:r w:rsidR="00C350ED">
        <w:t>.</w:t>
      </w:r>
    </w:p>
    <w:p w14:paraId="28487ECC" w14:textId="442EB0F5" w:rsidR="00471FC1" w:rsidRDefault="00471FC1" w:rsidP="00AC4F16">
      <w:r w:rsidRPr="00055D61">
        <w:t>In line with Australian Government guidance, the CBA results are presented here at discount rates of 3 per cent, 7 per cent (base</w:t>
      </w:r>
      <w:r w:rsidR="008526C7">
        <w:t xml:space="preserve"> case</w:t>
      </w:r>
      <w:r w:rsidRPr="00055D61">
        <w:t>) and 10 per cent.</w:t>
      </w:r>
      <w:r w:rsidRPr="002737BF">
        <w:rPr>
          <w:vertAlign w:val="superscript"/>
        </w:rPr>
        <w:footnoteReference w:id="49"/>
      </w:r>
      <w:r w:rsidRPr="00055D61">
        <w:t xml:space="preserve"> The resulting net benefit range has a lower bound of $</w:t>
      </w:r>
      <w:r w:rsidR="00C34FE6">
        <w:t>8</w:t>
      </w:r>
      <w:r w:rsidR="00CD797D">
        <w:t>.2</w:t>
      </w:r>
      <w:r w:rsidRPr="00055D61">
        <w:t xml:space="preserve"> million and an upper bound of $</w:t>
      </w:r>
      <w:r w:rsidR="00C34FE6">
        <w:t>13.</w:t>
      </w:r>
      <w:r w:rsidR="00CD797D">
        <w:t>5</w:t>
      </w:r>
      <w:r w:rsidRPr="00055D61">
        <w:t xml:space="preserve"> million.</w:t>
      </w:r>
    </w:p>
    <w:p w14:paraId="41578D95" w14:textId="256A1F34" w:rsidR="00A46E28" w:rsidRDefault="00A46E28" w:rsidP="00A46E28">
      <w:pPr>
        <w:pStyle w:val="Caption"/>
      </w:pPr>
      <w:bookmarkStart w:id="95" w:name="_Ref75986124"/>
      <w:r>
        <w:lastRenderedPageBreak/>
        <w:t xml:space="preserve">Figure </w:t>
      </w:r>
      <w:r>
        <w:fldChar w:fldCharType="begin"/>
      </w:r>
      <w:r>
        <w:instrText xml:space="preserve"> SEQ Figure \* ARABIC </w:instrText>
      </w:r>
      <w:r>
        <w:fldChar w:fldCharType="separate"/>
      </w:r>
      <w:r w:rsidR="00870ADB">
        <w:rPr>
          <w:noProof/>
        </w:rPr>
        <w:t>21</w:t>
      </w:r>
      <w:r>
        <w:fldChar w:fldCharType="end"/>
      </w:r>
      <w:bookmarkEnd w:id="95"/>
      <w:r>
        <w:t xml:space="preserve"> | </w:t>
      </w:r>
      <w:r w:rsidR="004346A9">
        <w:t>Summary of CBA results</w:t>
      </w:r>
    </w:p>
    <w:p w14:paraId="77597E33" w14:textId="2ED57D68" w:rsidR="00A853CD" w:rsidRDefault="00813E06" w:rsidP="000308B2">
      <w:r w:rsidRPr="00813E06">
        <w:rPr>
          <w:noProof/>
        </w:rPr>
        <w:drawing>
          <wp:inline distT="0" distB="0" distL="0" distR="0" wp14:anchorId="5430416B" wp14:editId="2444F642">
            <wp:extent cx="5670550" cy="3441065"/>
            <wp:effectExtent l="0" t="0" r="6350" b="6985"/>
            <wp:docPr id="38" name="Picture 38" descr="Total benefits, twenty six point 8 million. Total costs in dollars, sixteen point four million. Net benefit, ten point 4 million. Round one of the BRII achieved a benefit cost ratio of 1 point 6 to 1.&#10;Sensitivity analysis. Discount rate, 7 per cent (base case), net benefit, ten point 4 million, benefit cost ratio, 1 point 6 to 1. Discount rate, 3 per cent, net benefit, thirteen point 5 million, benefit cost ratio 1 point 9 to 1. Discount rate, ten per cent, net benefit eight point 2 million, benefit cost ratio 1 point 5 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otal benefits, twenty six point 8 million. Total costs in dollars, sixteen point four million. Net benefit, ten point 4 million. Round one of the BRII achieved a benefit cost ratio of 1 point 6 to 1.&#10;Sensitivity analysis. Discount rate, 7 per cent (base case), net benefit, ten point 4 million, benefit cost ratio, 1 point 6 to 1. Discount rate, 3 per cent, net benefit, thirteen point 5 million, benefit cost ratio 1 point 9 to 1. Discount rate, ten per cent, net benefit eight point 2 million, benefit cost ratio 1 point 5 to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70550" cy="3441065"/>
                    </a:xfrm>
                    <a:prstGeom prst="rect">
                      <a:avLst/>
                    </a:prstGeom>
                    <a:noFill/>
                    <a:ln>
                      <a:noFill/>
                    </a:ln>
                  </pic:spPr>
                </pic:pic>
              </a:graphicData>
            </a:graphic>
          </wp:inline>
        </w:drawing>
      </w:r>
    </w:p>
    <w:p w14:paraId="11FBED15" w14:textId="59CBD54F" w:rsidR="00990577" w:rsidRDefault="00B2410D" w:rsidP="009D6E15">
      <w:pPr>
        <w:spacing w:before="240"/>
      </w:pPr>
      <w:r>
        <w:t xml:space="preserve">This is a positive result for </w:t>
      </w:r>
      <w:r w:rsidR="00B761D8">
        <w:t xml:space="preserve">the </w:t>
      </w:r>
      <w:r>
        <w:t xml:space="preserve">BRII. The BCR </w:t>
      </w:r>
      <w:r w:rsidR="008B76F8">
        <w:t xml:space="preserve">result </w:t>
      </w:r>
      <w:r w:rsidR="00B761D8">
        <w:t xml:space="preserve">demonstrates </w:t>
      </w:r>
      <w:r>
        <w:t xml:space="preserve">that the first pilot round of </w:t>
      </w:r>
      <w:r w:rsidR="00F44BF1">
        <w:t xml:space="preserve">the </w:t>
      </w:r>
      <w:r>
        <w:t xml:space="preserve">BRII delivered a </w:t>
      </w:r>
      <w:r w:rsidR="008B76F8">
        <w:t>positive return on investment for the Australian Government</w:t>
      </w:r>
      <w:r w:rsidR="00B761D8">
        <w:t>. This is</w:t>
      </w:r>
      <w:r w:rsidR="008B76F8">
        <w:t xml:space="preserve"> additional to the various </w:t>
      </w:r>
      <w:r w:rsidR="00D62C7D">
        <w:t xml:space="preserve">qualitative </w:t>
      </w:r>
      <w:r w:rsidR="008B76F8">
        <w:t>outcomes and impact that SMEs and challenge agencies experienced.</w:t>
      </w:r>
    </w:p>
    <w:p w14:paraId="54FA923E" w14:textId="1BFC60D0" w:rsidR="0006252F" w:rsidRDefault="005D0087" w:rsidP="009D6E15">
      <w:pPr>
        <w:spacing w:before="240"/>
      </w:pPr>
      <w:r>
        <w:t xml:space="preserve">This CBA is not exhaustive in the benefits it can measure at this </w:t>
      </w:r>
      <w:r w:rsidR="00D80113">
        <w:t>s</w:t>
      </w:r>
      <w:r>
        <w:t>tage d</w:t>
      </w:r>
      <w:r w:rsidR="006F20ED">
        <w:t xml:space="preserve">ue to the availability of data and limited time </w:t>
      </w:r>
      <w:r>
        <w:t>since commercialisation.</w:t>
      </w:r>
      <w:r w:rsidR="00D24571">
        <w:t xml:space="preserve"> Over time the </w:t>
      </w:r>
      <w:r w:rsidR="009A3CB8">
        <w:t xml:space="preserve">benefits created through the implementation of round one solutions </w:t>
      </w:r>
      <w:r w:rsidR="00427D6C">
        <w:t>are expected to</w:t>
      </w:r>
      <w:r w:rsidR="00712E46">
        <w:t xml:space="preserve"> </w:t>
      </w:r>
      <w:r w:rsidR="009425EC">
        <w:t>increase, particularly if the user base for each solution grows</w:t>
      </w:r>
      <w:r w:rsidR="00B270E8">
        <w:t>.</w:t>
      </w:r>
    </w:p>
    <w:p w14:paraId="707BC7B1" w14:textId="1ECB1B64" w:rsidR="008475EF" w:rsidRPr="008475EF" w:rsidRDefault="00990577" w:rsidP="008475EF">
      <w:pPr>
        <w:spacing w:before="240"/>
      </w:pPr>
      <w:r>
        <w:t xml:space="preserve">The remainder of this section will </w:t>
      </w:r>
      <w:r w:rsidR="00AA23DD">
        <w:t xml:space="preserve">first summarise </w:t>
      </w:r>
      <w:r w:rsidR="004260E1">
        <w:t>the</w:t>
      </w:r>
      <w:r w:rsidR="00AA23DD">
        <w:t xml:space="preserve"> conceptual and methodological approach to the CBA. It will then provide more detail on the </w:t>
      </w:r>
      <w:r w:rsidR="00DD5CF0">
        <w:t>results of the CBA.</w:t>
      </w:r>
    </w:p>
    <w:p w14:paraId="4762863D" w14:textId="70E5FFF6" w:rsidR="00C76418" w:rsidRDefault="00734269">
      <w:pPr>
        <w:pStyle w:val="Heading2"/>
      </w:pPr>
      <w:bookmarkStart w:id="96" w:name="_Ref76035840"/>
      <w:bookmarkStart w:id="97" w:name="_Toc124435155"/>
      <w:r>
        <w:t xml:space="preserve">Mixed methods quantified </w:t>
      </w:r>
      <w:r w:rsidR="004035B6" w:rsidRPr="004035B6">
        <w:t>the benefits from improved business performance and solution implementation</w:t>
      </w:r>
      <w:bookmarkEnd w:id="96"/>
      <w:bookmarkEnd w:id="97"/>
    </w:p>
    <w:p w14:paraId="01B41375" w14:textId="7AFB9F90" w:rsidR="007259DA" w:rsidRDefault="00664361" w:rsidP="00391723">
      <w:pPr>
        <w:spacing w:after="165" w:line="259" w:lineRule="auto"/>
      </w:pPr>
      <w:r>
        <w:t xml:space="preserve">The CBA was designed to measure the </w:t>
      </w:r>
      <w:r w:rsidR="001D0472">
        <w:t xml:space="preserve">dual objectives of </w:t>
      </w:r>
      <w:r>
        <w:t>the BRII</w:t>
      </w:r>
      <w:r w:rsidR="0056065E">
        <w:t xml:space="preserve">: </w:t>
      </w:r>
      <w:r w:rsidR="009735B5">
        <w:t>to drive</w:t>
      </w:r>
      <w:r w:rsidR="009735B5" w:rsidRPr="009735B5">
        <w:t xml:space="preserve"> innovation and commercialisation within Australian</w:t>
      </w:r>
      <w:r w:rsidR="009735B5">
        <w:t xml:space="preserve"> </w:t>
      </w:r>
      <w:r w:rsidR="005C2A64">
        <w:t xml:space="preserve">SMEs </w:t>
      </w:r>
      <w:r w:rsidR="009735B5">
        <w:t xml:space="preserve">and to </w:t>
      </w:r>
      <w:r w:rsidR="00B54B43">
        <w:t>c</w:t>
      </w:r>
      <w:r w:rsidR="00B54B43" w:rsidRPr="00B54B43">
        <w:t>hange the nature of government procurement through sourcing innovative solutions</w:t>
      </w:r>
      <w:r w:rsidR="006C05F2">
        <w:t>.</w:t>
      </w:r>
      <w:r w:rsidR="009735B5" w:rsidRPr="009735B5">
        <w:t xml:space="preserve"> </w:t>
      </w:r>
      <w:r w:rsidR="00A01998">
        <w:t>To achieve</w:t>
      </w:r>
      <w:r w:rsidR="00391723">
        <w:t xml:space="preserve"> this </w:t>
      </w:r>
      <w:r w:rsidR="00A01998">
        <w:t>the</w:t>
      </w:r>
      <w:r w:rsidR="00391723">
        <w:t xml:space="preserve"> CBA used a mixed methods approach that incorporated econometric analysis with </w:t>
      </w:r>
      <w:r w:rsidR="00230FE3">
        <w:t>discrete analysis</w:t>
      </w:r>
      <w:r w:rsidR="00B9216E">
        <w:t xml:space="preserve"> based on </w:t>
      </w:r>
      <w:r w:rsidR="00391723">
        <w:t>qualitative research.</w:t>
      </w:r>
      <w:r w:rsidR="005D5EA1">
        <w:t xml:space="preserve"> </w:t>
      </w:r>
      <w:r w:rsidR="00AE4E16">
        <w:t>The objective of this analysis was to</w:t>
      </w:r>
      <w:r w:rsidR="009E11D1">
        <w:t>:</w:t>
      </w:r>
    </w:p>
    <w:p w14:paraId="6A47D4B8" w14:textId="51C98F62" w:rsidR="007259DA" w:rsidRDefault="006C4941">
      <w:pPr>
        <w:pStyle w:val="Listnumbered"/>
        <w:numPr>
          <w:ilvl w:val="0"/>
          <w:numId w:val="28"/>
        </w:numPr>
      </w:pPr>
      <w:r>
        <w:t xml:space="preserve">Quantify </w:t>
      </w:r>
      <w:r w:rsidR="007259DA" w:rsidRPr="007259DA">
        <w:t xml:space="preserve">the benefit from the direct impact of </w:t>
      </w:r>
      <w:r w:rsidR="008C6652">
        <w:t xml:space="preserve">the </w:t>
      </w:r>
      <w:r w:rsidR="007259DA" w:rsidRPr="007259DA">
        <w:t>BRII on the business performance of round one proof of concept SMEs (as measured through changes in revenue)</w:t>
      </w:r>
      <w:r w:rsidR="007259DA">
        <w:t>.</w:t>
      </w:r>
    </w:p>
    <w:p w14:paraId="7017C2C5" w14:textId="758ACC97" w:rsidR="007259DA" w:rsidRDefault="006C4941">
      <w:pPr>
        <w:pStyle w:val="Listnumbered"/>
      </w:pPr>
      <w:r>
        <w:t xml:space="preserve">Quantify </w:t>
      </w:r>
      <w:r w:rsidRPr="006C4941">
        <w:t xml:space="preserve">the outcomes to </w:t>
      </w:r>
      <w:r w:rsidR="008C6652">
        <w:t>the Australian G</w:t>
      </w:r>
      <w:r w:rsidRPr="006C4941">
        <w:t xml:space="preserve">overnment and society from successful </w:t>
      </w:r>
      <w:r w:rsidR="002C5E51">
        <w:t>g</w:t>
      </w:r>
      <w:r w:rsidRPr="006C4941">
        <w:t>overnment and SME partnerships (as measured through commercialised BRII solutions</w:t>
      </w:r>
      <w:r w:rsidR="00013056">
        <w:t>)</w:t>
      </w:r>
      <w:r>
        <w:t>.</w:t>
      </w:r>
    </w:p>
    <w:p w14:paraId="6DC2EB46" w14:textId="11EECE67" w:rsidR="00B9216E" w:rsidRDefault="00F80C70" w:rsidP="007259DA">
      <w:r>
        <w:lastRenderedPageBreak/>
        <w:fldChar w:fldCharType="begin"/>
      </w:r>
      <w:r>
        <w:instrText xml:space="preserve"> REF _Ref75992522 \h </w:instrText>
      </w:r>
      <w:r>
        <w:fldChar w:fldCharType="separate"/>
      </w:r>
      <w:r w:rsidR="00610204">
        <w:t xml:space="preserve">Figure </w:t>
      </w:r>
      <w:r w:rsidR="00610204">
        <w:rPr>
          <w:noProof/>
        </w:rPr>
        <w:t>22</w:t>
      </w:r>
      <w:r>
        <w:fldChar w:fldCharType="end"/>
      </w:r>
      <w:r>
        <w:t xml:space="preserve"> summarises the CBA conceptual approach and method to quantify the impact of BRII on its dual objectives.</w:t>
      </w:r>
      <w:r w:rsidR="00F55824">
        <w:t xml:space="preserve"> Further detail on the key aspects of the CBA approach and method </w:t>
      </w:r>
      <w:r w:rsidR="008627F3">
        <w:t xml:space="preserve">for each objective </w:t>
      </w:r>
      <w:r w:rsidR="00F55824">
        <w:t>follow</w:t>
      </w:r>
      <w:r w:rsidR="008627F3">
        <w:t>.</w:t>
      </w:r>
    </w:p>
    <w:p w14:paraId="5ABA3B89" w14:textId="403B4515" w:rsidR="004260E1" w:rsidRDefault="004260E1" w:rsidP="004260E1">
      <w:pPr>
        <w:pStyle w:val="Caption"/>
      </w:pPr>
      <w:bookmarkStart w:id="98" w:name="_Ref75992522"/>
      <w:r>
        <w:t xml:space="preserve">Figure </w:t>
      </w:r>
      <w:r>
        <w:fldChar w:fldCharType="begin"/>
      </w:r>
      <w:r>
        <w:instrText xml:space="preserve"> SEQ Figure \* ARABIC </w:instrText>
      </w:r>
      <w:r>
        <w:fldChar w:fldCharType="separate"/>
      </w:r>
      <w:r w:rsidR="00870ADB">
        <w:rPr>
          <w:noProof/>
        </w:rPr>
        <w:t>22</w:t>
      </w:r>
      <w:r>
        <w:fldChar w:fldCharType="end"/>
      </w:r>
      <w:bookmarkEnd w:id="98"/>
      <w:r>
        <w:t xml:space="preserve"> | Summary of the CBA </w:t>
      </w:r>
      <w:r w:rsidR="00306B7F">
        <w:t>conceptual approach and method</w:t>
      </w:r>
    </w:p>
    <w:p w14:paraId="745E0A04" w14:textId="15052DF1" w:rsidR="00C06EFC" w:rsidRDefault="00F7196F" w:rsidP="00391723">
      <w:pPr>
        <w:spacing w:after="165" w:line="259" w:lineRule="auto"/>
      </w:pPr>
      <w:r w:rsidRPr="00F7196F">
        <w:rPr>
          <w:noProof/>
        </w:rPr>
        <w:drawing>
          <wp:inline distT="0" distB="0" distL="0" distR="0" wp14:anchorId="47CB79DA" wp14:editId="307BC6AA">
            <wp:extent cx="5670550" cy="4587240"/>
            <wp:effectExtent l="0" t="0" r="6350" b="3810"/>
            <wp:docPr id="27845" name="Picture 27845" descr="BRII Objective 1. Drive innovation and commercialisation within Australian SMEs&#10;CBA Objective 1. Quantify the benefit from the direct impact of BRII on the business performance of round one proof of concept SMEs (as measured through changes in revenue).&#10;Method. Stage 1. Design and develop a quasi-experimental control group for isolating the impact of BRII for SMEs. Stage 2. Estimate the incremental revenue attributed to the BRII to show SME performance. Stage 3. Forecast the impact of the BRII beyond Financial year nineteen and twenty to account for persistence. Stage 4. Estimate Gross Value Add (GVA) created by changes in SMEs performance. Stage 5. Adjust GVA for displacement and ‘spill over’ effects to give value added. &#10;BRII Objective 2. CBA Objective 2. Quantify the outcomes to government and society from successful Government and SME partnerships (as measured through commercialised BRII solutions)&#10;Change the nature of government procurement through sourcing innovative solutions.&#10;Method. Stage 1. Review round one solutions to determine feasibility to quantify impacts. Stage 2. Request data from SMEs and challenge agencies to quantify avoided costs, increased outputs or improved outcomes. Stage 3. Complete discrete analysis to quantify the benefits to different stakeholders from solution implementati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45" name="Picture 27845" descr="BRII Objective 1. Drive innovation and commercialisation within Australian SMEs&#10;CBA Objective 1. Quantify the benefit from the direct impact of BRII on the business performance of round one proof of concept SMEs (as measured through changes in revenue).&#10;Method. Stage 1. Design and develop a quasi-experimental control group for isolating the impact of BRII for SMEs. Stage 2. Estimate the incremental revenue attributed to the BRII to show SME performance. Stage 3. Forecast the impact of the BRII beyond Financial year nineteen and twenty to account for persistence. Stage 4. Estimate Gross Value Add (GVA) created by changes in SMEs performance. Stage 5. Adjust GVA for displacement and ‘spill over’ effects to give value added. &#10;BRII Objective 2. CBA Objective 2. Quantify the outcomes to government and society from successful Government and SME partnerships (as measured through commercialised BRII solutions)&#10;Change the nature of government procurement through sourcing innovative solutions.&#10;Method. Stage 1. Review round one solutions to determine feasibility to quantify impacts. Stage 2. Request data from SMEs and challenge agencies to quantify avoided costs, increased outputs or improved outcomes. Stage 3. Complete discrete analysis to quantify the benefits to different stakeholders from solution implementation.&#10;&#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670550" cy="4587240"/>
                    </a:xfrm>
                    <a:prstGeom prst="rect">
                      <a:avLst/>
                    </a:prstGeom>
                    <a:noFill/>
                    <a:ln>
                      <a:noFill/>
                    </a:ln>
                  </pic:spPr>
                </pic:pic>
              </a:graphicData>
            </a:graphic>
          </wp:inline>
        </w:drawing>
      </w:r>
    </w:p>
    <w:p w14:paraId="639E1C91" w14:textId="77777777" w:rsidR="008F4374" w:rsidRDefault="00304034">
      <w:pPr>
        <w:pStyle w:val="Heading3"/>
      </w:pPr>
      <w:r w:rsidRPr="00304034">
        <w:t>Quantify</w:t>
      </w:r>
      <w:r>
        <w:t>ing</w:t>
      </w:r>
      <w:r w:rsidRPr="00304034">
        <w:t xml:space="preserve"> the benefit from the direct impact of BRII on the business performance of round one proof of concept SMEs</w:t>
      </w:r>
    </w:p>
    <w:p w14:paraId="1297CA0C" w14:textId="0D5E92B1" w:rsidR="008F4374" w:rsidRDefault="008F4374" w:rsidP="008F4374">
      <w:r>
        <w:t>There were three k</w:t>
      </w:r>
      <w:r w:rsidR="00DE79B4">
        <w:t>e</w:t>
      </w:r>
      <w:r>
        <w:t>y aspects of our approach and methodology:</w:t>
      </w:r>
    </w:p>
    <w:p w14:paraId="6C9DE895" w14:textId="28B7F6F1" w:rsidR="00E20DD9" w:rsidRDefault="00C435C7">
      <w:pPr>
        <w:pStyle w:val="Bullet"/>
        <w:rPr>
          <w:rFonts w:asciiTheme="majorHAnsi" w:hAnsiTheme="majorHAnsi" w:cstheme="majorHAnsi"/>
        </w:rPr>
      </w:pPr>
      <w:r>
        <w:rPr>
          <w:rFonts w:asciiTheme="majorHAnsi" w:hAnsiTheme="majorHAnsi" w:cstheme="majorHAnsi"/>
        </w:rPr>
        <w:t>D</w:t>
      </w:r>
      <w:r w:rsidR="005D7FFD" w:rsidRPr="005D7FFD">
        <w:rPr>
          <w:rFonts w:asciiTheme="majorHAnsi" w:hAnsiTheme="majorHAnsi" w:cstheme="majorHAnsi"/>
        </w:rPr>
        <w:t>esign</w:t>
      </w:r>
      <w:r>
        <w:rPr>
          <w:rFonts w:asciiTheme="majorHAnsi" w:hAnsiTheme="majorHAnsi" w:cstheme="majorHAnsi"/>
        </w:rPr>
        <w:t xml:space="preserve">ing </w:t>
      </w:r>
      <w:r w:rsidR="005D7FFD" w:rsidRPr="005D7FFD">
        <w:rPr>
          <w:rFonts w:asciiTheme="majorHAnsi" w:hAnsiTheme="majorHAnsi" w:cstheme="majorHAnsi"/>
        </w:rPr>
        <w:t>a synthetic control group</w:t>
      </w:r>
      <w:r>
        <w:rPr>
          <w:rFonts w:asciiTheme="majorHAnsi" w:hAnsiTheme="majorHAnsi" w:cstheme="majorHAnsi"/>
        </w:rPr>
        <w:t xml:space="preserve"> through an innovative method</w:t>
      </w:r>
      <w:r w:rsidR="005D7FFD" w:rsidRPr="005D7FFD">
        <w:rPr>
          <w:rFonts w:asciiTheme="majorHAnsi" w:hAnsiTheme="majorHAnsi" w:cstheme="majorHAnsi"/>
        </w:rPr>
        <w:t>.</w:t>
      </w:r>
      <w:r w:rsidR="001A42FA">
        <w:rPr>
          <w:rFonts w:asciiTheme="majorHAnsi" w:hAnsiTheme="majorHAnsi" w:cstheme="majorHAnsi"/>
        </w:rPr>
        <w:t xml:space="preserve"> </w:t>
      </w:r>
      <w:r w:rsidR="00D000A9">
        <w:rPr>
          <w:rFonts w:asciiTheme="minorHAnsi" w:hAnsiTheme="minorHAnsi" w:cstheme="minorHAnsi"/>
        </w:rPr>
        <w:t xml:space="preserve">Underlying SME growth was accounted for with a control group designed using a combination of modelled ABS data and </w:t>
      </w:r>
      <w:r w:rsidR="001719DC">
        <w:rPr>
          <w:rFonts w:asciiTheme="minorHAnsi" w:hAnsiTheme="minorHAnsi" w:cstheme="minorHAnsi"/>
        </w:rPr>
        <w:t xml:space="preserve">a nearest neighbour </w:t>
      </w:r>
      <w:r w:rsidR="00E226CA">
        <w:rPr>
          <w:rFonts w:asciiTheme="minorHAnsi" w:hAnsiTheme="minorHAnsi" w:cstheme="minorHAnsi"/>
        </w:rPr>
        <w:t>matching method</w:t>
      </w:r>
      <w:r w:rsidR="009D7EDB">
        <w:rPr>
          <w:rStyle w:val="FootnoteReference"/>
          <w:rFonts w:asciiTheme="minorHAnsi" w:hAnsiTheme="minorHAnsi" w:cstheme="minorHAnsi"/>
        </w:rPr>
        <w:footnoteReference w:id="50"/>
      </w:r>
      <w:r w:rsidR="00E226CA">
        <w:rPr>
          <w:rFonts w:asciiTheme="minorHAnsi" w:hAnsiTheme="minorHAnsi" w:cstheme="minorHAnsi"/>
        </w:rPr>
        <w:t xml:space="preserve"> that used </w:t>
      </w:r>
      <w:r w:rsidR="00D000A9">
        <w:rPr>
          <w:rFonts w:asciiTheme="minorHAnsi" w:hAnsiTheme="minorHAnsi" w:cstheme="minorHAnsi"/>
        </w:rPr>
        <w:t>anonymised financial records from DISER’s ‘Lighthouse’ data warehouse.</w:t>
      </w:r>
    </w:p>
    <w:p w14:paraId="5A2FCDAB" w14:textId="37027274" w:rsidR="00F644AB" w:rsidRPr="00E20DD9" w:rsidRDefault="00F644AB">
      <w:pPr>
        <w:pStyle w:val="Bullet"/>
        <w:rPr>
          <w:rFonts w:asciiTheme="majorHAnsi" w:hAnsiTheme="majorHAnsi" w:cstheme="majorHAnsi"/>
        </w:rPr>
      </w:pPr>
      <w:r w:rsidRPr="006A606A">
        <w:rPr>
          <w:rFonts w:asciiTheme="majorHAnsi" w:hAnsiTheme="majorHAnsi" w:cstheme="majorHAnsi"/>
        </w:rPr>
        <w:lastRenderedPageBreak/>
        <w:t xml:space="preserve">Isolating the incremental impact of </w:t>
      </w:r>
      <w:r w:rsidR="00C220FA" w:rsidRPr="006A606A">
        <w:rPr>
          <w:rFonts w:asciiTheme="majorHAnsi" w:hAnsiTheme="majorHAnsi" w:cstheme="majorHAnsi"/>
        </w:rPr>
        <w:t>the</w:t>
      </w:r>
      <w:r w:rsidRPr="006A606A">
        <w:rPr>
          <w:rFonts w:asciiTheme="majorHAnsi" w:hAnsiTheme="majorHAnsi" w:cstheme="majorHAnsi"/>
        </w:rPr>
        <w:t xml:space="preserve"> BRII </w:t>
      </w:r>
      <w:r w:rsidR="00CC1B19" w:rsidRPr="006A606A">
        <w:rPr>
          <w:rFonts w:asciiTheme="majorHAnsi" w:hAnsiTheme="majorHAnsi" w:cstheme="majorHAnsi"/>
        </w:rPr>
        <w:t xml:space="preserve">on SME performance </w:t>
      </w:r>
      <w:r w:rsidR="002939F5">
        <w:rPr>
          <w:rFonts w:asciiTheme="majorHAnsi" w:hAnsiTheme="majorHAnsi" w:cstheme="majorHAnsi"/>
        </w:rPr>
        <w:t>between FY16/17 and FY 2</w:t>
      </w:r>
      <w:r w:rsidR="00467991">
        <w:rPr>
          <w:rFonts w:asciiTheme="majorHAnsi" w:hAnsiTheme="majorHAnsi" w:cstheme="majorHAnsi"/>
        </w:rPr>
        <w:t xml:space="preserve">4/25 </w:t>
      </w:r>
      <w:r w:rsidRPr="006A606A">
        <w:rPr>
          <w:rFonts w:asciiTheme="majorHAnsi" w:hAnsiTheme="majorHAnsi" w:cstheme="majorHAnsi"/>
        </w:rPr>
        <w:t>through a combination of econometric and self-assessed estimates.</w:t>
      </w:r>
      <w:r>
        <w:rPr>
          <w:rFonts w:asciiTheme="majorHAnsi" w:hAnsiTheme="majorHAnsi" w:cstheme="majorHAnsi"/>
        </w:rPr>
        <w:t xml:space="preserve"> </w:t>
      </w:r>
      <w:r w:rsidR="00C220FA">
        <w:rPr>
          <w:rFonts w:asciiTheme="minorHAnsi" w:hAnsiTheme="minorHAnsi" w:cstheme="minorHAnsi"/>
        </w:rPr>
        <w:t>Econometric analysis demonstrated the performance of SMEs resulting from the BRII over and above</w:t>
      </w:r>
      <w:r w:rsidR="00CC1B19">
        <w:rPr>
          <w:rFonts w:asciiTheme="minorHAnsi" w:hAnsiTheme="minorHAnsi" w:cstheme="minorHAnsi"/>
        </w:rPr>
        <w:t xml:space="preserve"> </w:t>
      </w:r>
      <w:r w:rsidR="00C220FA">
        <w:rPr>
          <w:rFonts w:asciiTheme="minorHAnsi" w:hAnsiTheme="minorHAnsi" w:cstheme="minorHAnsi"/>
        </w:rPr>
        <w:t>what would otherwise be expected. Persistence of this impact into the future is also accounted for</w:t>
      </w:r>
      <w:r w:rsidR="00FA56E8">
        <w:rPr>
          <w:rFonts w:asciiTheme="minorHAnsi" w:hAnsiTheme="minorHAnsi" w:cstheme="minorHAnsi"/>
        </w:rPr>
        <w:t xml:space="preserve"> through SME self-reported assessments</w:t>
      </w:r>
      <w:r w:rsidR="00C220FA">
        <w:rPr>
          <w:rFonts w:asciiTheme="minorHAnsi" w:hAnsiTheme="minorHAnsi" w:cstheme="minorHAnsi"/>
        </w:rPr>
        <w:t>.</w:t>
      </w:r>
    </w:p>
    <w:p w14:paraId="7ACE856E" w14:textId="71909CB2" w:rsidR="00E20DD9" w:rsidRPr="00E20DD9" w:rsidRDefault="00E20DD9">
      <w:pPr>
        <w:pStyle w:val="Bullet"/>
        <w:rPr>
          <w:rFonts w:asciiTheme="majorHAnsi" w:hAnsiTheme="majorHAnsi" w:cstheme="majorHAnsi"/>
        </w:rPr>
      </w:pPr>
      <w:r w:rsidRPr="006A606A">
        <w:rPr>
          <w:rFonts w:asciiTheme="majorHAnsi" w:hAnsiTheme="majorHAnsi" w:cstheme="minorHAnsi"/>
        </w:rPr>
        <w:t>Converting increased SME performance into benefits to society</w:t>
      </w:r>
      <w:r w:rsidR="009C075A">
        <w:rPr>
          <w:rFonts w:asciiTheme="majorHAnsi" w:hAnsiTheme="majorHAnsi" w:cstheme="minorHAnsi"/>
        </w:rPr>
        <w:t xml:space="preserve"> through </w:t>
      </w:r>
      <w:r w:rsidR="002A4466">
        <w:rPr>
          <w:rFonts w:asciiTheme="majorHAnsi" w:hAnsiTheme="majorHAnsi" w:cstheme="minorHAnsi"/>
        </w:rPr>
        <w:t>GVA</w:t>
      </w:r>
      <w:r w:rsidR="009C075A">
        <w:rPr>
          <w:rFonts w:asciiTheme="majorHAnsi" w:hAnsiTheme="majorHAnsi" w:cstheme="minorHAnsi"/>
        </w:rPr>
        <w:t xml:space="preserve"> estimates</w:t>
      </w:r>
      <w:r w:rsidRPr="006A606A">
        <w:rPr>
          <w:rFonts w:asciiTheme="majorHAnsi" w:hAnsiTheme="majorHAnsi" w:cstheme="minorHAnsi"/>
        </w:rPr>
        <w:t xml:space="preserve">. </w:t>
      </w:r>
      <w:r>
        <w:rPr>
          <w:rFonts w:asciiTheme="minorHAnsi" w:hAnsiTheme="minorHAnsi" w:cstheme="minorHAnsi"/>
        </w:rPr>
        <w:t xml:space="preserve">The improved performance of </w:t>
      </w:r>
      <w:r w:rsidR="00A830B8">
        <w:rPr>
          <w:rFonts w:asciiTheme="minorHAnsi" w:hAnsiTheme="minorHAnsi" w:cstheme="minorHAnsi"/>
        </w:rPr>
        <w:t>the</w:t>
      </w:r>
      <w:r>
        <w:rPr>
          <w:rFonts w:asciiTheme="minorHAnsi" w:hAnsiTheme="minorHAnsi" w:cstheme="minorHAnsi"/>
        </w:rPr>
        <w:t xml:space="preserve"> BRII SMEs</w:t>
      </w:r>
      <w:r w:rsidR="00644ACB">
        <w:rPr>
          <w:rFonts w:asciiTheme="minorHAnsi" w:hAnsiTheme="minorHAnsi" w:cstheme="minorHAnsi"/>
        </w:rPr>
        <w:t xml:space="preserve"> results in incremental revenue and </w:t>
      </w:r>
      <w:r w:rsidR="00D149E7">
        <w:rPr>
          <w:rFonts w:asciiTheme="minorHAnsi" w:hAnsiTheme="minorHAnsi" w:cstheme="minorHAnsi"/>
        </w:rPr>
        <w:t>gross</w:t>
      </w:r>
      <w:r w:rsidR="00CC40DE">
        <w:rPr>
          <w:rFonts w:asciiTheme="minorHAnsi" w:hAnsiTheme="minorHAnsi" w:cstheme="minorHAnsi"/>
        </w:rPr>
        <w:t xml:space="preserve"> </w:t>
      </w:r>
      <w:r w:rsidR="00644ACB">
        <w:rPr>
          <w:rFonts w:asciiTheme="minorHAnsi" w:hAnsiTheme="minorHAnsi" w:cstheme="minorHAnsi"/>
        </w:rPr>
        <w:t>value add for each firm</w:t>
      </w:r>
      <w:r w:rsidR="00CC40DE">
        <w:rPr>
          <w:rFonts w:asciiTheme="minorHAnsi" w:hAnsiTheme="minorHAnsi" w:cstheme="minorHAnsi"/>
        </w:rPr>
        <w:t xml:space="preserve">. This improved performance also </w:t>
      </w:r>
      <w:r>
        <w:rPr>
          <w:rFonts w:asciiTheme="minorHAnsi" w:hAnsiTheme="minorHAnsi" w:cstheme="minorHAnsi"/>
        </w:rPr>
        <w:t>drives additional value in the Australian economy</w:t>
      </w:r>
      <w:r w:rsidR="00233EBC">
        <w:rPr>
          <w:rFonts w:asciiTheme="minorHAnsi" w:hAnsiTheme="minorHAnsi" w:cstheme="minorHAnsi"/>
        </w:rPr>
        <w:t xml:space="preserve"> (i.e. second round benefits)</w:t>
      </w:r>
      <w:r w:rsidR="006A606A">
        <w:rPr>
          <w:rFonts w:asciiTheme="minorHAnsi" w:hAnsiTheme="minorHAnsi" w:cstheme="minorHAnsi"/>
        </w:rPr>
        <w:t>,</w:t>
      </w:r>
      <w:r>
        <w:rPr>
          <w:rFonts w:asciiTheme="minorHAnsi" w:hAnsiTheme="minorHAnsi" w:cstheme="minorHAnsi"/>
        </w:rPr>
        <w:t xml:space="preserve"> after account</w:t>
      </w:r>
      <w:r w:rsidR="006A606A">
        <w:rPr>
          <w:rFonts w:asciiTheme="minorHAnsi" w:hAnsiTheme="minorHAnsi" w:cstheme="minorHAnsi"/>
        </w:rPr>
        <w:t>ing</w:t>
      </w:r>
      <w:r>
        <w:rPr>
          <w:rFonts w:asciiTheme="minorHAnsi" w:hAnsiTheme="minorHAnsi" w:cstheme="minorHAnsi"/>
        </w:rPr>
        <w:t xml:space="preserve"> for</w:t>
      </w:r>
      <w:r w:rsidR="006A606A">
        <w:rPr>
          <w:rFonts w:asciiTheme="minorHAnsi" w:hAnsiTheme="minorHAnsi" w:cstheme="minorHAnsi"/>
        </w:rPr>
        <w:t xml:space="preserve"> displacement and ‘</w:t>
      </w:r>
      <w:r w:rsidR="00405CA9">
        <w:rPr>
          <w:rFonts w:asciiTheme="minorHAnsi" w:hAnsiTheme="minorHAnsi" w:cstheme="minorHAnsi"/>
        </w:rPr>
        <w:t>spillovers</w:t>
      </w:r>
      <w:r w:rsidR="006A606A">
        <w:rPr>
          <w:rFonts w:asciiTheme="minorHAnsi" w:hAnsiTheme="minorHAnsi" w:cstheme="minorHAnsi"/>
        </w:rPr>
        <w:t xml:space="preserve">. </w:t>
      </w:r>
      <w:r w:rsidR="00576FA2">
        <w:rPr>
          <w:rFonts w:asciiTheme="minorHAnsi" w:hAnsiTheme="minorHAnsi" w:cstheme="minorHAnsi"/>
        </w:rPr>
        <w:t>V</w:t>
      </w:r>
      <w:r w:rsidR="006A606A">
        <w:t>alue added</w:t>
      </w:r>
      <w:r w:rsidR="00576FA2">
        <w:t xml:space="preserve"> therefore</w:t>
      </w:r>
      <w:r w:rsidR="00233EBC">
        <w:t xml:space="preserve">, which is the combination of both, </w:t>
      </w:r>
      <w:r w:rsidR="009C075A">
        <w:t>provide</w:t>
      </w:r>
      <w:r w:rsidR="00233EBC">
        <w:t>s</w:t>
      </w:r>
      <w:r w:rsidR="009C075A">
        <w:t xml:space="preserve"> a more holistic </w:t>
      </w:r>
      <w:r w:rsidR="006A606A">
        <w:t xml:space="preserve">measure of benefit created than </w:t>
      </w:r>
      <w:r w:rsidR="009C075A">
        <w:t xml:space="preserve">the use of </w:t>
      </w:r>
      <w:r w:rsidR="006A606A">
        <w:t>incremental revenue</w:t>
      </w:r>
      <w:r w:rsidR="009C075A">
        <w:t xml:space="preserve"> growth alone</w:t>
      </w:r>
      <w:r w:rsidR="00C435C7">
        <w:t>.</w:t>
      </w:r>
    </w:p>
    <w:p w14:paraId="5785EFE2" w14:textId="1D2115EB" w:rsidR="00266492" w:rsidRDefault="00473CE8">
      <w:pPr>
        <w:pStyle w:val="Heading3"/>
      </w:pPr>
      <w:r>
        <w:t>Q</w:t>
      </w:r>
      <w:r w:rsidRPr="00473CE8">
        <w:t>uantify</w:t>
      </w:r>
      <w:r>
        <w:t>ing</w:t>
      </w:r>
      <w:r w:rsidRPr="00473CE8">
        <w:t xml:space="preserve"> the outcomes to government and society from </w:t>
      </w:r>
      <w:r w:rsidR="0046682E">
        <w:t xml:space="preserve">successful </w:t>
      </w:r>
      <w:r w:rsidR="00A830B8">
        <w:t>g</w:t>
      </w:r>
      <w:r w:rsidRPr="00473CE8">
        <w:t xml:space="preserve">overnment </w:t>
      </w:r>
      <w:r w:rsidR="007B0700">
        <w:t xml:space="preserve">and </w:t>
      </w:r>
      <w:r w:rsidRPr="00473CE8">
        <w:t xml:space="preserve">SME </w:t>
      </w:r>
      <w:r w:rsidR="007B0700">
        <w:t>partnerships</w:t>
      </w:r>
    </w:p>
    <w:p w14:paraId="6B3362A2" w14:textId="129E57E2" w:rsidR="009215E8" w:rsidRDefault="009215E8" w:rsidP="00266492">
      <w:r>
        <w:t xml:space="preserve">There were </w:t>
      </w:r>
      <w:r w:rsidR="003A6B44">
        <w:t>two</w:t>
      </w:r>
      <w:r>
        <w:t xml:space="preserve"> key aspects of our approach and methodology:</w:t>
      </w:r>
    </w:p>
    <w:p w14:paraId="1A45179C" w14:textId="60814947" w:rsidR="005E0582" w:rsidRDefault="00F3711A">
      <w:pPr>
        <w:pStyle w:val="Bullet"/>
      </w:pPr>
      <w:r>
        <w:rPr>
          <w:rFonts w:asciiTheme="majorHAnsi" w:hAnsiTheme="majorHAnsi"/>
        </w:rPr>
        <w:t>Taking a case study analysis approach to e</w:t>
      </w:r>
      <w:r w:rsidR="004E150C" w:rsidRPr="00BD634B">
        <w:rPr>
          <w:rFonts w:asciiTheme="majorHAnsi" w:hAnsiTheme="majorHAnsi"/>
        </w:rPr>
        <w:t>xplor</w:t>
      </w:r>
      <w:r>
        <w:rPr>
          <w:rFonts w:asciiTheme="majorHAnsi" w:hAnsiTheme="majorHAnsi"/>
        </w:rPr>
        <w:t>e</w:t>
      </w:r>
      <w:r w:rsidR="006A77CD">
        <w:rPr>
          <w:rFonts w:asciiTheme="majorHAnsi" w:hAnsiTheme="majorHAnsi"/>
        </w:rPr>
        <w:t xml:space="preserve"> the </w:t>
      </w:r>
      <w:r w:rsidR="004E150C" w:rsidRPr="00BD634B">
        <w:rPr>
          <w:rFonts w:asciiTheme="majorHAnsi" w:hAnsiTheme="majorHAnsi"/>
        </w:rPr>
        <w:t xml:space="preserve">BRII solution </w:t>
      </w:r>
      <w:r w:rsidR="00970DBA" w:rsidRPr="00BD634B">
        <w:rPr>
          <w:rFonts w:asciiTheme="majorHAnsi" w:hAnsiTheme="majorHAnsi"/>
        </w:rPr>
        <w:t>outcomes</w:t>
      </w:r>
      <w:r w:rsidR="004E150C" w:rsidRPr="00BD634B">
        <w:rPr>
          <w:rFonts w:asciiTheme="majorHAnsi" w:hAnsiTheme="majorHAnsi"/>
        </w:rPr>
        <w:t xml:space="preserve"> in </w:t>
      </w:r>
      <w:r w:rsidR="008B3AB9">
        <w:rPr>
          <w:rFonts w:asciiTheme="majorHAnsi" w:hAnsiTheme="majorHAnsi"/>
        </w:rPr>
        <w:t>the</w:t>
      </w:r>
      <w:r>
        <w:rPr>
          <w:rFonts w:asciiTheme="majorHAnsi" w:hAnsiTheme="majorHAnsi"/>
        </w:rPr>
        <w:t>ir</w:t>
      </w:r>
      <w:r w:rsidR="008B3AB9">
        <w:rPr>
          <w:rFonts w:asciiTheme="majorHAnsi" w:hAnsiTheme="majorHAnsi"/>
        </w:rPr>
        <w:t xml:space="preserve"> </w:t>
      </w:r>
      <w:r w:rsidR="004E150C" w:rsidRPr="00BD634B">
        <w:rPr>
          <w:rFonts w:asciiTheme="majorHAnsi" w:hAnsiTheme="majorHAnsi"/>
        </w:rPr>
        <w:t>early stages of implementation</w:t>
      </w:r>
      <w:r w:rsidR="004E150C">
        <w:t>.</w:t>
      </w:r>
      <w:r w:rsidR="00B53440">
        <w:t xml:space="preserve"> </w:t>
      </w:r>
      <w:r>
        <w:t>A c</w:t>
      </w:r>
      <w:r w:rsidR="00B53440">
        <w:t xml:space="preserve">ase </w:t>
      </w:r>
      <w:r w:rsidR="000A5602">
        <w:t xml:space="preserve">study </w:t>
      </w:r>
      <w:r w:rsidR="00B53440">
        <w:t xml:space="preserve">analysis of the BRII solutions </w:t>
      </w:r>
      <w:r>
        <w:t xml:space="preserve">allowed for the </w:t>
      </w:r>
      <w:r w:rsidR="00EC325D">
        <w:t xml:space="preserve">assessment of the unique </w:t>
      </w:r>
      <w:r w:rsidR="00B53440">
        <w:t xml:space="preserve">mechanisms </w:t>
      </w:r>
      <w:r w:rsidR="00EC325D">
        <w:t xml:space="preserve">through </w:t>
      </w:r>
      <w:r w:rsidR="00B53440">
        <w:t xml:space="preserve">which </w:t>
      </w:r>
      <w:r w:rsidR="00EC325D">
        <w:t xml:space="preserve">each solution </w:t>
      </w:r>
      <w:r w:rsidR="001239E3">
        <w:t>address</w:t>
      </w:r>
      <w:r w:rsidR="00EC325D">
        <w:t>es</w:t>
      </w:r>
      <w:r w:rsidR="001239E3">
        <w:t xml:space="preserve"> </w:t>
      </w:r>
      <w:r w:rsidR="00EC325D">
        <w:t xml:space="preserve">its </w:t>
      </w:r>
      <w:r w:rsidR="000A5602">
        <w:t>challenge</w:t>
      </w:r>
      <w:r w:rsidR="00926F4C">
        <w:t xml:space="preserve">. </w:t>
      </w:r>
      <w:r w:rsidR="000A5602">
        <w:t>The case study analysis also allowed for a deep dive into</w:t>
      </w:r>
      <w:r w:rsidR="00D045CF">
        <w:t xml:space="preserve"> three</w:t>
      </w:r>
      <w:r w:rsidR="000A5602">
        <w:t xml:space="preserve"> select solutions to quantify e</w:t>
      </w:r>
      <w:r w:rsidR="00BD634B">
        <w:t>merging o</w:t>
      </w:r>
      <w:r w:rsidR="00970DBA">
        <w:t xml:space="preserve">utcomes </w:t>
      </w:r>
      <w:r w:rsidR="00BD634B">
        <w:t>to both government and society more broadly d</w:t>
      </w:r>
      <w:r w:rsidR="00926F4C">
        <w:t xml:space="preserve">espite the BRII round one solutions being in </w:t>
      </w:r>
      <w:r w:rsidR="000A5602">
        <w:t xml:space="preserve">the </w:t>
      </w:r>
      <w:r w:rsidR="00926F4C">
        <w:t>early stages of commercialisation</w:t>
      </w:r>
      <w:r w:rsidR="00BD634B">
        <w:t>.</w:t>
      </w:r>
    </w:p>
    <w:p w14:paraId="11F7ADA2" w14:textId="1F194E6E" w:rsidR="00C42076" w:rsidRPr="00BD634B" w:rsidRDefault="008B3AB9">
      <w:pPr>
        <w:pStyle w:val="Bullet"/>
        <w:rPr>
          <w:rFonts w:asciiTheme="minorHAnsi" w:hAnsiTheme="minorHAnsi" w:cstheme="minorHAnsi"/>
        </w:rPr>
      </w:pPr>
      <w:r>
        <w:rPr>
          <w:rFonts w:asciiTheme="majorHAnsi" w:hAnsiTheme="majorHAnsi"/>
        </w:rPr>
        <w:t>U</w:t>
      </w:r>
      <w:r w:rsidR="001A5F11" w:rsidRPr="001A5F11">
        <w:rPr>
          <w:rFonts w:asciiTheme="majorHAnsi" w:hAnsiTheme="majorHAnsi"/>
        </w:rPr>
        <w:t xml:space="preserve">sing </w:t>
      </w:r>
      <w:r w:rsidR="00254D4B" w:rsidRPr="001A5F11">
        <w:rPr>
          <w:rFonts w:asciiTheme="majorHAnsi" w:hAnsiTheme="majorHAnsi"/>
        </w:rPr>
        <w:t xml:space="preserve">broad estimates </w:t>
      </w:r>
      <w:r w:rsidR="001A5F11" w:rsidRPr="001A5F11">
        <w:rPr>
          <w:rFonts w:asciiTheme="majorHAnsi" w:hAnsiTheme="majorHAnsi"/>
        </w:rPr>
        <w:t xml:space="preserve">from </w:t>
      </w:r>
      <w:r w:rsidR="00254D4B" w:rsidRPr="001A5F11">
        <w:rPr>
          <w:rFonts w:asciiTheme="majorHAnsi" w:hAnsiTheme="majorHAnsi"/>
        </w:rPr>
        <w:t xml:space="preserve">both government and SME </w:t>
      </w:r>
      <w:r w:rsidR="001A5F11" w:rsidRPr="001A5F11">
        <w:rPr>
          <w:rFonts w:asciiTheme="majorHAnsi" w:hAnsiTheme="majorHAnsi"/>
        </w:rPr>
        <w:t>interviews</w:t>
      </w:r>
      <w:r>
        <w:rPr>
          <w:rFonts w:asciiTheme="majorHAnsi" w:hAnsiTheme="majorHAnsi"/>
        </w:rPr>
        <w:t xml:space="preserve"> to complete h</w:t>
      </w:r>
      <w:r w:rsidRPr="008B3AB9">
        <w:rPr>
          <w:rFonts w:asciiTheme="majorHAnsi" w:hAnsiTheme="majorHAnsi"/>
        </w:rPr>
        <w:t>igh-level modelling of outcomes</w:t>
      </w:r>
      <w:r w:rsidR="001A5F11" w:rsidRPr="001A5F11">
        <w:rPr>
          <w:rFonts w:asciiTheme="majorHAnsi" w:hAnsiTheme="majorHAnsi"/>
        </w:rPr>
        <w:t>.</w:t>
      </w:r>
      <w:r w:rsidR="00254D4B" w:rsidRPr="001A5F11">
        <w:rPr>
          <w:rFonts w:asciiTheme="majorHAnsi" w:hAnsiTheme="majorHAnsi"/>
        </w:rPr>
        <w:t xml:space="preserve"> </w:t>
      </w:r>
      <w:r w:rsidR="00A06725" w:rsidRPr="00BD634B">
        <w:rPr>
          <w:rFonts w:asciiTheme="minorHAnsi" w:hAnsiTheme="minorHAnsi" w:cstheme="minorHAnsi"/>
        </w:rPr>
        <w:t xml:space="preserve">Preliminary and anecdotal data was captured about </w:t>
      </w:r>
      <w:r w:rsidR="0087230C" w:rsidRPr="00BD634B">
        <w:rPr>
          <w:rFonts w:asciiTheme="minorHAnsi" w:hAnsiTheme="minorHAnsi" w:cstheme="minorHAnsi"/>
        </w:rPr>
        <w:t xml:space="preserve">BRII solution </w:t>
      </w:r>
      <w:r w:rsidR="00A06725" w:rsidRPr="00BD634B">
        <w:rPr>
          <w:rFonts w:asciiTheme="minorHAnsi" w:hAnsiTheme="minorHAnsi" w:cstheme="minorHAnsi"/>
        </w:rPr>
        <w:t>implementation t</w:t>
      </w:r>
      <w:r w:rsidR="0087230C" w:rsidRPr="00BD634B">
        <w:rPr>
          <w:rFonts w:asciiTheme="minorHAnsi" w:hAnsiTheme="minorHAnsi" w:cstheme="minorHAnsi"/>
        </w:rPr>
        <w:t xml:space="preserve">hrough </w:t>
      </w:r>
      <w:r w:rsidR="00A06725" w:rsidRPr="00BD634B">
        <w:rPr>
          <w:rFonts w:asciiTheme="minorHAnsi" w:hAnsiTheme="minorHAnsi" w:cstheme="minorHAnsi"/>
        </w:rPr>
        <w:t>consultation</w:t>
      </w:r>
      <w:r w:rsidR="0087230C" w:rsidRPr="00BD634B">
        <w:rPr>
          <w:rFonts w:asciiTheme="minorHAnsi" w:hAnsiTheme="minorHAnsi" w:cstheme="minorHAnsi"/>
        </w:rPr>
        <w:t xml:space="preserve"> with solution designers and users</w:t>
      </w:r>
      <w:r w:rsidR="00126146" w:rsidRPr="00BD634B">
        <w:rPr>
          <w:rFonts w:asciiTheme="minorHAnsi" w:hAnsiTheme="minorHAnsi" w:cstheme="minorHAnsi"/>
        </w:rPr>
        <w:t xml:space="preserve">. </w:t>
      </w:r>
      <w:r w:rsidR="005E0582" w:rsidRPr="00BD634B">
        <w:rPr>
          <w:rFonts w:asciiTheme="minorHAnsi" w:hAnsiTheme="minorHAnsi" w:cstheme="minorHAnsi"/>
        </w:rPr>
        <w:t>Evidence of c</w:t>
      </w:r>
      <w:r w:rsidR="00C4313B" w:rsidRPr="00BD634B">
        <w:rPr>
          <w:rFonts w:asciiTheme="minorHAnsi" w:hAnsiTheme="minorHAnsi" w:cstheme="minorHAnsi"/>
        </w:rPr>
        <w:t>hanges to user i</w:t>
      </w:r>
      <w:r w:rsidR="00126146" w:rsidRPr="00BD634B">
        <w:rPr>
          <w:rFonts w:asciiTheme="minorHAnsi" w:hAnsiTheme="minorHAnsi" w:cstheme="minorHAnsi"/>
        </w:rPr>
        <w:t>n</w:t>
      </w:r>
      <w:r w:rsidR="005E0582" w:rsidRPr="00BD634B">
        <w:rPr>
          <w:rFonts w:asciiTheme="minorHAnsi" w:hAnsiTheme="minorHAnsi" w:cstheme="minorHAnsi"/>
        </w:rPr>
        <w:t>p</w:t>
      </w:r>
      <w:r w:rsidR="00126146" w:rsidRPr="00BD634B">
        <w:rPr>
          <w:rFonts w:asciiTheme="minorHAnsi" w:hAnsiTheme="minorHAnsi" w:cstheme="minorHAnsi"/>
        </w:rPr>
        <w:t xml:space="preserve">uts and </w:t>
      </w:r>
      <w:r w:rsidR="00C4313B" w:rsidRPr="00BD634B">
        <w:rPr>
          <w:rFonts w:asciiTheme="minorHAnsi" w:hAnsiTheme="minorHAnsi" w:cstheme="minorHAnsi"/>
        </w:rPr>
        <w:t>o</w:t>
      </w:r>
      <w:r w:rsidR="00126146" w:rsidRPr="00BD634B">
        <w:rPr>
          <w:rFonts w:asciiTheme="minorHAnsi" w:hAnsiTheme="minorHAnsi" w:cstheme="minorHAnsi"/>
        </w:rPr>
        <w:t xml:space="preserve">utputs </w:t>
      </w:r>
      <w:r w:rsidRPr="00BD634B">
        <w:rPr>
          <w:rFonts w:asciiTheme="minorHAnsi" w:hAnsiTheme="minorHAnsi" w:cstheme="minorHAnsi"/>
        </w:rPr>
        <w:t>because of</w:t>
      </w:r>
      <w:r w:rsidR="00126146" w:rsidRPr="00BD634B">
        <w:rPr>
          <w:rFonts w:asciiTheme="minorHAnsi" w:hAnsiTheme="minorHAnsi" w:cstheme="minorHAnsi"/>
        </w:rPr>
        <w:t xml:space="preserve"> solution implementation </w:t>
      </w:r>
      <w:r w:rsidR="005E0582" w:rsidRPr="00BD634B">
        <w:rPr>
          <w:rFonts w:asciiTheme="minorHAnsi" w:hAnsiTheme="minorHAnsi" w:cstheme="minorHAnsi"/>
        </w:rPr>
        <w:t xml:space="preserve">then </w:t>
      </w:r>
      <w:r w:rsidR="00C4313B" w:rsidRPr="00BD634B">
        <w:rPr>
          <w:rFonts w:asciiTheme="minorHAnsi" w:hAnsiTheme="minorHAnsi" w:cstheme="minorHAnsi"/>
        </w:rPr>
        <w:t>inform</w:t>
      </w:r>
      <w:r>
        <w:rPr>
          <w:rFonts w:asciiTheme="minorHAnsi" w:hAnsiTheme="minorHAnsi" w:cstheme="minorHAnsi"/>
        </w:rPr>
        <w:t>ed</w:t>
      </w:r>
      <w:r w:rsidR="00C4313B" w:rsidRPr="00BD634B">
        <w:rPr>
          <w:rFonts w:asciiTheme="minorHAnsi" w:hAnsiTheme="minorHAnsi" w:cstheme="minorHAnsi"/>
        </w:rPr>
        <w:t xml:space="preserve"> a high-level assessment of the outcomes</w:t>
      </w:r>
      <w:r w:rsidR="00874E28">
        <w:rPr>
          <w:rFonts w:asciiTheme="minorHAnsi" w:hAnsiTheme="minorHAnsi" w:cstheme="minorHAnsi"/>
        </w:rPr>
        <w:t xml:space="preserve"> under certain scenarios (e.g. levels of solution uptake by users).</w:t>
      </w:r>
    </w:p>
    <w:p w14:paraId="1F6EB03A" w14:textId="77777777" w:rsidR="00697C4A" w:rsidRPr="002A1A53" w:rsidRDefault="00697C4A">
      <w:pPr>
        <w:pStyle w:val="Heading3"/>
        <w:rPr>
          <w:rFonts w:eastAsiaTheme="minorHAnsi"/>
        </w:rPr>
      </w:pPr>
      <w:bookmarkStart w:id="99" w:name="_Ref75899856"/>
      <w:bookmarkStart w:id="100" w:name="_Ref75899868"/>
      <w:r>
        <w:rPr>
          <w:rFonts w:eastAsiaTheme="minorHAnsi"/>
        </w:rPr>
        <w:t xml:space="preserve">This CBA </w:t>
      </w:r>
      <w:r w:rsidRPr="005223A4">
        <w:rPr>
          <w:rFonts w:eastAsiaTheme="minorHAnsi"/>
        </w:rPr>
        <w:t xml:space="preserve">provides a foundation </w:t>
      </w:r>
      <w:r>
        <w:rPr>
          <w:rFonts w:eastAsiaTheme="minorHAnsi"/>
        </w:rPr>
        <w:t xml:space="preserve">to </w:t>
      </w:r>
      <w:r w:rsidRPr="005223A4">
        <w:rPr>
          <w:rFonts w:eastAsiaTheme="minorHAnsi"/>
        </w:rPr>
        <w:t xml:space="preserve">track and demonstrate the impact of </w:t>
      </w:r>
      <w:r>
        <w:rPr>
          <w:rFonts w:eastAsiaTheme="minorHAnsi"/>
        </w:rPr>
        <w:t>the</w:t>
      </w:r>
      <w:r w:rsidRPr="005223A4">
        <w:rPr>
          <w:rFonts w:eastAsiaTheme="minorHAnsi"/>
        </w:rPr>
        <w:t xml:space="preserve"> BRII over time</w:t>
      </w:r>
      <w:bookmarkEnd w:id="99"/>
      <w:bookmarkEnd w:id="100"/>
    </w:p>
    <w:p w14:paraId="746B524C" w14:textId="13459A55" w:rsidR="00697C4A" w:rsidRDefault="00697C4A" w:rsidP="00697C4A">
      <w:r>
        <w:t xml:space="preserve">There is an opportunity to extend the above methodology so that an increasingly robust evidence base for the costs and benefits of the BRII can be developed over time. The BRII policy and program teams could work closely with the economics experts within the </w:t>
      </w:r>
      <w:r w:rsidRPr="00365C6F">
        <w:t>Evaluation and Research Branch</w:t>
      </w:r>
      <w:r w:rsidR="005B0532">
        <w:t xml:space="preserve"> of DISER</w:t>
      </w:r>
      <w:r>
        <w:t xml:space="preserve"> to engage challenge agencies and SMEs to collect the right data to </w:t>
      </w:r>
      <w:r>
        <w:lastRenderedPageBreak/>
        <w:t>support the CBA model. It is noted that a CBA tool has been submitted as part of this evaluation to enable the ongoing assessment of impact.</w:t>
      </w:r>
      <w:r w:rsidR="00066356">
        <w:t xml:space="preserve"> More detailed recommendations are provided in </w:t>
      </w:r>
      <w:r w:rsidR="000673BF">
        <w:t>Section</w:t>
      </w:r>
      <w:r w:rsidR="00066356">
        <w:t xml:space="preserve"> </w:t>
      </w:r>
      <w:r w:rsidR="00066356">
        <w:fldChar w:fldCharType="begin"/>
      </w:r>
      <w:r w:rsidR="00066356">
        <w:instrText xml:space="preserve"> REF _Ref75900909 \n \h </w:instrText>
      </w:r>
      <w:r w:rsidR="00066356">
        <w:fldChar w:fldCharType="separate"/>
      </w:r>
      <w:r w:rsidR="00AE607F">
        <w:t>7.4</w:t>
      </w:r>
      <w:r w:rsidR="00066356">
        <w:fldChar w:fldCharType="end"/>
      </w:r>
      <w:r w:rsidR="00066356">
        <w:t>.</w:t>
      </w:r>
    </w:p>
    <w:p w14:paraId="7C640EF6" w14:textId="0D3E19FA" w:rsidR="007643BF" w:rsidRDefault="0098167B">
      <w:pPr>
        <w:pStyle w:val="Heading2"/>
        <w:rPr>
          <w:rFonts w:eastAsiaTheme="minorHAnsi"/>
        </w:rPr>
      </w:pPr>
      <w:bookmarkStart w:id="101" w:name="_Ref76035852"/>
      <w:bookmarkStart w:id="102" w:name="_Ref76043060"/>
      <w:bookmarkStart w:id="103" w:name="_Ref76043077"/>
      <w:bookmarkStart w:id="104" w:name="_Toc124435156"/>
      <w:r>
        <w:rPr>
          <w:rFonts w:eastAsiaTheme="minorHAnsi"/>
        </w:rPr>
        <w:t xml:space="preserve">Improved business performance was the driver of total benefits with </w:t>
      </w:r>
      <w:r w:rsidR="00FE289B">
        <w:rPr>
          <w:rFonts w:eastAsiaTheme="minorHAnsi"/>
        </w:rPr>
        <w:t>a small contribution from the BRII solutions</w:t>
      </w:r>
      <w:bookmarkEnd w:id="101"/>
      <w:bookmarkEnd w:id="102"/>
      <w:bookmarkEnd w:id="103"/>
      <w:bookmarkEnd w:id="104"/>
    </w:p>
    <w:p w14:paraId="259EF332" w14:textId="5191CD99" w:rsidR="007643BF" w:rsidRPr="00386D4A" w:rsidRDefault="007643BF" w:rsidP="00EA4234">
      <w:pPr>
        <w:pStyle w:val="Heading3"/>
        <w:rPr>
          <w:rFonts w:eastAsiaTheme="minorHAnsi"/>
        </w:rPr>
      </w:pPr>
      <w:r>
        <w:rPr>
          <w:rFonts w:eastAsiaTheme="minorHAnsi"/>
        </w:rPr>
        <w:t xml:space="preserve">The </w:t>
      </w:r>
      <w:r w:rsidRPr="00386D4A">
        <w:rPr>
          <w:rFonts w:eastAsiaTheme="minorHAnsi"/>
        </w:rPr>
        <w:t>BRII is estimated to provide a total of $</w:t>
      </w:r>
      <w:r w:rsidR="009C7D77">
        <w:rPr>
          <w:rFonts w:eastAsiaTheme="minorHAnsi"/>
        </w:rPr>
        <w:t>26</w:t>
      </w:r>
      <w:r w:rsidR="00D97BA4">
        <w:rPr>
          <w:rFonts w:eastAsiaTheme="minorHAnsi"/>
        </w:rPr>
        <w:t>.8</w:t>
      </w:r>
      <w:r w:rsidRPr="00386D4A">
        <w:rPr>
          <w:rFonts w:eastAsiaTheme="minorHAnsi"/>
        </w:rPr>
        <w:t xml:space="preserve"> million in benefits</w:t>
      </w:r>
      <w:r w:rsidRPr="00386D4A">
        <w:t xml:space="preserve"> over the period FY</w:t>
      </w:r>
      <w:r w:rsidR="003B4435">
        <w:t>16/</w:t>
      </w:r>
      <w:r w:rsidRPr="00386D4A">
        <w:t>17 to FY24</w:t>
      </w:r>
      <w:r w:rsidR="00FF6C2B">
        <w:t>/25</w:t>
      </w:r>
      <w:r w:rsidRPr="00386D4A">
        <w:t>.</w:t>
      </w:r>
    </w:p>
    <w:p w14:paraId="03C2DD69" w14:textId="78A9DE6D" w:rsidR="0046682E" w:rsidRDefault="00280FED" w:rsidP="00427216">
      <w:r>
        <w:t xml:space="preserve">The improved performance of round one proof of concept SMEs was responsible for </w:t>
      </w:r>
      <w:r w:rsidR="004E6006">
        <w:t>$</w:t>
      </w:r>
      <w:r w:rsidR="00A075AC">
        <w:t>25.7</w:t>
      </w:r>
      <w:r w:rsidR="00C5321F">
        <w:t xml:space="preserve"> million (or </w:t>
      </w:r>
      <w:r w:rsidR="00112CE5">
        <w:t>9</w:t>
      </w:r>
      <w:r w:rsidR="003E550C">
        <w:t>6</w:t>
      </w:r>
      <w:r w:rsidR="00112CE5">
        <w:t xml:space="preserve"> per</w:t>
      </w:r>
      <w:r w:rsidR="00167101">
        <w:t xml:space="preserve"> </w:t>
      </w:r>
      <w:r w:rsidR="00112CE5">
        <w:t>cent</w:t>
      </w:r>
      <w:r w:rsidR="00C5321F">
        <w:t>)</w:t>
      </w:r>
      <w:r w:rsidR="00112CE5">
        <w:t xml:space="preserve"> of the </w:t>
      </w:r>
      <w:r w:rsidR="00C5321F">
        <w:t xml:space="preserve">total </w:t>
      </w:r>
      <w:r w:rsidR="00112CE5">
        <w:t>benefits</w:t>
      </w:r>
      <w:r w:rsidR="00427216">
        <w:t xml:space="preserve">. </w:t>
      </w:r>
      <w:r w:rsidR="00CB14E9">
        <w:t>Three s</w:t>
      </w:r>
      <w:r w:rsidR="0046682E">
        <w:t>uccessful government and SME partnerships</w:t>
      </w:r>
      <w:r w:rsidR="002C2808">
        <w:t xml:space="preserve"> that resulted in commercialised solutions was responsible for $</w:t>
      </w:r>
      <w:r w:rsidR="00DA0672">
        <w:t>1.1</w:t>
      </w:r>
      <w:r w:rsidR="002C2808">
        <w:t xml:space="preserve"> million (or </w:t>
      </w:r>
      <w:r w:rsidR="00DA0672">
        <w:t>4</w:t>
      </w:r>
      <w:r w:rsidR="002C2808">
        <w:t xml:space="preserve"> per</w:t>
      </w:r>
      <w:r w:rsidR="00167101">
        <w:t xml:space="preserve"> </w:t>
      </w:r>
      <w:r w:rsidR="002C2808">
        <w:t xml:space="preserve">cent) of the total benefits. </w:t>
      </w:r>
      <w:r w:rsidR="0056786E">
        <w:t xml:space="preserve">The </w:t>
      </w:r>
      <w:r w:rsidR="00347019">
        <w:t xml:space="preserve">component parts </w:t>
      </w:r>
      <w:r w:rsidR="0056786E">
        <w:t xml:space="preserve">of the total benefits </w:t>
      </w:r>
      <w:r w:rsidR="00347019">
        <w:t>are</w:t>
      </w:r>
      <w:r w:rsidR="0056786E">
        <w:t xml:space="preserve"> summarised in </w:t>
      </w:r>
      <w:r w:rsidR="0056786E">
        <w:fldChar w:fldCharType="begin"/>
      </w:r>
      <w:r w:rsidR="0056786E">
        <w:instrText xml:space="preserve"> REF _Ref76033080 \h </w:instrText>
      </w:r>
      <w:r w:rsidR="0056786E">
        <w:fldChar w:fldCharType="separate"/>
      </w:r>
      <w:r w:rsidR="00AE607F">
        <w:t xml:space="preserve">Figure </w:t>
      </w:r>
      <w:r w:rsidR="00AE607F">
        <w:rPr>
          <w:noProof/>
        </w:rPr>
        <w:t>22</w:t>
      </w:r>
      <w:r w:rsidR="0056786E">
        <w:fldChar w:fldCharType="end"/>
      </w:r>
      <w:r w:rsidR="0056786E">
        <w:t>.</w:t>
      </w:r>
    </w:p>
    <w:p w14:paraId="1F15BA34" w14:textId="7234C5E8" w:rsidR="001E7BA3" w:rsidRDefault="00987F92" w:rsidP="00987F92">
      <w:pPr>
        <w:pStyle w:val="Caption"/>
      </w:pPr>
      <w:bookmarkStart w:id="105" w:name="_Ref76033080"/>
      <w:r>
        <w:t xml:space="preserve">Figure </w:t>
      </w:r>
      <w:r>
        <w:fldChar w:fldCharType="begin"/>
      </w:r>
      <w:r>
        <w:instrText xml:space="preserve"> SEQ Figure \* ARABIC </w:instrText>
      </w:r>
      <w:r>
        <w:fldChar w:fldCharType="separate"/>
      </w:r>
      <w:r w:rsidR="00870ADB">
        <w:rPr>
          <w:noProof/>
        </w:rPr>
        <w:t>23</w:t>
      </w:r>
      <w:r>
        <w:fldChar w:fldCharType="end"/>
      </w:r>
      <w:bookmarkEnd w:id="105"/>
      <w:r>
        <w:t xml:space="preserve"> | </w:t>
      </w:r>
      <w:r w:rsidR="000E4D96">
        <w:t>Split of total benefits</w:t>
      </w:r>
    </w:p>
    <w:p w14:paraId="35FEE637" w14:textId="41E3747A" w:rsidR="00E80927" w:rsidRDefault="00B52C55" w:rsidP="007643BF">
      <w:r w:rsidRPr="00B52C55">
        <w:rPr>
          <w:noProof/>
        </w:rPr>
        <w:drawing>
          <wp:inline distT="0" distB="0" distL="0" distR="0" wp14:anchorId="1DED9233" wp14:editId="5923FD69">
            <wp:extent cx="5670550" cy="1865630"/>
            <wp:effectExtent l="0" t="0" r="6350" b="1270"/>
            <wp:docPr id="27842" name="Picture 27842" descr="Improved round one proof of concept SME performance has created twenty five point 7 million dollars in benefits.&#10;Successful partnerships between Government and SMEs have created 1 point 1 million dollars in benefi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42" name="Picture 27842" descr="Improved round one proof of concept SME performance has created twenty five point 7 million dollars in benefits.&#10;Successful partnerships between Government and SMEs have created 1 point 1 million dollars in benefits.&#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670550" cy="1865630"/>
                    </a:xfrm>
                    <a:prstGeom prst="rect">
                      <a:avLst/>
                    </a:prstGeom>
                    <a:noFill/>
                    <a:ln>
                      <a:noFill/>
                    </a:ln>
                  </pic:spPr>
                </pic:pic>
              </a:graphicData>
            </a:graphic>
          </wp:inline>
        </w:drawing>
      </w:r>
    </w:p>
    <w:p w14:paraId="274AA6FF" w14:textId="17FD05E1" w:rsidR="00741A20" w:rsidRDefault="00741A20" w:rsidP="00EA4234">
      <w:pPr>
        <w:pStyle w:val="Heading3"/>
      </w:pPr>
      <w:r>
        <w:t xml:space="preserve">The benefits from improved business performance </w:t>
      </w:r>
      <w:r w:rsidR="003F4DEA">
        <w:t>extend beyond the SME</w:t>
      </w:r>
      <w:r w:rsidR="003C3E0A">
        <w:t>s</w:t>
      </w:r>
      <w:r w:rsidR="00E33C16">
        <w:t>.</w:t>
      </w:r>
    </w:p>
    <w:p w14:paraId="7FFED46A" w14:textId="155F18C1" w:rsidR="002E5DE6" w:rsidRDefault="002E5DE6" w:rsidP="002E5DE6">
      <w:r>
        <w:t xml:space="preserve">The </w:t>
      </w:r>
      <w:r w:rsidR="00741A20">
        <w:t>$2</w:t>
      </w:r>
      <w:r w:rsidR="00C65BEA">
        <w:t>5.7</w:t>
      </w:r>
      <w:r w:rsidR="00741A20">
        <w:t xml:space="preserve"> million in </w:t>
      </w:r>
      <w:r w:rsidR="00436E63">
        <w:t xml:space="preserve">benefits created through improved business performance </w:t>
      </w:r>
      <w:r w:rsidR="00741A20">
        <w:t xml:space="preserve">starts with the impact of BRII on </w:t>
      </w:r>
      <w:r w:rsidR="003F4DEA">
        <w:t xml:space="preserve">the </w:t>
      </w:r>
      <w:r w:rsidR="00741A20">
        <w:t>incremental revenue growth</w:t>
      </w:r>
      <w:r w:rsidR="003F4DEA">
        <w:t xml:space="preserve"> of the </w:t>
      </w:r>
      <w:r w:rsidR="00863DB3">
        <w:t>SMEs</w:t>
      </w:r>
      <w:r w:rsidR="00741A20">
        <w:t>.</w:t>
      </w:r>
      <w:r>
        <w:t xml:space="preserve"> The </w:t>
      </w:r>
      <w:r w:rsidRPr="006E06A0">
        <w:t>BRII is estimated to contribute $</w:t>
      </w:r>
      <w:r w:rsidR="00BC5F4D">
        <w:t>34.8</w:t>
      </w:r>
      <w:r w:rsidRPr="006E06A0">
        <w:t xml:space="preserve"> million in incremental revenue to </w:t>
      </w:r>
      <w:r>
        <w:t xml:space="preserve">the </w:t>
      </w:r>
      <w:r w:rsidRPr="006E06A0">
        <w:t>BRII participants through improved performance</w:t>
      </w:r>
      <w:r w:rsidR="00394F89">
        <w:t xml:space="preserve"> between FY16/17 and FY24/25</w:t>
      </w:r>
      <w:r w:rsidRPr="006E06A0">
        <w:t xml:space="preserve">. </w:t>
      </w:r>
      <w:r>
        <w:t xml:space="preserve">However, the concept of revenue (or turnover) is different to the socioeconomic concept of benefit. </w:t>
      </w:r>
      <w:r w:rsidRPr="0041755A">
        <w:t xml:space="preserve">After converting revenue to </w:t>
      </w:r>
      <w:r w:rsidR="002A4466">
        <w:t>GVA</w:t>
      </w:r>
      <w:r>
        <w:t xml:space="preserve"> and adjusting for displacement and other spill over effects</w:t>
      </w:r>
      <w:r w:rsidRPr="006E06A0">
        <w:t xml:space="preserve"> </w:t>
      </w:r>
      <w:r w:rsidR="00BC5F4D">
        <w:t>to give value added</w:t>
      </w:r>
      <w:r w:rsidR="00820C0E">
        <w:t xml:space="preserve">, </w:t>
      </w:r>
      <w:r>
        <w:t>the overall benefit increase</w:t>
      </w:r>
      <w:r w:rsidR="00CF3C8F">
        <w:t xml:space="preserve"> is</w:t>
      </w:r>
      <w:r>
        <w:t xml:space="preserve"> </w:t>
      </w:r>
      <w:r w:rsidRPr="006E06A0">
        <w:t>$</w:t>
      </w:r>
      <w:r w:rsidR="001650C8">
        <w:t>25.7</w:t>
      </w:r>
      <w:r w:rsidRPr="006E06A0">
        <w:t xml:space="preserve"> million</w:t>
      </w:r>
      <w:r>
        <w:t xml:space="preserve">. </w:t>
      </w:r>
      <w:r w:rsidR="000531D5">
        <w:t>V</w:t>
      </w:r>
      <w:r w:rsidR="00C170D7">
        <w:t xml:space="preserve">alue added measures the broader benefits to society from improved business performance. This includes the benefits that employees, </w:t>
      </w:r>
      <w:r w:rsidR="00D4167D">
        <w:t>other businesses and government experience from more successful firms.</w:t>
      </w:r>
    </w:p>
    <w:p w14:paraId="3600181C" w14:textId="791FAB95" w:rsidR="00ED1910" w:rsidRDefault="00654CDF" w:rsidP="00EA4234">
      <w:pPr>
        <w:pStyle w:val="Heading3"/>
      </w:pPr>
      <w:r>
        <w:lastRenderedPageBreak/>
        <w:t>Estimated net b</w:t>
      </w:r>
      <w:r w:rsidR="00EA7E6C">
        <w:t>enefit</w:t>
      </w:r>
      <w:r>
        <w:t xml:space="preserve"> of the BRII</w:t>
      </w:r>
      <w:r w:rsidR="00EA7E6C">
        <w:t xml:space="preserve"> </w:t>
      </w:r>
      <w:r>
        <w:t xml:space="preserve">is sensitive to some key parameters </w:t>
      </w:r>
      <w:r w:rsidR="004B495E">
        <w:t xml:space="preserve">related to </w:t>
      </w:r>
      <w:r>
        <w:t>SME</w:t>
      </w:r>
      <w:r w:rsidR="00EA7E6C">
        <w:t xml:space="preserve"> business </w:t>
      </w:r>
      <w:r w:rsidR="00F1703B">
        <w:t>performance</w:t>
      </w:r>
      <w:r>
        <w:t>.</w:t>
      </w:r>
    </w:p>
    <w:p w14:paraId="22DE045F" w14:textId="77777777" w:rsidR="0070105E" w:rsidRDefault="00F1703B" w:rsidP="002E5DE6">
      <w:r w:rsidRPr="00055D61">
        <w:t>In line with Australian Government guidance, the CBA results are presented here at discount rates of 3 per cent, 7 per cent (base</w:t>
      </w:r>
      <w:r>
        <w:t xml:space="preserve"> case</w:t>
      </w:r>
      <w:r w:rsidRPr="00055D61">
        <w:t>) and 10 per cent.</w:t>
      </w:r>
      <w:r w:rsidRPr="002737BF">
        <w:rPr>
          <w:vertAlign w:val="superscript"/>
        </w:rPr>
        <w:footnoteReference w:id="51"/>
      </w:r>
      <w:r w:rsidRPr="00055D61">
        <w:t xml:space="preserve"> The resulting net benefit range has a lower bound of $</w:t>
      </w:r>
      <w:r>
        <w:t>8</w:t>
      </w:r>
      <w:r w:rsidR="005F0481">
        <w:t>.2</w:t>
      </w:r>
      <w:r w:rsidRPr="00055D61">
        <w:t xml:space="preserve"> million and an upper bound of $</w:t>
      </w:r>
      <w:r>
        <w:t>1</w:t>
      </w:r>
      <w:r w:rsidR="005F0481">
        <w:t>3.5</w:t>
      </w:r>
      <w:r w:rsidRPr="00055D61">
        <w:t xml:space="preserve"> million.</w:t>
      </w:r>
      <w:r>
        <w:t xml:space="preserve"> However</w:t>
      </w:r>
      <w:r w:rsidR="00352480">
        <w:t>,</w:t>
      </w:r>
      <w:r>
        <w:t xml:space="preserve"> there are other </w:t>
      </w:r>
      <w:r w:rsidR="00352480">
        <w:t>parameters set in the base case that</w:t>
      </w:r>
      <w:r w:rsidR="00F20D33">
        <w:t xml:space="preserve"> have the potential to influence the overall outcome</w:t>
      </w:r>
      <w:r w:rsidR="007D4595">
        <w:t xml:space="preserve">. </w:t>
      </w:r>
    </w:p>
    <w:p w14:paraId="3AAEDC14" w14:textId="77777777" w:rsidR="0070105E" w:rsidRDefault="0070105E" w:rsidP="002E5DE6"/>
    <w:p w14:paraId="7DF8B151" w14:textId="3A5A7107" w:rsidR="007D4595" w:rsidRDefault="00DC051C" w:rsidP="002E5DE6">
      <w:r>
        <w:t>Two of t</w:t>
      </w:r>
      <w:r w:rsidR="007D4595">
        <w:t>he most significant of these are:</w:t>
      </w:r>
    </w:p>
    <w:p w14:paraId="2F19EED8" w14:textId="6AC0179F" w:rsidR="007D4595" w:rsidRPr="003217F4" w:rsidRDefault="00B11364">
      <w:pPr>
        <w:pStyle w:val="Bullet"/>
        <w:rPr>
          <w:rFonts w:asciiTheme="majorHAnsi" w:hAnsiTheme="majorHAnsi" w:cstheme="majorHAnsi"/>
        </w:rPr>
      </w:pPr>
      <w:r w:rsidRPr="003217F4">
        <w:rPr>
          <w:rFonts w:asciiTheme="majorHAnsi" w:hAnsiTheme="majorHAnsi" w:cstheme="majorHAnsi"/>
        </w:rPr>
        <w:t>Years of persistence</w:t>
      </w:r>
      <w:r w:rsidR="00B1113C" w:rsidRPr="003217F4">
        <w:rPr>
          <w:rFonts w:asciiTheme="majorHAnsi" w:hAnsiTheme="majorHAnsi" w:cstheme="majorHAnsi"/>
        </w:rPr>
        <w:t xml:space="preserve"> in impact to SME performance </w:t>
      </w:r>
      <w:r w:rsidR="003B1CA6" w:rsidRPr="003217F4">
        <w:rPr>
          <w:rFonts w:asciiTheme="majorHAnsi" w:hAnsiTheme="majorHAnsi" w:cstheme="majorHAnsi"/>
        </w:rPr>
        <w:t>because of</w:t>
      </w:r>
      <w:r w:rsidR="00B1113C" w:rsidRPr="003217F4">
        <w:rPr>
          <w:rFonts w:asciiTheme="majorHAnsi" w:hAnsiTheme="majorHAnsi" w:cstheme="majorHAnsi"/>
        </w:rPr>
        <w:t xml:space="preserve"> </w:t>
      </w:r>
      <w:r w:rsidR="003B1CA6" w:rsidRPr="003217F4">
        <w:rPr>
          <w:rFonts w:asciiTheme="majorHAnsi" w:hAnsiTheme="majorHAnsi" w:cstheme="majorHAnsi"/>
        </w:rPr>
        <w:t xml:space="preserve">the </w:t>
      </w:r>
      <w:r w:rsidR="00B1113C" w:rsidRPr="003217F4">
        <w:rPr>
          <w:rFonts w:asciiTheme="majorHAnsi" w:hAnsiTheme="majorHAnsi" w:cstheme="majorHAnsi"/>
        </w:rPr>
        <w:t>BRII</w:t>
      </w:r>
      <w:r w:rsidR="00F909F6">
        <w:rPr>
          <w:rFonts w:asciiTheme="majorHAnsi" w:hAnsiTheme="majorHAnsi" w:cstheme="majorHAnsi"/>
        </w:rPr>
        <w:t>.</w:t>
      </w:r>
      <w:r w:rsidR="003217F4" w:rsidRPr="003217F4">
        <w:rPr>
          <w:rFonts w:asciiTheme="majorHAnsi" w:hAnsiTheme="majorHAnsi" w:cstheme="majorHAnsi"/>
        </w:rPr>
        <w:t xml:space="preserve"> </w:t>
      </w:r>
      <w:r w:rsidR="003217F4">
        <w:rPr>
          <w:rFonts w:asciiTheme="minorHAnsi" w:hAnsiTheme="minorHAnsi" w:cstheme="minorHAnsi"/>
        </w:rPr>
        <w:t xml:space="preserve">This parameter has a </w:t>
      </w:r>
      <w:r w:rsidR="001D4290">
        <w:rPr>
          <w:rFonts w:asciiTheme="minorHAnsi" w:hAnsiTheme="minorHAnsi" w:cstheme="minorHAnsi"/>
        </w:rPr>
        <w:t xml:space="preserve">slightly </w:t>
      </w:r>
      <w:r w:rsidR="003217F4">
        <w:rPr>
          <w:rFonts w:asciiTheme="minorHAnsi" w:hAnsiTheme="minorHAnsi" w:cstheme="minorHAnsi"/>
        </w:rPr>
        <w:t xml:space="preserve">larger impact </w:t>
      </w:r>
      <w:r w:rsidR="003756F9">
        <w:rPr>
          <w:rFonts w:asciiTheme="minorHAnsi" w:hAnsiTheme="minorHAnsi" w:cstheme="minorHAnsi"/>
        </w:rPr>
        <w:t xml:space="preserve">on the BCR in </w:t>
      </w:r>
      <w:r w:rsidR="003217F4">
        <w:rPr>
          <w:rFonts w:asciiTheme="minorHAnsi" w:hAnsiTheme="minorHAnsi" w:cstheme="minorHAnsi"/>
        </w:rPr>
        <w:t xml:space="preserve">the </w:t>
      </w:r>
      <w:r w:rsidR="003756F9">
        <w:rPr>
          <w:rFonts w:asciiTheme="minorHAnsi" w:hAnsiTheme="minorHAnsi" w:cstheme="minorHAnsi"/>
        </w:rPr>
        <w:t>lower bound scenario</w:t>
      </w:r>
      <w:r w:rsidR="002A4738">
        <w:rPr>
          <w:rFonts w:asciiTheme="minorHAnsi" w:hAnsiTheme="minorHAnsi" w:cstheme="minorHAnsi"/>
        </w:rPr>
        <w:t xml:space="preserve">. Years of persistence varies due to the maturity of both the </w:t>
      </w:r>
      <w:r w:rsidR="004F4C15">
        <w:rPr>
          <w:rFonts w:asciiTheme="minorHAnsi" w:hAnsiTheme="minorHAnsi" w:cstheme="minorHAnsi"/>
        </w:rPr>
        <w:t xml:space="preserve">participating SME and the </w:t>
      </w:r>
      <w:r w:rsidR="00CD7EDE">
        <w:rPr>
          <w:rFonts w:asciiTheme="minorHAnsi" w:hAnsiTheme="minorHAnsi" w:cstheme="minorHAnsi"/>
        </w:rPr>
        <w:t xml:space="preserve">IP </w:t>
      </w:r>
      <w:r w:rsidR="004F4C15">
        <w:rPr>
          <w:rFonts w:asciiTheme="minorHAnsi" w:hAnsiTheme="minorHAnsi" w:cstheme="minorHAnsi"/>
        </w:rPr>
        <w:t xml:space="preserve">that sits behind the solution. For example, SMEs that formed specifically for the BRII reported </w:t>
      </w:r>
      <w:r w:rsidR="00CD7EDE">
        <w:rPr>
          <w:rFonts w:asciiTheme="minorHAnsi" w:hAnsiTheme="minorHAnsi" w:cstheme="minorHAnsi"/>
        </w:rPr>
        <w:t xml:space="preserve">higher expectations for years of persistence compared with mature SMEs that in some cases </w:t>
      </w:r>
      <w:r w:rsidR="00AE5D81">
        <w:rPr>
          <w:rFonts w:asciiTheme="minorHAnsi" w:hAnsiTheme="minorHAnsi" w:cstheme="minorHAnsi"/>
        </w:rPr>
        <w:t>were using their own existing</w:t>
      </w:r>
      <w:r w:rsidR="00F92204">
        <w:rPr>
          <w:rFonts w:asciiTheme="minorHAnsi" w:hAnsiTheme="minorHAnsi" w:cstheme="minorHAnsi"/>
        </w:rPr>
        <w:t xml:space="preserve"> </w:t>
      </w:r>
      <w:r w:rsidR="00971C15">
        <w:rPr>
          <w:rFonts w:asciiTheme="minorHAnsi" w:hAnsiTheme="minorHAnsi" w:cstheme="minorHAnsi"/>
        </w:rPr>
        <w:t xml:space="preserve">IP </w:t>
      </w:r>
      <w:r w:rsidR="00F92204">
        <w:rPr>
          <w:rFonts w:asciiTheme="minorHAnsi" w:hAnsiTheme="minorHAnsi" w:cstheme="minorHAnsi"/>
        </w:rPr>
        <w:t xml:space="preserve">to </w:t>
      </w:r>
      <w:r w:rsidR="00AE5D81">
        <w:rPr>
          <w:rFonts w:asciiTheme="minorHAnsi" w:hAnsiTheme="minorHAnsi" w:cstheme="minorHAnsi"/>
        </w:rPr>
        <w:t>solve</w:t>
      </w:r>
      <w:r w:rsidR="00F92204">
        <w:rPr>
          <w:rFonts w:asciiTheme="minorHAnsi" w:hAnsiTheme="minorHAnsi" w:cstheme="minorHAnsi"/>
        </w:rPr>
        <w:t xml:space="preserve"> the challenge.</w:t>
      </w:r>
    </w:p>
    <w:p w14:paraId="2D6BCDA3" w14:textId="34685BA1" w:rsidR="00B1113C" w:rsidRDefault="00DC051C">
      <w:pPr>
        <w:pStyle w:val="Bullet"/>
      </w:pPr>
      <w:r w:rsidRPr="00F92204">
        <w:rPr>
          <w:rFonts w:asciiTheme="majorHAnsi" w:hAnsiTheme="majorHAnsi"/>
        </w:rPr>
        <w:t>Expected future revenue growth for BRII round one proof of concept SMEs</w:t>
      </w:r>
      <w:r w:rsidR="00F909F6">
        <w:t>.</w:t>
      </w:r>
      <w:r w:rsidR="00F92204">
        <w:t xml:space="preserve"> </w:t>
      </w:r>
      <w:r w:rsidR="00F92204">
        <w:rPr>
          <w:rFonts w:asciiTheme="minorHAnsi" w:hAnsiTheme="minorHAnsi" w:cstheme="minorHAnsi"/>
        </w:rPr>
        <w:t xml:space="preserve">This parameter has a </w:t>
      </w:r>
      <w:r w:rsidR="00AE5D81">
        <w:rPr>
          <w:rFonts w:asciiTheme="minorHAnsi" w:hAnsiTheme="minorHAnsi" w:cstheme="minorHAnsi"/>
        </w:rPr>
        <w:t>similar</w:t>
      </w:r>
      <w:r w:rsidR="00475E87">
        <w:rPr>
          <w:rFonts w:asciiTheme="minorHAnsi" w:hAnsiTheme="minorHAnsi" w:cstheme="minorHAnsi"/>
        </w:rPr>
        <w:t xml:space="preserve"> impact on the </w:t>
      </w:r>
      <w:r w:rsidR="003756F9">
        <w:rPr>
          <w:rFonts w:asciiTheme="minorHAnsi" w:hAnsiTheme="minorHAnsi" w:cstheme="minorHAnsi"/>
        </w:rPr>
        <w:t xml:space="preserve">upper </w:t>
      </w:r>
      <w:r w:rsidR="00AE5D81">
        <w:rPr>
          <w:rFonts w:asciiTheme="minorHAnsi" w:hAnsiTheme="minorHAnsi" w:cstheme="minorHAnsi"/>
        </w:rPr>
        <w:t xml:space="preserve">and lower </w:t>
      </w:r>
      <w:r w:rsidR="003756F9">
        <w:rPr>
          <w:rFonts w:asciiTheme="minorHAnsi" w:hAnsiTheme="minorHAnsi" w:cstheme="minorHAnsi"/>
        </w:rPr>
        <w:t>bound</w:t>
      </w:r>
      <w:r w:rsidR="00AE5D81">
        <w:rPr>
          <w:rFonts w:asciiTheme="minorHAnsi" w:hAnsiTheme="minorHAnsi" w:cstheme="minorHAnsi"/>
        </w:rPr>
        <w:t xml:space="preserve"> scenarios</w:t>
      </w:r>
      <w:r w:rsidR="003756F9">
        <w:rPr>
          <w:rFonts w:asciiTheme="minorHAnsi" w:hAnsiTheme="minorHAnsi" w:cstheme="minorHAnsi"/>
        </w:rPr>
        <w:t xml:space="preserve">. </w:t>
      </w:r>
      <w:r w:rsidR="00982416">
        <w:rPr>
          <w:rFonts w:asciiTheme="minorHAnsi" w:hAnsiTheme="minorHAnsi" w:cstheme="minorHAnsi"/>
        </w:rPr>
        <w:t>The model uses a common base case future growth rate due to the uncertainty of forecasting future revenue growth for early stage ventures or products. However, e</w:t>
      </w:r>
      <w:r w:rsidR="003756F9">
        <w:rPr>
          <w:rFonts w:asciiTheme="minorHAnsi" w:hAnsiTheme="minorHAnsi" w:cstheme="minorHAnsi"/>
        </w:rPr>
        <w:t>xpected future revenue gro</w:t>
      </w:r>
      <w:r w:rsidR="007A3549">
        <w:rPr>
          <w:rFonts w:asciiTheme="minorHAnsi" w:hAnsiTheme="minorHAnsi" w:cstheme="minorHAnsi"/>
        </w:rPr>
        <w:t>wth is likely to differ significantly for the participant SMEs</w:t>
      </w:r>
      <w:r w:rsidR="00001D50">
        <w:rPr>
          <w:rFonts w:asciiTheme="minorHAnsi" w:hAnsiTheme="minorHAnsi" w:cstheme="minorHAnsi"/>
        </w:rPr>
        <w:t xml:space="preserve">. </w:t>
      </w:r>
      <w:r w:rsidR="00982416">
        <w:rPr>
          <w:rFonts w:asciiTheme="minorHAnsi" w:hAnsiTheme="minorHAnsi" w:cstheme="minorHAnsi"/>
        </w:rPr>
        <w:t xml:space="preserve">For example, </w:t>
      </w:r>
      <w:r w:rsidR="00D54877">
        <w:rPr>
          <w:rFonts w:asciiTheme="minorHAnsi" w:hAnsiTheme="minorHAnsi" w:cstheme="minorHAnsi"/>
        </w:rPr>
        <w:t>some firms may experience a rapid growth in revenue if their product achieves traction. Others may see more subdued revenue growth if the commercialisation of their product takes longer than expected</w:t>
      </w:r>
      <w:r w:rsidR="00FB0073">
        <w:rPr>
          <w:rFonts w:asciiTheme="minorHAnsi" w:hAnsiTheme="minorHAnsi" w:cstheme="minorHAnsi"/>
        </w:rPr>
        <w:t xml:space="preserve"> or if the BRII</w:t>
      </w:r>
      <w:r w:rsidR="00633C10">
        <w:rPr>
          <w:rFonts w:asciiTheme="minorHAnsi" w:hAnsiTheme="minorHAnsi" w:cstheme="minorHAnsi"/>
        </w:rPr>
        <w:t xml:space="preserve"> product only makes up a small portion of their other product and services offerings</w:t>
      </w:r>
      <w:r w:rsidR="00D54877">
        <w:rPr>
          <w:rFonts w:asciiTheme="minorHAnsi" w:hAnsiTheme="minorHAnsi" w:cstheme="minorHAnsi"/>
        </w:rPr>
        <w:t>.</w:t>
      </w:r>
    </w:p>
    <w:p w14:paraId="28CF8A41" w14:textId="4B1DAA4C" w:rsidR="00DC051C" w:rsidRDefault="00DC051C" w:rsidP="00DC051C">
      <w:pPr>
        <w:pStyle w:val="Bullet"/>
        <w:numPr>
          <w:ilvl w:val="0"/>
          <w:numId w:val="0"/>
        </w:numPr>
        <w:ind w:left="360" w:hanging="360"/>
      </w:pPr>
      <w:r>
        <w:t xml:space="preserve">A summary of </w:t>
      </w:r>
      <w:r w:rsidR="00654CDF">
        <w:t>how these two parameters can impact the overall results is presented in</w:t>
      </w:r>
      <w:r w:rsidR="00F06612">
        <w:t xml:space="preserve"> </w:t>
      </w:r>
      <w:r w:rsidR="004676A1">
        <w:fldChar w:fldCharType="begin"/>
      </w:r>
      <w:r w:rsidR="004676A1">
        <w:instrText xml:space="preserve"> REF _Ref79412128 \h </w:instrText>
      </w:r>
      <w:r w:rsidR="004676A1">
        <w:fldChar w:fldCharType="separate"/>
      </w:r>
      <w:r w:rsidR="00AE607F">
        <w:t xml:space="preserve">Table </w:t>
      </w:r>
      <w:r w:rsidR="00AE607F">
        <w:rPr>
          <w:noProof/>
        </w:rPr>
        <w:t>6</w:t>
      </w:r>
      <w:r w:rsidR="004676A1">
        <w:fldChar w:fldCharType="end"/>
      </w:r>
      <w:r w:rsidR="0089320E">
        <w:t xml:space="preserve"> </w:t>
      </w:r>
      <w:r w:rsidR="00654CDF">
        <w:t>below.</w:t>
      </w:r>
    </w:p>
    <w:p w14:paraId="11454C13" w14:textId="5E6C24E8" w:rsidR="005B3210" w:rsidRDefault="005B3210" w:rsidP="005B3210">
      <w:pPr>
        <w:pStyle w:val="Caption"/>
      </w:pPr>
      <w:bookmarkStart w:id="106" w:name="_Ref79412128"/>
      <w:r>
        <w:t xml:space="preserve">Table </w:t>
      </w:r>
      <w:r>
        <w:fldChar w:fldCharType="begin"/>
      </w:r>
      <w:r>
        <w:instrText xml:space="preserve"> SEQ Table \* ARABIC </w:instrText>
      </w:r>
      <w:r>
        <w:fldChar w:fldCharType="separate"/>
      </w:r>
      <w:r w:rsidR="00AE607F">
        <w:rPr>
          <w:noProof/>
        </w:rPr>
        <w:t>6</w:t>
      </w:r>
      <w:r>
        <w:fldChar w:fldCharType="end"/>
      </w:r>
      <w:bookmarkEnd w:id="106"/>
      <w:r>
        <w:t xml:space="preserve"> | Model parameters sensitivity analysis (holding all else constant)</w:t>
      </w:r>
    </w:p>
    <w:tbl>
      <w:tblPr>
        <w:tblStyle w:val="TableGrid"/>
        <w:tblW w:w="9120" w:type="dxa"/>
        <w:tblLook w:val="04A0" w:firstRow="1" w:lastRow="0" w:firstColumn="1" w:lastColumn="0" w:noHBand="0" w:noVBand="1"/>
      </w:tblPr>
      <w:tblGrid>
        <w:gridCol w:w="2694"/>
        <w:gridCol w:w="2142"/>
        <w:gridCol w:w="2142"/>
        <w:gridCol w:w="2142"/>
      </w:tblGrid>
      <w:tr w:rsidR="00FB35C8" w14:paraId="48C7A6E4" w14:textId="77777777" w:rsidTr="00782849">
        <w:trPr>
          <w:cnfStyle w:val="100000000000" w:firstRow="1" w:lastRow="0" w:firstColumn="0" w:lastColumn="0" w:oddVBand="0" w:evenVBand="0" w:oddHBand="0" w:evenHBand="0" w:firstRowFirstColumn="0" w:firstRowLastColumn="0" w:lastRowFirstColumn="0" w:lastRowLastColumn="0"/>
        </w:trPr>
        <w:tc>
          <w:tcPr>
            <w:tcW w:w="2694" w:type="dxa"/>
            <w:tcBorders>
              <w:top w:val="nil"/>
              <w:bottom w:val="single" w:sz="4" w:space="0" w:color="00264D" w:themeColor="background2"/>
              <w:right w:val="single" w:sz="4" w:space="0" w:color="FFFFFF" w:themeColor="background1"/>
            </w:tcBorders>
            <w:shd w:val="clear" w:color="auto" w:fill="00264D" w:themeFill="background2"/>
          </w:tcPr>
          <w:p w14:paraId="4370227C" w14:textId="77777777" w:rsidR="00654CDF" w:rsidRPr="00610204" w:rsidRDefault="00654CDF" w:rsidP="00610204">
            <w:pPr>
              <w:pStyle w:val="TableNheader"/>
              <w:rPr>
                <w:color w:val="FFFFFF" w:themeColor="background1"/>
                <w:lang w:eastAsia="en-AU"/>
              </w:rPr>
            </w:pPr>
            <w:r w:rsidRPr="00610204">
              <w:rPr>
                <w:color w:val="FFFFFF" w:themeColor="background1"/>
                <w:lang w:eastAsia="en-AU"/>
              </w:rPr>
              <w:t>Characteristic</w:t>
            </w:r>
          </w:p>
        </w:tc>
        <w:tc>
          <w:tcPr>
            <w:tcW w:w="2142" w:type="dxa"/>
            <w:tcBorders>
              <w:top w:val="nil"/>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3FE7BF98" w14:textId="46B9895D" w:rsidR="00654CDF" w:rsidRPr="00610204" w:rsidRDefault="00953843" w:rsidP="00610204">
            <w:pPr>
              <w:pStyle w:val="TableNheader"/>
              <w:rPr>
                <w:color w:val="FFFFFF" w:themeColor="background1"/>
                <w:lang w:eastAsia="en-AU"/>
              </w:rPr>
            </w:pPr>
            <w:r w:rsidRPr="00610204">
              <w:rPr>
                <w:color w:val="FFFFFF" w:themeColor="background1"/>
                <w:lang w:eastAsia="en-AU"/>
              </w:rPr>
              <w:t>Lower bound</w:t>
            </w:r>
          </w:p>
        </w:tc>
        <w:tc>
          <w:tcPr>
            <w:tcW w:w="2142" w:type="dxa"/>
            <w:tcBorders>
              <w:top w:val="nil"/>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38AE0E2D" w14:textId="7A0A4048" w:rsidR="00654CDF" w:rsidRPr="00610204" w:rsidRDefault="00953843" w:rsidP="00610204">
            <w:pPr>
              <w:pStyle w:val="TableNheader"/>
              <w:rPr>
                <w:color w:val="FFFFFF" w:themeColor="background1"/>
                <w:lang w:eastAsia="en-AU"/>
              </w:rPr>
            </w:pPr>
            <w:r w:rsidRPr="00610204">
              <w:rPr>
                <w:color w:val="FFFFFF" w:themeColor="background1"/>
                <w:lang w:eastAsia="en-AU"/>
              </w:rPr>
              <w:t>Base case</w:t>
            </w:r>
          </w:p>
        </w:tc>
        <w:tc>
          <w:tcPr>
            <w:tcW w:w="2142" w:type="dxa"/>
            <w:tcBorders>
              <w:top w:val="nil"/>
              <w:left w:val="single" w:sz="4" w:space="0" w:color="FFFFFF" w:themeColor="background1"/>
              <w:bottom w:val="single" w:sz="4" w:space="0" w:color="00264D" w:themeColor="background2"/>
            </w:tcBorders>
            <w:shd w:val="clear" w:color="auto" w:fill="00264D" w:themeFill="background2"/>
          </w:tcPr>
          <w:p w14:paraId="086293AA" w14:textId="427FFB8D" w:rsidR="00654CDF" w:rsidRPr="00610204" w:rsidRDefault="00953843" w:rsidP="00610204">
            <w:pPr>
              <w:pStyle w:val="TableNheader"/>
              <w:rPr>
                <w:color w:val="FFFFFF" w:themeColor="background1"/>
                <w:lang w:eastAsia="en-AU"/>
              </w:rPr>
            </w:pPr>
            <w:r w:rsidRPr="00610204">
              <w:rPr>
                <w:color w:val="FFFFFF" w:themeColor="background1"/>
                <w:lang w:eastAsia="en-AU"/>
              </w:rPr>
              <w:t>Upper bound</w:t>
            </w:r>
          </w:p>
        </w:tc>
      </w:tr>
      <w:tr w:rsidR="00654CDF" w14:paraId="7FF61838" w14:textId="77777777" w:rsidTr="00D51AD3">
        <w:trPr>
          <w:cnfStyle w:val="000000100000" w:firstRow="0" w:lastRow="0" w:firstColumn="0" w:lastColumn="0" w:oddVBand="0" w:evenVBand="0" w:oddHBand="1" w:evenHBand="0" w:firstRowFirstColumn="0" w:firstRowLastColumn="0" w:lastRowFirstColumn="0" w:lastRowLastColumn="0"/>
        </w:trPr>
        <w:tc>
          <w:tcPr>
            <w:tcW w:w="2694"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E6E6E1" w:themeFill="accent5"/>
            <w:vAlign w:val="top"/>
          </w:tcPr>
          <w:p w14:paraId="2E5A5345" w14:textId="59115872" w:rsidR="00654CDF" w:rsidRPr="00782849" w:rsidRDefault="00953843" w:rsidP="00782849">
            <w:pPr>
              <w:pStyle w:val="TableNText"/>
              <w:rPr>
                <w:rFonts w:asciiTheme="majorHAnsi" w:hAnsiTheme="majorHAnsi" w:cstheme="majorHAnsi"/>
                <w:lang w:eastAsia="en-AU"/>
              </w:rPr>
            </w:pPr>
            <w:r w:rsidRPr="00782849">
              <w:rPr>
                <w:rFonts w:asciiTheme="majorHAnsi" w:hAnsiTheme="majorHAnsi" w:cstheme="majorHAnsi"/>
                <w:lang w:eastAsia="en-AU"/>
              </w:rPr>
              <w:t>Years of persistence</w:t>
            </w:r>
          </w:p>
        </w:tc>
        <w:tc>
          <w:tcPr>
            <w:tcW w:w="214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E6E6E1" w:themeFill="accent5"/>
            <w:vAlign w:val="top"/>
          </w:tcPr>
          <w:p w14:paraId="0FD9F291" w14:textId="5B09F4DC" w:rsidR="00654CDF" w:rsidRPr="00782849" w:rsidRDefault="00D871F8" w:rsidP="00782849">
            <w:pPr>
              <w:pStyle w:val="TableNText"/>
              <w:rPr>
                <w:rFonts w:asciiTheme="majorHAnsi" w:hAnsiTheme="majorHAnsi" w:cstheme="majorHAnsi"/>
                <w:lang w:eastAsia="en-AU"/>
              </w:rPr>
            </w:pPr>
            <w:r w:rsidRPr="00782849">
              <w:rPr>
                <w:rFonts w:asciiTheme="majorHAnsi" w:hAnsiTheme="majorHAnsi" w:cstheme="majorHAnsi"/>
                <w:lang w:eastAsia="en-AU"/>
              </w:rPr>
              <w:t>3</w:t>
            </w:r>
            <w:r w:rsidR="00143E73" w:rsidRPr="00782849">
              <w:rPr>
                <w:rFonts w:asciiTheme="majorHAnsi" w:hAnsiTheme="majorHAnsi" w:cstheme="majorHAnsi"/>
                <w:lang w:eastAsia="en-AU"/>
              </w:rPr>
              <w:t xml:space="preserve"> years</w:t>
            </w:r>
          </w:p>
        </w:tc>
        <w:tc>
          <w:tcPr>
            <w:tcW w:w="214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E6E6E1" w:themeFill="accent5"/>
            <w:vAlign w:val="top"/>
          </w:tcPr>
          <w:p w14:paraId="7A1C2890" w14:textId="2F7C27F4" w:rsidR="00654CDF" w:rsidRPr="00782849" w:rsidRDefault="00D871F8" w:rsidP="00782849">
            <w:pPr>
              <w:pStyle w:val="TableNText"/>
              <w:rPr>
                <w:rFonts w:asciiTheme="majorHAnsi" w:hAnsiTheme="majorHAnsi" w:cstheme="majorHAnsi"/>
                <w:lang w:eastAsia="en-AU"/>
              </w:rPr>
            </w:pPr>
            <w:r w:rsidRPr="00782849">
              <w:rPr>
                <w:rFonts w:asciiTheme="majorHAnsi" w:hAnsiTheme="majorHAnsi" w:cstheme="majorHAnsi"/>
                <w:lang w:eastAsia="en-AU"/>
              </w:rPr>
              <w:t>5</w:t>
            </w:r>
            <w:r w:rsidR="005E2D0C" w:rsidRPr="00782849">
              <w:rPr>
                <w:rFonts w:asciiTheme="majorHAnsi" w:hAnsiTheme="majorHAnsi" w:cstheme="majorHAnsi"/>
                <w:lang w:eastAsia="en-AU"/>
              </w:rPr>
              <w:t xml:space="preserve"> years</w:t>
            </w:r>
            <w:r w:rsidR="000F0F5B" w:rsidRPr="00782849">
              <w:rPr>
                <w:rStyle w:val="FootnoteReference"/>
                <w:rFonts w:asciiTheme="majorHAnsi" w:hAnsiTheme="majorHAnsi" w:cstheme="majorHAnsi"/>
                <w:sz w:val="17"/>
                <w:szCs w:val="17"/>
                <w:lang w:eastAsia="en-AU"/>
              </w:rPr>
              <w:footnoteReference w:id="52"/>
            </w:r>
          </w:p>
        </w:tc>
        <w:tc>
          <w:tcPr>
            <w:tcW w:w="214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E6E6E1" w:themeFill="accent5"/>
            <w:vAlign w:val="top"/>
          </w:tcPr>
          <w:p w14:paraId="17D921E5" w14:textId="319BC3AB" w:rsidR="00654CDF" w:rsidRPr="00782849" w:rsidRDefault="00D871F8" w:rsidP="00782849">
            <w:pPr>
              <w:pStyle w:val="TableNText"/>
              <w:rPr>
                <w:rFonts w:asciiTheme="majorHAnsi" w:hAnsiTheme="majorHAnsi" w:cstheme="majorHAnsi"/>
                <w:lang w:eastAsia="en-AU"/>
              </w:rPr>
            </w:pPr>
            <w:r w:rsidRPr="00782849">
              <w:rPr>
                <w:rFonts w:asciiTheme="majorHAnsi" w:hAnsiTheme="majorHAnsi" w:cstheme="majorHAnsi"/>
                <w:lang w:eastAsia="en-AU"/>
              </w:rPr>
              <w:t>7</w:t>
            </w:r>
            <w:r w:rsidR="005E2D0C" w:rsidRPr="00782849">
              <w:rPr>
                <w:rFonts w:asciiTheme="majorHAnsi" w:hAnsiTheme="majorHAnsi" w:cstheme="majorHAnsi"/>
                <w:lang w:eastAsia="en-AU"/>
              </w:rPr>
              <w:t xml:space="preserve"> years</w:t>
            </w:r>
          </w:p>
        </w:tc>
      </w:tr>
      <w:tr w:rsidR="00D871F8" w14:paraId="4BFA9DF4" w14:textId="77777777" w:rsidTr="00782849">
        <w:trPr>
          <w:cnfStyle w:val="000000010000" w:firstRow="0" w:lastRow="0" w:firstColumn="0" w:lastColumn="0" w:oddVBand="0" w:evenVBand="0" w:oddHBand="0" w:evenHBand="1" w:firstRowFirstColumn="0" w:firstRowLastColumn="0" w:lastRowFirstColumn="0" w:lastRowLastColumn="0"/>
        </w:trPr>
        <w:tc>
          <w:tcPr>
            <w:tcW w:w="2694"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tcPr>
          <w:p w14:paraId="0C15390C" w14:textId="1B2F1219" w:rsidR="00D871F8" w:rsidRPr="005B3210" w:rsidRDefault="00D871F8" w:rsidP="00782849">
            <w:pPr>
              <w:pStyle w:val="TableNText"/>
              <w:rPr>
                <w:lang w:eastAsia="en-AU"/>
              </w:rPr>
            </w:pPr>
            <w:r w:rsidRPr="005B3210">
              <w:rPr>
                <w:lang w:eastAsia="en-AU"/>
              </w:rPr>
              <w:t>Net benefit</w:t>
            </w:r>
          </w:p>
        </w:tc>
        <w:tc>
          <w:tcPr>
            <w:tcW w:w="214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tcPr>
          <w:p w14:paraId="253A446C" w14:textId="02B60CBD" w:rsidR="00D871F8" w:rsidRPr="00D871F8" w:rsidRDefault="00C14D34" w:rsidP="00782849">
            <w:pPr>
              <w:pStyle w:val="TableNText"/>
              <w:rPr>
                <w:lang w:eastAsia="en-AU"/>
              </w:rPr>
            </w:pPr>
            <w:r>
              <w:rPr>
                <w:lang w:eastAsia="en-AU"/>
              </w:rPr>
              <w:t>$2.</w:t>
            </w:r>
            <w:r w:rsidR="00464ABC">
              <w:rPr>
                <w:lang w:eastAsia="en-AU"/>
              </w:rPr>
              <w:t>7</w:t>
            </w:r>
            <w:r>
              <w:rPr>
                <w:lang w:eastAsia="en-AU"/>
              </w:rPr>
              <w:t>m</w:t>
            </w:r>
          </w:p>
        </w:tc>
        <w:tc>
          <w:tcPr>
            <w:tcW w:w="214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tcPr>
          <w:p w14:paraId="475FAC84" w14:textId="28F0014F" w:rsidR="00D871F8" w:rsidRDefault="00965201" w:rsidP="00782849">
            <w:pPr>
              <w:pStyle w:val="TableNText"/>
              <w:rPr>
                <w:lang w:eastAsia="en-AU"/>
              </w:rPr>
            </w:pPr>
            <w:r>
              <w:rPr>
                <w:lang w:eastAsia="en-AU"/>
              </w:rPr>
              <w:t>$10</w:t>
            </w:r>
            <w:r w:rsidR="001D7D48">
              <w:rPr>
                <w:lang w:eastAsia="en-AU"/>
              </w:rPr>
              <w:t>.4</w:t>
            </w:r>
            <w:r>
              <w:rPr>
                <w:lang w:eastAsia="en-AU"/>
              </w:rPr>
              <w:t>m</w:t>
            </w:r>
          </w:p>
        </w:tc>
        <w:tc>
          <w:tcPr>
            <w:tcW w:w="214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tcPr>
          <w:p w14:paraId="3C6A1028" w14:textId="4AF70D03" w:rsidR="00D871F8" w:rsidRDefault="00965201" w:rsidP="00782849">
            <w:pPr>
              <w:pStyle w:val="TableNText"/>
              <w:rPr>
                <w:lang w:eastAsia="en-AU"/>
              </w:rPr>
            </w:pPr>
            <w:r>
              <w:rPr>
                <w:lang w:eastAsia="en-AU"/>
              </w:rPr>
              <w:t>$17.</w:t>
            </w:r>
            <w:r w:rsidR="00464ABC">
              <w:rPr>
                <w:lang w:eastAsia="en-AU"/>
              </w:rPr>
              <w:t>8</w:t>
            </w:r>
            <w:r>
              <w:rPr>
                <w:lang w:eastAsia="en-AU"/>
              </w:rPr>
              <w:t>m</w:t>
            </w:r>
          </w:p>
        </w:tc>
      </w:tr>
      <w:tr w:rsidR="00D871F8" w14:paraId="4D77ECFB" w14:textId="77777777" w:rsidTr="00782849">
        <w:trPr>
          <w:cnfStyle w:val="000000100000" w:firstRow="0" w:lastRow="0" w:firstColumn="0" w:lastColumn="0" w:oddVBand="0" w:evenVBand="0" w:oddHBand="1" w:evenHBand="0" w:firstRowFirstColumn="0" w:firstRowLastColumn="0" w:lastRowFirstColumn="0" w:lastRowLastColumn="0"/>
        </w:trPr>
        <w:tc>
          <w:tcPr>
            <w:tcW w:w="2694"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tcPr>
          <w:p w14:paraId="081B44F6" w14:textId="54899BD9" w:rsidR="00D871F8" w:rsidRPr="005B3210" w:rsidRDefault="00D871F8" w:rsidP="00782849">
            <w:pPr>
              <w:pStyle w:val="TableNText"/>
              <w:rPr>
                <w:lang w:eastAsia="en-AU"/>
              </w:rPr>
            </w:pPr>
            <w:r w:rsidRPr="005B3210">
              <w:rPr>
                <w:lang w:eastAsia="en-AU"/>
              </w:rPr>
              <w:t>BCR</w:t>
            </w:r>
          </w:p>
        </w:tc>
        <w:tc>
          <w:tcPr>
            <w:tcW w:w="214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tcPr>
          <w:p w14:paraId="1931540E" w14:textId="1D1361B0" w:rsidR="00D871F8" w:rsidRPr="00D871F8" w:rsidRDefault="00C14D34" w:rsidP="00782849">
            <w:pPr>
              <w:pStyle w:val="TableNText"/>
              <w:rPr>
                <w:lang w:eastAsia="en-AU"/>
              </w:rPr>
            </w:pPr>
            <w:r>
              <w:rPr>
                <w:lang w:eastAsia="en-AU"/>
              </w:rPr>
              <w:t>1.1</w:t>
            </w:r>
            <w:r w:rsidR="00464ABC">
              <w:rPr>
                <w:lang w:eastAsia="en-AU"/>
              </w:rPr>
              <w:t>6</w:t>
            </w:r>
          </w:p>
        </w:tc>
        <w:tc>
          <w:tcPr>
            <w:tcW w:w="214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tcPr>
          <w:p w14:paraId="147269E4" w14:textId="7317C31F" w:rsidR="00D871F8" w:rsidRDefault="00965201" w:rsidP="00782849">
            <w:pPr>
              <w:pStyle w:val="TableNText"/>
              <w:rPr>
                <w:lang w:eastAsia="en-AU"/>
              </w:rPr>
            </w:pPr>
            <w:r>
              <w:rPr>
                <w:lang w:eastAsia="en-AU"/>
              </w:rPr>
              <w:t>1.6</w:t>
            </w:r>
            <w:r w:rsidR="001D7D48">
              <w:rPr>
                <w:lang w:eastAsia="en-AU"/>
              </w:rPr>
              <w:t>4</w:t>
            </w:r>
          </w:p>
        </w:tc>
        <w:tc>
          <w:tcPr>
            <w:tcW w:w="214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tcPr>
          <w:p w14:paraId="04550A47" w14:textId="02BB155E" w:rsidR="00D871F8" w:rsidRDefault="00965201" w:rsidP="00782849">
            <w:pPr>
              <w:pStyle w:val="TableNText"/>
              <w:rPr>
                <w:lang w:eastAsia="en-AU"/>
              </w:rPr>
            </w:pPr>
            <w:r>
              <w:rPr>
                <w:lang w:eastAsia="en-AU"/>
              </w:rPr>
              <w:t>2.0</w:t>
            </w:r>
            <w:r w:rsidR="00464ABC">
              <w:rPr>
                <w:lang w:eastAsia="en-AU"/>
              </w:rPr>
              <w:t>9</w:t>
            </w:r>
          </w:p>
        </w:tc>
      </w:tr>
      <w:tr w:rsidR="00D871F8" w14:paraId="4B9C0566" w14:textId="77777777" w:rsidTr="00D51AD3">
        <w:trPr>
          <w:cnfStyle w:val="000000010000" w:firstRow="0" w:lastRow="0" w:firstColumn="0" w:lastColumn="0" w:oddVBand="0" w:evenVBand="0" w:oddHBand="0" w:evenHBand="1" w:firstRowFirstColumn="0" w:firstRowLastColumn="0" w:lastRowFirstColumn="0" w:lastRowLastColumn="0"/>
        </w:trPr>
        <w:tc>
          <w:tcPr>
            <w:tcW w:w="2694"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E6E6E1" w:themeFill="accent5"/>
            <w:vAlign w:val="top"/>
          </w:tcPr>
          <w:p w14:paraId="40DF893A" w14:textId="01E18C25" w:rsidR="00D871F8" w:rsidRPr="00782849" w:rsidRDefault="00D871F8" w:rsidP="00782849">
            <w:pPr>
              <w:pStyle w:val="TableNText"/>
              <w:rPr>
                <w:rFonts w:asciiTheme="majorHAnsi" w:hAnsiTheme="majorHAnsi" w:cstheme="majorHAnsi"/>
                <w:lang w:eastAsia="en-AU"/>
              </w:rPr>
            </w:pPr>
            <w:r w:rsidRPr="00782849">
              <w:rPr>
                <w:rFonts w:asciiTheme="majorHAnsi" w:hAnsiTheme="majorHAnsi" w:cstheme="majorHAnsi"/>
                <w:lang w:eastAsia="en-AU"/>
              </w:rPr>
              <w:lastRenderedPageBreak/>
              <w:t>Future revenue growth (YoY)</w:t>
            </w:r>
          </w:p>
        </w:tc>
        <w:tc>
          <w:tcPr>
            <w:tcW w:w="214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E6E6E1" w:themeFill="accent5"/>
            <w:vAlign w:val="top"/>
          </w:tcPr>
          <w:p w14:paraId="5AA056A7" w14:textId="145ECC22" w:rsidR="00D871F8" w:rsidRPr="00782849" w:rsidRDefault="00FD7E86" w:rsidP="00782849">
            <w:pPr>
              <w:pStyle w:val="TableNText"/>
              <w:rPr>
                <w:rFonts w:asciiTheme="majorHAnsi" w:hAnsiTheme="majorHAnsi" w:cstheme="majorHAnsi"/>
                <w:lang w:eastAsia="en-AU"/>
              </w:rPr>
            </w:pPr>
            <w:r w:rsidRPr="00782849">
              <w:rPr>
                <w:rFonts w:asciiTheme="majorHAnsi" w:hAnsiTheme="majorHAnsi" w:cstheme="majorHAnsi"/>
                <w:lang w:eastAsia="en-AU"/>
              </w:rPr>
              <w:t>2.7</w:t>
            </w:r>
            <w:r w:rsidR="00D871F8" w:rsidRPr="00782849">
              <w:rPr>
                <w:rFonts w:asciiTheme="majorHAnsi" w:hAnsiTheme="majorHAnsi" w:cstheme="majorHAnsi"/>
                <w:lang w:eastAsia="en-AU"/>
              </w:rPr>
              <w:t>%</w:t>
            </w:r>
          </w:p>
        </w:tc>
        <w:tc>
          <w:tcPr>
            <w:tcW w:w="214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E6E6E1" w:themeFill="accent5"/>
            <w:vAlign w:val="top"/>
          </w:tcPr>
          <w:p w14:paraId="542923AD" w14:textId="33740E12" w:rsidR="00D871F8" w:rsidRPr="00782849" w:rsidRDefault="00D871F8" w:rsidP="00782849">
            <w:pPr>
              <w:pStyle w:val="TableNText"/>
              <w:rPr>
                <w:rFonts w:asciiTheme="majorHAnsi" w:hAnsiTheme="majorHAnsi" w:cstheme="majorHAnsi"/>
                <w:lang w:eastAsia="en-AU"/>
              </w:rPr>
            </w:pPr>
            <w:r w:rsidRPr="00782849">
              <w:rPr>
                <w:rFonts w:asciiTheme="majorHAnsi" w:hAnsiTheme="majorHAnsi" w:cstheme="majorHAnsi"/>
                <w:lang w:eastAsia="en-AU"/>
              </w:rPr>
              <w:t>4.7%</w:t>
            </w:r>
            <w:r w:rsidR="00D9737C" w:rsidRPr="00782849">
              <w:rPr>
                <w:rStyle w:val="FootnoteReference"/>
                <w:rFonts w:asciiTheme="majorHAnsi" w:hAnsiTheme="majorHAnsi" w:cstheme="majorHAnsi"/>
                <w:sz w:val="17"/>
                <w:szCs w:val="17"/>
                <w:lang w:eastAsia="en-AU"/>
              </w:rPr>
              <w:footnoteReference w:id="53"/>
            </w:r>
          </w:p>
        </w:tc>
        <w:tc>
          <w:tcPr>
            <w:tcW w:w="214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E6E6E1" w:themeFill="accent5"/>
            <w:vAlign w:val="top"/>
          </w:tcPr>
          <w:p w14:paraId="494A89FA" w14:textId="45732ECE" w:rsidR="00D871F8" w:rsidRPr="00782849" w:rsidRDefault="003D6EE5" w:rsidP="00782849">
            <w:pPr>
              <w:pStyle w:val="TableNText"/>
              <w:rPr>
                <w:rFonts w:asciiTheme="majorHAnsi" w:hAnsiTheme="majorHAnsi" w:cstheme="majorHAnsi"/>
                <w:lang w:eastAsia="en-AU"/>
              </w:rPr>
            </w:pPr>
            <w:r w:rsidRPr="00782849">
              <w:rPr>
                <w:rFonts w:asciiTheme="majorHAnsi" w:hAnsiTheme="majorHAnsi" w:cstheme="majorHAnsi"/>
                <w:lang w:eastAsia="en-AU"/>
              </w:rPr>
              <w:t>6.7</w:t>
            </w:r>
            <w:r w:rsidR="00D871F8" w:rsidRPr="00782849">
              <w:rPr>
                <w:rFonts w:asciiTheme="majorHAnsi" w:hAnsiTheme="majorHAnsi" w:cstheme="majorHAnsi"/>
                <w:lang w:eastAsia="en-AU"/>
              </w:rPr>
              <w:t>%</w:t>
            </w:r>
          </w:p>
        </w:tc>
      </w:tr>
      <w:tr w:rsidR="00965201" w14:paraId="774A2FF0" w14:textId="77777777" w:rsidTr="00782849">
        <w:trPr>
          <w:cnfStyle w:val="000000100000" w:firstRow="0" w:lastRow="0" w:firstColumn="0" w:lastColumn="0" w:oddVBand="0" w:evenVBand="0" w:oddHBand="1" w:evenHBand="0" w:firstRowFirstColumn="0" w:firstRowLastColumn="0" w:lastRowFirstColumn="0" w:lastRowLastColumn="0"/>
        </w:trPr>
        <w:tc>
          <w:tcPr>
            <w:tcW w:w="2694"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tcPr>
          <w:p w14:paraId="3FF647A3" w14:textId="10BB0B85" w:rsidR="00965201" w:rsidRPr="005B3210" w:rsidRDefault="00965201" w:rsidP="00782849">
            <w:pPr>
              <w:pStyle w:val="TableNText"/>
              <w:rPr>
                <w:lang w:eastAsia="en-AU"/>
              </w:rPr>
            </w:pPr>
            <w:r w:rsidRPr="005B3210">
              <w:rPr>
                <w:lang w:eastAsia="en-AU"/>
              </w:rPr>
              <w:t>Net benefit</w:t>
            </w:r>
          </w:p>
        </w:tc>
        <w:tc>
          <w:tcPr>
            <w:tcW w:w="214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tcPr>
          <w:p w14:paraId="6626FE1F" w14:textId="6ED77A5C" w:rsidR="00965201" w:rsidRPr="00D871F8" w:rsidRDefault="00BE6288" w:rsidP="00782849">
            <w:pPr>
              <w:pStyle w:val="TableNText"/>
              <w:rPr>
                <w:lang w:eastAsia="en-AU"/>
              </w:rPr>
            </w:pPr>
            <w:r>
              <w:rPr>
                <w:lang w:eastAsia="en-AU"/>
              </w:rPr>
              <w:t>$</w:t>
            </w:r>
            <w:r w:rsidR="00FD7E86">
              <w:rPr>
                <w:lang w:eastAsia="en-AU"/>
              </w:rPr>
              <w:t>3</w:t>
            </w:r>
            <w:r>
              <w:rPr>
                <w:lang w:eastAsia="en-AU"/>
              </w:rPr>
              <w:t>.</w:t>
            </w:r>
            <w:r w:rsidR="00700A63">
              <w:rPr>
                <w:lang w:eastAsia="en-AU"/>
              </w:rPr>
              <w:t>8</w:t>
            </w:r>
            <w:r>
              <w:rPr>
                <w:lang w:eastAsia="en-AU"/>
              </w:rPr>
              <w:t>m</w:t>
            </w:r>
          </w:p>
        </w:tc>
        <w:tc>
          <w:tcPr>
            <w:tcW w:w="214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tcPr>
          <w:p w14:paraId="00EFD72A" w14:textId="2F3F51A3" w:rsidR="00965201" w:rsidRDefault="00965201" w:rsidP="00782849">
            <w:pPr>
              <w:pStyle w:val="TableNText"/>
              <w:rPr>
                <w:lang w:eastAsia="en-AU"/>
              </w:rPr>
            </w:pPr>
            <w:r>
              <w:rPr>
                <w:lang w:eastAsia="en-AU"/>
              </w:rPr>
              <w:t>$10</w:t>
            </w:r>
            <w:r w:rsidR="001D7D48">
              <w:rPr>
                <w:lang w:eastAsia="en-AU"/>
              </w:rPr>
              <w:t>.4</w:t>
            </w:r>
            <w:r>
              <w:rPr>
                <w:lang w:eastAsia="en-AU"/>
              </w:rPr>
              <w:t>m</w:t>
            </w:r>
          </w:p>
        </w:tc>
        <w:tc>
          <w:tcPr>
            <w:tcW w:w="214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tcPr>
          <w:p w14:paraId="0C1E08F4" w14:textId="10ABB2CD" w:rsidR="00965201" w:rsidRDefault="00881943" w:rsidP="00782849">
            <w:pPr>
              <w:pStyle w:val="TableNText"/>
              <w:rPr>
                <w:lang w:eastAsia="en-AU"/>
              </w:rPr>
            </w:pPr>
            <w:r>
              <w:rPr>
                <w:lang w:eastAsia="en-AU"/>
              </w:rPr>
              <w:t>$1</w:t>
            </w:r>
            <w:r w:rsidR="003D6EE5">
              <w:rPr>
                <w:lang w:eastAsia="en-AU"/>
              </w:rPr>
              <w:t>7</w:t>
            </w:r>
            <w:r w:rsidR="00CE6D11">
              <w:rPr>
                <w:lang w:eastAsia="en-AU"/>
              </w:rPr>
              <w:t>.</w:t>
            </w:r>
            <w:r w:rsidR="003D6EE5">
              <w:rPr>
                <w:lang w:eastAsia="en-AU"/>
              </w:rPr>
              <w:t>3</w:t>
            </w:r>
            <w:r>
              <w:rPr>
                <w:lang w:eastAsia="en-AU"/>
              </w:rPr>
              <w:t>m</w:t>
            </w:r>
          </w:p>
        </w:tc>
      </w:tr>
      <w:tr w:rsidR="00965201" w14:paraId="4E896DF1" w14:textId="77777777" w:rsidTr="00782849">
        <w:trPr>
          <w:cnfStyle w:val="000000010000" w:firstRow="0" w:lastRow="0" w:firstColumn="0" w:lastColumn="0" w:oddVBand="0" w:evenVBand="0" w:oddHBand="0" w:evenHBand="1" w:firstRowFirstColumn="0" w:firstRowLastColumn="0" w:lastRowFirstColumn="0" w:lastRowLastColumn="0"/>
        </w:trPr>
        <w:tc>
          <w:tcPr>
            <w:tcW w:w="2694"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tcPr>
          <w:p w14:paraId="0C6D9543" w14:textId="7A483F1A" w:rsidR="00965201" w:rsidRPr="005B3210" w:rsidRDefault="00965201" w:rsidP="00782849">
            <w:pPr>
              <w:pStyle w:val="TableNText"/>
              <w:rPr>
                <w:lang w:eastAsia="en-AU"/>
              </w:rPr>
            </w:pPr>
            <w:r w:rsidRPr="005B3210">
              <w:rPr>
                <w:lang w:eastAsia="en-AU"/>
              </w:rPr>
              <w:t>BCR</w:t>
            </w:r>
          </w:p>
        </w:tc>
        <w:tc>
          <w:tcPr>
            <w:tcW w:w="214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tcPr>
          <w:p w14:paraId="6303F0A6" w14:textId="25F72C5B" w:rsidR="00965201" w:rsidRPr="00D871F8" w:rsidRDefault="00BE6288" w:rsidP="00782849">
            <w:pPr>
              <w:pStyle w:val="TableNText"/>
              <w:rPr>
                <w:lang w:eastAsia="en-AU"/>
              </w:rPr>
            </w:pPr>
            <w:r>
              <w:rPr>
                <w:lang w:eastAsia="en-AU"/>
              </w:rPr>
              <w:t>1.</w:t>
            </w:r>
            <w:r w:rsidR="00700A63">
              <w:rPr>
                <w:lang w:eastAsia="en-AU"/>
              </w:rPr>
              <w:t>2</w:t>
            </w:r>
            <w:r w:rsidR="00FD7E86">
              <w:rPr>
                <w:lang w:eastAsia="en-AU"/>
              </w:rPr>
              <w:t>3</w:t>
            </w:r>
          </w:p>
        </w:tc>
        <w:tc>
          <w:tcPr>
            <w:tcW w:w="214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tcPr>
          <w:p w14:paraId="2933EAD2" w14:textId="71A56BFA" w:rsidR="00965201" w:rsidRDefault="00965201" w:rsidP="00782849">
            <w:pPr>
              <w:pStyle w:val="TableNText"/>
              <w:rPr>
                <w:lang w:eastAsia="en-AU"/>
              </w:rPr>
            </w:pPr>
            <w:r>
              <w:rPr>
                <w:lang w:eastAsia="en-AU"/>
              </w:rPr>
              <w:t>1.6</w:t>
            </w:r>
            <w:r w:rsidR="001D7D48">
              <w:rPr>
                <w:lang w:eastAsia="en-AU"/>
              </w:rPr>
              <w:t>4</w:t>
            </w:r>
          </w:p>
        </w:tc>
        <w:tc>
          <w:tcPr>
            <w:tcW w:w="2142"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tcPr>
          <w:p w14:paraId="47C43DF3" w14:textId="7B93DCF9" w:rsidR="00965201" w:rsidRDefault="00881943" w:rsidP="00782849">
            <w:pPr>
              <w:pStyle w:val="TableNText"/>
              <w:rPr>
                <w:lang w:eastAsia="en-AU"/>
              </w:rPr>
            </w:pPr>
            <w:r>
              <w:rPr>
                <w:lang w:eastAsia="en-AU"/>
              </w:rPr>
              <w:t>2.</w:t>
            </w:r>
            <w:r w:rsidR="003D6EE5">
              <w:rPr>
                <w:lang w:eastAsia="en-AU"/>
              </w:rPr>
              <w:t>06</w:t>
            </w:r>
          </w:p>
        </w:tc>
      </w:tr>
    </w:tbl>
    <w:p w14:paraId="1BCD5275" w14:textId="6A60906C" w:rsidR="007643BF" w:rsidRPr="00080B49" w:rsidRDefault="001C1CBC" w:rsidP="00EA4234">
      <w:pPr>
        <w:pStyle w:val="Heading3"/>
        <w:rPr>
          <w:rFonts w:eastAsiaTheme="minorHAnsi"/>
        </w:rPr>
      </w:pPr>
      <w:r>
        <w:rPr>
          <w:rFonts w:eastAsiaTheme="minorHAnsi"/>
        </w:rPr>
        <w:t xml:space="preserve">Three commercialised solutions from round one deliver </w:t>
      </w:r>
      <w:r w:rsidR="007643BF" w:rsidRPr="00080B49">
        <w:rPr>
          <w:rFonts w:eastAsiaTheme="minorHAnsi"/>
        </w:rPr>
        <w:t>$</w:t>
      </w:r>
      <w:r w:rsidR="00AC0EE7">
        <w:rPr>
          <w:rFonts w:eastAsiaTheme="minorHAnsi"/>
        </w:rPr>
        <w:t>1.1</w:t>
      </w:r>
      <w:r w:rsidR="007643BF" w:rsidRPr="0041755A">
        <w:rPr>
          <w:rFonts w:eastAsiaTheme="minorHAnsi"/>
        </w:rPr>
        <w:t xml:space="preserve"> </w:t>
      </w:r>
      <w:r w:rsidR="007643BF" w:rsidRPr="00080B49">
        <w:rPr>
          <w:rFonts w:eastAsiaTheme="minorHAnsi"/>
        </w:rPr>
        <w:t xml:space="preserve">million </w:t>
      </w:r>
      <w:r>
        <w:rPr>
          <w:rFonts w:eastAsiaTheme="minorHAnsi"/>
        </w:rPr>
        <w:t>in benefits</w:t>
      </w:r>
      <w:r w:rsidR="00E33C16">
        <w:rPr>
          <w:rFonts w:eastAsiaTheme="minorHAnsi"/>
        </w:rPr>
        <w:t>.</w:t>
      </w:r>
    </w:p>
    <w:p w14:paraId="7F44791B" w14:textId="46184CA0" w:rsidR="00E33C16" w:rsidRDefault="00E33C16" w:rsidP="00E33C16">
      <w:r>
        <w:t>The CBA focused analysis on three case studies to demonstrate the benefits achieved through successful government and SME partnerships that resulted in commercialised solutions. The three case studies chosen were the only round one solutions that had the data available to quantify their impact</w:t>
      </w:r>
      <w:r w:rsidR="00506610">
        <w:t xml:space="preserve"> at this stage</w:t>
      </w:r>
      <w:r>
        <w:t>.</w:t>
      </w:r>
    </w:p>
    <w:p w14:paraId="3D3FFC2E" w14:textId="17D160AC" w:rsidR="00383196" w:rsidRDefault="001D166B" w:rsidP="00E33C16">
      <w:r>
        <w:t xml:space="preserve">The </w:t>
      </w:r>
      <w:r w:rsidR="000F127E">
        <w:t xml:space="preserve">benefits from each of these </w:t>
      </w:r>
      <w:r w:rsidR="00370241">
        <w:t>solutions</w:t>
      </w:r>
      <w:r w:rsidR="000F127E">
        <w:t xml:space="preserve"> is modelled </w:t>
      </w:r>
      <w:r w:rsidR="00567B49">
        <w:t>using scenarios</w:t>
      </w:r>
      <w:r w:rsidR="00922364">
        <w:t xml:space="preserve">. Scenario estimates are based on assumptions </w:t>
      </w:r>
      <w:r w:rsidR="00394F89">
        <w:t>tested</w:t>
      </w:r>
      <w:r w:rsidR="00967AA1">
        <w:t xml:space="preserve"> </w:t>
      </w:r>
      <w:r w:rsidR="00394F89">
        <w:t>in</w:t>
      </w:r>
      <w:r w:rsidR="00967AA1">
        <w:t xml:space="preserve"> evaluation interviews</w:t>
      </w:r>
      <w:r w:rsidR="00922364">
        <w:t xml:space="preserve"> with </w:t>
      </w:r>
      <w:r w:rsidR="006D567E">
        <w:t>SMEs and Challenge Agencies</w:t>
      </w:r>
      <w:r w:rsidR="00CC186D">
        <w:t xml:space="preserve"> (a full list of </w:t>
      </w:r>
      <w:r w:rsidR="00394F89">
        <w:t>these assumptions</w:t>
      </w:r>
      <w:r w:rsidR="00CC186D">
        <w:t xml:space="preserve"> is provided in </w:t>
      </w:r>
      <w:r w:rsidR="00CC186D">
        <w:fldChar w:fldCharType="begin"/>
      </w:r>
      <w:r w:rsidR="00CC186D">
        <w:instrText xml:space="preserve"> REF _Ref76056850 \r \h </w:instrText>
      </w:r>
      <w:r w:rsidR="00CC186D">
        <w:fldChar w:fldCharType="separate"/>
      </w:r>
      <w:r w:rsidR="00AE607F">
        <w:t>Appendix G</w:t>
      </w:r>
      <w:r w:rsidR="00CC186D">
        <w:fldChar w:fldCharType="end"/>
      </w:r>
      <w:r w:rsidR="00CC186D">
        <w:t xml:space="preserve">). Each scenario </w:t>
      </w:r>
      <w:r w:rsidR="00E57C27">
        <w:t>provides a total</w:t>
      </w:r>
      <w:r w:rsidR="00CC186D">
        <w:t xml:space="preserve"> forecast </w:t>
      </w:r>
      <w:r w:rsidR="00E57C27">
        <w:t xml:space="preserve">benefit </w:t>
      </w:r>
      <w:r w:rsidR="00CC186D">
        <w:t xml:space="preserve">over a </w:t>
      </w:r>
      <w:r w:rsidR="00A05F1F">
        <w:t xml:space="preserve">five year horizon equal to the </w:t>
      </w:r>
      <w:r w:rsidR="00317997">
        <w:t>timeline used</w:t>
      </w:r>
      <w:r w:rsidR="00B6760C">
        <w:t xml:space="preserve"> in the SME</w:t>
      </w:r>
      <w:r w:rsidR="008F3956">
        <w:t xml:space="preserve"> component of the CBA (i.e. out until FY</w:t>
      </w:r>
      <w:r w:rsidR="003E322F">
        <w:t>24</w:t>
      </w:r>
      <w:r w:rsidR="00394F89">
        <w:t>/25</w:t>
      </w:r>
      <w:r w:rsidR="003E322F">
        <w:t>).</w:t>
      </w:r>
    </w:p>
    <w:p w14:paraId="4A8BBDB5" w14:textId="1C5A7F54" w:rsidR="00B15893" w:rsidRDefault="00B15893" w:rsidP="00E33C16">
      <w:r>
        <w:t xml:space="preserve">Two of the case studies resulted in benefits from improved government service delivery (see </w:t>
      </w:r>
      <w:r>
        <w:fldChar w:fldCharType="begin"/>
      </w:r>
      <w:r>
        <w:instrText xml:space="preserve"> REF _Ref76033570 \h </w:instrText>
      </w:r>
      <w:r>
        <w:fldChar w:fldCharType="separate"/>
      </w:r>
      <w:r w:rsidR="00AE607F">
        <w:t xml:space="preserve">Figure </w:t>
      </w:r>
      <w:r w:rsidR="00AE607F">
        <w:rPr>
          <w:noProof/>
        </w:rPr>
        <w:t>23</w:t>
      </w:r>
      <w:r>
        <w:fldChar w:fldCharType="end"/>
      </w:r>
      <w:r>
        <w:t>).</w:t>
      </w:r>
    </w:p>
    <w:p w14:paraId="0A7E368C" w14:textId="26C54191" w:rsidR="007643BF" w:rsidRDefault="007643BF" w:rsidP="007643BF">
      <w:pPr>
        <w:pStyle w:val="Caption"/>
      </w:pPr>
      <w:bookmarkStart w:id="107" w:name="_Ref76033570"/>
      <w:r>
        <w:lastRenderedPageBreak/>
        <w:t xml:space="preserve">Figure </w:t>
      </w:r>
      <w:r>
        <w:fldChar w:fldCharType="begin"/>
      </w:r>
      <w:r>
        <w:instrText xml:space="preserve"> SEQ Figure \* ARABIC </w:instrText>
      </w:r>
      <w:r>
        <w:fldChar w:fldCharType="separate"/>
      </w:r>
      <w:r w:rsidR="00870ADB">
        <w:rPr>
          <w:noProof/>
        </w:rPr>
        <w:t>24</w:t>
      </w:r>
      <w:r>
        <w:fldChar w:fldCharType="end"/>
      </w:r>
      <w:bookmarkEnd w:id="107"/>
      <w:r>
        <w:t xml:space="preserve"> | </w:t>
      </w:r>
      <w:r w:rsidR="00E04DEA">
        <w:t>Benefits from improved government service delivery</w:t>
      </w:r>
    </w:p>
    <w:p w14:paraId="7E499DD7" w14:textId="46AA71A8" w:rsidR="000752D2" w:rsidRPr="000752D2" w:rsidRDefault="000752D2" w:rsidP="000752D2">
      <w:r w:rsidRPr="000752D2">
        <w:rPr>
          <w:noProof/>
        </w:rPr>
        <w:drawing>
          <wp:inline distT="0" distB="0" distL="0" distR="0" wp14:anchorId="606763F7" wp14:editId="37EAF84E">
            <wp:extent cx="5670550" cy="3011170"/>
            <wp:effectExtent l="0" t="0" r="6350" b="0"/>
            <wp:docPr id="27867" name="Picture 27867" descr="Atamo. Implementation of the Atamo solution to address on-the-spot measurement of pyrethroid surface residue is estimated to contribute 7 hundred and fifty six thousand dollars in total avoided costs. Savings are mostly related to replacement of a slow and labour intensive method of testing for biosecurity risks.&#10;Converlens. Implementation of the Converlens solution to digitally enable community engagement in policy and program design is estimated to contribute 1 hundred and twenty 9 thousand dollars in avoided costs (reduced time to analyse consultation data). Consultation as part of this evaluation indicated that the solution saves time for government users in the 'back end' working with qualitative data captured through engagement with the pubic. For example, each time a public servant wants to explore a question using qualitative data then a query of that data is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7" name="Picture 27867" descr="Atamo. Implementation of the Atamo solution to address on-the-spot measurement of pyrethroid surface residue is estimated to contribute 7 hundred and fifty six thousand dollars in total avoided costs. Savings are mostly related to replacement of a slow and labour intensive method of testing for biosecurity risks.&#10;Converlens. Implementation of the Converlens solution to digitally enable community engagement in policy and program design is estimated to contribute 1 hundred and twenty 9 thousand dollars in avoided costs (reduced time to analyse consultation data). Consultation as part of this evaluation indicated that the solution saves time for government users in the 'back end' working with qualitative data captured through engagement with the pubic. For example, each time a public servant wants to explore a question using qualitative data then a query of that data is need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670550" cy="3011170"/>
                    </a:xfrm>
                    <a:prstGeom prst="rect">
                      <a:avLst/>
                    </a:prstGeom>
                    <a:noFill/>
                    <a:ln>
                      <a:noFill/>
                    </a:ln>
                  </pic:spPr>
                </pic:pic>
              </a:graphicData>
            </a:graphic>
          </wp:inline>
        </w:drawing>
      </w:r>
    </w:p>
    <w:p w14:paraId="2C96001A" w14:textId="7E2BBA08" w:rsidR="007643BF" w:rsidRPr="008572E3" w:rsidRDefault="007643BF" w:rsidP="007643BF">
      <w:pPr>
        <w:pStyle w:val="Source"/>
      </w:pPr>
      <w:r w:rsidRPr="008F3DA9">
        <w:t xml:space="preserve">Source: </w:t>
      </w:r>
      <w:r w:rsidR="00136038" w:rsidRPr="008F3DA9">
        <w:t>SME interviews and Challenge Agency interviews</w:t>
      </w:r>
    </w:p>
    <w:p w14:paraId="118EC030" w14:textId="6B6DA31C" w:rsidR="007643BF" w:rsidRPr="00BF7D14" w:rsidRDefault="000C5EF2" w:rsidP="007643BF">
      <w:pPr>
        <w:spacing w:before="240" w:line="257" w:lineRule="auto"/>
      </w:pPr>
      <w:r>
        <w:t xml:space="preserve">The third case study resulted in benefits from improved policy outcomes for government (see </w:t>
      </w:r>
      <w:r>
        <w:fldChar w:fldCharType="begin"/>
      </w:r>
      <w:r>
        <w:instrText xml:space="preserve"> REF _Ref76033627 \h </w:instrText>
      </w:r>
      <w:r>
        <w:fldChar w:fldCharType="separate"/>
      </w:r>
      <w:r w:rsidR="00AE607F">
        <w:t xml:space="preserve">Figure </w:t>
      </w:r>
      <w:r w:rsidR="00AE607F">
        <w:rPr>
          <w:noProof/>
        </w:rPr>
        <w:t>24</w:t>
      </w:r>
      <w:r>
        <w:fldChar w:fldCharType="end"/>
      </w:r>
      <w:r>
        <w:t>).</w:t>
      </w:r>
    </w:p>
    <w:p w14:paraId="2C6FA3A4" w14:textId="0D6AFEDD" w:rsidR="007643BF" w:rsidRDefault="007643BF" w:rsidP="007643BF">
      <w:pPr>
        <w:pStyle w:val="Caption"/>
      </w:pPr>
      <w:bookmarkStart w:id="108" w:name="_Ref76033627"/>
      <w:r>
        <w:t xml:space="preserve">Figure </w:t>
      </w:r>
      <w:r>
        <w:fldChar w:fldCharType="begin"/>
      </w:r>
      <w:r>
        <w:instrText xml:space="preserve"> SEQ Figure \* ARABIC </w:instrText>
      </w:r>
      <w:r>
        <w:fldChar w:fldCharType="separate"/>
      </w:r>
      <w:r w:rsidR="00870ADB">
        <w:rPr>
          <w:noProof/>
        </w:rPr>
        <w:t>25</w:t>
      </w:r>
      <w:r>
        <w:fldChar w:fldCharType="end"/>
      </w:r>
      <w:bookmarkEnd w:id="108"/>
      <w:r>
        <w:t xml:space="preserve"> | </w:t>
      </w:r>
      <w:r w:rsidR="00E04DEA">
        <w:t>Benefits from improved policy outcomes for government through Waterflow</w:t>
      </w:r>
    </w:p>
    <w:p w14:paraId="2252A2F4" w14:textId="277F501E" w:rsidR="0080258B" w:rsidRDefault="0080258B" w:rsidP="007643BF">
      <w:pPr>
        <w:pStyle w:val="Bullet"/>
        <w:numPr>
          <w:ilvl w:val="0"/>
          <w:numId w:val="0"/>
        </w:numPr>
      </w:pPr>
      <w:r w:rsidRPr="0080258B">
        <w:rPr>
          <w:noProof/>
        </w:rPr>
        <w:drawing>
          <wp:inline distT="0" distB="0" distL="0" distR="0" wp14:anchorId="66FB667D" wp14:editId="24321B4A">
            <wp:extent cx="5670550" cy="1529080"/>
            <wp:effectExtent l="0" t="0" r="6350" b="0"/>
            <wp:docPr id="27872" name="Picture 27872" descr="Implementation of the Marsden Jacob's Waterflow solution to improve transparency and reliability of water market information is estimated to contribute 1 hundred and eighty thousand dollars in time savings. Time savings mostly relate to more efficient processes for accessing water market intellig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72" name="Picture 27872" descr="Implementation of the Marsden Jacob's Waterflow solution to improve transparency and reliability of water market information is estimated to contribute 1 hundred and eighty thousand dollars in time savings. Time savings mostly relate to more efficient processes for accessing water market intelligenc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670550" cy="1529080"/>
                    </a:xfrm>
                    <a:prstGeom prst="rect">
                      <a:avLst/>
                    </a:prstGeom>
                    <a:noFill/>
                    <a:ln>
                      <a:noFill/>
                    </a:ln>
                  </pic:spPr>
                </pic:pic>
              </a:graphicData>
            </a:graphic>
          </wp:inline>
        </w:drawing>
      </w:r>
    </w:p>
    <w:p w14:paraId="43DC112F" w14:textId="647B01AB" w:rsidR="008F3DA9" w:rsidRPr="008572E3" w:rsidRDefault="008F3DA9" w:rsidP="0080258B">
      <w:pPr>
        <w:pStyle w:val="Bullet"/>
        <w:numPr>
          <w:ilvl w:val="0"/>
          <w:numId w:val="0"/>
        </w:numPr>
      </w:pPr>
      <w:r w:rsidRPr="008F3DA9">
        <w:t>Source: SME interviews and Challenge Agency interviews</w:t>
      </w:r>
    </w:p>
    <w:p w14:paraId="19FEF0BA" w14:textId="0F314D0A" w:rsidR="007643BF" w:rsidRDefault="007643BF">
      <w:pPr>
        <w:pStyle w:val="Heading3"/>
      </w:pPr>
      <w:bookmarkStart w:id="109" w:name="_Ref79137548"/>
      <w:r>
        <w:t>The BRII contributes to other benefits that are not captured as part of this CBA</w:t>
      </w:r>
      <w:bookmarkEnd w:id="109"/>
    </w:p>
    <w:p w14:paraId="3017E81A" w14:textId="785D56A5" w:rsidR="007643BF" w:rsidRPr="00FD2406" w:rsidRDefault="007D0B7E" w:rsidP="007643BF">
      <w:r>
        <w:t xml:space="preserve">The estimate of benefits </w:t>
      </w:r>
      <w:r w:rsidR="003C60A7">
        <w:t xml:space="preserve">in the CBA is conservative. </w:t>
      </w:r>
      <w:r w:rsidR="007643BF" w:rsidRPr="00FD2406">
        <w:t xml:space="preserve">There are </w:t>
      </w:r>
      <w:r w:rsidR="003C60A7">
        <w:t>several</w:t>
      </w:r>
      <w:r w:rsidR="007643BF" w:rsidRPr="00FD2406">
        <w:t xml:space="preserve"> benefits created for SMEs, government and society more broadly that are currently not measured (but might be into the future)</w:t>
      </w:r>
      <w:r w:rsidR="00331F53">
        <w:t>. These include:</w:t>
      </w:r>
    </w:p>
    <w:p w14:paraId="202FEA5D" w14:textId="3CE0659D" w:rsidR="007643BF" w:rsidRPr="00FD2406" w:rsidRDefault="00606EF1">
      <w:pPr>
        <w:pStyle w:val="Bullet"/>
      </w:pPr>
      <w:r>
        <w:rPr>
          <w:rFonts w:asciiTheme="majorHAnsi" w:hAnsiTheme="majorHAnsi" w:cstheme="majorHAnsi"/>
        </w:rPr>
        <w:t>O</w:t>
      </w:r>
      <w:r w:rsidRPr="00606EF1">
        <w:rPr>
          <w:rFonts w:asciiTheme="majorHAnsi" w:hAnsiTheme="majorHAnsi" w:cstheme="majorHAnsi"/>
        </w:rPr>
        <w:t>ther benefits for government and society from the three case study solutions beyond those accounted for in the CBA</w:t>
      </w:r>
      <w:r w:rsidR="007643BF" w:rsidRPr="00FD2406">
        <w:t>. For example, in the case of Waterflow and Converlens it is possible that the solutions are delivering outcomes more effectively (</w:t>
      </w:r>
      <w:r w:rsidR="00445FEA">
        <w:t>covered in the CBA</w:t>
      </w:r>
      <w:r w:rsidR="007643BF" w:rsidRPr="00FD2406">
        <w:t xml:space="preserve">) </w:t>
      </w:r>
      <w:r w:rsidR="007643BF" w:rsidRPr="00FD2406">
        <w:rPr>
          <w:i/>
          <w:iCs/>
        </w:rPr>
        <w:t>and</w:t>
      </w:r>
      <w:r w:rsidR="007643BF" w:rsidRPr="00FD2406">
        <w:t xml:space="preserve"> with higher quality outcomes (e.g. </w:t>
      </w:r>
      <w:r w:rsidR="00445FEA">
        <w:t xml:space="preserve">in the case of Waterflow this could involve </w:t>
      </w:r>
      <w:r w:rsidR="007643BF" w:rsidRPr="00FD2406">
        <w:t xml:space="preserve">more </w:t>
      </w:r>
      <w:r w:rsidR="007643BF" w:rsidRPr="008C7D76">
        <w:rPr>
          <w:i/>
        </w:rPr>
        <w:t>accurate</w:t>
      </w:r>
      <w:r w:rsidR="007643BF" w:rsidRPr="00FD2406">
        <w:t xml:space="preserve"> water market information and consultation queries</w:t>
      </w:r>
      <w:r w:rsidR="00445FEA">
        <w:t xml:space="preserve"> alongside</w:t>
      </w:r>
      <w:r w:rsidR="007643BF">
        <w:t xml:space="preserve"> time sav</w:t>
      </w:r>
      <w:r w:rsidR="00445FEA">
        <w:t>ings</w:t>
      </w:r>
      <w:r w:rsidR="007643BF" w:rsidRPr="00FD2406">
        <w:t xml:space="preserve">). </w:t>
      </w:r>
    </w:p>
    <w:p w14:paraId="693EBF1C" w14:textId="71B9835F" w:rsidR="007643BF" w:rsidRPr="00FD2406" w:rsidRDefault="007643BF">
      <w:pPr>
        <w:pStyle w:val="Bullet"/>
      </w:pPr>
      <w:r w:rsidRPr="4A9AC73B">
        <w:rPr>
          <w:rFonts w:asciiTheme="majorHAnsi" w:hAnsiTheme="majorHAnsi" w:cstheme="majorBidi"/>
        </w:rPr>
        <w:lastRenderedPageBreak/>
        <w:t>Benefits created from solutions that are not yet measurable.</w:t>
      </w:r>
      <w:r w:rsidRPr="00FD2406">
        <w:t xml:space="preserve"> For example, the digital solution (Itree’s REACH) to address BRII’s round one challenge of sharing information nationally to ensure child safety could drive significant </w:t>
      </w:r>
      <w:r w:rsidR="00997EDC">
        <w:t>benefits through a reduction in</w:t>
      </w:r>
      <w:r w:rsidRPr="00FD2406">
        <w:t xml:space="preserve"> the incidence of harm for children at risk.</w:t>
      </w:r>
      <w:r w:rsidRPr="00FD2406">
        <w:rPr>
          <w:rStyle w:val="FootnoteReference"/>
        </w:rPr>
        <w:footnoteReference w:id="54"/>
      </w:r>
      <w:r w:rsidRPr="00FD2406">
        <w:t xml:space="preserve">  Additionally, the technology solution (Atamo) for measuring pyrethroid surface residue is likely to reduce </w:t>
      </w:r>
      <w:r w:rsidR="006B51C6">
        <w:t>the</w:t>
      </w:r>
      <w:r w:rsidRPr="00FD2406">
        <w:t xml:space="preserve"> overall </w:t>
      </w:r>
      <w:r w:rsidR="006B51C6">
        <w:t>probability</w:t>
      </w:r>
      <w:r w:rsidRPr="00FD2406">
        <w:t xml:space="preserve"> of a costly biosecurity incident in Australia (where outbreaks can run into the millions of dollars).</w:t>
      </w:r>
      <w:r w:rsidR="00CF4287" w:rsidRPr="00FD2406">
        <w:rPr>
          <w:rStyle w:val="FootnoteReference"/>
        </w:rPr>
        <w:footnoteReference w:id="55"/>
      </w:r>
      <w:r w:rsidRPr="00FD2406">
        <w:t xml:space="preserve"> </w:t>
      </w:r>
      <w:r>
        <w:t xml:space="preserve">Given the </w:t>
      </w:r>
      <w:r w:rsidR="00D36EB5">
        <w:t xml:space="preserve">lack of data and </w:t>
      </w:r>
      <w:r>
        <w:t xml:space="preserve">the complex, high-consequence and </w:t>
      </w:r>
      <w:r w:rsidR="00D36EB5">
        <w:t xml:space="preserve">in some cases </w:t>
      </w:r>
      <w:r>
        <w:t>unquantifiable risk of some of these outcomes</w:t>
      </w:r>
      <w:r w:rsidRPr="00FD2406">
        <w:t xml:space="preserve"> </w:t>
      </w:r>
      <w:r>
        <w:t>they were not quantified</w:t>
      </w:r>
      <w:r w:rsidRPr="00FD2406">
        <w:t xml:space="preserve"> as part of this CBA.</w:t>
      </w:r>
    </w:p>
    <w:p w14:paraId="27368065" w14:textId="2D5773DF" w:rsidR="007643BF" w:rsidRPr="00FD2406" w:rsidRDefault="00266E75">
      <w:pPr>
        <w:pStyle w:val="Bullet"/>
      </w:pPr>
      <w:r>
        <w:rPr>
          <w:rFonts w:asciiTheme="majorHAnsi" w:hAnsiTheme="majorHAnsi" w:cstheme="majorBidi"/>
        </w:rPr>
        <w:t>N</w:t>
      </w:r>
      <w:r w:rsidRPr="00266E75">
        <w:rPr>
          <w:rFonts w:asciiTheme="majorHAnsi" w:hAnsiTheme="majorHAnsi" w:cstheme="majorBidi"/>
        </w:rPr>
        <w:t>on-monetary benefits that accrue to both round one SMEs and challenge agencies</w:t>
      </w:r>
      <w:r w:rsidR="007643BF" w:rsidRPr="4A9AC73B">
        <w:rPr>
          <w:rFonts w:asciiTheme="majorHAnsi" w:hAnsiTheme="majorHAnsi" w:cstheme="majorBidi"/>
        </w:rPr>
        <w:t>.</w:t>
      </w:r>
      <w:r w:rsidR="007643BF" w:rsidRPr="00FD2406">
        <w:t xml:space="preserve"> SMEs benefit from learning how to navigate government procurement</w:t>
      </w:r>
      <w:r w:rsidR="002D1718">
        <w:t>. A</w:t>
      </w:r>
      <w:r w:rsidR="007643BF" w:rsidRPr="00D36EB5">
        <w:t xml:space="preserve">gencies </w:t>
      </w:r>
      <w:r w:rsidR="002D1718">
        <w:t>benefit from an improved ability</w:t>
      </w:r>
      <w:r w:rsidR="007643BF" w:rsidRPr="00FD2406">
        <w:t xml:space="preserve"> to partner with smaller and innovative </w:t>
      </w:r>
      <w:r w:rsidR="002D1718">
        <w:t xml:space="preserve">SMEs </w:t>
      </w:r>
      <w:r w:rsidR="007643BF" w:rsidRPr="00FD2406">
        <w:t>into the future</w:t>
      </w:r>
      <w:r w:rsidR="007643BF" w:rsidRPr="00D36EB5">
        <w:t xml:space="preserve">. </w:t>
      </w:r>
      <w:r w:rsidR="002D1718">
        <w:t>One proxy measure of this</w:t>
      </w:r>
      <w:r w:rsidR="007643BF" w:rsidRPr="00D36EB5">
        <w:t xml:space="preserve"> is </w:t>
      </w:r>
      <w:r w:rsidR="002D1718">
        <w:t>the</w:t>
      </w:r>
      <w:r w:rsidR="007643BF" w:rsidRPr="00D36EB5">
        <w:t xml:space="preserve"> government procurement trends (sourced from </w:t>
      </w:r>
      <w:r w:rsidR="007011FA" w:rsidRPr="00D36EB5">
        <w:t>Aus</w:t>
      </w:r>
      <w:r w:rsidR="007011FA">
        <w:t>T</w:t>
      </w:r>
      <w:r w:rsidR="007011FA" w:rsidRPr="00D36EB5">
        <w:t>ender</w:t>
      </w:r>
      <w:r w:rsidR="007643BF" w:rsidRPr="00D36EB5">
        <w:t xml:space="preserve">) for the ten round one and round two BRII proof of concept SMEs that existed prior to participating in BRII. These SMEs </w:t>
      </w:r>
      <w:r w:rsidR="009634E6">
        <w:t xml:space="preserve">increased the </w:t>
      </w:r>
      <w:r w:rsidR="007643BF" w:rsidRPr="00D36EB5">
        <w:t xml:space="preserve">combined </w:t>
      </w:r>
      <w:r w:rsidR="009634E6">
        <w:t xml:space="preserve">cumulative </w:t>
      </w:r>
      <w:r w:rsidR="00814C97">
        <w:t xml:space="preserve">total </w:t>
      </w:r>
      <w:r w:rsidR="009634E6">
        <w:t xml:space="preserve">of government </w:t>
      </w:r>
      <w:r w:rsidR="00814C97">
        <w:t>contracts from</w:t>
      </w:r>
      <w:r w:rsidR="007643BF" w:rsidRPr="00D36EB5">
        <w:t xml:space="preserve"> 61 </w:t>
      </w:r>
      <w:r w:rsidR="00D5620E">
        <w:t xml:space="preserve">to 88. This resulted in a </w:t>
      </w:r>
      <w:r w:rsidR="00AA196A">
        <w:t>$10.1 million increase in the combined cumulative value</w:t>
      </w:r>
      <w:r w:rsidR="000A47FC">
        <w:t xml:space="preserve"> </w:t>
      </w:r>
      <w:r w:rsidR="004E77A3">
        <w:t xml:space="preserve">of </w:t>
      </w:r>
      <w:r w:rsidR="007643BF" w:rsidRPr="00D36EB5">
        <w:t xml:space="preserve">government contracts for </w:t>
      </w:r>
      <w:r w:rsidR="004E77A3">
        <w:t>those SMEs</w:t>
      </w:r>
      <w:r w:rsidR="007643BF" w:rsidRPr="00D36EB5">
        <w:t xml:space="preserve"> after their first involvement with the BRII.</w:t>
      </w:r>
      <w:r w:rsidR="003320AA" w:rsidRPr="00D36EB5">
        <w:rPr>
          <w:rStyle w:val="FootnoteReference"/>
        </w:rPr>
        <w:footnoteReference w:id="56"/>
      </w:r>
      <w:r w:rsidR="007643BF" w:rsidRPr="00D36EB5">
        <w:t xml:space="preserve"> </w:t>
      </w:r>
    </w:p>
    <w:p w14:paraId="70E879C1" w14:textId="6CD376FE" w:rsidR="007643BF" w:rsidRPr="00FD2406" w:rsidRDefault="00FD4A32">
      <w:pPr>
        <w:pStyle w:val="Bullet"/>
      </w:pPr>
      <w:r>
        <w:rPr>
          <w:rFonts w:asciiTheme="majorHAnsi" w:hAnsiTheme="majorHAnsi" w:cstheme="majorHAnsi"/>
        </w:rPr>
        <w:t>B</w:t>
      </w:r>
      <w:r w:rsidRPr="00FD4A32">
        <w:rPr>
          <w:rFonts w:asciiTheme="majorHAnsi" w:hAnsiTheme="majorHAnsi" w:cstheme="majorHAnsi"/>
        </w:rPr>
        <w:t>enefits that round one feasibility SMEs might create</w:t>
      </w:r>
      <w:r>
        <w:rPr>
          <w:rFonts w:asciiTheme="majorHAnsi" w:hAnsiTheme="majorHAnsi" w:cstheme="majorHAnsi"/>
        </w:rPr>
        <w:t xml:space="preserve"> through </w:t>
      </w:r>
      <w:r w:rsidR="008F6929">
        <w:rPr>
          <w:rFonts w:asciiTheme="majorHAnsi" w:hAnsiTheme="majorHAnsi" w:cstheme="majorHAnsi"/>
        </w:rPr>
        <w:t>the BRII</w:t>
      </w:r>
      <w:r w:rsidR="007643BF" w:rsidRPr="003112E4">
        <w:rPr>
          <w:rFonts w:asciiTheme="majorHAnsi" w:hAnsiTheme="majorHAnsi" w:cstheme="majorHAnsi"/>
        </w:rPr>
        <w:t xml:space="preserve">. </w:t>
      </w:r>
      <w:r w:rsidR="0070375D">
        <w:rPr>
          <w:rFonts w:asciiTheme="majorHAnsi" w:hAnsiTheme="majorHAnsi" w:cstheme="majorHAnsi"/>
        </w:rPr>
        <w:t>E</w:t>
      </w:r>
      <w:r w:rsidR="007643BF" w:rsidRPr="00FD2406">
        <w:t xml:space="preserve">ven SMEs that </w:t>
      </w:r>
      <w:r w:rsidR="007643BF">
        <w:t xml:space="preserve">only </w:t>
      </w:r>
      <w:r w:rsidR="007643BF" w:rsidRPr="00FD2406">
        <w:t>progress to the feasibility stage could continue to develop their idea or innovation without further BRII assistance. Even</w:t>
      </w:r>
      <w:r w:rsidR="007643BF" w:rsidRPr="00FD2406" w:rsidDel="00E23D92">
        <w:t xml:space="preserve"> </w:t>
      </w:r>
      <w:r w:rsidR="007643BF">
        <w:t>though they</w:t>
      </w:r>
      <w:r w:rsidR="007643BF" w:rsidRPr="00FD2406">
        <w:t xml:space="preserve"> receive no </w:t>
      </w:r>
      <w:r w:rsidR="007643BF">
        <w:t xml:space="preserve">further </w:t>
      </w:r>
      <w:r w:rsidR="007643BF" w:rsidRPr="00FD2406">
        <w:t xml:space="preserve">funding </w:t>
      </w:r>
      <w:r w:rsidR="00D93B89">
        <w:t>the BRII may have been a catalyst for their innovation or introduced them to partners or customers to support the commercialisation of their solution.</w:t>
      </w:r>
    </w:p>
    <w:p w14:paraId="2193E3DE" w14:textId="5F02DAB3" w:rsidR="007643BF" w:rsidRDefault="004212FF" w:rsidP="007643BF">
      <w:r>
        <w:t xml:space="preserve">As the BRII continues to mature </w:t>
      </w:r>
      <w:r w:rsidR="00E503DB">
        <w:t xml:space="preserve">and more rounds come to an end </w:t>
      </w:r>
      <w:r w:rsidR="00177F75" w:rsidRPr="00FD2406">
        <w:t>it may be possible to include these further benefits</w:t>
      </w:r>
      <w:r w:rsidR="00E503DB">
        <w:t>.</w:t>
      </w:r>
      <w:r w:rsidR="00A866C4">
        <w:t xml:space="preserve"> </w:t>
      </w:r>
      <w:r w:rsidR="006D1E74">
        <w:t xml:space="preserve">A high-level assessment of benefits that have and have not been estimated as part of the CBA is provided in </w:t>
      </w:r>
      <w:r w:rsidR="006D1E74">
        <w:fldChar w:fldCharType="begin"/>
      </w:r>
      <w:r w:rsidR="006D1E74">
        <w:instrText xml:space="preserve"> REF _Ref76056850 \r \h </w:instrText>
      </w:r>
      <w:r w:rsidR="006D1E74">
        <w:fldChar w:fldCharType="separate"/>
      </w:r>
      <w:r w:rsidR="00AE607F">
        <w:t>Appendix G</w:t>
      </w:r>
      <w:r w:rsidR="006D1E74">
        <w:fldChar w:fldCharType="end"/>
      </w:r>
      <w:r w:rsidR="006D1E74">
        <w:t>.</w:t>
      </w:r>
    </w:p>
    <w:p w14:paraId="41996DC7" w14:textId="522269AD" w:rsidR="007643BF" w:rsidRDefault="007643BF">
      <w:pPr>
        <w:pStyle w:val="Heading2"/>
      </w:pPr>
      <w:bookmarkStart w:id="110" w:name="_Ref75874916"/>
      <w:bookmarkStart w:id="111" w:name="_Toc124435157"/>
      <w:r w:rsidRPr="00E316CB">
        <w:lastRenderedPageBreak/>
        <w:t>Grant funding and program administration are the major costs for the BRII</w:t>
      </w:r>
      <w:bookmarkEnd w:id="110"/>
      <w:bookmarkEnd w:id="111"/>
    </w:p>
    <w:p w14:paraId="361532A0" w14:textId="39D1B264" w:rsidR="007643BF" w:rsidRPr="004A5F86" w:rsidRDefault="007643BF" w:rsidP="00EA4234">
      <w:pPr>
        <w:pStyle w:val="Heading3"/>
        <w:rPr>
          <w:rFonts w:eastAsiaTheme="minorHAnsi"/>
        </w:rPr>
      </w:pPr>
      <w:r>
        <w:rPr>
          <w:rFonts w:eastAsiaTheme="minorHAnsi"/>
        </w:rPr>
        <w:t xml:space="preserve">The </w:t>
      </w:r>
      <w:r w:rsidRPr="004A5F86">
        <w:rPr>
          <w:rFonts w:eastAsiaTheme="minorHAnsi"/>
        </w:rPr>
        <w:t>BRII is estimated to cost a total of $</w:t>
      </w:r>
      <w:r w:rsidRPr="0041755A">
        <w:rPr>
          <w:rFonts w:eastAsiaTheme="minorHAnsi"/>
        </w:rPr>
        <w:t>16.</w:t>
      </w:r>
      <w:r w:rsidR="00345D6E">
        <w:rPr>
          <w:rFonts w:eastAsiaTheme="minorHAnsi"/>
        </w:rPr>
        <w:t>4</w:t>
      </w:r>
      <w:r w:rsidRPr="004A5F86">
        <w:rPr>
          <w:rFonts w:eastAsiaTheme="minorHAnsi"/>
        </w:rPr>
        <w:t xml:space="preserve"> million </w:t>
      </w:r>
      <w:r w:rsidR="006834C1">
        <w:rPr>
          <w:rFonts w:eastAsiaTheme="minorHAnsi"/>
        </w:rPr>
        <w:t xml:space="preserve">for round one </w:t>
      </w:r>
      <w:r w:rsidRPr="004A5F86">
        <w:t>over the period FY</w:t>
      </w:r>
      <w:r w:rsidR="001A0921">
        <w:t>16/</w:t>
      </w:r>
      <w:r w:rsidRPr="004A5F86">
        <w:t>17 to FY24</w:t>
      </w:r>
      <w:r w:rsidR="001A0921">
        <w:t>/25</w:t>
      </w:r>
      <w:r w:rsidRPr="004A5F86">
        <w:t>.</w:t>
      </w:r>
    </w:p>
    <w:p w14:paraId="6643FAF7" w14:textId="77777777" w:rsidR="007643BF" w:rsidRPr="004A5F86" w:rsidRDefault="007643BF" w:rsidP="007643BF">
      <w:r w:rsidRPr="004A5F86">
        <w:t>Most costs for the BRII accrue to government, specifically DISER</w:t>
      </w:r>
      <w:r>
        <w:t xml:space="preserve"> </w:t>
      </w:r>
      <w:r w:rsidRPr="004A5F86">
        <w:t>and the challenge agencies participating in BRII.</w:t>
      </w:r>
      <w:r>
        <w:t xml:space="preserve"> </w:t>
      </w:r>
      <w:r w:rsidRPr="004A5F86">
        <w:t>The main cost components are outlined below:</w:t>
      </w:r>
    </w:p>
    <w:p w14:paraId="58FFC393" w14:textId="4C8D573A" w:rsidR="007643BF" w:rsidRPr="004A5F86" w:rsidRDefault="00907A2A">
      <w:pPr>
        <w:pStyle w:val="Bullet"/>
        <w:rPr>
          <w:rFonts w:eastAsiaTheme="minorHAnsi"/>
        </w:rPr>
      </w:pPr>
      <w:r>
        <w:rPr>
          <w:rFonts w:asciiTheme="majorHAnsi" w:eastAsiaTheme="minorHAnsi" w:hAnsiTheme="majorHAnsi" w:cstheme="majorHAnsi"/>
        </w:rPr>
        <w:t>Grant f</w:t>
      </w:r>
      <w:r w:rsidR="007643BF" w:rsidRPr="00E316CB">
        <w:rPr>
          <w:rFonts w:asciiTheme="majorHAnsi" w:eastAsiaTheme="minorHAnsi" w:hAnsiTheme="majorHAnsi" w:cstheme="majorHAnsi"/>
        </w:rPr>
        <w:t>unding costs</w:t>
      </w:r>
      <w:r w:rsidR="007643BF" w:rsidRPr="004A5F86">
        <w:rPr>
          <w:rFonts w:eastAsiaTheme="minorHAnsi"/>
        </w:rPr>
        <w:t xml:space="preserve"> </w:t>
      </w:r>
      <w:r w:rsidR="00604638">
        <w:rPr>
          <w:rFonts w:eastAsiaTheme="minorHAnsi"/>
        </w:rPr>
        <w:t>totalled</w:t>
      </w:r>
      <w:r w:rsidR="007643BF" w:rsidRPr="004A5F86">
        <w:rPr>
          <w:rFonts w:eastAsiaTheme="minorHAnsi"/>
        </w:rPr>
        <w:t xml:space="preserve"> $</w:t>
      </w:r>
      <w:r w:rsidR="007643BF">
        <w:rPr>
          <w:rFonts w:eastAsiaTheme="minorHAnsi"/>
        </w:rPr>
        <w:t>13.2</w:t>
      </w:r>
      <w:r w:rsidR="007643BF" w:rsidRPr="004A5F86">
        <w:rPr>
          <w:rFonts w:eastAsiaTheme="minorHAnsi"/>
        </w:rPr>
        <w:t xml:space="preserve"> million for round one</w:t>
      </w:r>
      <w:r>
        <w:rPr>
          <w:rFonts w:eastAsiaTheme="minorHAnsi"/>
        </w:rPr>
        <w:t xml:space="preserve">. This included </w:t>
      </w:r>
      <w:r w:rsidR="007643BF" w:rsidRPr="004A5F86">
        <w:rPr>
          <w:rFonts w:eastAsiaTheme="minorHAnsi"/>
        </w:rPr>
        <w:t>$</w:t>
      </w:r>
      <w:r w:rsidR="007643BF">
        <w:rPr>
          <w:rFonts w:eastAsiaTheme="minorHAnsi"/>
        </w:rPr>
        <w:t>2.4</w:t>
      </w:r>
      <w:r w:rsidR="007643BF" w:rsidRPr="004A5F86">
        <w:rPr>
          <w:rFonts w:eastAsiaTheme="minorHAnsi"/>
        </w:rPr>
        <w:t xml:space="preserve"> million in feasibility funding and $</w:t>
      </w:r>
      <w:r w:rsidR="007643BF">
        <w:rPr>
          <w:rFonts w:eastAsiaTheme="minorHAnsi"/>
        </w:rPr>
        <w:t>10.7</w:t>
      </w:r>
      <w:r w:rsidR="007643BF" w:rsidRPr="004A5F86">
        <w:rPr>
          <w:rFonts w:eastAsiaTheme="minorHAnsi"/>
        </w:rPr>
        <w:t xml:space="preserve"> million in </w:t>
      </w:r>
      <w:r w:rsidR="007643BF">
        <w:rPr>
          <w:rFonts w:eastAsiaTheme="minorHAnsi"/>
        </w:rPr>
        <w:t>proof of concept</w:t>
      </w:r>
      <w:r w:rsidR="007643BF" w:rsidRPr="004A5F86">
        <w:rPr>
          <w:rFonts w:eastAsiaTheme="minorHAnsi"/>
        </w:rPr>
        <w:t xml:space="preserve"> funding.</w:t>
      </w:r>
      <w:r w:rsidR="007643BF">
        <w:rPr>
          <w:rFonts w:eastAsiaTheme="minorHAnsi"/>
        </w:rPr>
        <w:t xml:space="preserve"> Note that </w:t>
      </w:r>
      <w:r w:rsidR="00433021">
        <w:rPr>
          <w:rFonts w:eastAsiaTheme="minorHAnsi"/>
        </w:rPr>
        <w:t xml:space="preserve">the </w:t>
      </w:r>
      <w:r w:rsidR="007643BF">
        <w:rPr>
          <w:rFonts w:eastAsiaTheme="minorHAnsi"/>
        </w:rPr>
        <w:t xml:space="preserve">feasibility costs for all SMEs in round one are included to reflect the </w:t>
      </w:r>
      <w:r w:rsidR="007152A0">
        <w:rPr>
          <w:rFonts w:eastAsiaTheme="minorHAnsi"/>
        </w:rPr>
        <w:t xml:space="preserve">intention of the BRII design to support </w:t>
      </w:r>
      <w:r w:rsidR="004321F2">
        <w:rPr>
          <w:rFonts w:eastAsiaTheme="minorHAnsi"/>
        </w:rPr>
        <w:t>multiple SMEs through feasibility to reach</w:t>
      </w:r>
      <w:r w:rsidR="007643BF">
        <w:rPr>
          <w:rFonts w:eastAsiaTheme="minorHAnsi"/>
        </w:rPr>
        <w:t xml:space="preserve"> the </w:t>
      </w:r>
      <w:r w:rsidR="004321F2">
        <w:rPr>
          <w:rFonts w:eastAsiaTheme="minorHAnsi"/>
        </w:rPr>
        <w:t>best solution at the end</w:t>
      </w:r>
      <w:r w:rsidR="007643BF">
        <w:rPr>
          <w:rFonts w:eastAsiaTheme="minorHAnsi"/>
        </w:rPr>
        <w:t xml:space="preserve"> of </w:t>
      </w:r>
      <w:r w:rsidR="004321F2">
        <w:rPr>
          <w:rFonts w:eastAsiaTheme="minorHAnsi"/>
        </w:rPr>
        <w:t>the proof of concept</w:t>
      </w:r>
      <w:r w:rsidR="007643BF">
        <w:rPr>
          <w:rFonts w:eastAsiaTheme="minorHAnsi"/>
        </w:rPr>
        <w:t>.</w:t>
      </w:r>
    </w:p>
    <w:p w14:paraId="66FEC32E" w14:textId="60CA9788" w:rsidR="007643BF" w:rsidRDefault="007643BF">
      <w:pPr>
        <w:pStyle w:val="Bullet"/>
        <w:rPr>
          <w:rFonts w:eastAsiaTheme="minorHAnsi"/>
        </w:rPr>
      </w:pPr>
      <w:r w:rsidRPr="00E316CB">
        <w:rPr>
          <w:rFonts w:asciiTheme="majorHAnsi" w:eastAsiaTheme="minorHAnsi" w:hAnsiTheme="majorHAnsi" w:cstheme="majorHAnsi"/>
        </w:rPr>
        <w:t>Program administration costs</w:t>
      </w:r>
      <w:r w:rsidRPr="004A5F86">
        <w:rPr>
          <w:rFonts w:eastAsiaTheme="minorHAnsi"/>
        </w:rPr>
        <w:t xml:space="preserve"> for running </w:t>
      </w:r>
      <w:r>
        <w:rPr>
          <w:rFonts w:eastAsiaTheme="minorHAnsi"/>
        </w:rPr>
        <w:t xml:space="preserve">the </w:t>
      </w:r>
      <w:r w:rsidRPr="004A5F86">
        <w:rPr>
          <w:rFonts w:eastAsiaTheme="minorHAnsi"/>
        </w:rPr>
        <w:t xml:space="preserve">BRII </w:t>
      </w:r>
      <w:r w:rsidR="004321F2">
        <w:rPr>
          <w:rFonts w:eastAsiaTheme="minorHAnsi"/>
        </w:rPr>
        <w:t>totalled</w:t>
      </w:r>
      <w:r w:rsidRPr="004A5F86">
        <w:rPr>
          <w:rFonts w:eastAsiaTheme="minorHAnsi"/>
        </w:rPr>
        <w:t xml:space="preserve"> $</w:t>
      </w:r>
      <w:r w:rsidRPr="0041755A">
        <w:rPr>
          <w:rFonts w:eastAsiaTheme="minorHAnsi"/>
        </w:rPr>
        <w:t>3.</w:t>
      </w:r>
      <w:r w:rsidR="00BB1011">
        <w:rPr>
          <w:rFonts w:eastAsiaTheme="minorHAnsi"/>
        </w:rPr>
        <w:t>1</w:t>
      </w:r>
      <w:r w:rsidRPr="004A5F86">
        <w:rPr>
          <w:rFonts w:eastAsiaTheme="minorHAnsi"/>
        </w:rPr>
        <w:t xml:space="preserve"> million. Only those program administration costs needed to support the delivery of </w:t>
      </w:r>
      <w:r>
        <w:rPr>
          <w:rFonts w:eastAsiaTheme="minorHAnsi"/>
        </w:rPr>
        <w:t xml:space="preserve">the </w:t>
      </w:r>
      <w:r w:rsidRPr="004A5F86">
        <w:rPr>
          <w:rFonts w:eastAsiaTheme="minorHAnsi"/>
        </w:rPr>
        <w:t>BRII round one are included.</w:t>
      </w:r>
    </w:p>
    <w:p w14:paraId="5692A150" w14:textId="35D13248" w:rsidR="007643BF" w:rsidRPr="00D96C0D" w:rsidRDefault="009C7118">
      <w:pPr>
        <w:pStyle w:val="Bullet"/>
        <w:rPr>
          <w:rFonts w:eastAsiaTheme="minorHAnsi"/>
        </w:rPr>
      </w:pPr>
      <w:r>
        <w:rPr>
          <w:rFonts w:asciiTheme="majorHAnsi" w:eastAsiaTheme="minorHAnsi" w:hAnsiTheme="majorHAnsi" w:cstheme="majorHAnsi"/>
        </w:rPr>
        <w:t>Challenge agency l</w:t>
      </w:r>
      <w:r w:rsidR="007643BF" w:rsidRPr="00E316CB">
        <w:rPr>
          <w:rFonts w:asciiTheme="majorHAnsi" w:eastAsiaTheme="minorHAnsi" w:hAnsiTheme="majorHAnsi" w:cstheme="majorHAnsi"/>
        </w:rPr>
        <w:t>abour costs</w:t>
      </w:r>
      <w:r w:rsidR="007643BF" w:rsidRPr="00D96C0D">
        <w:rPr>
          <w:rFonts w:eastAsiaTheme="minorHAnsi"/>
        </w:rPr>
        <w:t xml:space="preserve"> </w:t>
      </w:r>
      <w:r>
        <w:rPr>
          <w:rFonts w:eastAsiaTheme="minorHAnsi"/>
        </w:rPr>
        <w:t>totalled</w:t>
      </w:r>
      <w:r w:rsidR="007643BF" w:rsidRPr="00D96C0D">
        <w:rPr>
          <w:rFonts w:eastAsiaTheme="minorHAnsi"/>
        </w:rPr>
        <w:t xml:space="preserve"> $</w:t>
      </w:r>
      <w:r w:rsidR="007643BF" w:rsidRPr="0041755A">
        <w:rPr>
          <w:rFonts w:eastAsiaTheme="minorHAnsi"/>
        </w:rPr>
        <w:t>0.1</w:t>
      </w:r>
      <w:r w:rsidR="007643BF" w:rsidRPr="00D96C0D">
        <w:rPr>
          <w:rFonts w:eastAsiaTheme="minorHAnsi"/>
        </w:rPr>
        <w:t xml:space="preserve"> million</w:t>
      </w:r>
      <w:r>
        <w:rPr>
          <w:rFonts w:eastAsiaTheme="minorHAnsi"/>
        </w:rPr>
        <w:t>. This reflected</w:t>
      </w:r>
      <w:r w:rsidR="007643BF" w:rsidRPr="00D96C0D">
        <w:rPr>
          <w:rFonts w:eastAsiaTheme="minorHAnsi"/>
        </w:rPr>
        <w:t xml:space="preserve"> </w:t>
      </w:r>
      <w:r w:rsidR="007643BF">
        <w:rPr>
          <w:rFonts w:eastAsiaTheme="minorHAnsi"/>
        </w:rPr>
        <w:t xml:space="preserve">the </w:t>
      </w:r>
      <w:r>
        <w:rPr>
          <w:rFonts w:eastAsiaTheme="minorHAnsi"/>
        </w:rPr>
        <w:t>cost for</w:t>
      </w:r>
      <w:r w:rsidR="007643BF" w:rsidRPr="00D96C0D">
        <w:rPr>
          <w:rFonts w:eastAsiaTheme="minorHAnsi"/>
        </w:rPr>
        <w:t xml:space="preserve"> challenge agencies to commit time to </w:t>
      </w:r>
      <w:r>
        <w:rPr>
          <w:rFonts w:eastAsiaTheme="minorHAnsi"/>
        </w:rPr>
        <w:t>guide</w:t>
      </w:r>
      <w:r w:rsidR="007643BF" w:rsidRPr="00D96C0D">
        <w:rPr>
          <w:rFonts w:eastAsiaTheme="minorHAnsi"/>
        </w:rPr>
        <w:t xml:space="preserve"> SMEs in the development of the solution.</w:t>
      </w:r>
    </w:p>
    <w:p w14:paraId="52435F97" w14:textId="180E9A3E" w:rsidR="007643BF" w:rsidRDefault="007643BF" w:rsidP="008A42C2">
      <w:pPr>
        <w:pStyle w:val="TableNBullet"/>
        <w:numPr>
          <w:ilvl w:val="0"/>
          <w:numId w:val="0"/>
        </w:numPr>
        <w:spacing w:after="240" w:line="257" w:lineRule="auto"/>
        <w:rPr>
          <w:rFonts w:eastAsiaTheme="minorHAnsi"/>
          <w:sz w:val="19"/>
        </w:rPr>
      </w:pPr>
      <w:r w:rsidRPr="00D96C0D">
        <w:rPr>
          <w:rFonts w:eastAsiaTheme="minorHAnsi"/>
          <w:sz w:val="19"/>
        </w:rPr>
        <w:t>It should be noted that there are costs that accrue to SMEs in the form of opportunities costs for time taken to apply to BRII</w:t>
      </w:r>
      <w:r w:rsidR="00800835">
        <w:rPr>
          <w:rFonts w:eastAsiaTheme="minorHAnsi"/>
          <w:sz w:val="19"/>
        </w:rPr>
        <w:t xml:space="preserve"> and to meet ongoing reporting requirements</w:t>
      </w:r>
      <w:r w:rsidRPr="00D96C0D">
        <w:rPr>
          <w:rFonts w:eastAsiaTheme="minorHAnsi"/>
          <w:sz w:val="19"/>
        </w:rPr>
        <w:t xml:space="preserve">. However, these costs are considered negligible or at least offset by the BRII funding </w:t>
      </w:r>
      <w:r w:rsidR="008024D2">
        <w:rPr>
          <w:rFonts w:eastAsiaTheme="minorHAnsi"/>
          <w:sz w:val="19"/>
        </w:rPr>
        <w:t>that SMEs receive</w:t>
      </w:r>
      <w:r w:rsidRPr="00D96C0D">
        <w:rPr>
          <w:rFonts w:eastAsiaTheme="minorHAnsi"/>
          <w:sz w:val="19"/>
        </w:rPr>
        <w:t>.</w:t>
      </w:r>
    </w:p>
    <w:tbl>
      <w:tblPr>
        <w:tblStyle w:val="NousLongformcallout"/>
        <w:tblW w:w="5000" w:type="pct"/>
        <w:tblCellMar>
          <w:top w:w="170" w:type="dxa"/>
          <w:bottom w:w="170" w:type="dxa"/>
        </w:tblCellMar>
        <w:tblLook w:val="04A0" w:firstRow="1" w:lastRow="0" w:firstColumn="1" w:lastColumn="0" w:noHBand="0" w:noVBand="1"/>
      </w:tblPr>
      <w:tblGrid>
        <w:gridCol w:w="8907"/>
      </w:tblGrid>
      <w:tr w:rsidR="00120DF0" w14:paraId="51FED210" w14:textId="77777777" w:rsidTr="002F5C29">
        <w:tc>
          <w:tcPr>
            <w:tcW w:w="5000" w:type="pct"/>
          </w:tcPr>
          <w:p w14:paraId="1BFE84AC" w14:textId="77777777" w:rsidR="00120DF0" w:rsidRPr="00026EE5" w:rsidRDefault="00120DF0" w:rsidP="006F28A6">
            <w:pPr>
              <w:pStyle w:val="TableNheader"/>
            </w:pPr>
            <w:r w:rsidRPr="00026EE5">
              <w:t>Spillovers and unintended consequences</w:t>
            </w:r>
          </w:p>
          <w:p w14:paraId="55E875DF" w14:textId="3997EF21" w:rsidR="00120DF0" w:rsidRPr="00026EE5" w:rsidRDefault="00F22CD3" w:rsidP="006F28A6">
            <w:pPr>
              <w:pStyle w:val="TableNText"/>
            </w:pPr>
            <w:r w:rsidRPr="00026EE5">
              <w:t xml:space="preserve">Program staff and challenge agency participants also indicated through evaluation interviews that the BRII </w:t>
            </w:r>
            <w:r w:rsidR="005B48F9">
              <w:t>had exposed them</w:t>
            </w:r>
            <w:r w:rsidRPr="00026EE5">
              <w:t xml:space="preserve"> to </w:t>
            </w:r>
            <w:r w:rsidR="005B48F9">
              <w:t>new ways of working that supported innovation</w:t>
            </w:r>
            <w:r w:rsidRPr="00026EE5">
              <w:t xml:space="preserve"> in </w:t>
            </w:r>
            <w:r w:rsidR="005B48F9">
              <w:t>their</w:t>
            </w:r>
            <w:r w:rsidRPr="00026EE5">
              <w:t xml:space="preserve"> roles</w:t>
            </w:r>
            <w:r w:rsidR="005B48F9">
              <w:t xml:space="preserve">. For example, one challenge agency participant noted that they had </w:t>
            </w:r>
            <w:r w:rsidR="00783AFA">
              <w:t xml:space="preserve">learnt about design thinking methodologies through their engagement with the BRII and had taken these learnings into other programs and initiatives they were involved in. </w:t>
            </w:r>
            <w:r w:rsidR="00557C70">
              <w:t>Some stakeholders highlighted this as a spillover or unintended impact of the program</w:t>
            </w:r>
            <w:r w:rsidRPr="00026EE5">
              <w:t>.</w:t>
            </w:r>
            <w:r>
              <w:rPr>
                <w:bCs/>
              </w:rPr>
              <w:t xml:space="preserve"> The impact that the BRII ha</w:t>
            </w:r>
            <w:r w:rsidR="008D092F">
              <w:rPr>
                <w:bCs/>
              </w:rPr>
              <w:t>d</w:t>
            </w:r>
            <w:r>
              <w:rPr>
                <w:bCs/>
              </w:rPr>
              <w:t xml:space="preserve"> on workforce capability</w:t>
            </w:r>
            <w:r w:rsidR="008D092F">
              <w:rPr>
                <w:bCs/>
              </w:rPr>
              <w:t xml:space="preserve"> indicates the potential for greater impact on APS capability should the BRII expand.</w:t>
            </w:r>
          </w:p>
        </w:tc>
      </w:tr>
    </w:tbl>
    <w:p w14:paraId="4AC196EE" w14:textId="01E11FC4" w:rsidR="00272B83" w:rsidRPr="006E520A" w:rsidRDefault="00272B83">
      <w:pPr>
        <w:pStyle w:val="Heading2"/>
      </w:pPr>
      <w:bookmarkStart w:id="112" w:name="_Ref75900793"/>
      <w:bookmarkStart w:id="113" w:name="_Ref75966079"/>
      <w:bookmarkStart w:id="114" w:name="_Toc124435158"/>
      <w:r>
        <w:t xml:space="preserve">The BRII had a </w:t>
      </w:r>
      <w:r w:rsidR="009129D1">
        <w:t xml:space="preserve">similar </w:t>
      </w:r>
      <w:r>
        <w:t>benefit-cost ratio</w:t>
      </w:r>
      <w:bookmarkEnd w:id="112"/>
      <w:r>
        <w:t xml:space="preserve"> </w:t>
      </w:r>
      <w:r w:rsidR="008D337D">
        <w:t xml:space="preserve">to </w:t>
      </w:r>
      <w:r>
        <w:t>the UK SBRI</w:t>
      </w:r>
      <w:bookmarkEnd w:id="113"/>
      <w:bookmarkEnd w:id="114"/>
    </w:p>
    <w:p w14:paraId="7FC80D89" w14:textId="5157F4A1" w:rsidR="00272B83" w:rsidRDefault="00272B83" w:rsidP="00272B83">
      <w:pPr>
        <w:rPr>
          <w:lang w:eastAsia="en-AU"/>
        </w:rPr>
      </w:pPr>
      <w:r>
        <w:rPr>
          <w:lang w:eastAsia="en-AU"/>
        </w:rPr>
        <w:t xml:space="preserve">The </w:t>
      </w:r>
      <w:r w:rsidR="006834C1">
        <w:rPr>
          <w:lang w:eastAsia="en-AU"/>
        </w:rPr>
        <w:t xml:space="preserve">UK </w:t>
      </w:r>
      <w:r>
        <w:rPr>
          <w:lang w:eastAsia="en-AU"/>
        </w:rPr>
        <w:t xml:space="preserve">SBRI has had a similar CBA completed to that conducted in this evaluation. Based on this a reliable comparison can be made between the </w:t>
      </w:r>
      <w:r w:rsidR="006834C1">
        <w:rPr>
          <w:lang w:eastAsia="en-AU"/>
        </w:rPr>
        <w:t xml:space="preserve">BCR </w:t>
      </w:r>
      <w:r>
        <w:rPr>
          <w:lang w:eastAsia="en-AU"/>
        </w:rPr>
        <w:t>of each (specific references for data are provided in the summary tables below).</w:t>
      </w:r>
    </w:p>
    <w:p w14:paraId="235E3297" w14:textId="6E6262B8" w:rsidR="008D337D" w:rsidRDefault="008D337D" w:rsidP="00272B83">
      <w:pPr>
        <w:rPr>
          <w:lang w:eastAsia="en-AU"/>
        </w:rPr>
      </w:pPr>
      <w:bookmarkStart w:id="115" w:name="_Ref75900816"/>
      <w:r>
        <w:rPr>
          <w:lang w:eastAsia="en-AU"/>
        </w:rPr>
        <w:t>T</w:t>
      </w:r>
      <w:r w:rsidRPr="001E2AA7">
        <w:rPr>
          <w:lang w:eastAsia="en-AU"/>
        </w:rPr>
        <w:t xml:space="preserve">he BRII </w:t>
      </w:r>
      <w:r>
        <w:rPr>
          <w:lang w:eastAsia="en-AU"/>
        </w:rPr>
        <w:t xml:space="preserve">BCR </w:t>
      </w:r>
      <w:r w:rsidRPr="001E2AA7">
        <w:rPr>
          <w:lang w:eastAsia="en-AU"/>
        </w:rPr>
        <w:t xml:space="preserve">result is </w:t>
      </w:r>
      <w:r>
        <w:rPr>
          <w:lang w:eastAsia="en-AU"/>
        </w:rPr>
        <w:t xml:space="preserve">comparable to the BCR for the </w:t>
      </w:r>
      <w:r w:rsidRPr="001E2AA7">
        <w:rPr>
          <w:lang w:eastAsia="en-AU"/>
        </w:rPr>
        <w:t xml:space="preserve">UK </w:t>
      </w:r>
      <w:r>
        <w:rPr>
          <w:lang w:eastAsia="en-AU"/>
        </w:rPr>
        <w:t>SBRI</w:t>
      </w:r>
      <w:r w:rsidRPr="001E2AA7">
        <w:rPr>
          <w:lang w:eastAsia="en-AU"/>
        </w:rPr>
        <w:t xml:space="preserve"> according to a 2015 </w:t>
      </w:r>
      <w:r w:rsidR="006834C1">
        <w:rPr>
          <w:lang w:eastAsia="en-AU"/>
        </w:rPr>
        <w:t>CBA</w:t>
      </w:r>
      <w:r>
        <w:rPr>
          <w:lang w:eastAsia="en-AU"/>
        </w:rPr>
        <w:t>.</w:t>
      </w:r>
      <w:r w:rsidRPr="001E2AA7">
        <w:rPr>
          <w:lang w:eastAsia="en-AU"/>
        </w:rPr>
        <w:t xml:space="preserve"> </w:t>
      </w:r>
      <w:r>
        <w:rPr>
          <w:lang w:eastAsia="en-AU"/>
        </w:rPr>
        <w:t xml:space="preserve">The UK SBRI achieved a BCR of 1.6 (with self-reported benefits) and 2.4 (based only on econometric </w:t>
      </w:r>
      <w:r>
        <w:rPr>
          <w:lang w:eastAsia="en-AU"/>
        </w:rPr>
        <w:lastRenderedPageBreak/>
        <w:t>estimates)</w:t>
      </w:r>
      <w:r w:rsidR="005115ED">
        <w:rPr>
          <w:lang w:eastAsia="en-AU"/>
        </w:rPr>
        <w:t>.</w:t>
      </w:r>
      <w:r>
        <w:rPr>
          <w:rStyle w:val="FootnoteReference"/>
          <w:lang w:eastAsia="en-AU"/>
        </w:rPr>
        <w:footnoteReference w:id="57"/>
      </w:r>
      <w:r>
        <w:rPr>
          <w:lang w:eastAsia="en-AU"/>
        </w:rPr>
        <w:t xml:space="preserve"> However, the UK SBRI BCR used a lower base case discount rate of 3 per cent. At the 3 per cent discount rate, the BRII BCR is 1.9. Adjustment of some other model assumptions away from base case in the BRII example can result in a BCR even closer to the upper bound of the UK SBRI result. This highlights potential for further impact for the BRII.</w:t>
      </w:r>
    </w:p>
    <w:bookmarkEnd w:id="115"/>
    <w:p w14:paraId="38BC423F" w14:textId="7A4817B4" w:rsidR="00272B83" w:rsidRDefault="00D57268" w:rsidP="00272B83">
      <w:pPr>
        <w:rPr>
          <w:lang w:eastAsia="en-AU"/>
        </w:rPr>
      </w:pPr>
      <w:r>
        <w:rPr>
          <w:lang w:eastAsia="en-AU"/>
        </w:rPr>
        <w:t xml:space="preserve">Both BRII and </w:t>
      </w:r>
      <w:r w:rsidR="00761D79">
        <w:rPr>
          <w:lang w:eastAsia="en-AU"/>
        </w:rPr>
        <w:t xml:space="preserve">UK </w:t>
      </w:r>
      <w:r>
        <w:rPr>
          <w:lang w:eastAsia="en-AU"/>
        </w:rPr>
        <w:t xml:space="preserve">SBRI </w:t>
      </w:r>
      <w:r w:rsidR="00E75E21">
        <w:rPr>
          <w:lang w:eastAsia="en-AU"/>
        </w:rPr>
        <w:t xml:space="preserve">adopted an approach that </w:t>
      </w:r>
      <w:r w:rsidR="00C92BC0">
        <w:rPr>
          <w:lang w:eastAsia="en-AU"/>
        </w:rPr>
        <w:t>quantified the</w:t>
      </w:r>
      <w:r w:rsidR="00D55513">
        <w:rPr>
          <w:lang w:eastAsia="en-AU"/>
        </w:rPr>
        <w:t xml:space="preserve"> </w:t>
      </w:r>
      <w:r w:rsidR="001500C5">
        <w:rPr>
          <w:lang w:eastAsia="en-AU"/>
        </w:rPr>
        <w:t>improved business performance of SMEs</w:t>
      </w:r>
      <w:r w:rsidR="00272B83">
        <w:rPr>
          <w:lang w:eastAsia="en-AU"/>
        </w:rPr>
        <w:t xml:space="preserve"> </w:t>
      </w:r>
      <w:r w:rsidR="00214867">
        <w:rPr>
          <w:lang w:eastAsia="en-AU"/>
        </w:rPr>
        <w:t xml:space="preserve">as a driver of benefits. Similar costs were also included in both </w:t>
      </w:r>
      <w:r w:rsidR="009C7E45">
        <w:rPr>
          <w:lang w:eastAsia="en-AU"/>
        </w:rPr>
        <w:t>cases. However</w:t>
      </w:r>
      <w:r w:rsidR="00214867">
        <w:rPr>
          <w:lang w:eastAsia="en-AU"/>
        </w:rPr>
        <w:t xml:space="preserve">, where this evaluation has attempted to quantify some of the </w:t>
      </w:r>
      <w:r w:rsidR="00D70CED">
        <w:rPr>
          <w:lang w:eastAsia="en-AU"/>
        </w:rPr>
        <w:t xml:space="preserve">outcomes achieved with BRII solutions, the </w:t>
      </w:r>
      <w:r w:rsidR="00761D79">
        <w:rPr>
          <w:lang w:eastAsia="en-AU"/>
        </w:rPr>
        <w:t xml:space="preserve">UK </w:t>
      </w:r>
      <w:r w:rsidR="00D70CED">
        <w:rPr>
          <w:lang w:eastAsia="en-AU"/>
        </w:rPr>
        <w:t xml:space="preserve">SBRI review </w:t>
      </w:r>
      <w:r w:rsidR="006E685D">
        <w:rPr>
          <w:lang w:eastAsia="en-AU"/>
        </w:rPr>
        <w:t>focused instead on surveying the qualitative strategic benefits of the program</w:t>
      </w:r>
      <w:r w:rsidR="00E75E21">
        <w:rPr>
          <w:lang w:eastAsia="en-AU"/>
        </w:rPr>
        <w:t xml:space="preserve"> only</w:t>
      </w:r>
      <w:r w:rsidR="00A32332">
        <w:rPr>
          <w:lang w:eastAsia="en-AU"/>
        </w:rPr>
        <w:t>.</w:t>
      </w:r>
      <w:r w:rsidR="00A32332">
        <w:rPr>
          <w:rStyle w:val="FootnoteReference"/>
          <w:lang w:eastAsia="en-AU"/>
        </w:rPr>
        <w:footnoteReference w:id="58"/>
      </w:r>
    </w:p>
    <w:p w14:paraId="070F6D86" w14:textId="40C70D1A" w:rsidR="00272B83" w:rsidRDefault="00272B83" w:rsidP="00272B83">
      <w:pPr>
        <w:rPr>
          <w:lang w:eastAsia="en-AU"/>
        </w:rPr>
      </w:pPr>
      <w:r>
        <w:rPr>
          <w:lang w:eastAsia="en-AU"/>
        </w:rPr>
        <w:t xml:space="preserve">On other measures the BRII compares favourably with the </w:t>
      </w:r>
      <w:r w:rsidR="00761D79">
        <w:rPr>
          <w:lang w:eastAsia="en-AU"/>
        </w:rPr>
        <w:t xml:space="preserve">UK </w:t>
      </w:r>
      <w:r>
        <w:rPr>
          <w:lang w:eastAsia="en-AU"/>
        </w:rPr>
        <w:t xml:space="preserve">SBRI. </w:t>
      </w:r>
      <w:r w:rsidR="00761D79">
        <w:rPr>
          <w:lang w:eastAsia="en-AU"/>
        </w:rPr>
        <w:t xml:space="preserve">The UK </w:t>
      </w:r>
      <w:r w:rsidR="00FC36EB">
        <w:rPr>
          <w:lang w:eastAsia="en-AU"/>
        </w:rPr>
        <w:t>SBRI</w:t>
      </w:r>
      <w:r>
        <w:rPr>
          <w:lang w:eastAsia="en-AU"/>
        </w:rPr>
        <w:t xml:space="preserve"> had a greater degree of additionality to the BRII as 95 per cent of projects would not have taken place without funding from SBRI compared to 75 per</w:t>
      </w:r>
      <w:r w:rsidR="00167101">
        <w:rPr>
          <w:lang w:eastAsia="en-AU"/>
        </w:rPr>
        <w:t xml:space="preserve"> </w:t>
      </w:r>
      <w:r>
        <w:rPr>
          <w:lang w:eastAsia="en-AU"/>
        </w:rPr>
        <w:t xml:space="preserve">cent for the BRII. An area of similarity between the two programs is the length of expected impact on turnover for participant firms. BRII participants expected the BRII to have an impact on turnover for </w:t>
      </w:r>
      <w:r w:rsidR="00D452E6">
        <w:rPr>
          <w:lang w:eastAsia="en-AU"/>
        </w:rPr>
        <w:t>4.</w:t>
      </w:r>
      <w:r w:rsidR="00741898">
        <w:rPr>
          <w:lang w:eastAsia="en-AU"/>
        </w:rPr>
        <w:t>8</w:t>
      </w:r>
      <w:r>
        <w:rPr>
          <w:lang w:eastAsia="en-AU"/>
        </w:rPr>
        <w:t xml:space="preserve"> years compared to 3.8 years for SBRI participants. The comparison measures are summarised in </w:t>
      </w:r>
      <w:r w:rsidR="000A0AA0">
        <w:rPr>
          <w:lang w:eastAsia="en-AU"/>
        </w:rPr>
        <w:fldChar w:fldCharType="begin"/>
      </w:r>
      <w:r w:rsidR="000A0AA0">
        <w:rPr>
          <w:lang w:eastAsia="en-AU"/>
        </w:rPr>
        <w:instrText xml:space="preserve"> REF _Ref75944063 \h </w:instrText>
      </w:r>
      <w:r w:rsidR="000A0AA0">
        <w:rPr>
          <w:lang w:eastAsia="en-AU"/>
        </w:rPr>
      </w:r>
      <w:r w:rsidR="000A0AA0">
        <w:rPr>
          <w:lang w:eastAsia="en-AU"/>
        </w:rPr>
        <w:fldChar w:fldCharType="separate"/>
      </w:r>
      <w:r w:rsidR="00AE607F">
        <w:t xml:space="preserve">Table </w:t>
      </w:r>
      <w:r w:rsidR="00AE607F">
        <w:rPr>
          <w:noProof/>
        </w:rPr>
        <w:t>7</w:t>
      </w:r>
      <w:r w:rsidR="000A0AA0">
        <w:rPr>
          <w:lang w:eastAsia="en-AU"/>
        </w:rPr>
        <w:fldChar w:fldCharType="end"/>
      </w:r>
      <w:r>
        <w:rPr>
          <w:lang w:eastAsia="en-AU"/>
        </w:rPr>
        <w:t>.</w:t>
      </w:r>
    </w:p>
    <w:p w14:paraId="75E95BE8" w14:textId="38862799" w:rsidR="00272B83" w:rsidRPr="008F014C" w:rsidRDefault="00272B83" w:rsidP="00272B83">
      <w:pPr>
        <w:pStyle w:val="Caption"/>
        <w:rPr>
          <w:lang w:eastAsia="en-AU"/>
        </w:rPr>
      </w:pPr>
      <w:bookmarkStart w:id="116" w:name="_Ref75944063"/>
      <w:r>
        <w:t xml:space="preserve">Table </w:t>
      </w:r>
      <w:r>
        <w:fldChar w:fldCharType="begin"/>
      </w:r>
      <w:r>
        <w:instrText xml:space="preserve"> SEQ Table \* ARABIC </w:instrText>
      </w:r>
      <w:r>
        <w:fldChar w:fldCharType="separate"/>
      </w:r>
      <w:r w:rsidR="00AE607F">
        <w:rPr>
          <w:noProof/>
        </w:rPr>
        <w:t>7</w:t>
      </w:r>
      <w:r>
        <w:fldChar w:fldCharType="end"/>
      </w:r>
      <w:bookmarkEnd w:id="116"/>
      <w:r>
        <w:t xml:space="preserve"> | Summary of the BRII </w:t>
      </w:r>
      <w:r w:rsidR="00BB2854">
        <w:t>outcomes compared</w:t>
      </w:r>
      <w:r>
        <w:t xml:space="preserve"> to </w:t>
      </w:r>
      <w:r w:rsidR="00BB2854">
        <w:t xml:space="preserve">the UK </w:t>
      </w:r>
      <w:r>
        <w:t>SBRI</w:t>
      </w:r>
      <w:r w:rsidR="00BB2854">
        <w:t xml:space="preserve"> outcomes</w:t>
      </w:r>
    </w:p>
    <w:tbl>
      <w:tblPr>
        <w:tblStyle w:val="TableGrid"/>
        <w:tblW w:w="0" w:type="auto"/>
        <w:tblLook w:val="04A0" w:firstRow="1" w:lastRow="0" w:firstColumn="1" w:lastColumn="0" w:noHBand="0" w:noVBand="1"/>
      </w:tblPr>
      <w:tblGrid>
        <w:gridCol w:w="1956"/>
        <w:gridCol w:w="2453"/>
        <w:gridCol w:w="2086"/>
        <w:gridCol w:w="2425"/>
      </w:tblGrid>
      <w:tr w:rsidR="00FB35C8" w:rsidRPr="001F2E96" w14:paraId="4EFDFB96" w14:textId="77777777" w:rsidTr="00782849">
        <w:trPr>
          <w:cnfStyle w:val="100000000000" w:firstRow="1" w:lastRow="0" w:firstColumn="0" w:lastColumn="0" w:oddVBand="0" w:evenVBand="0" w:oddHBand="0" w:evenHBand="0" w:firstRowFirstColumn="0" w:firstRowLastColumn="0" w:lastRowFirstColumn="0" w:lastRowLastColumn="0"/>
        </w:trPr>
        <w:tc>
          <w:tcPr>
            <w:tcW w:w="1958"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00264D" w:themeFill="background2"/>
          </w:tcPr>
          <w:p w14:paraId="1477D642" w14:textId="77777777" w:rsidR="00272B83" w:rsidRPr="00782849" w:rsidRDefault="00272B83" w:rsidP="00782849">
            <w:pPr>
              <w:pStyle w:val="TableNheader"/>
              <w:rPr>
                <w:color w:val="FFFFFF" w:themeColor="background1"/>
                <w:lang w:eastAsia="en-AU"/>
              </w:rPr>
            </w:pPr>
            <w:r w:rsidRPr="00782849">
              <w:rPr>
                <w:color w:val="FFFFFF" w:themeColor="background1"/>
                <w:lang w:eastAsia="en-AU"/>
              </w:rPr>
              <w:t>Characteristic</w:t>
            </w:r>
          </w:p>
        </w:tc>
        <w:tc>
          <w:tcPr>
            <w:tcW w:w="2456"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00264D" w:themeFill="background2"/>
          </w:tcPr>
          <w:p w14:paraId="546368EF" w14:textId="77777777" w:rsidR="00272B83" w:rsidRPr="00782849" w:rsidRDefault="00272B83" w:rsidP="00782849">
            <w:pPr>
              <w:pStyle w:val="TableNheader"/>
              <w:rPr>
                <w:color w:val="FFFFFF" w:themeColor="background1"/>
                <w:lang w:eastAsia="en-AU"/>
              </w:rPr>
            </w:pPr>
            <w:r w:rsidRPr="00782849">
              <w:rPr>
                <w:color w:val="FFFFFF" w:themeColor="background1"/>
                <w:lang w:eastAsia="en-AU"/>
              </w:rPr>
              <w:t>Measure(s)</w:t>
            </w:r>
          </w:p>
        </w:tc>
        <w:tc>
          <w:tcPr>
            <w:tcW w:w="2088"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00264D" w:themeFill="background2"/>
          </w:tcPr>
          <w:p w14:paraId="04BD7331" w14:textId="77777777" w:rsidR="00272B83" w:rsidRPr="00782849" w:rsidRDefault="00272B83" w:rsidP="00782849">
            <w:pPr>
              <w:pStyle w:val="TableNheader"/>
              <w:rPr>
                <w:color w:val="FFFFFF" w:themeColor="background1"/>
                <w:lang w:eastAsia="en-AU"/>
              </w:rPr>
            </w:pPr>
            <w:r w:rsidRPr="00782849">
              <w:rPr>
                <w:color w:val="FFFFFF" w:themeColor="background1"/>
                <w:lang w:eastAsia="en-AU"/>
              </w:rPr>
              <w:t>BRII</w:t>
            </w:r>
          </w:p>
        </w:tc>
        <w:tc>
          <w:tcPr>
            <w:tcW w:w="2428"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00264D" w:themeFill="background2"/>
          </w:tcPr>
          <w:p w14:paraId="72F8D486" w14:textId="77777777" w:rsidR="00272B83" w:rsidRPr="00782849" w:rsidRDefault="00272B83" w:rsidP="00782849">
            <w:pPr>
              <w:pStyle w:val="TableNheader"/>
              <w:rPr>
                <w:color w:val="FFFFFF" w:themeColor="background1"/>
                <w:lang w:eastAsia="en-AU"/>
              </w:rPr>
            </w:pPr>
            <w:r w:rsidRPr="00782849">
              <w:rPr>
                <w:color w:val="FFFFFF" w:themeColor="background1"/>
                <w:lang w:eastAsia="en-AU"/>
              </w:rPr>
              <w:t>SBRI</w:t>
            </w:r>
          </w:p>
        </w:tc>
      </w:tr>
      <w:tr w:rsidR="00272B83" w:rsidRPr="001F2E96" w14:paraId="7B5DEFB8" w14:textId="77777777" w:rsidTr="00782849">
        <w:trPr>
          <w:cnfStyle w:val="000000100000" w:firstRow="0" w:lastRow="0" w:firstColumn="0" w:lastColumn="0" w:oddVBand="0" w:evenVBand="0" w:oddHBand="1" w:evenHBand="0" w:firstRowFirstColumn="0" w:firstRowLastColumn="0" w:lastRowFirstColumn="0" w:lastRowLastColumn="0"/>
          <w:cantSplit/>
        </w:trPr>
        <w:tc>
          <w:tcPr>
            <w:tcW w:w="1958"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FFFFF" w:themeFill="background1"/>
            <w:vAlign w:val="top"/>
          </w:tcPr>
          <w:p w14:paraId="00A97A58" w14:textId="77777777" w:rsidR="00272B83" w:rsidRPr="001F2E96" w:rsidRDefault="00272B83" w:rsidP="00782849">
            <w:pPr>
              <w:pStyle w:val="TableNText"/>
              <w:rPr>
                <w:lang w:eastAsia="en-AU"/>
              </w:rPr>
            </w:pPr>
            <w:r>
              <w:rPr>
                <w:lang w:eastAsia="en-AU"/>
              </w:rPr>
              <w:t>Additionality</w:t>
            </w:r>
          </w:p>
        </w:tc>
        <w:tc>
          <w:tcPr>
            <w:tcW w:w="2456"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FFFFF" w:themeFill="background1"/>
            <w:vAlign w:val="top"/>
          </w:tcPr>
          <w:p w14:paraId="00C73513" w14:textId="77777777" w:rsidR="00272B83" w:rsidRPr="002213B9" w:rsidRDefault="00272B83" w:rsidP="00782849">
            <w:pPr>
              <w:pStyle w:val="TableNText"/>
              <w:rPr>
                <w:lang w:eastAsia="en-AU"/>
              </w:rPr>
            </w:pPr>
            <w:r>
              <w:rPr>
                <w:b/>
                <w:lang w:eastAsia="en-AU"/>
              </w:rPr>
              <w:t xml:space="preserve">BRII, SBRI </w:t>
            </w:r>
            <w:r>
              <w:rPr>
                <w:lang w:eastAsia="en-AU"/>
              </w:rPr>
              <w:t xml:space="preserve">- </w:t>
            </w:r>
            <w:r w:rsidRPr="002213B9">
              <w:rPr>
                <w:lang w:eastAsia="en-AU"/>
              </w:rPr>
              <w:t>Proportion of projects that would not have taken place without funding</w:t>
            </w:r>
          </w:p>
        </w:tc>
        <w:tc>
          <w:tcPr>
            <w:tcW w:w="2088"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FFFFF" w:themeFill="background1"/>
            <w:vAlign w:val="top"/>
          </w:tcPr>
          <w:p w14:paraId="754BC8BB" w14:textId="08D61CF4" w:rsidR="00272B83" w:rsidRPr="002213B9" w:rsidRDefault="00272B83" w:rsidP="00782849">
            <w:pPr>
              <w:pStyle w:val="TableNText"/>
              <w:rPr>
                <w:color w:val="000000" w:themeColor="text1"/>
                <w:szCs w:val="17"/>
                <w:lang w:eastAsia="en-AU"/>
              </w:rPr>
            </w:pPr>
            <w:r w:rsidRPr="002213B9">
              <w:rPr>
                <w:lang w:eastAsia="en-AU"/>
              </w:rPr>
              <w:t>75</w:t>
            </w:r>
            <w:r w:rsidR="00155DA4">
              <w:rPr>
                <w:lang w:eastAsia="en-AU"/>
              </w:rPr>
              <w:t>%</w:t>
            </w:r>
            <w:r w:rsidRPr="002213B9">
              <w:rPr>
                <w:lang w:eastAsia="en-AU"/>
              </w:rPr>
              <w:t xml:space="preserve"> (proof of concept)</w:t>
            </w:r>
            <w:bookmarkStart w:id="117" w:name="_Ref75957452"/>
            <w:r>
              <w:rPr>
                <w:rStyle w:val="FootnoteReference"/>
                <w:lang w:eastAsia="en-AU"/>
              </w:rPr>
              <w:footnoteReference w:id="59"/>
            </w:r>
            <w:bookmarkEnd w:id="117"/>
          </w:p>
          <w:p w14:paraId="7760A76D" w14:textId="075C9010" w:rsidR="00272B83" w:rsidRPr="002213B9" w:rsidRDefault="00272B83" w:rsidP="00782849">
            <w:pPr>
              <w:pStyle w:val="TableNText"/>
              <w:rPr>
                <w:lang w:eastAsia="en-AU"/>
              </w:rPr>
            </w:pPr>
            <w:r w:rsidRPr="002213B9">
              <w:rPr>
                <w:lang w:eastAsia="en-AU"/>
              </w:rPr>
              <w:t>67</w:t>
            </w:r>
            <w:r w:rsidR="00155DA4">
              <w:rPr>
                <w:lang w:eastAsia="en-AU"/>
              </w:rPr>
              <w:t>%</w:t>
            </w:r>
            <w:r w:rsidRPr="002213B9">
              <w:rPr>
                <w:lang w:eastAsia="en-AU"/>
              </w:rPr>
              <w:t xml:space="preserve"> (feasibility)</w:t>
            </w:r>
            <w:bookmarkStart w:id="118" w:name="_Ref75957466"/>
            <w:r>
              <w:rPr>
                <w:rStyle w:val="FootnoteReference"/>
                <w:lang w:eastAsia="en-AU"/>
              </w:rPr>
              <w:footnoteReference w:id="60"/>
            </w:r>
            <w:bookmarkEnd w:id="118"/>
          </w:p>
        </w:tc>
        <w:tc>
          <w:tcPr>
            <w:tcW w:w="2428"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FFFFF" w:themeFill="background1"/>
            <w:vAlign w:val="top"/>
          </w:tcPr>
          <w:p w14:paraId="5203EB12" w14:textId="11F3B926" w:rsidR="00272B83" w:rsidRPr="002213B9" w:rsidRDefault="00272B83" w:rsidP="00782849">
            <w:pPr>
              <w:pStyle w:val="TableNText"/>
              <w:rPr>
                <w:lang w:eastAsia="en-AU"/>
              </w:rPr>
            </w:pPr>
            <w:r w:rsidRPr="002213B9">
              <w:rPr>
                <w:lang w:eastAsia="en-AU"/>
              </w:rPr>
              <w:t>95</w:t>
            </w:r>
            <w:bookmarkStart w:id="119" w:name="_Ref75957677"/>
            <w:r w:rsidR="007277BE">
              <w:rPr>
                <w:lang w:eastAsia="en-AU"/>
              </w:rPr>
              <w:t>%</w:t>
            </w:r>
            <w:r>
              <w:rPr>
                <w:rStyle w:val="FootnoteReference"/>
                <w:lang w:eastAsia="en-AU"/>
              </w:rPr>
              <w:footnoteReference w:id="61"/>
            </w:r>
            <w:bookmarkEnd w:id="119"/>
          </w:p>
        </w:tc>
      </w:tr>
      <w:tr w:rsidR="00272B83" w:rsidRPr="001F2E96" w14:paraId="10434275" w14:textId="77777777" w:rsidTr="00782849">
        <w:trPr>
          <w:cnfStyle w:val="000000010000" w:firstRow="0" w:lastRow="0" w:firstColumn="0" w:lastColumn="0" w:oddVBand="0" w:evenVBand="0" w:oddHBand="0" w:evenHBand="1" w:firstRowFirstColumn="0" w:firstRowLastColumn="0" w:lastRowFirstColumn="0" w:lastRowLastColumn="0"/>
          <w:cantSplit/>
        </w:trPr>
        <w:tc>
          <w:tcPr>
            <w:tcW w:w="1958"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FFFFF" w:themeFill="background1"/>
            <w:vAlign w:val="top"/>
          </w:tcPr>
          <w:p w14:paraId="5DC27268" w14:textId="77777777" w:rsidR="00272B83" w:rsidRPr="001F2E96" w:rsidRDefault="00272B83" w:rsidP="00782849">
            <w:pPr>
              <w:pStyle w:val="TableNText"/>
              <w:rPr>
                <w:lang w:eastAsia="en-AU"/>
              </w:rPr>
            </w:pPr>
            <w:r>
              <w:rPr>
                <w:lang w:eastAsia="en-AU"/>
              </w:rPr>
              <w:t>Duration of program impact on business performance</w:t>
            </w:r>
          </w:p>
        </w:tc>
        <w:tc>
          <w:tcPr>
            <w:tcW w:w="2456"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FFFFF" w:themeFill="background1"/>
            <w:vAlign w:val="top"/>
          </w:tcPr>
          <w:p w14:paraId="07ABF6B2" w14:textId="77777777" w:rsidR="00272B83" w:rsidRPr="002213B9" w:rsidRDefault="00272B83" w:rsidP="00782849">
            <w:pPr>
              <w:pStyle w:val="TableNText"/>
              <w:rPr>
                <w:lang w:eastAsia="en-AU"/>
              </w:rPr>
            </w:pPr>
            <w:r>
              <w:rPr>
                <w:b/>
                <w:lang w:eastAsia="en-AU"/>
              </w:rPr>
              <w:t xml:space="preserve">BRII, SBRI </w:t>
            </w:r>
            <w:r>
              <w:rPr>
                <w:lang w:eastAsia="en-AU"/>
              </w:rPr>
              <w:t xml:space="preserve">- </w:t>
            </w:r>
            <w:r w:rsidRPr="002213B9">
              <w:rPr>
                <w:lang w:eastAsia="en-AU"/>
              </w:rPr>
              <w:t>Average number of years for which the BRII is expected to impact turnover</w:t>
            </w:r>
          </w:p>
        </w:tc>
        <w:tc>
          <w:tcPr>
            <w:tcW w:w="2088"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FFFFF" w:themeFill="background1"/>
            <w:vAlign w:val="top"/>
          </w:tcPr>
          <w:p w14:paraId="6B23C841" w14:textId="4647CDCE" w:rsidR="00272B83" w:rsidRPr="002213B9" w:rsidRDefault="0002182D" w:rsidP="00782849">
            <w:pPr>
              <w:pStyle w:val="TableNText"/>
              <w:rPr>
                <w:lang w:eastAsia="en-AU"/>
              </w:rPr>
            </w:pPr>
            <w:r>
              <w:rPr>
                <w:lang w:eastAsia="en-AU"/>
              </w:rPr>
              <w:t>4.75</w:t>
            </w:r>
            <w:r w:rsidR="00272B83" w:rsidRPr="002213B9">
              <w:rPr>
                <w:lang w:eastAsia="en-AU"/>
              </w:rPr>
              <w:t xml:space="preserve"> years</w:t>
            </w:r>
            <w:r w:rsidR="00272B83">
              <w:rPr>
                <w:lang w:eastAsia="en-AU"/>
              </w:rPr>
              <w:t xml:space="preserve"> (proof of concept)</w:t>
            </w:r>
            <w:r w:rsidR="00272B83">
              <w:rPr>
                <w:lang w:eastAsia="en-AU"/>
              </w:rPr>
              <w:fldChar w:fldCharType="begin"/>
            </w:r>
            <w:r w:rsidR="00272B83">
              <w:rPr>
                <w:lang w:eastAsia="en-AU"/>
              </w:rPr>
              <w:instrText xml:space="preserve"> NOTEREF _Ref75957452 \f \h </w:instrText>
            </w:r>
            <w:r w:rsidR="00782849">
              <w:rPr>
                <w:lang w:eastAsia="en-AU"/>
              </w:rPr>
              <w:instrText xml:space="preserve"> \* MERGEFORMAT </w:instrText>
            </w:r>
            <w:r w:rsidR="00272B83">
              <w:rPr>
                <w:lang w:eastAsia="en-AU"/>
              </w:rPr>
            </w:r>
            <w:r w:rsidR="00272B83">
              <w:rPr>
                <w:lang w:eastAsia="en-AU"/>
              </w:rPr>
              <w:fldChar w:fldCharType="separate"/>
            </w:r>
            <w:r w:rsidR="00AE607F" w:rsidRPr="00AE607F">
              <w:rPr>
                <w:rStyle w:val="FootnoteReference"/>
              </w:rPr>
              <w:t>58</w:t>
            </w:r>
            <w:r w:rsidR="00272B83">
              <w:rPr>
                <w:lang w:eastAsia="en-AU"/>
              </w:rPr>
              <w:fldChar w:fldCharType="end"/>
            </w:r>
          </w:p>
        </w:tc>
        <w:tc>
          <w:tcPr>
            <w:tcW w:w="2428"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FFFFF" w:themeFill="background1"/>
            <w:vAlign w:val="top"/>
          </w:tcPr>
          <w:p w14:paraId="56C64B4A" w14:textId="345ADB30" w:rsidR="00272B83" w:rsidRPr="002213B9" w:rsidRDefault="00272B83" w:rsidP="00782849">
            <w:pPr>
              <w:pStyle w:val="TableNText"/>
              <w:rPr>
                <w:lang w:eastAsia="en-AU"/>
              </w:rPr>
            </w:pPr>
            <w:r w:rsidRPr="002213B9">
              <w:rPr>
                <w:lang w:eastAsia="en-AU"/>
              </w:rPr>
              <w:t>3.</w:t>
            </w:r>
            <w:r>
              <w:rPr>
                <w:lang w:eastAsia="en-AU"/>
              </w:rPr>
              <w:t>8</w:t>
            </w:r>
            <w:r w:rsidRPr="002213B9">
              <w:rPr>
                <w:lang w:eastAsia="en-AU"/>
              </w:rPr>
              <w:t xml:space="preserve"> years</w:t>
            </w:r>
            <w:r>
              <w:rPr>
                <w:lang w:eastAsia="en-AU"/>
              </w:rPr>
              <w:fldChar w:fldCharType="begin"/>
            </w:r>
            <w:r>
              <w:rPr>
                <w:lang w:eastAsia="en-AU"/>
              </w:rPr>
              <w:instrText xml:space="preserve"> NOTEREF _Ref75957677 \f \h </w:instrText>
            </w:r>
            <w:r w:rsidR="00782849">
              <w:rPr>
                <w:lang w:eastAsia="en-AU"/>
              </w:rPr>
              <w:instrText xml:space="preserve"> \* MERGEFORMAT </w:instrText>
            </w:r>
            <w:r>
              <w:rPr>
                <w:lang w:eastAsia="en-AU"/>
              </w:rPr>
            </w:r>
            <w:r>
              <w:rPr>
                <w:lang w:eastAsia="en-AU"/>
              </w:rPr>
              <w:fldChar w:fldCharType="separate"/>
            </w:r>
            <w:r w:rsidR="00AE607F" w:rsidRPr="00AE607F">
              <w:rPr>
                <w:rStyle w:val="FootnoteReference"/>
              </w:rPr>
              <w:t>60</w:t>
            </w:r>
            <w:r>
              <w:rPr>
                <w:lang w:eastAsia="en-AU"/>
              </w:rPr>
              <w:fldChar w:fldCharType="end"/>
            </w:r>
          </w:p>
        </w:tc>
      </w:tr>
      <w:tr w:rsidR="00272B83" w:rsidRPr="001F2E96" w14:paraId="45D5F821" w14:textId="77777777" w:rsidTr="00782849">
        <w:trPr>
          <w:cnfStyle w:val="000000100000" w:firstRow="0" w:lastRow="0" w:firstColumn="0" w:lastColumn="0" w:oddVBand="0" w:evenVBand="0" w:oddHBand="1" w:evenHBand="0" w:firstRowFirstColumn="0" w:firstRowLastColumn="0" w:lastRowFirstColumn="0" w:lastRowLastColumn="0"/>
          <w:cantSplit/>
        </w:trPr>
        <w:tc>
          <w:tcPr>
            <w:tcW w:w="1958"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FFFFF" w:themeFill="background1"/>
            <w:vAlign w:val="top"/>
          </w:tcPr>
          <w:p w14:paraId="7F593D8B" w14:textId="77777777" w:rsidR="00272B83" w:rsidRDefault="00272B83" w:rsidP="00782849">
            <w:pPr>
              <w:pStyle w:val="TableNText"/>
              <w:rPr>
                <w:lang w:eastAsia="en-AU"/>
              </w:rPr>
            </w:pPr>
            <w:r>
              <w:rPr>
                <w:lang w:eastAsia="en-AU"/>
              </w:rPr>
              <w:t>Benefit-cost ratio</w:t>
            </w:r>
          </w:p>
        </w:tc>
        <w:tc>
          <w:tcPr>
            <w:tcW w:w="2456"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FFFFF" w:themeFill="background1"/>
            <w:vAlign w:val="top"/>
          </w:tcPr>
          <w:p w14:paraId="1D9B02CC" w14:textId="77777777" w:rsidR="00272B83" w:rsidRPr="002213B9" w:rsidRDefault="00272B83" w:rsidP="00782849">
            <w:pPr>
              <w:pStyle w:val="TableNText"/>
              <w:rPr>
                <w:lang w:eastAsia="en-AU"/>
              </w:rPr>
            </w:pPr>
            <w:r>
              <w:rPr>
                <w:b/>
                <w:lang w:eastAsia="en-AU"/>
              </w:rPr>
              <w:t xml:space="preserve">BRII, SBRI </w:t>
            </w:r>
            <w:r>
              <w:rPr>
                <w:lang w:eastAsia="en-AU"/>
              </w:rPr>
              <w:t xml:space="preserve">- </w:t>
            </w:r>
            <w:r w:rsidRPr="002213B9">
              <w:rPr>
                <w:lang w:eastAsia="en-AU"/>
              </w:rPr>
              <w:t>Benefit-cost ratio</w:t>
            </w:r>
          </w:p>
        </w:tc>
        <w:tc>
          <w:tcPr>
            <w:tcW w:w="2088"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FFFFF" w:themeFill="background1"/>
            <w:vAlign w:val="top"/>
          </w:tcPr>
          <w:p w14:paraId="5EC704FA" w14:textId="756211B2" w:rsidR="00272B83" w:rsidRPr="002213B9" w:rsidRDefault="00272B83" w:rsidP="00782849">
            <w:pPr>
              <w:pStyle w:val="TableNText"/>
              <w:rPr>
                <w:lang w:eastAsia="en-AU"/>
              </w:rPr>
            </w:pPr>
            <w:r w:rsidRPr="002213B9">
              <w:rPr>
                <w:lang w:eastAsia="en-AU"/>
              </w:rPr>
              <w:t>1.</w:t>
            </w:r>
            <w:r w:rsidR="00820C28">
              <w:rPr>
                <w:lang w:eastAsia="en-AU"/>
              </w:rPr>
              <w:t>6</w:t>
            </w:r>
            <w:r w:rsidRPr="002213B9">
              <w:rPr>
                <w:lang w:eastAsia="en-AU"/>
              </w:rPr>
              <w:t xml:space="preserve"> (mixed method)</w:t>
            </w:r>
          </w:p>
        </w:tc>
        <w:tc>
          <w:tcPr>
            <w:tcW w:w="2428"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FFFFF" w:themeFill="background1"/>
            <w:vAlign w:val="top"/>
          </w:tcPr>
          <w:p w14:paraId="1416E5DB" w14:textId="1C97909D" w:rsidR="00272B83" w:rsidRPr="002213B9" w:rsidRDefault="00272B83" w:rsidP="00782849">
            <w:pPr>
              <w:pStyle w:val="TableNText"/>
              <w:rPr>
                <w:color w:val="000000" w:themeColor="text1"/>
                <w:szCs w:val="17"/>
                <w:lang w:eastAsia="en-AU"/>
              </w:rPr>
            </w:pPr>
            <w:r w:rsidRPr="002213B9">
              <w:rPr>
                <w:lang w:eastAsia="en-AU"/>
              </w:rPr>
              <w:t xml:space="preserve">1.6 </w:t>
            </w:r>
            <w:r w:rsidRPr="002213B9">
              <w:rPr>
                <w:color w:val="000000" w:themeColor="text1"/>
                <w:szCs w:val="17"/>
                <w:lang w:eastAsia="en-AU"/>
              </w:rPr>
              <w:t>(self-reported benefits)</w:t>
            </w:r>
            <w:r>
              <w:rPr>
                <w:color w:val="000000" w:themeColor="text1"/>
                <w:szCs w:val="17"/>
                <w:lang w:eastAsia="en-AU"/>
              </w:rPr>
              <w:fldChar w:fldCharType="begin"/>
            </w:r>
            <w:r>
              <w:rPr>
                <w:color w:val="000000" w:themeColor="text1"/>
                <w:szCs w:val="17"/>
                <w:lang w:eastAsia="en-AU"/>
              </w:rPr>
              <w:instrText xml:space="preserve"> NOTEREF _Ref75957677 \f \h </w:instrText>
            </w:r>
            <w:r w:rsidR="00782849">
              <w:rPr>
                <w:color w:val="000000" w:themeColor="text1"/>
                <w:szCs w:val="17"/>
                <w:lang w:eastAsia="en-AU"/>
              </w:rPr>
              <w:instrText xml:space="preserve"> \* MERGEFORMAT </w:instrText>
            </w:r>
            <w:r>
              <w:rPr>
                <w:color w:val="000000" w:themeColor="text1"/>
                <w:szCs w:val="17"/>
                <w:lang w:eastAsia="en-AU"/>
              </w:rPr>
            </w:r>
            <w:r>
              <w:rPr>
                <w:color w:val="000000" w:themeColor="text1"/>
                <w:szCs w:val="17"/>
                <w:lang w:eastAsia="en-AU"/>
              </w:rPr>
              <w:fldChar w:fldCharType="separate"/>
            </w:r>
            <w:r w:rsidR="00AE607F" w:rsidRPr="00AE607F">
              <w:rPr>
                <w:rStyle w:val="FootnoteReference"/>
              </w:rPr>
              <w:t>60</w:t>
            </w:r>
            <w:r>
              <w:rPr>
                <w:color w:val="000000" w:themeColor="text1"/>
                <w:szCs w:val="17"/>
                <w:lang w:eastAsia="en-AU"/>
              </w:rPr>
              <w:fldChar w:fldCharType="end"/>
            </w:r>
          </w:p>
          <w:p w14:paraId="4D7CBFC6" w14:textId="7D939825" w:rsidR="00272B83" w:rsidRPr="002213B9" w:rsidRDefault="00272B83" w:rsidP="00782849">
            <w:pPr>
              <w:pStyle w:val="TableNText"/>
              <w:rPr>
                <w:lang w:eastAsia="en-AU"/>
              </w:rPr>
            </w:pPr>
            <w:r w:rsidRPr="002213B9">
              <w:rPr>
                <w:lang w:eastAsia="en-AU"/>
              </w:rPr>
              <w:t>2.4 (econometric estimates)</w:t>
            </w:r>
            <w:r>
              <w:rPr>
                <w:lang w:eastAsia="en-AU"/>
              </w:rPr>
              <w:fldChar w:fldCharType="begin"/>
            </w:r>
            <w:r>
              <w:rPr>
                <w:lang w:eastAsia="en-AU"/>
              </w:rPr>
              <w:instrText xml:space="preserve"> NOTEREF _Ref75957677 \f \h </w:instrText>
            </w:r>
            <w:r w:rsidR="00782849">
              <w:rPr>
                <w:lang w:eastAsia="en-AU"/>
              </w:rPr>
              <w:instrText xml:space="preserve"> \* MERGEFORMAT </w:instrText>
            </w:r>
            <w:r>
              <w:rPr>
                <w:lang w:eastAsia="en-AU"/>
              </w:rPr>
            </w:r>
            <w:r>
              <w:rPr>
                <w:lang w:eastAsia="en-AU"/>
              </w:rPr>
              <w:fldChar w:fldCharType="separate"/>
            </w:r>
            <w:r w:rsidR="00AE607F" w:rsidRPr="00AE607F">
              <w:rPr>
                <w:rStyle w:val="FootnoteReference"/>
              </w:rPr>
              <w:t>60</w:t>
            </w:r>
            <w:r>
              <w:rPr>
                <w:lang w:eastAsia="en-AU"/>
              </w:rPr>
              <w:fldChar w:fldCharType="end"/>
            </w:r>
          </w:p>
        </w:tc>
      </w:tr>
    </w:tbl>
    <w:p w14:paraId="042E99E5" w14:textId="5FE2034B" w:rsidR="00A36EC9" w:rsidRPr="00D5567E" w:rsidRDefault="00D5567E">
      <w:pPr>
        <w:pStyle w:val="Heading1"/>
      </w:pPr>
      <w:bookmarkStart w:id="120" w:name="_Ref75293167"/>
      <w:bookmarkStart w:id="121" w:name="_Ref75899897"/>
      <w:bookmarkStart w:id="122" w:name="_Ref75899999"/>
      <w:bookmarkStart w:id="123" w:name="_Toc124435159"/>
      <w:r>
        <w:rPr>
          <w:noProof/>
        </w:rPr>
        <w:lastRenderedPageBreak/>
        <w:drawing>
          <wp:anchor distT="0" distB="0" distL="114300" distR="114300" simplePos="0" relativeHeight="251679232" behindDoc="0" locked="0" layoutInCell="1" allowOverlap="1" wp14:anchorId="762AAB71" wp14:editId="7CA54815">
            <wp:simplePos x="0" y="0"/>
            <wp:positionH relativeFrom="margin">
              <wp:align>center</wp:align>
            </wp:positionH>
            <wp:positionV relativeFrom="paragraph">
              <wp:posOffset>-785495</wp:posOffset>
            </wp:positionV>
            <wp:extent cx="7632700" cy="1530350"/>
            <wp:effectExtent l="0" t="0" r="635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632700" cy="1530350"/>
                    </a:xfrm>
                    <a:prstGeom prst="rect">
                      <a:avLst/>
                    </a:prstGeom>
                    <a:noFill/>
                  </pic:spPr>
                </pic:pic>
              </a:graphicData>
            </a:graphic>
          </wp:anchor>
        </w:drawing>
      </w:r>
      <w:r w:rsidR="00A36EC9" w:rsidRPr="00D5567E">
        <w:t>Program design and implementation</w:t>
      </w:r>
      <w:bookmarkEnd w:id="120"/>
      <w:bookmarkEnd w:id="121"/>
      <w:bookmarkEnd w:id="122"/>
      <w:bookmarkEnd w:id="123"/>
    </w:p>
    <w:p w14:paraId="019D33B9" w14:textId="136B8EC3" w:rsidR="000170D6" w:rsidRDefault="00782849" w:rsidP="000170D6">
      <w:pPr>
        <w:rPr>
          <w:b/>
          <w:noProof/>
        </w:rPr>
      </w:pPr>
      <w:r>
        <w:rPr>
          <w:b/>
          <w:noProof/>
        </w:rPr>
        <w:drawing>
          <wp:inline distT="0" distB="0" distL="0" distR="0" wp14:anchorId="3EC2500D" wp14:editId="76804E81">
            <wp:extent cx="5700395" cy="481330"/>
            <wp:effectExtent l="0" t="0" r="0" b="0"/>
            <wp:docPr id="475" name="Picture 475" descr="Summary of fin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Picture 475" descr="Summary of finding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00395" cy="481330"/>
                    </a:xfrm>
                    <a:prstGeom prst="rect">
                      <a:avLst/>
                    </a:prstGeom>
                    <a:noFill/>
                  </pic:spPr>
                </pic:pic>
              </a:graphicData>
            </a:graphic>
          </wp:inline>
        </w:drawing>
      </w:r>
    </w:p>
    <w:p w14:paraId="20EDD2BF" w14:textId="77777777" w:rsidR="00782849" w:rsidRPr="00782849" w:rsidRDefault="00782849" w:rsidP="00782849">
      <w:pPr>
        <w:pBdr>
          <w:top w:val="single" w:sz="18" w:space="1" w:color="00264D" w:themeColor="background2"/>
          <w:bottom w:val="single" w:sz="18" w:space="1" w:color="00264D" w:themeColor="background2"/>
        </w:pBdr>
        <w:shd w:val="clear" w:color="auto" w:fill="E6E6E1" w:themeFill="accent5"/>
        <w:rPr>
          <w:rFonts w:asciiTheme="majorHAnsi" w:hAnsiTheme="majorHAnsi" w:cstheme="majorHAnsi"/>
        </w:rPr>
      </w:pPr>
      <w:r w:rsidRPr="00782849">
        <w:rPr>
          <w:rFonts w:asciiTheme="majorHAnsi" w:hAnsiTheme="majorHAnsi" w:cstheme="majorHAnsi"/>
        </w:rPr>
        <w:fldChar w:fldCharType="begin"/>
      </w:r>
      <w:r w:rsidRPr="00782849">
        <w:rPr>
          <w:rFonts w:asciiTheme="majorHAnsi" w:hAnsiTheme="majorHAnsi" w:cstheme="majorHAnsi"/>
        </w:rPr>
        <w:instrText xml:space="preserve"> REF _Ref79401818 \h  \* MERGEFORMAT </w:instrText>
      </w:r>
      <w:r w:rsidRPr="00782849">
        <w:rPr>
          <w:rFonts w:asciiTheme="majorHAnsi" w:hAnsiTheme="majorHAnsi" w:cstheme="majorHAnsi"/>
        </w:rPr>
      </w:r>
      <w:r w:rsidRPr="00782849">
        <w:rPr>
          <w:rFonts w:asciiTheme="majorHAnsi" w:hAnsiTheme="majorHAnsi" w:cstheme="majorHAnsi"/>
        </w:rPr>
        <w:fldChar w:fldCharType="separate"/>
      </w:r>
      <w:r w:rsidRPr="00782849">
        <w:rPr>
          <w:rFonts w:asciiTheme="majorHAnsi" w:hAnsiTheme="majorHAnsi" w:cstheme="majorHAnsi"/>
        </w:rPr>
        <w:t>The design and governance of the BRII has been effective</w:t>
      </w:r>
      <w:r w:rsidRPr="00782849">
        <w:rPr>
          <w:rFonts w:asciiTheme="majorHAnsi" w:hAnsiTheme="majorHAnsi" w:cstheme="majorHAnsi"/>
        </w:rPr>
        <w:fldChar w:fldCharType="end"/>
      </w:r>
      <w:r w:rsidRPr="00782849">
        <w:rPr>
          <w:rFonts w:asciiTheme="majorHAnsi" w:hAnsiTheme="majorHAnsi" w:cstheme="majorHAnsi"/>
        </w:rPr>
        <w:t>.</w:t>
      </w:r>
    </w:p>
    <w:p w14:paraId="5EBAA614" w14:textId="77777777" w:rsidR="00782849" w:rsidRDefault="00782849" w:rsidP="00782849">
      <w:pPr>
        <w:pStyle w:val="Bullet"/>
        <w:pBdr>
          <w:top w:val="single" w:sz="18" w:space="1" w:color="00264D" w:themeColor="background2"/>
          <w:bottom w:val="single" w:sz="18" w:space="1" w:color="00264D" w:themeColor="background2"/>
        </w:pBdr>
        <w:shd w:val="clear" w:color="auto" w:fill="E6E6E1" w:themeFill="accent5"/>
      </w:pPr>
      <w:r w:rsidRPr="00EF5C1B">
        <w:rPr>
          <w:rFonts w:asciiTheme="majorHAnsi" w:hAnsiTheme="majorHAnsi" w:cstheme="majorHAnsi"/>
        </w:rPr>
        <w:fldChar w:fldCharType="begin"/>
      </w:r>
      <w:r w:rsidRPr="00EF5C1B">
        <w:rPr>
          <w:rFonts w:asciiTheme="majorHAnsi" w:hAnsiTheme="majorHAnsi" w:cstheme="majorHAnsi"/>
        </w:rPr>
        <w:instrText xml:space="preserve"> REF _Ref75433401 \h </w:instrText>
      </w:r>
      <w:r>
        <w:rPr>
          <w:rFonts w:asciiTheme="majorHAnsi" w:hAnsiTheme="majorHAnsi" w:cstheme="majorHAnsi"/>
        </w:rPr>
        <w:instrText xml:space="preserve"> \* MERGEFORMAT </w:instrText>
      </w:r>
      <w:r w:rsidRPr="00EF5C1B">
        <w:rPr>
          <w:rFonts w:asciiTheme="majorHAnsi" w:hAnsiTheme="majorHAnsi" w:cstheme="majorHAnsi"/>
        </w:rPr>
      </w:r>
      <w:r w:rsidRPr="00EF5C1B">
        <w:rPr>
          <w:rFonts w:asciiTheme="majorHAnsi" w:hAnsiTheme="majorHAnsi" w:cstheme="majorHAnsi"/>
        </w:rPr>
        <w:fldChar w:fldCharType="separate"/>
      </w:r>
      <w:r w:rsidRPr="00AE607F">
        <w:rPr>
          <w:rFonts w:asciiTheme="majorHAnsi" w:hAnsiTheme="majorHAnsi" w:cstheme="majorHAnsi"/>
        </w:rPr>
        <w:t>The BRII continues to support the objectives for which it was designed</w:t>
      </w:r>
      <w:r w:rsidRPr="00EF5C1B">
        <w:rPr>
          <w:rFonts w:asciiTheme="majorHAnsi" w:hAnsiTheme="majorHAnsi" w:cstheme="majorHAnsi"/>
        </w:rPr>
        <w:fldChar w:fldCharType="end"/>
      </w:r>
      <w:r w:rsidRPr="00EF5C1B">
        <w:rPr>
          <w:rFonts w:asciiTheme="majorHAnsi" w:hAnsiTheme="majorHAnsi" w:cstheme="majorHAnsi"/>
        </w:rPr>
        <w:t>.</w:t>
      </w:r>
      <w:r>
        <w:t xml:space="preserve"> </w:t>
      </w:r>
      <w:r w:rsidRPr="00EF5C1B">
        <w:t>The program has reached 14 different government departments and agencies directly and has touched many others indirectly. This impact has triggered some change in agencies, some of whom have planned further challenge-based procurement. However, BRII’s lack of scale limits the overall impact on the start</w:t>
      </w:r>
      <w:r>
        <w:t>-</w:t>
      </w:r>
      <w:r w:rsidRPr="00EF5C1B">
        <w:t>up and SME ecosystem.</w:t>
      </w:r>
    </w:p>
    <w:p w14:paraId="39822C0D" w14:textId="77777777" w:rsidR="00782849" w:rsidRPr="0092462B" w:rsidRDefault="00782849" w:rsidP="00782849">
      <w:pPr>
        <w:pStyle w:val="Bullet"/>
        <w:pBdr>
          <w:top w:val="single" w:sz="18" w:space="1" w:color="00264D" w:themeColor="background2"/>
          <w:bottom w:val="single" w:sz="18" w:space="1" w:color="00264D" w:themeColor="background2"/>
        </w:pBdr>
        <w:shd w:val="clear" w:color="auto" w:fill="E6E6E1" w:themeFill="accent5"/>
        <w:rPr>
          <w:rFonts w:asciiTheme="majorHAnsi" w:hAnsiTheme="majorHAnsi" w:cstheme="majorHAnsi"/>
        </w:rPr>
      </w:pPr>
      <w:r w:rsidRPr="009A52AE">
        <w:rPr>
          <w:rFonts w:asciiTheme="majorHAnsi" w:hAnsiTheme="majorHAnsi" w:cstheme="majorHAnsi"/>
        </w:rPr>
        <w:fldChar w:fldCharType="begin"/>
      </w:r>
      <w:r w:rsidRPr="009A52AE">
        <w:rPr>
          <w:rFonts w:asciiTheme="majorHAnsi" w:hAnsiTheme="majorHAnsi" w:cstheme="majorHAnsi"/>
        </w:rPr>
        <w:instrText xml:space="preserve"> REF _Ref75330807 \h  \* MERGEFORMAT </w:instrText>
      </w:r>
      <w:r w:rsidRPr="009A52AE">
        <w:rPr>
          <w:rFonts w:asciiTheme="majorHAnsi" w:hAnsiTheme="majorHAnsi" w:cstheme="majorHAnsi"/>
        </w:rPr>
      </w:r>
      <w:r w:rsidRPr="009A52AE">
        <w:rPr>
          <w:rFonts w:asciiTheme="majorHAnsi" w:hAnsiTheme="majorHAnsi" w:cstheme="majorHAnsi"/>
        </w:rPr>
        <w:fldChar w:fldCharType="separate"/>
      </w:r>
      <w:r w:rsidRPr="00AE607F">
        <w:rPr>
          <w:rFonts w:asciiTheme="majorHAnsi" w:hAnsiTheme="majorHAnsi" w:cstheme="majorHAnsi"/>
        </w:rPr>
        <w:t>Governance arrangements have fulfilled their purpose but will need to evolve if the BRII is to increase</w:t>
      </w:r>
      <w:r>
        <w:t xml:space="preserve"> in scale</w:t>
      </w:r>
      <w:r w:rsidRPr="009A52AE">
        <w:rPr>
          <w:rFonts w:asciiTheme="majorHAnsi" w:hAnsiTheme="majorHAnsi" w:cstheme="majorHAnsi"/>
        </w:rPr>
        <w:fldChar w:fldCharType="end"/>
      </w:r>
      <w:r w:rsidRPr="009A52AE">
        <w:rPr>
          <w:rFonts w:asciiTheme="majorHAnsi" w:hAnsiTheme="majorHAnsi" w:cstheme="majorHAnsi"/>
        </w:rPr>
        <w:t>.</w:t>
      </w:r>
      <w:r>
        <w:rPr>
          <w:rFonts w:asciiTheme="majorHAnsi" w:hAnsiTheme="majorHAnsi" w:cstheme="majorHAnsi"/>
        </w:rPr>
        <w:t xml:space="preserve"> </w:t>
      </w:r>
      <w:r w:rsidRPr="00AD7681">
        <w:t>The</w:t>
      </w:r>
      <w:r>
        <w:rPr>
          <w:rFonts w:asciiTheme="majorHAnsi" w:hAnsiTheme="majorHAnsi" w:cstheme="majorHAnsi"/>
        </w:rPr>
        <w:t xml:space="preserve"> </w:t>
      </w:r>
      <w:r w:rsidRPr="00AC0D21">
        <w:t xml:space="preserve">BRII policy and program teams have been instrumental to the program’s success but could benefit from greater integration. All stakeholders valued the input and role of the EPC. However, the current model </w:t>
      </w:r>
      <w:r>
        <w:t>may have</w:t>
      </w:r>
      <w:r w:rsidRPr="00AC0D21">
        <w:t xml:space="preserve"> limited ability to scale.</w:t>
      </w:r>
    </w:p>
    <w:p w14:paraId="51E0BFF2" w14:textId="77777777" w:rsidR="00782849" w:rsidRPr="008715F3" w:rsidRDefault="00782849" w:rsidP="00782849">
      <w:pPr>
        <w:pStyle w:val="Bullet"/>
        <w:pBdr>
          <w:top w:val="single" w:sz="18" w:space="1" w:color="00264D" w:themeColor="background2"/>
          <w:bottom w:val="single" w:sz="18" w:space="1" w:color="00264D" w:themeColor="background2"/>
        </w:pBdr>
        <w:shd w:val="clear" w:color="auto" w:fill="E6E6E1" w:themeFill="accent5"/>
        <w:rPr>
          <w:rFonts w:asciiTheme="majorHAnsi" w:hAnsiTheme="majorHAnsi" w:cstheme="majorHAnsi"/>
        </w:rPr>
      </w:pPr>
      <w:r w:rsidRPr="0092462B">
        <w:rPr>
          <w:rFonts w:asciiTheme="majorHAnsi" w:hAnsiTheme="majorHAnsi" w:cstheme="majorHAnsi"/>
        </w:rPr>
        <w:fldChar w:fldCharType="begin"/>
      </w:r>
      <w:r w:rsidRPr="008715F3">
        <w:rPr>
          <w:rFonts w:asciiTheme="majorHAnsi" w:hAnsiTheme="majorHAnsi" w:cstheme="majorHAnsi"/>
        </w:rPr>
        <w:instrText xml:space="preserve"> REF _Ref79137899 \h </w:instrText>
      </w:r>
      <w:r>
        <w:rPr>
          <w:rFonts w:asciiTheme="majorHAnsi" w:hAnsiTheme="majorHAnsi" w:cstheme="majorHAnsi"/>
        </w:rPr>
        <w:instrText xml:space="preserve"> \* MERGEFORMAT </w:instrText>
      </w:r>
      <w:r w:rsidRPr="0092462B">
        <w:rPr>
          <w:rFonts w:asciiTheme="majorHAnsi" w:hAnsiTheme="majorHAnsi" w:cstheme="majorHAnsi"/>
        </w:rPr>
      </w:r>
      <w:r w:rsidRPr="0092462B">
        <w:rPr>
          <w:rFonts w:asciiTheme="majorHAnsi" w:hAnsiTheme="majorHAnsi" w:cstheme="majorHAnsi"/>
        </w:rPr>
        <w:fldChar w:fldCharType="separate"/>
      </w:r>
      <w:r w:rsidRPr="00AE607F">
        <w:rPr>
          <w:rFonts w:asciiTheme="majorHAnsi" w:hAnsiTheme="majorHAnsi" w:cstheme="majorHAnsi"/>
        </w:rPr>
        <w:t>The BRII team have anticipated, managed and mitigated major risks across the first three rounds</w:t>
      </w:r>
      <w:r w:rsidRPr="0092462B">
        <w:rPr>
          <w:rFonts w:asciiTheme="majorHAnsi" w:hAnsiTheme="majorHAnsi" w:cstheme="majorHAnsi"/>
        </w:rPr>
        <w:fldChar w:fldCharType="end"/>
      </w:r>
      <w:r>
        <w:rPr>
          <w:rFonts w:asciiTheme="majorHAnsi" w:hAnsiTheme="majorHAnsi" w:cstheme="majorHAnsi"/>
        </w:rPr>
        <w:t xml:space="preserve">. </w:t>
      </w:r>
      <w:r w:rsidRPr="0092462B">
        <w:rPr>
          <w:rFonts w:asciiTheme="minorHAnsi" w:hAnsiTheme="minorHAnsi" w:cstheme="minorHAnsi"/>
        </w:rPr>
        <w:t>DISER successfully navigated risks relating to SME and agency engagement, allowing the BRII to deliver on its objectives. The BRII program was also largely uninterrupted by the impacts of the COVID-19 pandemic.</w:t>
      </w:r>
    </w:p>
    <w:p w14:paraId="36307CDC" w14:textId="77777777" w:rsidR="00782849" w:rsidRPr="00782849" w:rsidRDefault="00782849" w:rsidP="00782849">
      <w:pPr>
        <w:pBdr>
          <w:top w:val="single" w:sz="18" w:space="1" w:color="00264D" w:themeColor="background2"/>
          <w:bottom w:val="single" w:sz="18" w:space="1" w:color="00264D" w:themeColor="background2"/>
        </w:pBdr>
        <w:shd w:val="clear" w:color="auto" w:fill="E6E6E1" w:themeFill="accent5"/>
        <w:rPr>
          <w:rFonts w:asciiTheme="majorHAnsi" w:hAnsiTheme="majorHAnsi" w:cstheme="majorHAnsi"/>
        </w:rPr>
      </w:pPr>
      <w:r w:rsidRPr="00782849">
        <w:rPr>
          <w:rFonts w:asciiTheme="majorHAnsi" w:hAnsiTheme="majorHAnsi" w:cstheme="majorHAnsi"/>
        </w:rPr>
        <w:fldChar w:fldCharType="begin"/>
      </w:r>
      <w:r w:rsidRPr="00782849">
        <w:rPr>
          <w:rFonts w:asciiTheme="majorHAnsi" w:hAnsiTheme="majorHAnsi" w:cstheme="majorHAnsi"/>
        </w:rPr>
        <w:instrText xml:space="preserve"> REF _Ref79137842 \h  \* MERGEFORMAT </w:instrText>
      </w:r>
      <w:r w:rsidRPr="00782849">
        <w:rPr>
          <w:rFonts w:asciiTheme="majorHAnsi" w:hAnsiTheme="majorHAnsi" w:cstheme="majorHAnsi"/>
        </w:rPr>
      </w:r>
      <w:r w:rsidRPr="00782849">
        <w:rPr>
          <w:rFonts w:asciiTheme="majorHAnsi" w:hAnsiTheme="majorHAnsi" w:cstheme="majorHAnsi"/>
        </w:rPr>
        <w:fldChar w:fldCharType="separate"/>
      </w:r>
      <w:r w:rsidRPr="00782849">
        <w:rPr>
          <w:rFonts w:asciiTheme="majorHAnsi" w:hAnsiTheme="majorHAnsi" w:cstheme="majorHAnsi"/>
        </w:rPr>
        <w:t>The BRII has improved how it delivers the challenge stage</w:t>
      </w:r>
      <w:r w:rsidRPr="00782849">
        <w:rPr>
          <w:rFonts w:asciiTheme="majorHAnsi" w:hAnsiTheme="majorHAnsi" w:cstheme="majorHAnsi"/>
        </w:rPr>
        <w:fldChar w:fldCharType="end"/>
      </w:r>
      <w:r w:rsidRPr="00782849">
        <w:rPr>
          <w:rFonts w:asciiTheme="majorHAnsi" w:hAnsiTheme="majorHAnsi" w:cstheme="majorHAnsi"/>
        </w:rPr>
        <w:t>.</w:t>
      </w:r>
    </w:p>
    <w:p w14:paraId="7D32C482" w14:textId="77777777" w:rsidR="00782849" w:rsidRPr="00EF5C1B" w:rsidRDefault="00782849" w:rsidP="00782849">
      <w:pPr>
        <w:pStyle w:val="Bullet"/>
        <w:pBdr>
          <w:top w:val="single" w:sz="18" w:space="1" w:color="00264D" w:themeColor="background2"/>
          <w:bottom w:val="single" w:sz="18" w:space="1" w:color="00264D" w:themeColor="background2"/>
        </w:pBdr>
        <w:shd w:val="clear" w:color="auto" w:fill="E6E6E1" w:themeFill="accent5"/>
      </w:pPr>
      <w:r w:rsidRPr="00782849">
        <w:rPr>
          <w:rFonts w:asciiTheme="majorHAnsi" w:hAnsiTheme="majorHAnsi" w:cstheme="majorHAnsi"/>
        </w:rPr>
        <w:fldChar w:fldCharType="begin"/>
      </w:r>
      <w:r w:rsidRPr="00782849">
        <w:rPr>
          <w:rFonts w:asciiTheme="majorHAnsi" w:hAnsiTheme="majorHAnsi" w:cstheme="majorHAnsi"/>
        </w:rPr>
        <w:instrText xml:space="preserve"> REF _Ref79137867 \h  \* MERGEFORMAT </w:instrText>
      </w:r>
      <w:r w:rsidRPr="00782849">
        <w:rPr>
          <w:rFonts w:asciiTheme="majorHAnsi" w:hAnsiTheme="majorHAnsi" w:cstheme="majorHAnsi"/>
        </w:rPr>
      </w:r>
      <w:r w:rsidRPr="00782849">
        <w:rPr>
          <w:rFonts w:asciiTheme="majorHAnsi" w:hAnsiTheme="majorHAnsi" w:cstheme="majorHAnsi"/>
        </w:rPr>
        <w:fldChar w:fldCharType="separate"/>
      </w:r>
      <w:r w:rsidRPr="00782849">
        <w:rPr>
          <w:rFonts w:asciiTheme="majorHAnsi" w:hAnsiTheme="majorHAnsi" w:cstheme="majorHAnsi"/>
        </w:rPr>
        <w:t>The BRII has made important changes to enable challenge design but could benefit from new approaches to engage challenge agencies</w:t>
      </w:r>
      <w:r w:rsidRPr="00782849">
        <w:rPr>
          <w:rFonts w:asciiTheme="majorHAnsi" w:hAnsiTheme="majorHAnsi" w:cstheme="majorHAnsi"/>
        </w:rPr>
        <w:fldChar w:fldCharType="end"/>
      </w:r>
      <w:r w:rsidRPr="00782849">
        <w:rPr>
          <w:rFonts w:asciiTheme="majorHAnsi" w:hAnsiTheme="majorHAnsi" w:cstheme="majorHAnsi"/>
        </w:rPr>
        <w:t>.</w:t>
      </w:r>
      <w:r>
        <w:t xml:space="preserve"> </w:t>
      </w:r>
      <w:r w:rsidRPr="00B153D8">
        <w:t xml:space="preserve">While communication with SMEs has improved, similar outreach efforts to prospective challenge agencies have proven difficult. </w:t>
      </w:r>
      <w:r>
        <w:t xml:space="preserve">The </w:t>
      </w:r>
      <w:r w:rsidRPr="00B153D8">
        <w:t xml:space="preserve">BRII will benefit from </w:t>
      </w:r>
      <w:r>
        <w:t xml:space="preserve">a </w:t>
      </w:r>
      <w:r w:rsidRPr="00B153D8">
        <w:t>continued focus on challenge design to mitigate poor program outcomes.</w:t>
      </w:r>
    </w:p>
    <w:p w14:paraId="1FA99F19" w14:textId="77777777" w:rsidR="00782849" w:rsidRPr="00877EC1" w:rsidRDefault="00782849" w:rsidP="00782849">
      <w:pPr>
        <w:pStyle w:val="Bullet"/>
        <w:pBdr>
          <w:top w:val="single" w:sz="18" w:space="1" w:color="00264D" w:themeColor="background2"/>
          <w:bottom w:val="single" w:sz="18" w:space="1" w:color="00264D" w:themeColor="background2"/>
        </w:pBdr>
        <w:shd w:val="clear" w:color="auto" w:fill="E6E6E1" w:themeFill="accent5"/>
      </w:pPr>
      <w:r w:rsidRPr="00782849">
        <w:rPr>
          <w:rFonts w:asciiTheme="majorHAnsi" w:hAnsiTheme="majorHAnsi" w:cstheme="majorHAnsi"/>
        </w:rPr>
        <w:fldChar w:fldCharType="begin"/>
      </w:r>
      <w:r w:rsidRPr="00782849">
        <w:rPr>
          <w:rFonts w:asciiTheme="majorHAnsi" w:hAnsiTheme="majorHAnsi" w:cstheme="majorHAnsi"/>
        </w:rPr>
        <w:instrText xml:space="preserve"> REF _Ref75965839 \h  \* MERGEFORMAT </w:instrText>
      </w:r>
      <w:r w:rsidRPr="00782849">
        <w:rPr>
          <w:rFonts w:asciiTheme="majorHAnsi" w:hAnsiTheme="majorHAnsi" w:cstheme="majorHAnsi"/>
        </w:rPr>
      </w:r>
      <w:r w:rsidRPr="00782849">
        <w:rPr>
          <w:rFonts w:asciiTheme="majorHAnsi" w:hAnsiTheme="majorHAnsi" w:cstheme="majorHAnsi"/>
        </w:rPr>
        <w:fldChar w:fldCharType="separate"/>
      </w:r>
      <w:r w:rsidRPr="00782849">
        <w:rPr>
          <w:rFonts w:asciiTheme="majorHAnsi" w:hAnsiTheme="majorHAnsi" w:cstheme="majorHAnsi"/>
        </w:rPr>
        <w:t>The BRII has greatly improved its marketing to SMEs</w:t>
      </w:r>
      <w:r w:rsidRPr="00782849">
        <w:rPr>
          <w:rFonts w:asciiTheme="majorHAnsi" w:hAnsiTheme="majorHAnsi" w:cstheme="majorHAnsi"/>
        </w:rPr>
        <w:fldChar w:fldCharType="end"/>
      </w:r>
      <w:r w:rsidRPr="00877EC1">
        <w:t xml:space="preserve">. </w:t>
      </w:r>
      <w:r w:rsidRPr="00AC0D21">
        <w:t>Prior to the Priority Sectors round (round three), DISER initiated a major shift in the communications approach that focused on a more targeted, tailored approach</w:t>
      </w:r>
      <w:r>
        <w:t xml:space="preserve"> with greater focus on social media engagement</w:t>
      </w:r>
      <w:r w:rsidRPr="00AC0D21">
        <w:t>. This approach resulted in a significant increase in engagement and applications compared to previous rounds.</w:t>
      </w:r>
    </w:p>
    <w:p w14:paraId="49493CE7" w14:textId="4E772E51" w:rsidR="00782849" w:rsidRPr="00782849" w:rsidRDefault="00782849" w:rsidP="00782849">
      <w:pPr>
        <w:pBdr>
          <w:top w:val="single" w:sz="18" w:space="1" w:color="00264D" w:themeColor="background2"/>
          <w:bottom w:val="single" w:sz="18" w:space="1" w:color="00264D" w:themeColor="background2"/>
        </w:pBdr>
        <w:shd w:val="clear" w:color="auto" w:fill="E6E6E1" w:themeFill="accent5"/>
        <w:rPr>
          <w:rFonts w:asciiTheme="majorHAnsi" w:hAnsiTheme="majorHAnsi" w:cstheme="majorHAnsi"/>
        </w:rPr>
      </w:pPr>
      <w:r w:rsidRPr="00782849">
        <w:rPr>
          <w:rFonts w:asciiTheme="majorHAnsi" w:hAnsiTheme="majorHAnsi" w:cstheme="majorHAnsi"/>
        </w:rPr>
        <w:fldChar w:fldCharType="begin"/>
      </w:r>
      <w:r w:rsidRPr="00782849">
        <w:rPr>
          <w:rFonts w:asciiTheme="majorHAnsi" w:hAnsiTheme="majorHAnsi" w:cstheme="majorHAnsi"/>
        </w:rPr>
        <w:instrText xml:space="preserve"> REF _Hlk77804257 \h  \* MERGEFORMAT </w:instrText>
      </w:r>
      <w:r w:rsidRPr="00782849">
        <w:rPr>
          <w:rFonts w:asciiTheme="majorHAnsi" w:hAnsiTheme="majorHAnsi" w:cstheme="majorHAnsi"/>
        </w:rPr>
      </w:r>
      <w:r w:rsidRPr="00782849">
        <w:rPr>
          <w:rFonts w:asciiTheme="majorHAnsi" w:hAnsiTheme="majorHAnsi" w:cstheme="majorHAnsi"/>
        </w:rPr>
        <w:fldChar w:fldCharType="separate"/>
      </w:r>
      <w:r w:rsidRPr="00782849">
        <w:rPr>
          <w:rFonts w:asciiTheme="majorHAnsi" w:hAnsiTheme="majorHAnsi" w:cstheme="majorHAnsi"/>
        </w:rPr>
        <w:t>SMEs and challenge agencies reflect positively on the BRII but suggested improvements to program design</w:t>
      </w:r>
      <w:r w:rsidRPr="00782849">
        <w:rPr>
          <w:rFonts w:asciiTheme="majorHAnsi" w:hAnsiTheme="majorHAnsi" w:cstheme="majorHAnsi"/>
        </w:rPr>
        <w:fldChar w:fldCharType="end"/>
      </w:r>
      <w:r w:rsidRPr="00782849">
        <w:rPr>
          <w:rFonts w:asciiTheme="majorHAnsi" w:hAnsiTheme="majorHAnsi" w:cstheme="majorHAnsi"/>
        </w:rPr>
        <w:t>.</w:t>
      </w:r>
    </w:p>
    <w:p w14:paraId="19B233F3" w14:textId="77777777" w:rsidR="00782849" w:rsidRPr="00D451CF" w:rsidRDefault="00782849" w:rsidP="00782849">
      <w:pPr>
        <w:pStyle w:val="Bullet"/>
        <w:pBdr>
          <w:top w:val="single" w:sz="18" w:space="1" w:color="00264D" w:themeColor="background2"/>
          <w:bottom w:val="single" w:sz="18" w:space="1" w:color="00264D" w:themeColor="background2"/>
        </w:pBdr>
        <w:shd w:val="clear" w:color="auto" w:fill="E6E6E1" w:themeFill="accent5"/>
      </w:pPr>
      <w:r w:rsidRPr="00EF5C1B">
        <w:rPr>
          <w:rFonts w:asciiTheme="majorHAnsi" w:hAnsiTheme="majorHAnsi" w:cstheme="majorHAnsi"/>
        </w:rPr>
        <w:fldChar w:fldCharType="begin"/>
      </w:r>
      <w:r w:rsidRPr="00EF5C1B">
        <w:rPr>
          <w:rFonts w:asciiTheme="majorHAnsi" w:hAnsiTheme="majorHAnsi" w:cstheme="majorHAnsi"/>
        </w:rPr>
        <w:instrText xml:space="preserve"> REF _Ref75330834 \h </w:instrText>
      </w:r>
      <w:r>
        <w:rPr>
          <w:rFonts w:asciiTheme="majorHAnsi" w:hAnsiTheme="majorHAnsi" w:cstheme="majorHAnsi"/>
        </w:rPr>
        <w:instrText xml:space="preserve"> \* MERGEFORMAT </w:instrText>
      </w:r>
      <w:r w:rsidRPr="00EF5C1B">
        <w:rPr>
          <w:rFonts w:asciiTheme="majorHAnsi" w:hAnsiTheme="majorHAnsi" w:cstheme="majorHAnsi"/>
        </w:rPr>
      </w:r>
      <w:r w:rsidRPr="00EF5C1B">
        <w:rPr>
          <w:rFonts w:asciiTheme="majorHAnsi" w:hAnsiTheme="majorHAnsi" w:cstheme="majorHAnsi"/>
        </w:rPr>
        <w:fldChar w:fldCharType="separate"/>
      </w:r>
      <w:r w:rsidRPr="00AE607F">
        <w:rPr>
          <w:rFonts w:asciiTheme="majorHAnsi" w:hAnsiTheme="majorHAnsi" w:cstheme="majorHAnsi"/>
        </w:rPr>
        <w:t>Most SMEs had a positive experience through the feasibility stage</w:t>
      </w:r>
      <w:r w:rsidRPr="00EF5C1B">
        <w:rPr>
          <w:rFonts w:asciiTheme="majorHAnsi" w:hAnsiTheme="majorHAnsi" w:cstheme="majorHAnsi"/>
        </w:rPr>
        <w:fldChar w:fldCharType="end"/>
      </w:r>
      <w:r>
        <w:rPr>
          <w:rFonts w:asciiTheme="majorHAnsi" w:hAnsiTheme="majorHAnsi" w:cstheme="majorHAnsi"/>
        </w:rPr>
        <w:t>.</w:t>
      </w:r>
      <w:r w:rsidRPr="00D451CF">
        <w:t xml:space="preserve"> Almost all survey respondents were satisfied or very satisfied with the support received from challenge agencies and from DISER.</w:t>
      </w:r>
    </w:p>
    <w:p w14:paraId="7F9BBE26" w14:textId="647FB66F" w:rsidR="00782849" w:rsidRDefault="00782849" w:rsidP="00782849">
      <w:pPr>
        <w:pBdr>
          <w:top w:val="single" w:sz="18" w:space="1" w:color="00264D" w:themeColor="background2"/>
          <w:bottom w:val="single" w:sz="18" w:space="1" w:color="00264D" w:themeColor="background2"/>
        </w:pBdr>
        <w:shd w:val="clear" w:color="auto" w:fill="E6E6E1" w:themeFill="accent5"/>
        <w:rPr>
          <w:lang w:eastAsia="en-AU"/>
        </w:rPr>
      </w:pPr>
      <w:r w:rsidRPr="00782849">
        <w:rPr>
          <w:rFonts w:asciiTheme="majorHAnsi" w:hAnsiTheme="majorHAnsi" w:cstheme="majorHAnsi"/>
        </w:rPr>
        <w:fldChar w:fldCharType="begin"/>
      </w:r>
      <w:r w:rsidRPr="00782849">
        <w:rPr>
          <w:rFonts w:asciiTheme="majorHAnsi" w:hAnsiTheme="majorHAnsi" w:cstheme="majorHAnsi"/>
        </w:rPr>
        <w:instrText xml:space="preserve"> REF _Ref75330915 \h  \* MERGEFORMAT </w:instrText>
      </w:r>
      <w:r w:rsidRPr="00782849">
        <w:rPr>
          <w:rFonts w:asciiTheme="majorHAnsi" w:hAnsiTheme="majorHAnsi" w:cstheme="majorHAnsi"/>
        </w:rPr>
      </w:r>
      <w:r w:rsidRPr="00782849">
        <w:rPr>
          <w:rFonts w:asciiTheme="majorHAnsi" w:hAnsiTheme="majorHAnsi" w:cstheme="majorHAnsi"/>
        </w:rPr>
        <w:fldChar w:fldCharType="separate"/>
      </w:r>
      <w:r w:rsidRPr="00782849">
        <w:rPr>
          <w:rFonts w:asciiTheme="majorHAnsi" w:hAnsiTheme="majorHAnsi" w:cstheme="majorHAnsi"/>
        </w:rPr>
        <w:t>Proof of concept SMEs were generally happy with the program, but some had concerns about challenge agency support</w:t>
      </w:r>
      <w:r w:rsidRPr="00782849">
        <w:rPr>
          <w:rFonts w:asciiTheme="majorHAnsi" w:hAnsiTheme="majorHAnsi" w:cstheme="majorHAnsi"/>
        </w:rPr>
        <w:fldChar w:fldCharType="end"/>
      </w:r>
      <w:r w:rsidRPr="00782849">
        <w:rPr>
          <w:rFonts w:asciiTheme="majorHAnsi" w:hAnsiTheme="majorHAnsi" w:cstheme="majorHAnsi"/>
        </w:rPr>
        <w:t>.</w:t>
      </w:r>
      <w:r>
        <w:t xml:space="preserve"> </w:t>
      </w:r>
      <w:r w:rsidRPr="00D451CF">
        <w:t>Concerns with challenge agency support mostly</w:t>
      </w:r>
    </w:p>
    <w:p w14:paraId="07010CD7" w14:textId="4D710273" w:rsidR="00A67F25" w:rsidRPr="00630875" w:rsidRDefault="007E4161">
      <w:pPr>
        <w:pStyle w:val="Heading2"/>
      </w:pPr>
      <w:bookmarkStart w:id="124" w:name="_Ref75899839"/>
      <w:bookmarkStart w:id="125" w:name="_Ref75900893"/>
      <w:bookmarkStart w:id="126" w:name="_Ref75965722"/>
      <w:bookmarkStart w:id="127" w:name="_Ref79401818"/>
      <w:bookmarkStart w:id="128" w:name="_Toc124435160"/>
      <w:bookmarkStart w:id="129" w:name="_Ref75330796"/>
      <w:bookmarkStart w:id="130" w:name="_Ref75330804"/>
      <w:r>
        <w:lastRenderedPageBreak/>
        <w:t xml:space="preserve">The </w:t>
      </w:r>
      <w:r w:rsidRPr="003F7754">
        <w:t>design</w:t>
      </w:r>
      <w:r>
        <w:t xml:space="preserve"> and governance of </w:t>
      </w:r>
      <w:r w:rsidR="00B06234">
        <w:t>the</w:t>
      </w:r>
      <w:r>
        <w:t xml:space="preserve"> BRII has been effective</w:t>
      </w:r>
      <w:bookmarkEnd w:id="124"/>
      <w:bookmarkEnd w:id="125"/>
      <w:bookmarkEnd w:id="126"/>
      <w:bookmarkEnd w:id="127"/>
      <w:bookmarkEnd w:id="128"/>
    </w:p>
    <w:p w14:paraId="1A03A052" w14:textId="4F9E77F2" w:rsidR="009C6A63" w:rsidRPr="009C6A63" w:rsidRDefault="009C6A63" w:rsidP="009C6A63">
      <w:pPr>
        <w:rPr>
          <w:lang w:eastAsia="en-AU"/>
        </w:rPr>
      </w:pPr>
      <w:r>
        <w:rPr>
          <w:lang w:eastAsia="en-AU"/>
        </w:rPr>
        <w:t xml:space="preserve">The BRII’s administrative arrangements have supported effective challenge selection, design and project delivery. The role of the EPC has </w:t>
      </w:r>
      <w:r w:rsidR="005B1A6B">
        <w:rPr>
          <w:lang w:eastAsia="en-AU"/>
        </w:rPr>
        <w:t xml:space="preserve">been particularly important in providing a commercial perspective in assessment and challenge design phases. However, this is currently a centralised process requiring significant time investment. </w:t>
      </w:r>
      <w:r w:rsidR="00A76038">
        <w:rPr>
          <w:lang w:eastAsia="en-AU"/>
        </w:rPr>
        <w:t>New models must be consider</w:t>
      </w:r>
      <w:r w:rsidR="00CD4547">
        <w:rPr>
          <w:lang w:eastAsia="en-AU"/>
        </w:rPr>
        <w:t>ed</w:t>
      </w:r>
      <w:r w:rsidR="00A76038">
        <w:rPr>
          <w:lang w:eastAsia="en-AU"/>
        </w:rPr>
        <w:t xml:space="preserve"> to allow the BRII to scale. </w:t>
      </w:r>
    </w:p>
    <w:p w14:paraId="4443F80A" w14:textId="0C300B70" w:rsidR="00DF3247" w:rsidRDefault="00DF3247">
      <w:pPr>
        <w:pStyle w:val="Heading3"/>
      </w:pPr>
      <w:bookmarkStart w:id="131" w:name="_Ref75433401"/>
      <w:r>
        <w:t>The BRII continues to support the objectives for which it was designed</w:t>
      </w:r>
      <w:bookmarkEnd w:id="129"/>
      <w:bookmarkEnd w:id="130"/>
      <w:bookmarkEnd w:id="131"/>
    </w:p>
    <w:p w14:paraId="21F31F87" w14:textId="43337527" w:rsidR="00B56958" w:rsidRDefault="009E0F92" w:rsidP="00477451">
      <w:pPr>
        <w:rPr>
          <w:lang w:eastAsia="en-AU"/>
        </w:rPr>
      </w:pPr>
      <w:r w:rsidRPr="009E0F92">
        <w:rPr>
          <w:lang w:eastAsia="en-AU"/>
        </w:rPr>
        <w:t xml:space="preserve">The BRII has been appropriately designed and implemented to address its two distinct objectives </w:t>
      </w:r>
      <w:r>
        <w:rPr>
          <w:lang w:eastAsia="en-AU"/>
        </w:rPr>
        <w:t>(</w:t>
      </w:r>
      <w:r w:rsidR="00283DD2">
        <w:rPr>
          <w:lang w:eastAsia="en-AU"/>
        </w:rPr>
        <w:t xml:space="preserve">see </w:t>
      </w:r>
      <w:r w:rsidR="000673BF">
        <w:rPr>
          <w:lang w:eastAsia="en-AU"/>
        </w:rPr>
        <w:t>Section</w:t>
      </w:r>
      <w:r w:rsidR="000C726B">
        <w:rPr>
          <w:lang w:eastAsia="en-AU"/>
        </w:rPr>
        <w:t xml:space="preserve"> </w:t>
      </w:r>
      <w:r w:rsidR="00A96978">
        <w:rPr>
          <w:lang w:eastAsia="en-AU"/>
        </w:rPr>
        <w:fldChar w:fldCharType="begin"/>
      </w:r>
      <w:r w:rsidR="00A96978">
        <w:rPr>
          <w:lang w:eastAsia="en-AU"/>
        </w:rPr>
        <w:instrText xml:space="preserve"> REF _Ref79408262 \n \h </w:instrText>
      </w:r>
      <w:r w:rsidR="00A96978">
        <w:rPr>
          <w:lang w:eastAsia="en-AU"/>
        </w:rPr>
      </w:r>
      <w:r w:rsidR="00A96978">
        <w:rPr>
          <w:lang w:eastAsia="en-AU"/>
        </w:rPr>
        <w:fldChar w:fldCharType="separate"/>
      </w:r>
      <w:r w:rsidR="00AE607F">
        <w:rPr>
          <w:lang w:eastAsia="en-AU"/>
        </w:rPr>
        <w:t>4</w:t>
      </w:r>
      <w:r w:rsidR="00A96978">
        <w:rPr>
          <w:lang w:eastAsia="en-AU"/>
        </w:rPr>
        <w:fldChar w:fldCharType="end"/>
      </w:r>
      <w:r w:rsidR="000C726B">
        <w:rPr>
          <w:lang w:eastAsia="en-AU"/>
        </w:rPr>
        <w:t>).</w:t>
      </w:r>
      <w:r w:rsidRPr="009E0F92">
        <w:rPr>
          <w:lang w:eastAsia="en-AU"/>
        </w:rPr>
        <w:t xml:space="preserve"> The consistent outcomes across the early challenge rounds affirms the appetite to extend the reach of the BRII. At present the reach of the BRII is limited, especially regarding the start-up and SME ecosystem. The table</w:t>
      </w:r>
      <w:r w:rsidR="00782849">
        <w:rPr>
          <w:lang w:eastAsia="en-AU"/>
        </w:rPr>
        <w:t>s</w:t>
      </w:r>
      <w:r w:rsidRPr="009E0F92">
        <w:rPr>
          <w:lang w:eastAsia="en-AU"/>
        </w:rPr>
        <w:t xml:space="preserve"> </w:t>
      </w:r>
      <w:r w:rsidR="004B141E">
        <w:rPr>
          <w:lang w:eastAsia="en-AU"/>
        </w:rPr>
        <w:fldChar w:fldCharType="begin"/>
      </w:r>
      <w:r w:rsidR="004B141E">
        <w:rPr>
          <w:lang w:eastAsia="en-AU"/>
        </w:rPr>
        <w:instrText xml:space="preserve"> REF _Ref79505474 \p \h </w:instrText>
      </w:r>
      <w:r w:rsidR="004B141E">
        <w:rPr>
          <w:lang w:eastAsia="en-AU"/>
        </w:rPr>
      </w:r>
      <w:r w:rsidR="004B141E">
        <w:rPr>
          <w:lang w:eastAsia="en-AU"/>
        </w:rPr>
        <w:fldChar w:fldCharType="separate"/>
      </w:r>
      <w:r w:rsidR="00AE607F">
        <w:rPr>
          <w:lang w:eastAsia="en-AU"/>
        </w:rPr>
        <w:t>below</w:t>
      </w:r>
      <w:r w:rsidR="004B141E">
        <w:rPr>
          <w:lang w:eastAsia="en-AU"/>
        </w:rPr>
        <w:fldChar w:fldCharType="end"/>
      </w:r>
      <w:r w:rsidR="004B141E">
        <w:rPr>
          <w:lang w:eastAsia="en-AU"/>
        </w:rPr>
        <w:t xml:space="preserve"> </w:t>
      </w:r>
      <w:r w:rsidRPr="009E0F92">
        <w:rPr>
          <w:lang w:eastAsia="en-AU"/>
        </w:rPr>
        <w:t xml:space="preserve">provide an overview of the extent to which </w:t>
      </w:r>
      <w:r w:rsidR="001D67C6">
        <w:rPr>
          <w:lang w:eastAsia="en-AU"/>
        </w:rPr>
        <w:t>the</w:t>
      </w:r>
      <w:r w:rsidRPr="009E0F92">
        <w:rPr>
          <w:lang w:eastAsia="en-AU"/>
        </w:rPr>
        <w:t xml:space="preserve"> BRII addresses each objective and the program’s reach.</w:t>
      </w:r>
    </w:p>
    <w:p w14:paraId="04FE85EA" w14:textId="4990EA22" w:rsidR="00477451" w:rsidRPr="00B56958" w:rsidRDefault="00477451" w:rsidP="00477451">
      <w:pPr>
        <w:pStyle w:val="Caption"/>
        <w:rPr>
          <w:lang w:eastAsia="en-AU"/>
        </w:rPr>
      </w:pPr>
      <w:bookmarkStart w:id="132" w:name="_Ref79505474"/>
      <w:r>
        <w:t xml:space="preserve">Table </w:t>
      </w:r>
      <w:r>
        <w:fldChar w:fldCharType="begin"/>
      </w:r>
      <w:r>
        <w:instrText xml:space="preserve"> SEQ Table \* ARABIC </w:instrText>
      </w:r>
      <w:r>
        <w:fldChar w:fldCharType="separate"/>
      </w:r>
      <w:r w:rsidR="00AE607F">
        <w:rPr>
          <w:noProof/>
        </w:rPr>
        <w:t>8</w:t>
      </w:r>
      <w:r>
        <w:fldChar w:fldCharType="end"/>
      </w:r>
      <w:r>
        <w:t xml:space="preserve"> | </w:t>
      </w:r>
      <w:r w:rsidRPr="00631F82">
        <w:t>Performance against the BRII program objective</w:t>
      </w:r>
      <w:bookmarkEnd w:id="132"/>
      <w:r w:rsidR="00782849">
        <w:t xml:space="preserve"> 1</w:t>
      </w:r>
    </w:p>
    <w:tbl>
      <w:tblPr>
        <w:tblStyle w:val="NousTableSide"/>
        <w:tblW w:w="0" w:type="auto"/>
        <w:tblLook w:val="04A0" w:firstRow="1" w:lastRow="0" w:firstColumn="1" w:lastColumn="0" w:noHBand="0" w:noVBand="1"/>
      </w:tblPr>
      <w:tblGrid>
        <w:gridCol w:w="1820"/>
        <w:gridCol w:w="7087"/>
      </w:tblGrid>
      <w:tr w:rsidR="005E56F1" w14:paraId="3C05D4E6" w14:textId="77777777" w:rsidTr="00782849">
        <w:trPr>
          <w:cantSplit/>
        </w:trPr>
        <w:tc>
          <w:tcPr>
            <w:cnfStyle w:val="001000000000" w:firstRow="0" w:lastRow="0" w:firstColumn="1" w:lastColumn="0" w:oddVBand="0" w:evenVBand="0" w:oddHBand="0" w:evenHBand="0" w:firstRowFirstColumn="0" w:firstRowLastColumn="0" w:lastRowFirstColumn="0" w:lastRowLastColumn="0"/>
            <w:tcW w:w="1820" w:type="dxa"/>
            <w:tcBorders>
              <w:left w:val="single" w:sz="18" w:space="0" w:color="F25E21" w:themeColor="accent2"/>
            </w:tcBorders>
            <w:shd w:val="clear" w:color="auto" w:fill="00264D" w:themeFill="background2"/>
            <w:vAlign w:val="center"/>
          </w:tcPr>
          <w:p w14:paraId="303E5625" w14:textId="288C28FA" w:rsidR="005E56F1" w:rsidRPr="00782849" w:rsidRDefault="005E56F1" w:rsidP="007B7353">
            <w:pPr>
              <w:pStyle w:val="TableNheader"/>
              <w:rPr>
                <w:color w:val="FFFFFF" w:themeColor="background1"/>
                <w:lang w:eastAsia="en-AU"/>
              </w:rPr>
            </w:pPr>
            <w:r w:rsidRPr="00782849">
              <w:rPr>
                <w:color w:val="FFFFFF" w:themeColor="background1"/>
                <w:lang w:eastAsia="en-AU"/>
              </w:rPr>
              <w:t>Objective 1</w:t>
            </w:r>
          </w:p>
        </w:tc>
        <w:tc>
          <w:tcPr>
            <w:tcW w:w="7087" w:type="dxa"/>
            <w:shd w:val="clear" w:color="auto" w:fill="E6E6E1" w:themeFill="accent5"/>
          </w:tcPr>
          <w:p w14:paraId="627BA214" w14:textId="27E93B12" w:rsidR="005E56F1" w:rsidRPr="00C51C4D" w:rsidRDefault="005E56F1" w:rsidP="007B7353">
            <w:pPr>
              <w:pStyle w:val="TableNText"/>
              <w:cnfStyle w:val="000000000000" w:firstRow="0" w:lastRow="0" w:firstColumn="0" w:lastColumn="0" w:oddVBand="0" w:evenVBand="0" w:oddHBand="0" w:evenHBand="0" w:firstRowFirstColumn="0" w:firstRowLastColumn="0" w:lastRowFirstColumn="0" w:lastRowLastColumn="0"/>
              <w:rPr>
                <w:b/>
                <w:bCs/>
              </w:rPr>
            </w:pPr>
            <w:r w:rsidRPr="00C51C4D">
              <w:rPr>
                <w:b/>
                <w:bCs/>
              </w:rPr>
              <w:t>Change the nature of government procurement through sourcing innovative solutions</w:t>
            </w:r>
          </w:p>
        </w:tc>
      </w:tr>
      <w:tr w:rsidR="008864FB" w14:paraId="1CCA7CCE" w14:textId="77777777" w:rsidTr="00782849">
        <w:trPr>
          <w:cantSplit/>
        </w:trPr>
        <w:tc>
          <w:tcPr>
            <w:cnfStyle w:val="001000000000" w:firstRow="0" w:lastRow="0" w:firstColumn="1" w:lastColumn="0" w:oddVBand="0" w:evenVBand="0" w:oddHBand="0" w:evenHBand="0" w:firstRowFirstColumn="0" w:firstRowLastColumn="0" w:lastRowFirstColumn="0" w:lastRowLastColumn="0"/>
            <w:tcW w:w="1820" w:type="dxa"/>
            <w:tcBorders>
              <w:left w:val="single" w:sz="18" w:space="0" w:color="F25E21" w:themeColor="accent2"/>
            </w:tcBorders>
            <w:shd w:val="clear" w:color="auto" w:fill="00264D" w:themeFill="background2"/>
            <w:vAlign w:val="center"/>
          </w:tcPr>
          <w:p w14:paraId="0B8B776E" w14:textId="4C172DD4" w:rsidR="008864FB" w:rsidRPr="00782849" w:rsidRDefault="005E56F1" w:rsidP="007B7353">
            <w:pPr>
              <w:pStyle w:val="TableNheader"/>
              <w:rPr>
                <w:color w:val="FFFFFF" w:themeColor="background1"/>
              </w:rPr>
            </w:pPr>
            <w:r w:rsidRPr="00782849">
              <w:rPr>
                <w:color w:val="FFFFFF" w:themeColor="background1"/>
                <w:lang w:eastAsia="en-AU"/>
              </w:rPr>
              <w:t>Extent to which the BRII supports the objective</w:t>
            </w:r>
          </w:p>
        </w:tc>
        <w:tc>
          <w:tcPr>
            <w:tcW w:w="7087" w:type="dxa"/>
          </w:tcPr>
          <w:p w14:paraId="734C5055" w14:textId="77777777" w:rsidR="008864FB" w:rsidRPr="00114EB9" w:rsidRDefault="008864FB">
            <w:pPr>
              <w:pStyle w:val="TableNBullet"/>
              <w:cnfStyle w:val="000000000000" w:firstRow="0" w:lastRow="0" w:firstColumn="0" w:lastColumn="0" w:oddVBand="0" w:evenVBand="0" w:oddHBand="0" w:evenHBand="0" w:firstRowFirstColumn="0" w:firstRowLastColumn="0" w:lastRowFirstColumn="0" w:lastRowLastColumn="0"/>
            </w:pPr>
            <w:r w:rsidRPr="00114EB9">
              <w:t>The program is a novel procurement approach that has a focus on innovation. There are few programs like it in Australia.</w:t>
            </w:r>
          </w:p>
          <w:p w14:paraId="530A1D51" w14:textId="77777777" w:rsidR="008864FB" w:rsidRDefault="008864FB">
            <w:pPr>
              <w:pStyle w:val="TableNBullet"/>
              <w:cnfStyle w:val="000000000000" w:firstRow="0" w:lastRow="0" w:firstColumn="0" w:lastColumn="0" w:oddVBand="0" w:evenVBand="0" w:oddHBand="0" w:evenHBand="0" w:firstRowFirstColumn="0" w:firstRowLastColumn="0" w:lastRowFirstColumn="0" w:lastRowLastColumn="0"/>
            </w:pPr>
            <w:r w:rsidRPr="00114EB9">
              <w:t>All challenge agencies that participated in the evaluation are supportive of challenge-based procurement and would participate again.</w:t>
            </w:r>
          </w:p>
          <w:p w14:paraId="00717CB9" w14:textId="1BA2E3CE" w:rsidR="008864FB" w:rsidRDefault="008864FB">
            <w:pPr>
              <w:pStyle w:val="TableNBullet"/>
              <w:cnfStyle w:val="000000000000" w:firstRow="0" w:lastRow="0" w:firstColumn="0" w:lastColumn="0" w:oddVBand="0" w:evenVBand="0" w:oddHBand="0" w:evenHBand="0" w:firstRowFirstColumn="0" w:firstRowLastColumn="0" w:lastRowFirstColumn="0" w:lastRowLastColumn="0"/>
            </w:pPr>
            <w:r w:rsidRPr="00114EB9">
              <w:t>Some agencies have used their experience in the BRII to develop new procurement approaches loosely based off the BRII.</w:t>
            </w:r>
          </w:p>
        </w:tc>
      </w:tr>
      <w:tr w:rsidR="008864FB" w14:paraId="77C5C651" w14:textId="77777777" w:rsidTr="00782849">
        <w:trPr>
          <w:cantSplit/>
          <w:trHeight w:val="2002"/>
        </w:trPr>
        <w:tc>
          <w:tcPr>
            <w:cnfStyle w:val="001000000000" w:firstRow="0" w:lastRow="0" w:firstColumn="1" w:lastColumn="0" w:oddVBand="0" w:evenVBand="0" w:oddHBand="0" w:evenHBand="0" w:firstRowFirstColumn="0" w:firstRowLastColumn="0" w:lastRowFirstColumn="0" w:lastRowLastColumn="0"/>
            <w:tcW w:w="1820" w:type="dxa"/>
            <w:tcBorders>
              <w:left w:val="single" w:sz="18" w:space="0" w:color="F25E21" w:themeColor="accent2"/>
            </w:tcBorders>
            <w:shd w:val="clear" w:color="auto" w:fill="00264D" w:themeFill="background2"/>
            <w:vAlign w:val="center"/>
          </w:tcPr>
          <w:p w14:paraId="1F22BC23" w14:textId="0B79E003" w:rsidR="008864FB" w:rsidRPr="00782849" w:rsidRDefault="005E56F1" w:rsidP="007B7353">
            <w:pPr>
              <w:pStyle w:val="TableNheader"/>
              <w:rPr>
                <w:color w:val="FFFFFF" w:themeColor="background1"/>
              </w:rPr>
            </w:pPr>
            <w:r w:rsidRPr="00782849">
              <w:rPr>
                <w:color w:val="FFFFFF" w:themeColor="background1"/>
                <w:lang w:eastAsia="en-AU"/>
              </w:rPr>
              <w:t>Program reach</w:t>
            </w:r>
          </w:p>
        </w:tc>
        <w:tc>
          <w:tcPr>
            <w:tcW w:w="7087" w:type="dxa"/>
            <w:tcBorders>
              <w:bottom w:val="single" w:sz="4" w:space="0" w:color="E6E6E1" w:themeColor="accent5"/>
            </w:tcBorders>
          </w:tcPr>
          <w:p w14:paraId="12984CC4" w14:textId="649771C8" w:rsidR="00E44D2C" w:rsidRDefault="008864FB" w:rsidP="004553B8">
            <w:pPr>
              <w:pStyle w:val="TableNText"/>
              <w:cnfStyle w:val="000000000000" w:firstRow="0" w:lastRow="0" w:firstColumn="0" w:lastColumn="0" w:oddVBand="0" w:evenVBand="0" w:oddHBand="0" w:evenHBand="0" w:firstRowFirstColumn="0" w:firstRowLastColumn="0" w:lastRowFirstColumn="0" w:lastRowLastColumn="0"/>
            </w:pPr>
            <w:r w:rsidRPr="00114EB9">
              <w:rPr>
                <w:lang w:eastAsia="en-AU"/>
              </w:rPr>
              <w:t>The BRII has now reached 14 different departments or agencies directly, and a further three agencies (</w:t>
            </w:r>
            <w:r w:rsidR="001F3EB8">
              <w:rPr>
                <w:lang w:eastAsia="en-AU"/>
              </w:rPr>
              <w:t>Australian Criminal Intelligence Commission</w:t>
            </w:r>
            <w:r w:rsidRPr="00114EB9">
              <w:rPr>
                <w:lang w:eastAsia="en-AU"/>
              </w:rPr>
              <w:t xml:space="preserve">, </w:t>
            </w:r>
            <w:r w:rsidR="001F3EB8">
              <w:rPr>
                <w:lang w:eastAsia="en-AU"/>
              </w:rPr>
              <w:t xml:space="preserve">Family and Community Services </w:t>
            </w:r>
            <w:r w:rsidRPr="00114EB9">
              <w:rPr>
                <w:lang w:eastAsia="en-AU"/>
              </w:rPr>
              <w:t xml:space="preserve">NSW </w:t>
            </w:r>
            <w:r w:rsidR="007C097E">
              <w:rPr>
                <w:lang w:eastAsia="en-AU"/>
              </w:rPr>
              <w:t xml:space="preserve">DCJ </w:t>
            </w:r>
            <w:r w:rsidRPr="00114EB9">
              <w:rPr>
                <w:lang w:eastAsia="en-AU"/>
              </w:rPr>
              <w:t xml:space="preserve">and the ACT </w:t>
            </w:r>
            <w:r w:rsidR="007C097E">
              <w:rPr>
                <w:lang w:eastAsia="en-AU"/>
              </w:rPr>
              <w:t>Community Services Directorate</w:t>
            </w:r>
            <w:r w:rsidRPr="00114EB9">
              <w:rPr>
                <w:lang w:eastAsia="en-AU"/>
              </w:rPr>
              <w:t>) were co-partners on two previous challenges. The consistent outcomes across the participating challenge agencies signals the potential for the program to have a widespread impact on government procurement. This has already begun to take place, with increased federal emphasis on challenges through a $33.7</w:t>
            </w:r>
            <w:r w:rsidR="00F04833">
              <w:rPr>
                <w:lang w:eastAsia="en-AU"/>
              </w:rPr>
              <w:t xml:space="preserve"> million</w:t>
            </w:r>
            <w:r w:rsidRPr="00114EB9">
              <w:rPr>
                <w:lang w:eastAsia="en-AU"/>
              </w:rPr>
              <w:t xml:space="preserve"> federal scheme for </w:t>
            </w:r>
            <w:r w:rsidR="00CC13D5">
              <w:rPr>
                <w:lang w:eastAsia="en-AU"/>
              </w:rPr>
              <w:t>artificial intelligence</w:t>
            </w:r>
            <w:r w:rsidR="00225F66">
              <w:rPr>
                <w:lang w:eastAsia="en-AU"/>
              </w:rPr>
              <w:t xml:space="preserve"> and </w:t>
            </w:r>
            <w:r w:rsidR="00225F66">
              <w:t>$59.6m to support a National Soil Carbon Innovation Challenge.</w:t>
            </w:r>
            <w:r w:rsidR="00225F66">
              <w:rPr>
                <w:rStyle w:val="FootnoteReference"/>
              </w:rPr>
              <w:footnoteReference w:id="62"/>
            </w:r>
            <w:r w:rsidRPr="00114EB9">
              <w:rPr>
                <w:lang w:eastAsia="en-AU"/>
              </w:rPr>
              <w:t xml:space="preserve">. NSW has also launched its own </w:t>
            </w:r>
            <w:r w:rsidR="002E76EC">
              <w:rPr>
                <w:lang w:eastAsia="en-AU"/>
              </w:rPr>
              <w:t>SBIR</w:t>
            </w:r>
            <w:r w:rsidRPr="00114EB9">
              <w:rPr>
                <w:lang w:eastAsia="en-AU"/>
              </w:rPr>
              <w:t xml:space="preserve"> program. Other state government programs also exist or have existed, such as the </w:t>
            </w:r>
            <w:r w:rsidR="00A70037">
              <w:rPr>
                <w:lang w:eastAsia="en-AU"/>
              </w:rPr>
              <w:t xml:space="preserve">CivVic Labs Accelerator </w:t>
            </w:r>
            <w:r w:rsidRPr="00114EB9">
              <w:rPr>
                <w:lang w:eastAsia="en-AU"/>
              </w:rPr>
              <w:t>in Victoria, Go2Gov in South Australia (a start-up focus), and Queensland’s discontinued SBIR scheme.</w:t>
            </w:r>
          </w:p>
        </w:tc>
      </w:tr>
    </w:tbl>
    <w:p w14:paraId="58DC8CEF" w14:textId="50240A82" w:rsidR="00782849" w:rsidRDefault="00782849" w:rsidP="00782849">
      <w:pPr>
        <w:pStyle w:val="Caption"/>
      </w:pPr>
      <w:r>
        <w:lastRenderedPageBreak/>
        <w:t xml:space="preserve">Table </w:t>
      </w:r>
      <w:r>
        <w:fldChar w:fldCharType="begin"/>
      </w:r>
      <w:r>
        <w:instrText xml:space="preserve"> SEQ Table \* ARABIC </w:instrText>
      </w:r>
      <w:r>
        <w:fldChar w:fldCharType="separate"/>
      </w:r>
      <w:r>
        <w:rPr>
          <w:noProof/>
        </w:rPr>
        <w:t>9</w:t>
      </w:r>
      <w:r>
        <w:fldChar w:fldCharType="end"/>
      </w:r>
      <w:r>
        <w:t xml:space="preserve"> | </w:t>
      </w:r>
      <w:r w:rsidRPr="00631F82">
        <w:t>Performance against the BRII program objective</w:t>
      </w:r>
      <w:r>
        <w:t xml:space="preserve"> 2</w:t>
      </w:r>
    </w:p>
    <w:tbl>
      <w:tblPr>
        <w:tblStyle w:val="NousTableSide"/>
        <w:tblW w:w="0" w:type="auto"/>
        <w:tblLook w:val="04A0" w:firstRow="1" w:lastRow="0" w:firstColumn="1" w:lastColumn="0" w:noHBand="0" w:noVBand="1"/>
      </w:tblPr>
      <w:tblGrid>
        <w:gridCol w:w="1820"/>
        <w:gridCol w:w="7087"/>
      </w:tblGrid>
      <w:tr w:rsidR="00782849" w14:paraId="3D777F99" w14:textId="77777777" w:rsidTr="00ED1143">
        <w:trPr>
          <w:cantSplit/>
        </w:trPr>
        <w:tc>
          <w:tcPr>
            <w:cnfStyle w:val="001000000000" w:firstRow="0" w:lastRow="0" w:firstColumn="1" w:lastColumn="0" w:oddVBand="0" w:evenVBand="0" w:oddHBand="0" w:evenHBand="0" w:firstRowFirstColumn="0" w:firstRowLastColumn="0" w:lastRowFirstColumn="0" w:lastRowLastColumn="0"/>
            <w:tcW w:w="1820" w:type="dxa"/>
            <w:shd w:val="clear" w:color="auto" w:fill="00264D" w:themeFill="background2"/>
          </w:tcPr>
          <w:p w14:paraId="6F2E01F0" w14:textId="77777777" w:rsidR="00782849" w:rsidRPr="00782849" w:rsidRDefault="00782849" w:rsidP="00ED1143">
            <w:pPr>
              <w:pStyle w:val="TableNheader"/>
              <w:rPr>
                <w:color w:val="FFFFFF" w:themeColor="background1"/>
              </w:rPr>
            </w:pPr>
            <w:r w:rsidRPr="00782849">
              <w:rPr>
                <w:color w:val="FFFFFF" w:themeColor="background1"/>
              </w:rPr>
              <w:t>Objective 2</w:t>
            </w:r>
          </w:p>
        </w:tc>
        <w:tc>
          <w:tcPr>
            <w:tcW w:w="7087" w:type="dxa"/>
            <w:tcBorders>
              <w:top w:val="single" w:sz="4" w:space="0" w:color="E6E6E1" w:themeColor="accent5"/>
            </w:tcBorders>
            <w:shd w:val="clear" w:color="auto" w:fill="E6E6E1" w:themeFill="accent5"/>
          </w:tcPr>
          <w:p w14:paraId="530D3A04" w14:textId="77777777" w:rsidR="00782849" w:rsidRPr="007B7353" w:rsidRDefault="00782849" w:rsidP="00ED1143">
            <w:pPr>
              <w:pStyle w:val="TableNText"/>
              <w:cnfStyle w:val="000000000000" w:firstRow="0" w:lastRow="0" w:firstColumn="0" w:lastColumn="0" w:oddVBand="0" w:evenVBand="0" w:oddHBand="0" w:evenHBand="0" w:firstRowFirstColumn="0" w:firstRowLastColumn="0" w:lastRowFirstColumn="0" w:lastRowLastColumn="0"/>
              <w:rPr>
                <w:b/>
              </w:rPr>
            </w:pPr>
            <w:r w:rsidRPr="007B7353">
              <w:rPr>
                <w:b/>
                <w:lang w:val="en-US" w:eastAsia="en-AU"/>
              </w:rPr>
              <w:t xml:space="preserve">Drive innovation and </w:t>
            </w:r>
            <w:r w:rsidRPr="00FB470D">
              <w:rPr>
                <w:b/>
                <w:lang w:eastAsia="en-AU"/>
              </w:rPr>
              <w:t>commercialisation</w:t>
            </w:r>
            <w:r w:rsidRPr="007B7353">
              <w:rPr>
                <w:b/>
                <w:lang w:val="en-US" w:eastAsia="en-AU"/>
              </w:rPr>
              <w:t xml:space="preserve"> within Australian SMEs and start-ups</w:t>
            </w:r>
          </w:p>
        </w:tc>
      </w:tr>
      <w:tr w:rsidR="00782849" w14:paraId="460C6921" w14:textId="77777777" w:rsidTr="00ED1143">
        <w:trPr>
          <w:cantSplit/>
        </w:trPr>
        <w:tc>
          <w:tcPr>
            <w:cnfStyle w:val="001000000000" w:firstRow="0" w:lastRow="0" w:firstColumn="1" w:lastColumn="0" w:oddVBand="0" w:evenVBand="0" w:oddHBand="0" w:evenHBand="0" w:firstRowFirstColumn="0" w:firstRowLastColumn="0" w:lastRowFirstColumn="0" w:lastRowLastColumn="0"/>
            <w:tcW w:w="1820" w:type="dxa"/>
            <w:shd w:val="clear" w:color="auto" w:fill="00264D" w:themeFill="background2"/>
            <w:vAlign w:val="center"/>
          </w:tcPr>
          <w:p w14:paraId="2C66E9C0" w14:textId="77777777" w:rsidR="00782849" w:rsidRPr="00782849" w:rsidRDefault="00782849" w:rsidP="00ED1143">
            <w:pPr>
              <w:pStyle w:val="TableNheader"/>
              <w:rPr>
                <w:color w:val="FFFFFF" w:themeColor="background1"/>
              </w:rPr>
            </w:pPr>
            <w:r w:rsidRPr="00782849">
              <w:rPr>
                <w:color w:val="FFFFFF" w:themeColor="background1"/>
                <w:lang w:eastAsia="en-AU"/>
              </w:rPr>
              <w:t>Extent to which the BRII supports the objective</w:t>
            </w:r>
          </w:p>
        </w:tc>
        <w:tc>
          <w:tcPr>
            <w:tcW w:w="7087" w:type="dxa"/>
          </w:tcPr>
          <w:p w14:paraId="03222413" w14:textId="77777777" w:rsidR="00782849" w:rsidRPr="008864FB" w:rsidRDefault="00782849" w:rsidP="00ED1143">
            <w:pPr>
              <w:pStyle w:val="TableNBullet"/>
              <w:cnfStyle w:val="000000000000" w:firstRow="0" w:lastRow="0" w:firstColumn="0" w:lastColumn="0" w:oddVBand="0" w:evenVBand="0" w:oddHBand="0" w:evenHBand="0" w:firstRowFirstColumn="0" w:firstRowLastColumn="0" w:lastRowFirstColumn="0" w:lastRowLastColumn="0"/>
            </w:pPr>
            <w:r w:rsidRPr="008864FB">
              <w:t xml:space="preserve">The BRII grant is sizeable and of sufficient value to enable SMEs to develop close-to-final prototypes. </w:t>
            </w:r>
          </w:p>
          <w:p w14:paraId="4FCE9EA7" w14:textId="77777777" w:rsidR="00782849" w:rsidRPr="008864FB" w:rsidRDefault="00782849" w:rsidP="00ED1143">
            <w:pPr>
              <w:pStyle w:val="TableNBullet"/>
              <w:cnfStyle w:val="000000000000" w:firstRow="0" w:lastRow="0" w:firstColumn="0" w:lastColumn="0" w:oddVBand="0" w:evenVBand="0" w:oddHBand="0" w:evenHBand="0" w:firstRowFirstColumn="0" w:firstRowLastColumn="0" w:lastRowFirstColumn="0" w:lastRowLastColumn="0"/>
            </w:pPr>
            <w:r w:rsidRPr="008864FB">
              <w:t>The most successful challenges have involved wicked, previously unsolved challenges that have stimulated innovative solutions.</w:t>
            </w:r>
          </w:p>
          <w:p w14:paraId="44A95DE3" w14:textId="77777777" w:rsidR="00782849" w:rsidRPr="008864FB" w:rsidRDefault="00782849" w:rsidP="00ED1143">
            <w:pPr>
              <w:pStyle w:val="TableNBullet"/>
              <w:cnfStyle w:val="000000000000" w:firstRow="0" w:lastRow="0" w:firstColumn="0" w:lastColumn="0" w:oddVBand="0" w:evenVBand="0" w:oddHBand="0" w:evenHBand="0" w:firstRowFirstColumn="0" w:firstRowLastColumn="0" w:lastRowFirstColumn="0" w:lastRowLastColumn="0"/>
            </w:pPr>
            <w:r w:rsidRPr="008864FB">
              <w:t>Most of the proof of concept SMEs experienced positive innovation and commercial outcomes from their participation in the program.</w:t>
            </w:r>
          </w:p>
          <w:p w14:paraId="3083A98E" w14:textId="77777777" w:rsidR="00782849" w:rsidRDefault="00782849" w:rsidP="00ED1143">
            <w:pPr>
              <w:pStyle w:val="TableNBullet"/>
              <w:cnfStyle w:val="000000000000" w:firstRow="0" w:lastRow="0" w:firstColumn="0" w:lastColumn="0" w:oddVBand="0" w:evenVBand="0" w:oddHBand="0" w:evenHBand="0" w:firstRowFirstColumn="0" w:firstRowLastColumn="0" w:lastRowFirstColumn="0" w:lastRowLastColumn="0"/>
            </w:pPr>
            <w:r w:rsidRPr="008864FB">
              <w:t>Working in sustained proximity to the potential end customer also gives SMEs the opportunity to design a product for a clearly defined market.</w:t>
            </w:r>
          </w:p>
        </w:tc>
      </w:tr>
      <w:tr w:rsidR="00782849" w14:paraId="771AF768" w14:textId="77777777" w:rsidTr="00ED1143">
        <w:trPr>
          <w:cantSplit/>
        </w:trPr>
        <w:tc>
          <w:tcPr>
            <w:cnfStyle w:val="001000000000" w:firstRow="0" w:lastRow="0" w:firstColumn="1" w:lastColumn="0" w:oddVBand="0" w:evenVBand="0" w:oddHBand="0" w:evenHBand="0" w:firstRowFirstColumn="0" w:firstRowLastColumn="0" w:lastRowFirstColumn="0" w:lastRowLastColumn="0"/>
            <w:tcW w:w="1820" w:type="dxa"/>
            <w:shd w:val="clear" w:color="auto" w:fill="00264D" w:themeFill="background2"/>
            <w:vAlign w:val="center"/>
          </w:tcPr>
          <w:p w14:paraId="6529E7D5" w14:textId="77777777" w:rsidR="00782849" w:rsidRPr="00782849" w:rsidRDefault="00782849" w:rsidP="00ED1143">
            <w:pPr>
              <w:pStyle w:val="TableNheader"/>
              <w:rPr>
                <w:color w:val="FFFFFF" w:themeColor="background1"/>
              </w:rPr>
            </w:pPr>
            <w:r w:rsidRPr="00782849">
              <w:rPr>
                <w:color w:val="FFFFFF" w:themeColor="background1"/>
                <w:lang w:eastAsia="en-AU"/>
              </w:rPr>
              <w:t>Program reach</w:t>
            </w:r>
          </w:p>
        </w:tc>
        <w:tc>
          <w:tcPr>
            <w:tcW w:w="7087" w:type="dxa"/>
          </w:tcPr>
          <w:p w14:paraId="13AFD636" w14:textId="77777777" w:rsidR="00782849" w:rsidRPr="00114EB9" w:rsidRDefault="00782849" w:rsidP="00ED1143">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114EB9">
              <w:rPr>
                <w:lang w:eastAsia="en-AU"/>
              </w:rPr>
              <w:t xml:space="preserve">The BRII reach remains limited due to the small number of challenge rounds and substantial period between challenges. </w:t>
            </w:r>
          </w:p>
          <w:p w14:paraId="5BB98472" w14:textId="77777777" w:rsidR="00782849" w:rsidRDefault="00782849" w:rsidP="00ED1143">
            <w:pPr>
              <w:pStyle w:val="TableNText"/>
              <w:cnfStyle w:val="000000000000" w:firstRow="0" w:lastRow="0" w:firstColumn="0" w:lastColumn="0" w:oddVBand="0" w:evenVBand="0" w:oddHBand="0" w:evenHBand="0" w:firstRowFirstColumn="0" w:firstRowLastColumn="0" w:lastRowFirstColumn="0" w:lastRowLastColumn="0"/>
            </w:pPr>
            <w:r w:rsidRPr="00114EB9">
              <w:rPr>
                <w:lang w:eastAsia="en-AU"/>
              </w:rPr>
              <w:t>Due to this, it is not possible to make any findings on the impact of the program on the broader start-up and SME ecosystem.</w:t>
            </w:r>
          </w:p>
        </w:tc>
      </w:tr>
    </w:tbl>
    <w:p w14:paraId="41D53696" w14:textId="77777777" w:rsidR="00782849" w:rsidRDefault="00782849" w:rsidP="008461CA">
      <w:pPr>
        <w:pStyle w:val="Source"/>
      </w:pPr>
    </w:p>
    <w:p w14:paraId="7900340C" w14:textId="20178850" w:rsidR="008461CA" w:rsidRPr="00114EB9" w:rsidRDefault="008461CA" w:rsidP="008461CA">
      <w:pPr>
        <w:pStyle w:val="Source"/>
      </w:pPr>
      <w:r>
        <w:t>Source: DISER briefing documentation</w:t>
      </w:r>
    </w:p>
    <w:p w14:paraId="2740BCEA" w14:textId="68FB8FC4" w:rsidR="00DF3247" w:rsidRDefault="00DF3247">
      <w:pPr>
        <w:pStyle w:val="Heading3"/>
      </w:pPr>
      <w:bookmarkStart w:id="133" w:name="_Ref75330807"/>
      <w:r>
        <w:t xml:space="preserve">Governance arrangements have fulfilled their </w:t>
      </w:r>
      <w:r w:rsidR="003A6983">
        <w:t xml:space="preserve">purpose </w:t>
      </w:r>
      <w:r>
        <w:t xml:space="preserve">but </w:t>
      </w:r>
      <w:r w:rsidR="002D7E67">
        <w:t>will need</w:t>
      </w:r>
      <w:r>
        <w:t xml:space="preserve"> to </w:t>
      </w:r>
      <w:r w:rsidR="002D7E67">
        <w:t xml:space="preserve">evolve if </w:t>
      </w:r>
      <w:r w:rsidR="00AD7681">
        <w:t xml:space="preserve">the </w:t>
      </w:r>
      <w:r w:rsidR="002D7E67">
        <w:t xml:space="preserve">BRII is to increase in </w:t>
      </w:r>
      <w:r>
        <w:t>scale</w:t>
      </w:r>
      <w:bookmarkEnd w:id="133"/>
    </w:p>
    <w:p w14:paraId="71A5413E" w14:textId="40672449" w:rsidR="00030216" w:rsidRPr="00030216" w:rsidRDefault="003A6983" w:rsidP="00030216">
      <w:pPr>
        <w:rPr>
          <w:lang w:eastAsia="en-AU"/>
        </w:rPr>
      </w:pPr>
      <w:r w:rsidRPr="003A6983">
        <w:rPr>
          <w:lang w:eastAsia="en-AU"/>
        </w:rPr>
        <w:t xml:space="preserve">The BRII is largely managed and administered by the BRII policy and program teams. The </w:t>
      </w:r>
      <w:r w:rsidR="00C00032">
        <w:rPr>
          <w:lang w:eastAsia="en-AU"/>
        </w:rPr>
        <w:t>Industry</w:t>
      </w:r>
      <w:r w:rsidRPr="003A6983">
        <w:rPr>
          <w:lang w:eastAsia="en-AU"/>
        </w:rPr>
        <w:t xml:space="preserve"> Innovation and Science Australia </w:t>
      </w:r>
      <w:r w:rsidR="00D3789D">
        <w:rPr>
          <w:lang w:eastAsia="en-AU"/>
        </w:rPr>
        <w:t>(</w:t>
      </w:r>
      <w:r w:rsidR="005C4DD2">
        <w:rPr>
          <w:lang w:eastAsia="en-AU"/>
        </w:rPr>
        <w:t>I</w:t>
      </w:r>
      <w:r w:rsidR="00D3789D">
        <w:rPr>
          <w:lang w:eastAsia="en-AU"/>
        </w:rPr>
        <w:t>ISA)</w:t>
      </w:r>
      <w:r w:rsidRPr="003A6983">
        <w:rPr>
          <w:lang w:eastAsia="en-AU"/>
        </w:rPr>
        <w:t xml:space="preserve"> Board, through the EPC</w:t>
      </w:r>
      <w:r w:rsidR="00A83532">
        <w:rPr>
          <w:lang w:eastAsia="en-AU"/>
        </w:rPr>
        <w:t>,</w:t>
      </w:r>
      <w:r w:rsidRPr="003A6983">
        <w:rPr>
          <w:lang w:eastAsia="en-AU"/>
        </w:rPr>
        <w:t xml:space="preserve"> also play an important role in the challenge design and assessment process. Although governance arrangements have been broadly successful up until now, these will need to evolve to facilitate greater scale.</w:t>
      </w:r>
    </w:p>
    <w:p w14:paraId="63733CC3" w14:textId="221BB676" w:rsidR="00DB266C" w:rsidRDefault="00DB266C" w:rsidP="00EA4234">
      <w:pPr>
        <w:pStyle w:val="Heading4"/>
      </w:pPr>
      <w:r w:rsidRPr="00DB266C">
        <w:t>The BRII policy and program teams have each completed their role effectively, however, there is opportunity for greater integration.</w:t>
      </w:r>
      <w:r w:rsidR="006858D4" w:rsidRPr="006858D4">
        <w:rPr>
          <w:rStyle w:val="FootnoteReference"/>
        </w:rPr>
        <w:t xml:space="preserve"> </w:t>
      </w:r>
      <w:bookmarkStart w:id="134" w:name="_Ref76044250"/>
      <w:r w:rsidR="006858D4">
        <w:rPr>
          <w:rStyle w:val="FootnoteReference"/>
        </w:rPr>
        <w:footnoteReference w:id="63"/>
      </w:r>
      <w:bookmarkEnd w:id="134"/>
    </w:p>
    <w:p w14:paraId="691C9E37" w14:textId="417E5589" w:rsidR="0018178B" w:rsidRPr="0018178B" w:rsidRDefault="0018178B" w:rsidP="0018178B">
      <w:pPr>
        <w:rPr>
          <w:lang w:eastAsia="en-AU"/>
        </w:rPr>
      </w:pPr>
      <w:r w:rsidRPr="0018178B">
        <w:rPr>
          <w:lang w:eastAsia="en-AU"/>
        </w:rPr>
        <w:t xml:space="preserve">Each of the specific BRII teams within DISER have successfully supported the growth and success of the BRII. The policy team has driven improvements to the design of the program and were instrumental in organising the successful international </w:t>
      </w:r>
      <w:r w:rsidR="00A019AE">
        <w:rPr>
          <w:lang w:eastAsia="en-AU"/>
        </w:rPr>
        <w:t>C</w:t>
      </w:r>
      <w:r w:rsidR="008C57FF">
        <w:rPr>
          <w:lang w:eastAsia="en-AU"/>
        </w:rPr>
        <w:t>hallenge-</w:t>
      </w:r>
      <w:r w:rsidR="00A019AE">
        <w:rPr>
          <w:lang w:eastAsia="en-AU"/>
        </w:rPr>
        <w:t>B</w:t>
      </w:r>
      <w:r w:rsidR="008C57FF">
        <w:rPr>
          <w:lang w:eastAsia="en-AU"/>
        </w:rPr>
        <w:t xml:space="preserve">ased </w:t>
      </w:r>
      <w:r w:rsidR="00A019AE">
        <w:rPr>
          <w:lang w:eastAsia="en-AU"/>
        </w:rPr>
        <w:t>I</w:t>
      </w:r>
      <w:r w:rsidR="008C57FF">
        <w:rPr>
          <w:lang w:eastAsia="en-AU"/>
        </w:rPr>
        <w:t xml:space="preserve">nnovation </w:t>
      </w:r>
      <w:r w:rsidR="00A019AE">
        <w:rPr>
          <w:lang w:eastAsia="en-AU"/>
        </w:rPr>
        <w:t>F</w:t>
      </w:r>
      <w:r w:rsidRPr="0018178B">
        <w:rPr>
          <w:lang w:eastAsia="en-AU"/>
        </w:rPr>
        <w:t>orum. Meanwhile, both challenge agencies and SMEs have had positive experiences with the role the program team has played to implement the BRII (</w:t>
      </w:r>
      <w:r w:rsidR="00C143BB">
        <w:rPr>
          <w:lang w:eastAsia="en-AU"/>
        </w:rPr>
        <w:t xml:space="preserve">see </w:t>
      </w:r>
      <w:r w:rsidR="000673BF">
        <w:rPr>
          <w:lang w:eastAsia="en-AU"/>
        </w:rPr>
        <w:t>Section</w:t>
      </w:r>
      <w:r w:rsidR="00C143BB">
        <w:rPr>
          <w:lang w:eastAsia="en-AU"/>
        </w:rPr>
        <w:t xml:space="preserve"> </w:t>
      </w:r>
      <w:r w:rsidR="00C143BB">
        <w:rPr>
          <w:highlight w:val="yellow"/>
          <w:lang w:eastAsia="en-AU"/>
        </w:rPr>
        <w:fldChar w:fldCharType="begin"/>
      </w:r>
      <w:r w:rsidR="00C143BB">
        <w:rPr>
          <w:lang w:eastAsia="en-AU"/>
        </w:rPr>
        <w:instrText xml:space="preserve"> REF _Ref75904983 \n \h </w:instrText>
      </w:r>
      <w:r w:rsidR="00C143BB">
        <w:rPr>
          <w:highlight w:val="yellow"/>
          <w:lang w:eastAsia="en-AU"/>
        </w:rPr>
      </w:r>
      <w:r w:rsidR="00C143BB">
        <w:rPr>
          <w:highlight w:val="yellow"/>
          <w:lang w:eastAsia="en-AU"/>
        </w:rPr>
        <w:fldChar w:fldCharType="separate"/>
      </w:r>
      <w:r w:rsidR="00AE607F">
        <w:rPr>
          <w:lang w:eastAsia="en-AU"/>
        </w:rPr>
        <w:t>7.2.2</w:t>
      </w:r>
      <w:r w:rsidR="00C143BB">
        <w:rPr>
          <w:highlight w:val="yellow"/>
          <w:lang w:eastAsia="en-AU"/>
        </w:rPr>
        <w:fldChar w:fldCharType="end"/>
      </w:r>
      <w:r w:rsidRPr="0018178B">
        <w:rPr>
          <w:lang w:eastAsia="en-AU"/>
        </w:rPr>
        <w:t>).</w:t>
      </w:r>
    </w:p>
    <w:p w14:paraId="09EE9BDF" w14:textId="2FC8D5D2" w:rsidR="0018178B" w:rsidRPr="0018178B" w:rsidRDefault="0018178B" w:rsidP="0018178B">
      <w:pPr>
        <w:rPr>
          <w:lang w:eastAsia="en-AU"/>
        </w:rPr>
      </w:pPr>
      <w:r w:rsidRPr="0018178B">
        <w:rPr>
          <w:lang w:eastAsia="en-AU"/>
        </w:rPr>
        <w:t xml:space="preserve">However, various DISER stakeholders identified the opportunity to improve governance arrangements for the program. This includes stronger interfaces between each team throughout the delivery of the BRII so learnings can be shared between teams more effectively. </w:t>
      </w:r>
      <w:r w:rsidR="00E73654">
        <w:rPr>
          <w:lang w:eastAsia="en-AU"/>
        </w:rPr>
        <w:t xml:space="preserve">Currently, </w:t>
      </w:r>
      <w:r w:rsidR="00E73654">
        <w:rPr>
          <w:lang w:eastAsia="en-AU"/>
        </w:rPr>
        <w:lastRenderedPageBreak/>
        <w:t>information is shared between policy, program and the EPC on an ad-hoc basis</w:t>
      </w:r>
      <w:r w:rsidR="00A42BFB">
        <w:rPr>
          <w:lang w:eastAsia="en-AU"/>
        </w:rPr>
        <w:t>.</w:t>
      </w:r>
      <w:r w:rsidR="00E73654">
        <w:rPr>
          <w:lang w:eastAsia="en-AU"/>
        </w:rPr>
        <w:t xml:space="preserve"> </w:t>
      </w:r>
      <w:r w:rsidR="00A42BFB">
        <w:rPr>
          <w:lang w:eastAsia="en-AU"/>
        </w:rPr>
        <w:t>A</w:t>
      </w:r>
      <w:r w:rsidR="00E73654">
        <w:rPr>
          <w:lang w:eastAsia="en-AU"/>
        </w:rPr>
        <w:t xml:space="preserve"> </w:t>
      </w:r>
      <w:r w:rsidR="00A42BFB">
        <w:rPr>
          <w:lang w:eastAsia="en-AU"/>
        </w:rPr>
        <w:t xml:space="preserve">more </w:t>
      </w:r>
      <w:r w:rsidR="00E73654">
        <w:rPr>
          <w:lang w:eastAsia="en-AU"/>
        </w:rPr>
        <w:t xml:space="preserve">systematic </w:t>
      </w:r>
      <w:r w:rsidR="00A42BFB">
        <w:rPr>
          <w:lang w:eastAsia="en-AU"/>
        </w:rPr>
        <w:t>approach</w:t>
      </w:r>
      <w:r w:rsidR="00E73654">
        <w:rPr>
          <w:lang w:eastAsia="en-AU"/>
        </w:rPr>
        <w:t xml:space="preserve"> may be more effective. </w:t>
      </w:r>
      <w:r w:rsidRPr="0018178B">
        <w:rPr>
          <w:lang w:eastAsia="en-AU"/>
        </w:rPr>
        <w:t>Some stakeholders also identified opportunities to streamline departmental governance by clarifying the roles of each team across the BRII lifecycle.</w:t>
      </w:r>
    </w:p>
    <w:p w14:paraId="77D46DFD" w14:textId="04FB5F1A" w:rsidR="0018178B" w:rsidRDefault="0018178B" w:rsidP="00EA4234">
      <w:pPr>
        <w:pStyle w:val="Heading4"/>
      </w:pPr>
      <w:bookmarkStart w:id="135" w:name="_Ref79396680"/>
      <w:r w:rsidRPr="0018178B">
        <w:t>The EPC has made a positive contribution to the BRII.</w:t>
      </w:r>
      <w:r w:rsidR="00804A98">
        <w:fldChar w:fldCharType="begin"/>
      </w:r>
      <w:r w:rsidR="00804A98">
        <w:instrText xml:space="preserve"> NOTEREF _Ref76044250 \f \h </w:instrText>
      </w:r>
      <w:r w:rsidR="00C76E00">
        <w:instrText xml:space="preserve"> \* MERGEFORMAT </w:instrText>
      </w:r>
      <w:r w:rsidR="00804A98">
        <w:fldChar w:fldCharType="separate"/>
      </w:r>
      <w:r w:rsidR="00AE607F" w:rsidRPr="00AE607F">
        <w:rPr>
          <w:rStyle w:val="FootnoteReference"/>
        </w:rPr>
        <w:t>62</w:t>
      </w:r>
      <w:r w:rsidR="00804A98">
        <w:fldChar w:fldCharType="end"/>
      </w:r>
      <w:bookmarkEnd w:id="135"/>
    </w:p>
    <w:p w14:paraId="32EA2678" w14:textId="6C3A28FB" w:rsidR="0018178B" w:rsidRPr="0018178B" w:rsidRDefault="0018178B" w:rsidP="0018178B">
      <w:pPr>
        <w:rPr>
          <w:lang w:eastAsia="en-AU"/>
        </w:rPr>
      </w:pPr>
      <w:r w:rsidRPr="0018178B">
        <w:rPr>
          <w:lang w:eastAsia="en-AU"/>
        </w:rPr>
        <w:t xml:space="preserve">DISER stakeholders from the policy and program teams noted that the EPC </w:t>
      </w:r>
      <w:r w:rsidR="00464759">
        <w:rPr>
          <w:lang w:eastAsia="en-AU"/>
        </w:rPr>
        <w:t>has</w:t>
      </w:r>
      <w:r w:rsidRPr="0018178B">
        <w:rPr>
          <w:lang w:eastAsia="en-AU"/>
        </w:rPr>
        <w:t xml:space="preserve"> been invaluable in its capacity to bring commercialisation expertise. This has aided in the selection of high-quality applications with the potential to rapidly develop and commercialise products. This expertise was especially valuable as it is not prevalent in either DISER or the challenge agencies.</w:t>
      </w:r>
    </w:p>
    <w:p w14:paraId="52FF4808" w14:textId="7D379190" w:rsidR="0018178B" w:rsidRPr="0018178B" w:rsidRDefault="00B4605B" w:rsidP="0018178B">
      <w:pPr>
        <w:rPr>
          <w:lang w:eastAsia="en-AU"/>
        </w:rPr>
      </w:pPr>
      <w:r>
        <w:rPr>
          <w:lang w:eastAsia="en-AU"/>
        </w:rPr>
        <w:t>E</w:t>
      </w:r>
      <w:r w:rsidR="00531370">
        <w:rPr>
          <w:lang w:eastAsia="en-AU"/>
        </w:rPr>
        <w:t>PC</w:t>
      </w:r>
      <w:r w:rsidR="0018178B" w:rsidRPr="0018178B">
        <w:rPr>
          <w:lang w:eastAsia="en-AU"/>
        </w:rPr>
        <w:t xml:space="preserve"> members provided similar views. The members believed that the EPC brought a vital commercialisation mindset to the BRII. Additionally, committee members felt their role as an advisor to DISER contributed to capability development. </w:t>
      </w:r>
      <w:r w:rsidR="009D2731">
        <w:rPr>
          <w:lang w:eastAsia="en-AU"/>
        </w:rPr>
        <w:t xml:space="preserve">They also noted a need for </w:t>
      </w:r>
      <w:r w:rsidR="00FE1117">
        <w:rPr>
          <w:lang w:eastAsia="en-AU"/>
        </w:rPr>
        <w:t xml:space="preserve">clearer distinction between </w:t>
      </w:r>
      <w:r w:rsidR="00285297">
        <w:rPr>
          <w:lang w:eastAsia="en-AU"/>
        </w:rPr>
        <w:t xml:space="preserve">the role of the EPC as an assessor of applications and as a strategic advisor to agencies and the BRII team, which played a substantial role in the </w:t>
      </w:r>
      <w:r w:rsidR="003046F3">
        <w:rPr>
          <w:lang w:eastAsia="en-AU"/>
        </w:rPr>
        <w:t xml:space="preserve">higher-than-expected workload for some. </w:t>
      </w:r>
      <w:r w:rsidR="0018178B" w:rsidRPr="0018178B">
        <w:rPr>
          <w:lang w:eastAsia="en-AU"/>
        </w:rPr>
        <w:t>Members also believed that the effectiveness of the EPC has been constant across the BRII, but their processes have become more efficient.</w:t>
      </w:r>
    </w:p>
    <w:p w14:paraId="6E8C0246" w14:textId="43C6FB3F" w:rsidR="00DB266C" w:rsidRDefault="00464759" w:rsidP="00EA4234">
      <w:pPr>
        <w:pStyle w:val="Heading4"/>
      </w:pPr>
      <w:r>
        <w:t>T</w:t>
      </w:r>
      <w:r w:rsidR="0018178B" w:rsidRPr="0018178B">
        <w:t xml:space="preserve">he time-intensive nature of </w:t>
      </w:r>
      <w:r w:rsidR="004458F3">
        <w:t xml:space="preserve">the </w:t>
      </w:r>
      <w:r>
        <w:t>BRII</w:t>
      </w:r>
      <w:r w:rsidR="0018178B" w:rsidRPr="0018178B">
        <w:t xml:space="preserve"> governance, especially for members of the EPC</w:t>
      </w:r>
      <w:r>
        <w:t>, limits the program’s ability to scale</w:t>
      </w:r>
      <w:r w:rsidR="0018178B" w:rsidRPr="0018178B">
        <w:t>.</w:t>
      </w:r>
      <w:r w:rsidR="00804A98">
        <w:fldChar w:fldCharType="begin"/>
      </w:r>
      <w:r w:rsidR="00804A98">
        <w:instrText xml:space="preserve"> NOTEREF _Ref76044250 \f \h </w:instrText>
      </w:r>
      <w:r w:rsidR="00C76E00">
        <w:instrText xml:space="preserve"> \* MERGEFORMAT </w:instrText>
      </w:r>
      <w:r w:rsidR="00804A98">
        <w:fldChar w:fldCharType="separate"/>
      </w:r>
      <w:r w:rsidR="00AE607F" w:rsidRPr="00AE607F">
        <w:rPr>
          <w:rStyle w:val="FootnoteReference"/>
        </w:rPr>
        <w:t>62</w:t>
      </w:r>
      <w:r w:rsidR="00804A98">
        <w:fldChar w:fldCharType="end"/>
      </w:r>
    </w:p>
    <w:p w14:paraId="2D64C2DF" w14:textId="247449FF" w:rsidR="00187AAF" w:rsidRPr="00935FC7" w:rsidRDefault="00187AAF" w:rsidP="00283F9D">
      <w:r w:rsidRPr="00187AAF">
        <w:rPr>
          <w:lang w:eastAsia="en-AU"/>
        </w:rPr>
        <w:t xml:space="preserve">Current governance arrangements require significant time investment from the EPC, </w:t>
      </w:r>
      <w:r w:rsidR="007D6424">
        <w:rPr>
          <w:lang w:eastAsia="en-AU"/>
        </w:rPr>
        <w:t>well</w:t>
      </w:r>
      <w:r w:rsidRPr="00187AAF">
        <w:rPr>
          <w:lang w:eastAsia="en-AU"/>
        </w:rPr>
        <w:t xml:space="preserve"> beyond their </w:t>
      </w:r>
      <w:r w:rsidR="00014A41">
        <w:rPr>
          <w:lang w:eastAsia="en-AU"/>
        </w:rPr>
        <w:t xml:space="preserve">originally </w:t>
      </w:r>
      <w:r w:rsidRPr="00187AAF">
        <w:rPr>
          <w:lang w:eastAsia="en-AU"/>
        </w:rPr>
        <w:t xml:space="preserve">agreed commitment. As a result, there was a consensus among </w:t>
      </w:r>
      <w:r w:rsidR="00531370">
        <w:rPr>
          <w:lang w:eastAsia="en-AU"/>
        </w:rPr>
        <w:t>policy and program stakeholders as well as EPC members</w:t>
      </w:r>
      <w:r w:rsidRPr="00187AAF">
        <w:rPr>
          <w:lang w:eastAsia="en-AU"/>
        </w:rPr>
        <w:t xml:space="preserve"> that a re-structure of the governance is necessary for the BRII to scale-up</w:t>
      </w:r>
      <w:r w:rsidR="00283F9D">
        <w:rPr>
          <w:lang w:eastAsia="en-AU"/>
        </w:rPr>
        <w:t xml:space="preserve"> (see </w:t>
      </w:r>
      <w:r w:rsidR="000673BF">
        <w:rPr>
          <w:lang w:eastAsia="en-AU"/>
        </w:rPr>
        <w:t>Section</w:t>
      </w:r>
      <w:r w:rsidR="00283F9D">
        <w:rPr>
          <w:lang w:eastAsia="en-AU"/>
        </w:rPr>
        <w:t xml:space="preserve"> </w:t>
      </w:r>
      <w:r w:rsidR="00283F9D">
        <w:rPr>
          <w:lang w:eastAsia="en-AU"/>
        </w:rPr>
        <w:fldChar w:fldCharType="begin"/>
      </w:r>
      <w:r w:rsidR="00283F9D">
        <w:rPr>
          <w:lang w:eastAsia="en-AU"/>
        </w:rPr>
        <w:instrText xml:space="preserve"> REF _Ref75328550 \r \h </w:instrText>
      </w:r>
      <w:r w:rsidR="00283F9D">
        <w:rPr>
          <w:lang w:eastAsia="en-AU"/>
        </w:rPr>
      </w:r>
      <w:r w:rsidR="00283F9D">
        <w:rPr>
          <w:lang w:eastAsia="en-AU"/>
        </w:rPr>
        <w:fldChar w:fldCharType="separate"/>
      </w:r>
      <w:r w:rsidR="00AE607F">
        <w:rPr>
          <w:lang w:eastAsia="en-AU"/>
        </w:rPr>
        <w:t>8.1.4</w:t>
      </w:r>
      <w:r w:rsidR="00283F9D">
        <w:rPr>
          <w:lang w:eastAsia="en-AU"/>
        </w:rPr>
        <w:fldChar w:fldCharType="end"/>
      </w:r>
      <w:r w:rsidR="00283F9D">
        <w:rPr>
          <w:lang w:eastAsia="en-AU"/>
        </w:rPr>
        <w:t xml:space="preserve"> for potential models).</w:t>
      </w:r>
    </w:p>
    <w:p w14:paraId="11C83158" w14:textId="1E454560" w:rsidR="0018178B" w:rsidRDefault="00187AAF" w:rsidP="00BA55C2">
      <w:r w:rsidRPr="00935FC7">
        <w:t xml:space="preserve">Regardless of the future model, it was clear that capability uplift in DISER and challenge agencies is needed to aid in commercial assessment, alongside a more efficient model to leverage the EPC or similar expertise. </w:t>
      </w:r>
    </w:p>
    <w:p w14:paraId="62833BBB" w14:textId="3465C179" w:rsidR="00877372" w:rsidRDefault="00B1072A" w:rsidP="00EA4234">
      <w:pPr>
        <w:pStyle w:val="Heading4"/>
      </w:pPr>
      <w:r>
        <w:t>DISER could i</w:t>
      </w:r>
      <w:r w:rsidR="00877372">
        <w:t xml:space="preserve">mprove ongoing data collection </w:t>
      </w:r>
      <w:r w:rsidR="00745681">
        <w:t xml:space="preserve">to </w:t>
      </w:r>
      <w:r>
        <w:t>enable</w:t>
      </w:r>
      <w:r w:rsidR="00745681">
        <w:t xml:space="preserve"> effective monitoring</w:t>
      </w:r>
    </w:p>
    <w:p w14:paraId="6FEF0BD2" w14:textId="3A557061" w:rsidR="00745681" w:rsidRDefault="00745681" w:rsidP="00745681">
      <w:pPr>
        <w:rPr>
          <w:lang w:eastAsia="en-AU"/>
        </w:rPr>
      </w:pPr>
      <w:r>
        <w:rPr>
          <w:lang w:eastAsia="en-AU"/>
        </w:rPr>
        <w:t>The BRII program requires embedded data collection mechanisms</w:t>
      </w:r>
      <w:r w:rsidR="00B77A7C">
        <w:rPr>
          <w:lang w:eastAsia="en-AU"/>
        </w:rPr>
        <w:t xml:space="preserve"> </w:t>
      </w:r>
      <w:r w:rsidR="00877332">
        <w:rPr>
          <w:lang w:eastAsia="en-AU"/>
        </w:rPr>
        <w:t>that collect data</w:t>
      </w:r>
      <w:r w:rsidR="00B77A7C">
        <w:rPr>
          <w:lang w:eastAsia="en-AU"/>
        </w:rPr>
        <w:t xml:space="preserve"> on:</w:t>
      </w:r>
    </w:p>
    <w:p w14:paraId="6806A4B8" w14:textId="783E71F4" w:rsidR="00B77A7C" w:rsidRDefault="00B77A7C">
      <w:pPr>
        <w:pStyle w:val="Bullet"/>
      </w:pPr>
      <w:r>
        <w:t>SME and challenge agency experience</w:t>
      </w:r>
    </w:p>
    <w:p w14:paraId="11B13170" w14:textId="7AC513F9" w:rsidR="00B77A7C" w:rsidRDefault="00B77A7C">
      <w:pPr>
        <w:pStyle w:val="Bullet"/>
      </w:pPr>
      <w:r>
        <w:t>Procurement outcomes for proof of concept SMEs</w:t>
      </w:r>
    </w:p>
    <w:p w14:paraId="11B02A9B" w14:textId="5FC1B5E5" w:rsidR="00B77A7C" w:rsidRDefault="00877332">
      <w:pPr>
        <w:pStyle w:val="Bullet"/>
      </w:pPr>
      <w:r>
        <w:t>The</w:t>
      </w:r>
      <w:r w:rsidR="00B77A7C">
        <w:t xml:space="preserve"> costs and benefits for challenge agencies, including </w:t>
      </w:r>
      <w:r w:rsidR="00750E30">
        <w:t>full-time equivalent staff</w:t>
      </w:r>
      <w:r w:rsidR="00B77A7C">
        <w:t xml:space="preserve"> dedicated to program delivery</w:t>
      </w:r>
    </w:p>
    <w:p w14:paraId="78E2663B" w14:textId="2C2B2A6A" w:rsidR="00230829" w:rsidRDefault="00230829">
      <w:pPr>
        <w:pStyle w:val="Bullet"/>
      </w:pPr>
      <w:r>
        <w:t>Other commercial outcomes for participating SMEs.</w:t>
      </w:r>
    </w:p>
    <w:p w14:paraId="2A74DB85" w14:textId="559AE804" w:rsidR="00230829" w:rsidRPr="00B77A7C" w:rsidRDefault="00230829" w:rsidP="00230829">
      <w:r>
        <w:t xml:space="preserve">This evaluation utilised </w:t>
      </w:r>
      <w:r w:rsidR="00DD41B5">
        <w:t>bespoke surveys and interviews to gather this information</w:t>
      </w:r>
      <w:r w:rsidR="00986292">
        <w:t xml:space="preserve"> due to absent</w:t>
      </w:r>
      <w:r w:rsidR="00DD41B5">
        <w:t xml:space="preserve"> longitudinal data. </w:t>
      </w:r>
      <w:r w:rsidR="00BA02F3">
        <w:t xml:space="preserve">DISER should consider </w:t>
      </w:r>
      <w:r w:rsidR="00C31D77">
        <w:t>building from the surveys and interview guides developed for this evaluation to implement</w:t>
      </w:r>
      <w:r w:rsidR="00DD41B5">
        <w:t xml:space="preserve"> ongoing data collection</w:t>
      </w:r>
      <w:r w:rsidR="006910C5">
        <w:t xml:space="preserve">. </w:t>
      </w:r>
    </w:p>
    <w:p w14:paraId="40793428" w14:textId="77777777" w:rsidR="003D5844" w:rsidRDefault="00DF3247">
      <w:pPr>
        <w:pStyle w:val="Heading3"/>
      </w:pPr>
      <w:bookmarkStart w:id="136" w:name="_Ref79137899"/>
      <w:bookmarkStart w:id="137" w:name="_Ref75330811"/>
      <w:r>
        <w:lastRenderedPageBreak/>
        <w:t xml:space="preserve">The </w:t>
      </w:r>
      <w:r w:rsidR="003D5844">
        <w:t>BRII team have anticipated, managed and mitigated major risks across the first three rounds</w:t>
      </w:r>
      <w:bookmarkEnd w:id="136"/>
    </w:p>
    <w:p w14:paraId="04D2ABF7" w14:textId="5DEEF38C" w:rsidR="003D5844" w:rsidRDefault="003D5844" w:rsidP="003D5844">
      <w:r>
        <w:t xml:space="preserve">The BRII program - and </w:t>
      </w:r>
      <w:r w:rsidR="00951D87">
        <w:t xml:space="preserve">CBI </w:t>
      </w:r>
      <w:r>
        <w:t xml:space="preserve">in general – is largely new to Australia. This led to some uncertainty about how effectively the BRII would be able to achieve its intended outcomes. The main risks for the BRII relate to level and quality of participation from agencies and SMEs. Poor engagement from either party would significantly hinder the outcomes of the BRII. More detail on these risks and the mitigations DISER put in place to address them are presented in </w:t>
      </w:r>
      <w:r w:rsidR="00483FB2">
        <w:fldChar w:fldCharType="begin"/>
      </w:r>
      <w:r w:rsidR="00483FB2">
        <w:instrText xml:space="preserve"> REF _Ref79402259 \h </w:instrText>
      </w:r>
      <w:r w:rsidR="00483FB2">
        <w:fldChar w:fldCharType="separate"/>
      </w:r>
      <w:r w:rsidR="00AE607F">
        <w:t xml:space="preserve">Table </w:t>
      </w:r>
      <w:r w:rsidR="00AE607F">
        <w:rPr>
          <w:noProof/>
        </w:rPr>
        <w:t>9</w:t>
      </w:r>
      <w:r w:rsidR="00483FB2">
        <w:fldChar w:fldCharType="end"/>
      </w:r>
      <w:r>
        <w:t>.</w:t>
      </w:r>
    </w:p>
    <w:p w14:paraId="211BD682" w14:textId="5214AA10" w:rsidR="003D5844" w:rsidRDefault="003D5844" w:rsidP="003D5844">
      <w:pPr>
        <w:pStyle w:val="Caption"/>
      </w:pPr>
      <w:bookmarkStart w:id="138" w:name="_Ref79402259"/>
      <w:r>
        <w:t xml:space="preserve">Table </w:t>
      </w:r>
      <w:r>
        <w:fldChar w:fldCharType="begin"/>
      </w:r>
      <w:r>
        <w:instrText xml:space="preserve"> SEQ Table \* ARABIC </w:instrText>
      </w:r>
      <w:r>
        <w:fldChar w:fldCharType="separate"/>
      </w:r>
      <w:r w:rsidR="00AE607F">
        <w:rPr>
          <w:noProof/>
        </w:rPr>
        <w:t>9</w:t>
      </w:r>
      <w:r>
        <w:fldChar w:fldCharType="end"/>
      </w:r>
      <w:bookmarkEnd w:id="138"/>
      <w:r>
        <w:t xml:space="preserve"> | </w:t>
      </w:r>
      <w:r w:rsidRPr="003246BF">
        <w:t>Major program risks and mitigations</w:t>
      </w:r>
      <w:r>
        <w:rPr>
          <w:rStyle w:val="FootnoteReference"/>
        </w:rPr>
        <w:footnoteReference w:id="64"/>
      </w:r>
    </w:p>
    <w:tbl>
      <w:tblPr>
        <w:tblStyle w:val="TableGrid"/>
        <w:tblW w:w="0" w:type="auto"/>
        <w:tblBorders>
          <w:top w:val="single" w:sz="4" w:space="0" w:color="00264D" w:themeColor="background2"/>
          <w:left w:val="single" w:sz="4" w:space="0" w:color="00264D" w:themeColor="background2"/>
          <w:bottom w:val="single" w:sz="4" w:space="0" w:color="00264D" w:themeColor="background2"/>
          <w:right w:val="single" w:sz="4" w:space="0" w:color="00264D" w:themeColor="background2"/>
          <w:insideH w:val="single" w:sz="4" w:space="0" w:color="00264D" w:themeColor="background2"/>
          <w:insideV w:val="single" w:sz="4" w:space="0" w:color="00264D" w:themeColor="background2"/>
        </w:tblBorders>
        <w:tblLook w:val="04A0" w:firstRow="1" w:lastRow="0" w:firstColumn="1" w:lastColumn="0" w:noHBand="0" w:noVBand="1"/>
      </w:tblPr>
      <w:tblGrid>
        <w:gridCol w:w="2550"/>
        <w:gridCol w:w="6370"/>
      </w:tblGrid>
      <w:tr w:rsidR="00260F9B" w14:paraId="51F21372" w14:textId="77777777" w:rsidTr="00746B30">
        <w:trPr>
          <w:cnfStyle w:val="100000000000" w:firstRow="1" w:lastRow="0" w:firstColumn="0" w:lastColumn="0" w:oddVBand="0" w:evenVBand="0" w:oddHBand="0" w:evenHBand="0" w:firstRowFirstColumn="0" w:firstRowLastColumn="0" w:lastRowFirstColumn="0" w:lastRowLastColumn="0"/>
        </w:trPr>
        <w:tc>
          <w:tcPr>
            <w:tcW w:w="2552" w:type="dxa"/>
            <w:tcBorders>
              <w:top w:val="none" w:sz="0" w:space="0" w:color="auto"/>
              <w:left w:val="none" w:sz="0" w:space="0" w:color="auto"/>
              <w:bottom w:val="none" w:sz="0" w:space="0" w:color="auto"/>
              <w:right w:val="single" w:sz="4" w:space="0" w:color="FFFFFF" w:themeColor="background1"/>
              <w:tl2br w:val="none" w:sz="0" w:space="0" w:color="auto"/>
              <w:tr2bl w:val="none" w:sz="0" w:space="0" w:color="auto"/>
            </w:tcBorders>
            <w:shd w:val="clear" w:color="auto" w:fill="00264D" w:themeFill="background2"/>
          </w:tcPr>
          <w:p w14:paraId="44010069" w14:textId="77777777" w:rsidR="003D5844" w:rsidRPr="00746B30" w:rsidRDefault="003D5844" w:rsidP="00746B30">
            <w:pPr>
              <w:pStyle w:val="TableNheader"/>
              <w:rPr>
                <w:color w:val="FFFFFF" w:themeColor="background1"/>
              </w:rPr>
            </w:pPr>
            <w:r w:rsidRPr="00746B30">
              <w:rPr>
                <w:color w:val="FFFFFF" w:themeColor="background1"/>
              </w:rPr>
              <w:t>Major risk for the BRII</w:t>
            </w:r>
          </w:p>
        </w:tc>
        <w:tc>
          <w:tcPr>
            <w:tcW w:w="6378" w:type="dxa"/>
            <w:tcBorders>
              <w:top w:val="none" w:sz="0" w:space="0" w:color="auto"/>
              <w:left w:val="single" w:sz="4" w:space="0" w:color="FFFFFF" w:themeColor="background1"/>
              <w:bottom w:val="none" w:sz="0" w:space="0" w:color="auto"/>
              <w:right w:val="none" w:sz="0" w:space="0" w:color="auto"/>
              <w:tl2br w:val="none" w:sz="0" w:space="0" w:color="auto"/>
              <w:tr2bl w:val="none" w:sz="0" w:space="0" w:color="auto"/>
            </w:tcBorders>
            <w:shd w:val="clear" w:color="auto" w:fill="00264D" w:themeFill="background2"/>
          </w:tcPr>
          <w:p w14:paraId="7579850C" w14:textId="77777777" w:rsidR="003D5844" w:rsidRPr="00746B30" w:rsidRDefault="003D5844" w:rsidP="00746B30">
            <w:pPr>
              <w:pStyle w:val="TableNheader"/>
              <w:rPr>
                <w:color w:val="FFFFFF" w:themeColor="background1"/>
              </w:rPr>
            </w:pPr>
            <w:r w:rsidRPr="00746B30">
              <w:rPr>
                <w:color w:val="FFFFFF" w:themeColor="background1"/>
              </w:rPr>
              <w:t>How the risk has been anticipated, managed and/or mitigated</w:t>
            </w:r>
          </w:p>
        </w:tc>
      </w:tr>
      <w:tr w:rsidR="003D5844" w14:paraId="77720409" w14:textId="77777777" w:rsidTr="00746B30">
        <w:trPr>
          <w:cnfStyle w:val="000000100000" w:firstRow="0" w:lastRow="0" w:firstColumn="0" w:lastColumn="0" w:oddVBand="0" w:evenVBand="0" w:oddHBand="1" w:evenHBand="0" w:firstRowFirstColumn="0" w:firstRowLastColumn="0" w:lastRowFirstColumn="0" w:lastRowLastColumn="0"/>
        </w:trPr>
        <w:tc>
          <w:tcPr>
            <w:tcW w:w="2552" w:type="dxa"/>
          </w:tcPr>
          <w:p w14:paraId="4EE0E071" w14:textId="77777777" w:rsidR="003D5844" w:rsidRDefault="003D5844" w:rsidP="00724174">
            <w:r>
              <w:t>Challenges are not designed in a way that supports optimal outcomes for SMEs and challenge agencies</w:t>
            </w:r>
          </w:p>
        </w:tc>
        <w:tc>
          <w:tcPr>
            <w:tcW w:w="6378" w:type="dxa"/>
          </w:tcPr>
          <w:p w14:paraId="240F3BB3" w14:textId="77777777" w:rsidR="003D5844" w:rsidRDefault="003D5844" w:rsidP="00724174">
            <w:r>
              <w:t>DISER identified early in round one that challenge design was critical to a successful program. At first the response to this risk was reactive. Round two also suffered from two challenges that did not advance to proof of concept due to poor challenge design. This risk was managed more effectively for round three through the introduction of a challenge EOI process.</w:t>
            </w:r>
          </w:p>
        </w:tc>
      </w:tr>
      <w:tr w:rsidR="003D5844" w14:paraId="185B9689" w14:textId="77777777" w:rsidTr="00746B30">
        <w:trPr>
          <w:cnfStyle w:val="000000010000" w:firstRow="0" w:lastRow="0" w:firstColumn="0" w:lastColumn="0" w:oddVBand="0" w:evenVBand="0" w:oddHBand="0" w:evenHBand="1" w:firstRowFirstColumn="0" w:firstRowLastColumn="0" w:lastRowFirstColumn="0" w:lastRowLastColumn="0"/>
        </w:trPr>
        <w:tc>
          <w:tcPr>
            <w:tcW w:w="2552" w:type="dxa"/>
          </w:tcPr>
          <w:p w14:paraId="6C11CE72" w14:textId="77777777" w:rsidR="003D5844" w:rsidRDefault="003D5844" w:rsidP="00724174">
            <w:r>
              <w:t>Insufficient engagement from the right challenge agencies</w:t>
            </w:r>
          </w:p>
        </w:tc>
        <w:tc>
          <w:tcPr>
            <w:tcW w:w="6378" w:type="dxa"/>
          </w:tcPr>
          <w:p w14:paraId="0229CAF4" w14:textId="58BDE1C7" w:rsidR="003D5844" w:rsidRDefault="003D5844" w:rsidP="00724174">
            <w:r>
              <w:t xml:space="preserve">DISER worked with other Departmental Secretaries to ensure visibility across a variety of Departments. DISER also utilised the Minister to announce the launch of each </w:t>
            </w:r>
            <w:r w:rsidR="00DF6E88">
              <w:t>round</w:t>
            </w:r>
            <w:r>
              <w:t xml:space="preserve"> to bring additional publicity. </w:t>
            </w:r>
          </w:p>
        </w:tc>
      </w:tr>
      <w:tr w:rsidR="003D5844" w14:paraId="11EA3850" w14:textId="77777777" w:rsidTr="00746B30">
        <w:trPr>
          <w:cnfStyle w:val="000000100000" w:firstRow="0" w:lastRow="0" w:firstColumn="0" w:lastColumn="0" w:oddVBand="0" w:evenVBand="0" w:oddHBand="1" w:evenHBand="0" w:firstRowFirstColumn="0" w:firstRowLastColumn="0" w:lastRowFirstColumn="0" w:lastRowLastColumn="0"/>
        </w:trPr>
        <w:tc>
          <w:tcPr>
            <w:tcW w:w="2552" w:type="dxa"/>
          </w:tcPr>
          <w:p w14:paraId="0CAAB97A" w14:textId="77777777" w:rsidR="003D5844" w:rsidRDefault="003D5844" w:rsidP="00724174">
            <w:r>
              <w:t>Lack of innovative SMEs participating, either through poor selection or not attracting enough to apply</w:t>
            </w:r>
          </w:p>
        </w:tc>
        <w:tc>
          <w:tcPr>
            <w:tcW w:w="6378" w:type="dxa"/>
          </w:tcPr>
          <w:p w14:paraId="0C9A2E2D" w14:textId="4ABC95C2" w:rsidR="003D5844" w:rsidRDefault="003D5844" w:rsidP="00724174">
            <w:r>
              <w:t xml:space="preserve">This was well anticipated and mitigated through two main avenues. Firstly, to attract the right SMEs, DISER employed a broad reaching marketing campaign on various platforms each round. This approach was improved greatly after a review between </w:t>
            </w:r>
            <w:r w:rsidR="004F6EAF">
              <w:t>r</w:t>
            </w:r>
            <w:r>
              <w:t xml:space="preserve">ounds </w:t>
            </w:r>
            <w:r w:rsidR="004F6EAF">
              <w:t>two</w:t>
            </w:r>
            <w:r>
              <w:t xml:space="preserve"> and </w:t>
            </w:r>
            <w:r w:rsidR="004F6EAF">
              <w:t>three</w:t>
            </w:r>
            <w:r>
              <w:t xml:space="preserve">. Secondly, DISER used the EPC’s expertise extensively to help optimise the SME selection process. </w:t>
            </w:r>
          </w:p>
        </w:tc>
      </w:tr>
      <w:tr w:rsidR="003D5844" w14:paraId="2B5AC755" w14:textId="77777777" w:rsidTr="00746B30">
        <w:trPr>
          <w:cnfStyle w:val="000000010000" w:firstRow="0" w:lastRow="0" w:firstColumn="0" w:lastColumn="0" w:oddVBand="0" w:evenVBand="0" w:oddHBand="0" w:evenHBand="1" w:firstRowFirstColumn="0" w:firstRowLastColumn="0" w:lastRowFirstColumn="0" w:lastRowLastColumn="0"/>
        </w:trPr>
        <w:tc>
          <w:tcPr>
            <w:tcW w:w="2552" w:type="dxa"/>
          </w:tcPr>
          <w:p w14:paraId="617EFEDF" w14:textId="77777777" w:rsidR="003D5844" w:rsidRDefault="003D5844" w:rsidP="00724174">
            <w:r>
              <w:t>Process issues hamper or stop projects from achieving their potential</w:t>
            </w:r>
          </w:p>
        </w:tc>
        <w:tc>
          <w:tcPr>
            <w:tcW w:w="6378" w:type="dxa"/>
          </w:tcPr>
          <w:p w14:paraId="6004987C" w14:textId="33BED455" w:rsidR="003D5844" w:rsidRDefault="003D5844" w:rsidP="00724174">
            <w:r>
              <w:t xml:space="preserve">DISER provided extensive support to both SMEs and challenge agencies throughout projects and between phases to help answer questions and address emerging concerns. Participants provide consistently positive feedback regarding this support. Many SMEs were grateful for the broker style role the BRII program team played </w:t>
            </w:r>
            <w:r w:rsidR="00DF6E88">
              <w:t xml:space="preserve">to </w:t>
            </w:r>
            <w:r>
              <w:t>manage issues.</w:t>
            </w:r>
          </w:p>
        </w:tc>
      </w:tr>
      <w:tr w:rsidR="003D5844" w14:paraId="46807DD5" w14:textId="77777777" w:rsidTr="00746B30">
        <w:trPr>
          <w:cnfStyle w:val="000000100000" w:firstRow="0" w:lastRow="0" w:firstColumn="0" w:lastColumn="0" w:oddVBand="0" w:evenVBand="0" w:oddHBand="1" w:evenHBand="0" w:firstRowFirstColumn="0" w:firstRowLastColumn="0" w:lastRowFirstColumn="0" w:lastRowLastColumn="0"/>
        </w:trPr>
        <w:tc>
          <w:tcPr>
            <w:tcW w:w="2552" w:type="dxa"/>
          </w:tcPr>
          <w:p w14:paraId="549DCC23" w14:textId="77777777" w:rsidR="003D5844" w:rsidRDefault="003D5844" w:rsidP="00724174">
            <w:r>
              <w:t xml:space="preserve">Working with multiple SMEs simultaneously causes agencies to </w:t>
            </w:r>
            <w:r>
              <w:lastRenderedPageBreak/>
              <w:t>violate conflict of interest rules</w:t>
            </w:r>
          </w:p>
        </w:tc>
        <w:tc>
          <w:tcPr>
            <w:tcW w:w="6378" w:type="dxa"/>
          </w:tcPr>
          <w:p w14:paraId="44AD46C3" w14:textId="77777777" w:rsidR="003D5844" w:rsidRDefault="003D5844" w:rsidP="00724174">
            <w:r>
              <w:lastRenderedPageBreak/>
              <w:t>Agencies were provided with ongoing support to guide the way they worked with SMEs to ensure probity concerns did not manifest into genuine conflict of interest issues.</w:t>
            </w:r>
          </w:p>
        </w:tc>
      </w:tr>
    </w:tbl>
    <w:p w14:paraId="4A6829CC" w14:textId="77777777" w:rsidR="003D5844" w:rsidRDefault="003D5844" w:rsidP="003D5844">
      <w:pPr>
        <w:spacing w:before="240"/>
      </w:pPr>
      <w:r>
        <w:t>Going forward, DISER should consider the risks associated with increased scale. The two main risks are:</w:t>
      </w:r>
    </w:p>
    <w:p w14:paraId="191853A6" w14:textId="77777777" w:rsidR="003D5844" w:rsidRPr="0098527E" w:rsidRDefault="003D5844">
      <w:pPr>
        <w:pStyle w:val="Bullet"/>
        <w:rPr>
          <w:rFonts w:asciiTheme="majorHAnsi" w:hAnsiTheme="majorHAnsi" w:cstheme="majorHAnsi"/>
        </w:rPr>
      </w:pPr>
      <w:r w:rsidRPr="0098527E">
        <w:rPr>
          <w:rFonts w:asciiTheme="majorHAnsi" w:hAnsiTheme="majorHAnsi" w:cstheme="majorHAnsi"/>
        </w:rPr>
        <w:t xml:space="preserve">Dilution of </w:t>
      </w:r>
      <w:r>
        <w:rPr>
          <w:rFonts w:asciiTheme="majorHAnsi" w:hAnsiTheme="majorHAnsi" w:cstheme="majorHAnsi"/>
        </w:rPr>
        <w:t xml:space="preserve">SME </w:t>
      </w:r>
      <w:r w:rsidRPr="0098527E">
        <w:rPr>
          <w:rFonts w:asciiTheme="majorHAnsi" w:hAnsiTheme="majorHAnsi" w:cstheme="majorHAnsi"/>
        </w:rPr>
        <w:t xml:space="preserve">quality at scale. </w:t>
      </w:r>
      <w:r>
        <w:rPr>
          <w:rFonts w:asciiTheme="minorHAnsi" w:hAnsiTheme="minorHAnsi" w:cstheme="minorHAnsi"/>
        </w:rPr>
        <w:t xml:space="preserve">The success of the BRII is predicated partly on the innovative nature of participating SMEs. Should the program expand, the quality of SMEs involved must remain high to maintain the positive outcomes and impact the BRII has achieved so far. If the BRII does scale-up DISER should monitor how the increase in scale impacts access to innovative SMEs. </w:t>
      </w:r>
    </w:p>
    <w:p w14:paraId="554DC74B" w14:textId="0D26F4FA" w:rsidR="003D5844" w:rsidRDefault="003D5844">
      <w:pPr>
        <w:pStyle w:val="Bullet"/>
      </w:pPr>
      <w:r w:rsidRPr="00C50AE5">
        <w:rPr>
          <w:rFonts w:asciiTheme="majorHAnsi" w:hAnsiTheme="majorHAnsi" w:cstheme="majorHAnsi"/>
        </w:rPr>
        <w:t>Quality of support provided to SMEs and challenge agencies at scale</w:t>
      </w:r>
      <w:r>
        <w:t xml:space="preserve">. The support provided by DISER to date has been very useful to both SMEs and agencies. However, it has also been bespoke and personal. As the program grows, investment in maintaining the service outcomes delivered so far will be important </w:t>
      </w:r>
      <w:r w:rsidR="00C50AE5">
        <w:t xml:space="preserve">to enable </w:t>
      </w:r>
      <w:r w:rsidR="0005690F">
        <w:t>the ongoing effectiveness of the BRII.</w:t>
      </w:r>
    </w:p>
    <w:p w14:paraId="23E366BC" w14:textId="77777777" w:rsidR="003D5844" w:rsidRDefault="003D5844" w:rsidP="00EA4234">
      <w:pPr>
        <w:pStyle w:val="Heading4"/>
      </w:pPr>
      <w:r>
        <w:t xml:space="preserve">The COVID-19 pandemic had a limited impact on the BRII. </w:t>
      </w:r>
    </w:p>
    <w:p w14:paraId="65E8EFA5" w14:textId="2CEE7ADC" w:rsidR="003D5844" w:rsidRDefault="003D5844" w:rsidP="003D5844">
      <w:pPr>
        <w:spacing w:before="240"/>
      </w:pPr>
      <w:r>
        <w:t xml:space="preserve">The COVID-19 pandemic also presented a substantial risk for the BRII. However, the impact of the pandemic on the program’s outcomes was insignificant. Most agencies and SMEs, as well as DISER stakeholders, did not identify major delays or disruptions to projects. However, a small number of projects targeted at sectors most affected by the pandemic, such as tourism or air travel, were interrupted in their ability to trial their products. Projects that required in-person testing of their products also experienced disruptions. SMEs that COVID-19 </w:t>
      </w:r>
      <w:r w:rsidR="00116519">
        <w:t>did impact</w:t>
      </w:r>
      <w:r>
        <w:t xml:space="preserve"> provided positive feedback on the flexible support that DISER provided them to help projects deliver on their timelines regardless of the disruption. </w:t>
      </w:r>
    </w:p>
    <w:p w14:paraId="62226589" w14:textId="7B060747" w:rsidR="003D5844" w:rsidRDefault="006F42B2">
      <w:pPr>
        <w:pStyle w:val="Heading2"/>
      </w:pPr>
      <w:bookmarkStart w:id="139" w:name="_Ref79137842"/>
      <w:bookmarkStart w:id="140" w:name="_Toc124435161"/>
      <w:r>
        <w:t xml:space="preserve">The BRII has improved how it </w:t>
      </w:r>
      <w:r w:rsidR="00623EB9">
        <w:t xml:space="preserve">delivers the </w:t>
      </w:r>
      <w:r w:rsidR="00DF3247">
        <w:t>challenge stage</w:t>
      </w:r>
      <w:bookmarkEnd w:id="139"/>
      <w:bookmarkEnd w:id="140"/>
    </w:p>
    <w:p w14:paraId="39AAF555" w14:textId="5416959B" w:rsidR="003E2412" w:rsidRDefault="00FF7297" w:rsidP="003E2412">
      <w:pPr>
        <w:rPr>
          <w:lang w:eastAsia="en-AU"/>
        </w:rPr>
      </w:pPr>
      <w:r>
        <w:rPr>
          <w:lang w:eastAsia="en-AU"/>
        </w:rPr>
        <w:t>The challenge stage is critical to the success of the BRII. During this stage the BRII must achieve two key objectives:</w:t>
      </w:r>
    </w:p>
    <w:p w14:paraId="31D2E298" w14:textId="064A3E20" w:rsidR="003E2412" w:rsidRDefault="00413EC0">
      <w:pPr>
        <w:pStyle w:val="Listnumbered"/>
        <w:numPr>
          <w:ilvl w:val="0"/>
          <w:numId w:val="37"/>
        </w:numPr>
        <w:rPr>
          <w:lang w:eastAsia="en-AU"/>
        </w:rPr>
      </w:pPr>
      <w:r>
        <w:rPr>
          <w:lang w:eastAsia="en-AU"/>
        </w:rPr>
        <w:t xml:space="preserve">Attract and </w:t>
      </w:r>
      <w:r w:rsidR="00F2053A">
        <w:rPr>
          <w:lang w:eastAsia="en-AU"/>
        </w:rPr>
        <w:t xml:space="preserve">mould challenges that </w:t>
      </w:r>
      <w:r w:rsidR="005E1B55">
        <w:rPr>
          <w:lang w:eastAsia="en-AU"/>
        </w:rPr>
        <w:t xml:space="preserve">are both difficult enough to require </w:t>
      </w:r>
      <w:r w:rsidR="004349C1">
        <w:rPr>
          <w:lang w:eastAsia="en-AU"/>
        </w:rPr>
        <w:t>new innovative solutions and targeted enough to provide SMEs that right</w:t>
      </w:r>
      <w:r w:rsidR="00DC2D3D">
        <w:rPr>
          <w:lang w:eastAsia="en-AU"/>
        </w:rPr>
        <w:t>.</w:t>
      </w:r>
      <w:r w:rsidR="004349C1">
        <w:rPr>
          <w:lang w:eastAsia="en-AU"/>
        </w:rPr>
        <w:t xml:space="preserve"> </w:t>
      </w:r>
    </w:p>
    <w:p w14:paraId="498FCBAF" w14:textId="73A44C5C" w:rsidR="00413EC0" w:rsidRDefault="00476E44">
      <w:pPr>
        <w:pStyle w:val="Listnumbered"/>
        <w:rPr>
          <w:lang w:eastAsia="en-AU"/>
        </w:rPr>
      </w:pPr>
      <w:r>
        <w:rPr>
          <w:lang w:eastAsia="en-AU"/>
        </w:rPr>
        <w:t>Attract high quality, innovative firms that have a high likelihood to develop solutions that can address the chosen challenges.</w:t>
      </w:r>
    </w:p>
    <w:p w14:paraId="3A69D5F1" w14:textId="5A63FD56" w:rsidR="00476E44" w:rsidRPr="003E2412" w:rsidRDefault="00476E44" w:rsidP="00476E44">
      <w:pPr>
        <w:rPr>
          <w:lang w:eastAsia="en-AU"/>
        </w:rPr>
      </w:pPr>
      <w:r>
        <w:rPr>
          <w:lang w:eastAsia="en-AU"/>
        </w:rPr>
        <w:t xml:space="preserve">This section outlines </w:t>
      </w:r>
      <w:r w:rsidR="003F40AE">
        <w:rPr>
          <w:lang w:eastAsia="en-AU"/>
        </w:rPr>
        <w:t>how the BRII has evolved its approach to address both objectives</w:t>
      </w:r>
      <w:r w:rsidR="0082130C">
        <w:rPr>
          <w:lang w:eastAsia="en-AU"/>
        </w:rPr>
        <w:t>.</w:t>
      </w:r>
    </w:p>
    <w:p w14:paraId="79F253CC" w14:textId="2DF5801F" w:rsidR="00DF3247" w:rsidRDefault="003F40AE">
      <w:pPr>
        <w:pStyle w:val="Heading3"/>
      </w:pPr>
      <w:bookmarkStart w:id="141" w:name="_Ref79137867"/>
      <w:r>
        <w:lastRenderedPageBreak/>
        <w:t xml:space="preserve">The BRII has </w:t>
      </w:r>
      <w:r w:rsidR="00F1128A">
        <w:t>made important changes to enable challenge design but</w:t>
      </w:r>
      <w:r w:rsidR="00DF3247">
        <w:t xml:space="preserve"> could benefit from new approaches to engage challenge agencies</w:t>
      </w:r>
      <w:bookmarkEnd w:id="141"/>
      <w:r w:rsidR="00DF3247">
        <w:t xml:space="preserve"> </w:t>
      </w:r>
      <w:bookmarkEnd w:id="137"/>
    </w:p>
    <w:p w14:paraId="230EC334" w14:textId="72B6D627" w:rsidR="00F1128A" w:rsidRPr="00286B99" w:rsidRDefault="00F1128A" w:rsidP="00EA4234">
      <w:pPr>
        <w:pStyle w:val="Heading4"/>
        <w:rPr>
          <w:b/>
        </w:rPr>
      </w:pPr>
      <w:r w:rsidRPr="00286B99">
        <w:t xml:space="preserve">Challenge design continues </w:t>
      </w:r>
      <w:r>
        <w:t xml:space="preserve">to be critical </w:t>
      </w:r>
      <w:r w:rsidRPr="00286B99">
        <w:t>to the success of the BRII.</w:t>
      </w:r>
      <w:r>
        <w:rPr>
          <w:b/>
        </w:rPr>
        <w:fldChar w:fldCharType="begin"/>
      </w:r>
      <w:r>
        <w:instrText xml:space="preserve"> NOTEREF _Ref76044288 \f \h </w:instrText>
      </w:r>
      <w:r>
        <w:rPr>
          <w:b/>
        </w:rPr>
      </w:r>
      <w:r>
        <w:rPr>
          <w:b/>
        </w:rPr>
        <w:fldChar w:fldCharType="separate"/>
      </w:r>
      <w:r w:rsidR="00AE607F" w:rsidRPr="00AE607F">
        <w:rPr>
          <w:rStyle w:val="FootnoteReference"/>
        </w:rPr>
        <w:t>65</w:t>
      </w:r>
      <w:r>
        <w:rPr>
          <w:b/>
        </w:rPr>
        <w:fldChar w:fldCharType="end"/>
      </w:r>
    </w:p>
    <w:p w14:paraId="08635419" w14:textId="2DED1733" w:rsidR="00F1128A" w:rsidRPr="000C4A9E" w:rsidRDefault="00F1128A" w:rsidP="00F1128A">
      <w:pPr>
        <w:rPr>
          <w:lang w:eastAsia="en-AU"/>
        </w:rPr>
      </w:pPr>
      <w:r w:rsidRPr="000C4A9E">
        <w:rPr>
          <w:lang w:eastAsia="en-AU"/>
        </w:rPr>
        <w:t>The post-commencement evaluation identified well defined challenges as crucial to the success of the BRII.</w:t>
      </w:r>
      <w:r>
        <w:rPr>
          <w:rStyle w:val="FootnoteReference"/>
          <w:lang w:eastAsia="en-AU"/>
        </w:rPr>
        <w:footnoteReference w:id="65"/>
      </w:r>
      <w:r w:rsidRPr="000C4A9E">
        <w:rPr>
          <w:lang w:eastAsia="en-AU"/>
        </w:rPr>
        <w:t xml:space="preserve"> </w:t>
      </w:r>
      <w:r w:rsidRPr="000C4A9E">
        <w:rPr>
          <w:lang w:val="en-US" w:eastAsia="en-AU"/>
        </w:rPr>
        <w:t xml:space="preserve">Successful challenges clearly articulate the problem they have been designed to solve but remain open to a range of </w:t>
      </w:r>
      <w:r w:rsidR="00822C3B">
        <w:rPr>
          <w:lang w:val="en-US" w:eastAsia="en-AU"/>
        </w:rPr>
        <w:t xml:space="preserve">innovative </w:t>
      </w:r>
      <w:r w:rsidRPr="000C4A9E">
        <w:rPr>
          <w:lang w:val="en-US" w:eastAsia="en-AU"/>
        </w:rPr>
        <w:t xml:space="preserve">solutions. </w:t>
      </w:r>
      <w:r w:rsidRPr="000C4A9E">
        <w:rPr>
          <w:lang w:eastAsia="en-AU"/>
        </w:rPr>
        <w:t xml:space="preserve">The BRII team were reminded of the importance of the challenge design phase at the 2019 </w:t>
      </w:r>
      <w:r w:rsidR="00A019AE">
        <w:rPr>
          <w:lang w:eastAsia="en-AU"/>
        </w:rPr>
        <w:t>C</w:t>
      </w:r>
      <w:r w:rsidRPr="000C4A9E">
        <w:rPr>
          <w:lang w:eastAsia="en-AU"/>
        </w:rPr>
        <w:t>hallenge-</w:t>
      </w:r>
      <w:r w:rsidR="00A019AE">
        <w:rPr>
          <w:lang w:eastAsia="en-AU"/>
        </w:rPr>
        <w:t>B</w:t>
      </w:r>
      <w:r w:rsidRPr="000C4A9E">
        <w:rPr>
          <w:lang w:eastAsia="en-AU"/>
        </w:rPr>
        <w:t xml:space="preserve">ased </w:t>
      </w:r>
      <w:r w:rsidR="00A019AE">
        <w:rPr>
          <w:lang w:eastAsia="en-AU"/>
        </w:rPr>
        <w:t>I</w:t>
      </w:r>
      <w:r w:rsidRPr="000C4A9E">
        <w:rPr>
          <w:lang w:eastAsia="en-AU"/>
        </w:rPr>
        <w:t xml:space="preserve">nnovation </w:t>
      </w:r>
      <w:r w:rsidR="00A019AE">
        <w:rPr>
          <w:lang w:eastAsia="en-AU"/>
        </w:rPr>
        <w:t>F</w:t>
      </w:r>
      <w:r w:rsidRPr="000C4A9E">
        <w:rPr>
          <w:lang w:eastAsia="en-AU"/>
        </w:rPr>
        <w:t xml:space="preserve">orum that they hosted in Canberra. At the forum international peers from the UK, USA and Canada reiterated the importance of designing fit-for-purpose challenges that require genuine innovation and solve an important government problem. </w:t>
      </w:r>
    </w:p>
    <w:p w14:paraId="659DEB04" w14:textId="77777777" w:rsidR="00F1128A" w:rsidRPr="000C4A9E" w:rsidRDefault="00F1128A" w:rsidP="00F1128A">
      <w:pPr>
        <w:rPr>
          <w:lang w:eastAsia="en-AU"/>
        </w:rPr>
      </w:pPr>
      <w:r w:rsidRPr="000C4A9E">
        <w:rPr>
          <w:lang w:eastAsia="en-AU"/>
        </w:rPr>
        <w:t>Both challenge agencies and SMEs reiterated this when they identified bad challenge design as a driver of poor program outcomes. Specifically, some stakeholders identified challenge design was a key driver of why some of the round two challenges did not progress to the proof of concept stage.</w:t>
      </w:r>
    </w:p>
    <w:p w14:paraId="764DF189" w14:textId="74BAAA64" w:rsidR="00F1128A" w:rsidRPr="00286B99" w:rsidRDefault="00F1128A" w:rsidP="00EA4234">
      <w:pPr>
        <w:pStyle w:val="Heading4"/>
        <w:rPr>
          <w:b/>
        </w:rPr>
      </w:pPr>
      <w:r w:rsidRPr="00286B99">
        <w:t xml:space="preserve">The </w:t>
      </w:r>
      <w:r w:rsidRPr="007F6082">
        <w:t>introduction of the challenge agency EOI application is seen as a positive step to improve challenge design.</w:t>
      </w:r>
      <w:r>
        <w:fldChar w:fldCharType="begin"/>
      </w:r>
      <w:r>
        <w:instrText xml:space="preserve"> NOTEREF _Ref76044288 \f \h </w:instrText>
      </w:r>
      <w:r>
        <w:fldChar w:fldCharType="separate"/>
      </w:r>
      <w:r w:rsidR="00AE607F" w:rsidRPr="00AE607F">
        <w:rPr>
          <w:rStyle w:val="FootnoteReference"/>
        </w:rPr>
        <w:t>65</w:t>
      </w:r>
      <w:r>
        <w:fldChar w:fldCharType="end"/>
      </w:r>
    </w:p>
    <w:p w14:paraId="273802FE" w14:textId="77777777" w:rsidR="00F1128A" w:rsidRDefault="00F1128A" w:rsidP="00F1128A">
      <w:pPr>
        <w:rPr>
          <w:lang w:eastAsia="en-AU"/>
        </w:rPr>
      </w:pPr>
      <w:r w:rsidRPr="000C4A9E">
        <w:rPr>
          <w:lang w:eastAsia="en-AU"/>
        </w:rPr>
        <w:t>The BRII team introduced an EOI phase for challenge selection for round three. The EOI phase provides DISER and the EPC the opportunity to work with challenge agencies at an early stage to refine their challenge. The early results of this approach have been positive. Three of the five round three challenge agencies had a positive experience with the new process. Each of these challenge agencies also provided positive feedback on the progress that the SMEs have made during the feasibility stage towards solving their challenge.</w:t>
      </w:r>
    </w:p>
    <w:p w14:paraId="50CAFA3A" w14:textId="33498F0B" w:rsidR="009B1754" w:rsidRPr="00286B99" w:rsidRDefault="009B1754" w:rsidP="00EA4234">
      <w:pPr>
        <w:pStyle w:val="Heading4"/>
        <w:rPr>
          <w:b/>
        </w:rPr>
      </w:pPr>
      <w:r w:rsidRPr="00286B99">
        <w:t xml:space="preserve">The lack of buy-in for the BRII beyond the executive sponsor and the responsible teams within </w:t>
      </w:r>
      <w:r w:rsidRPr="00804A98">
        <w:t>government agencies remains a challenge</w:t>
      </w:r>
      <w:r w:rsidRPr="00286B99">
        <w:t>.</w:t>
      </w:r>
      <w:bookmarkStart w:id="142" w:name="_Ref76044288"/>
      <w:r w:rsidR="00804A98">
        <w:rPr>
          <w:rStyle w:val="FootnoteReference"/>
        </w:rPr>
        <w:footnoteReference w:id="66"/>
      </w:r>
      <w:bookmarkEnd w:id="142"/>
    </w:p>
    <w:p w14:paraId="5F05B324" w14:textId="06F51671" w:rsidR="00286B99" w:rsidRPr="00286B99" w:rsidRDefault="00286B99" w:rsidP="00286B99">
      <w:pPr>
        <w:rPr>
          <w:lang w:eastAsia="en-AU"/>
        </w:rPr>
      </w:pPr>
      <w:r w:rsidRPr="00286B99">
        <w:rPr>
          <w:lang w:eastAsia="en-AU"/>
        </w:rPr>
        <w:t xml:space="preserve">This was especially true for round two challenge agencies. The movement of executive </w:t>
      </w:r>
      <w:r w:rsidR="004F613B">
        <w:rPr>
          <w:lang w:eastAsia="en-AU"/>
        </w:rPr>
        <w:t xml:space="preserve">level </w:t>
      </w:r>
      <w:r w:rsidRPr="00286B99">
        <w:rPr>
          <w:lang w:eastAsia="en-AU"/>
        </w:rPr>
        <w:t>sponsors away from the responsible divisions often reduced the focus on the BRII from that challenge agency. This was confirmed from both the SME and challenge agency perspective.</w:t>
      </w:r>
    </w:p>
    <w:p w14:paraId="78B64A8F" w14:textId="77777777" w:rsidR="00286B99" w:rsidRPr="00286B99" w:rsidRDefault="00286B99" w:rsidP="00286B99">
      <w:pPr>
        <w:rPr>
          <w:lang w:eastAsia="en-AU"/>
        </w:rPr>
      </w:pPr>
      <w:r w:rsidRPr="00286B99">
        <w:rPr>
          <w:lang w:eastAsia="en-AU"/>
        </w:rPr>
        <w:t xml:space="preserve">Some agency representatives even went as far to say that teams were pressured to make challenge applications by executive sponsors. This often meant that the challenge agency did not commit the required investment of time and capability to support the success of the BRII when executive sponsors moved on. </w:t>
      </w:r>
    </w:p>
    <w:p w14:paraId="3204BD16" w14:textId="53B98427" w:rsidR="00286B99" w:rsidRDefault="00B04983" w:rsidP="009B1754">
      <w:pPr>
        <w:rPr>
          <w:lang w:eastAsia="en-AU"/>
        </w:rPr>
      </w:pPr>
      <w:r>
        <w:rPr>
          <w:lang w:eastAsia="en-AU"/>
        </w:rPr>
        <w:t xml:space="preserve">Agencies who have embraced the BRII, such as DAWE, reported that the broader visibility of the BRII across </w:t>
      </w:r>
      <w:r w:rsidR="00AD2400">
        <w:rPr>
          <w:lang w:eastAsia="en-AU"/>
        </w:rPr>
        <w:t>their Department</w:t>
      </w:r>
      <w:r>
        <w:rPr>
          <w:lang w:eastAsia="en-AU"/>
        </w:rPr>
        <w:t xml:space="preserve"> is low. </w:t>
      </w:r>
      <w:r w:rsidR="00286B99" w:rsidRPr="00286B99">
        <w:rPr>
          <w:lang w:eastAsia="en-AU"/>
        </w:rPr>
        <w:t xml:space="preserve"> For example, one agency representative shared that they </w:t>
      </w:r>
      <w:r w:rsidR="00286B99" w:rsidRPr="00286B99">
        <w:rPr>
          <w:lang w:eastAsia="en-AU"/>
        </w:rPr>
        <w:lastRenderedPageBreak/>
        <w:t>had no previous knowledge of the BRII until they were moved into the team responsible for the specific BRII project.</w:t>
      </w:r>
    </w:p>
    <w:p w14:paraId="129066A6" w14:textId="6649CA39" w:rsidR="00286B99" w:rsidRPr="00286B99" w:rsidRDefault="00286B99" w:rsidP="00EA4234">
      <w:pPr>
        <w:pStyle w:val="Heading4"/>
        <w:rPr>
          <w:b/>
        </w:rPr>
      </w:pPr>
      <w:r w:rsidRPr="00286B99">
        <w:t>Themed rounds have improved the BRII’s traction with challenge agencies, but the BRII can expand its reach further.</w:t>
      </w:r>
      <w:r w:rsidR="00804A98">
        <w:fldChar w:fldCharType="begin"/>
      </w:r>
      <w:r w:rsidR="00804A98">
        <w:instrText xml:space="preserve"> NOTEREF _Ref76044288 \f \h </w:instrText>
      </w:r>
      <w:r w:rsidR="00804A98">
        <w:fldChar w:fldCharType="separate"/>
      </w:r>
      <w:r w:rsidR="00AE607F" w:rsidRPr="00AE607F">
        <w:rPr>
          <w:rStyle w:val="FootnoteReference"/>
        </w:rPr>
        <w:t>65</w:t>
      </w:r>
      <w:r w:rsidR="00804A98">
        <w:fldChar w:fldCharType="end"/>
      </w:r>
    </w:p>
    <w:p w14:paraId="35902FFB" w14:textId="4B75AEE4" w:rsidR="000C4A9E" w:rsidRPr="000C4A9E" w:rsidRDefault="000C4A9E" w:rsidP="000C4A9E">
      <w:pPr>
        <w:rPr>
          <w:lang w:eastAsia="en-AU"/>
        </w:rPr>
      </w:pPr>
      <w:r w:rsidRPr="000C4A9E">
        <w:rPr>
          <w:lang w:val="en-US" w:eastAsia="en-AU"/>
        </w:rPr>
        <w:t xml:space="preserve">DISER staff members highlighted that the priority sectors focus of round three allowed them to better target communications to potential challenge agencies. This was because round three had a focus on a small number of priority areas. This was also reflected in the highest number of challenge applications (17). </w:t>
      </w:r>
    </w:p>
    <w:p w14:paraId="3108A705" w14:textId="3CB0B059" w:rsidR="00286B99" w:rsidRDefault="000C4A9E" w:rsidP="009B1754">
      <w:pPr>
        <w:rPr>
          <w:lang w:eastAsia="en-AU"/>
        </w:rPr>
      </w:pPr>
      <w:r w:rsidRPr="000C4A9E">
        <w:rPr>
          <w:lang w:val="en-US" w:eastAsia="en-AU"/>
        </w:rPr>
        <w:t>However, there is still substantial opportunity to extend the reach of the BRII across more government departments and agencies. Across the Australian Government there are over 150 potential agencies or departments that could participate in the BRII.</w:t>
      </w:r>
      <w:r w:rsidR="00112E01" w:rsidRPr="00112E01">
        <w:rPr>
          <w:lang w:val="en-US" w:eastAsia="en-AU"/>
        </w:rPr>
        <w:t xml:space="preserve"> </w:t>
      </w:r>
      <w:r w:rsidR="00BB15D6">
        <w:rPr>
          <w:lang w:val="en-US" w:eastAsia="en-AU"/>
        </w:rPr>
        <w:t xml:space="preserve">A potential area for expansion is </w:t>
      </w:r>
      <w:r w:rsidR="00EE48AE">
        <w:rPr>
          <w:lang w:val="en-US" w:eastAsia="en-AU"/>
        </w:rPr>
        <w:t>to support the</w:t>
      </w:r>
      <w:r w:rsidR="00BB15D6">
        <w:rPr>
          <w:lang w:val="en-US" w:eastAsia="en-AU"/>
        </w:rPr>
        <w:t xml:space="preserve"> </w:t>
      </w:r>
      <w:r w:rsidR="00EE48AE">
        <w:rPr>
          <w:lang w:val="en-US" w:eastAsia="en-AU"/>
        </w:rPr>
        <w:t xml:space="preserve">Australian Government’s </w:t>
      </w:r>
      <w:r w:rsidR="00BB15D6">
        <w:rPr>
          <w:lang w:val="en-US" w:eastAsia="en-AU"/>
        </w:rPr>
        <w:t>national priorities</w:t>
      </w:r>
      <w:r w:rsidR="00EE48AE">
        <w:rPr>
          <w:lang w:val="en-US" w:eastAsia="en-AU"/>
        </w:rPr>
        <w:t>.</w:t>
      </w:r>
      <w:r w:rsidR="00BB15D6">
        <w:rPr>
          <w:lang w:val="en-US" w:eastAsia="en-AU"/>
        </w:rPr>
        <w:t xml:space="preserve"> </w:t>
      </w:r>
      <w:r w:rsidR="00A019AE">
        <w:rPr>
          <w:lang w:val="en-US" w:eastAsia="en-AU"/>
        </w:rPr>
        <w:t>CBI</w:t>
      </w:r>
      <w:r w:rsidR="00112E01">
        <w:rPr>
          <w:lang w:val="en-US" w:eastAsia="en-AU"/>
        </w:rPr>
        <w:t xml:space="preserve"> </w:t>
      </w:r>
      <w:r w:rsidR="00EE48AE">
        <w:rPr>
          <w:lang w:val="en-US" w:eastAsia="en-AU"/>
        </w:rPr>
        <w:t xml:space="preserve">is </w:t>
      </w:r>
      <w:r w:rsidR="00112E01">
        <w:rPr>
          <w:lang w:val="en-US" w:eastAsia="en-AU"/>
        </w:rPr>
        <w:t xml:space="preserve">inherently flexible and </w:t>
      </w:r>
      <w:r w:rsidR="00A17548">
        <w:rPr>
          <w:lang w:val="en-US" w:eastAsia="en-AU"/>
        </w:rPr>
        <w:t xml:space="preserve">could </w:t>
      </w:r>
      <w:r w:rsidR="00112E01">
        <w:rPr>
          <w:lang w:val="en-US" w:eastAsia="en-AU"/>
        </w:rPr>
        <w:t xml:space="preserve">easily </w:t>
      </w:r>
      <w:r w:rsidR="00A17548">
        <w:rPr>
          <w:lang w:val="en-US" w:eastAsia="en-AU"/>
        </w:rPr>
        <w:t xml:space="preserve">target the </w:t>
      </w:r>
      <w:r w:rsidR="00BB15D6">
        <w:rPr>
          <w:lang w:val="en-US" w:eastAsia="en-AU"/>
        </w:rPr>
        <w:t>national</w:t>
      </w:r>
      <w:r w:rsidR="00112E01">
        <w:rPr>
          <w:lang w:val="en-US" w:eastAsia="en-AU"/>
        </w:rPr>
        <w:t xml:space="preserve"> priority areas.</w:t>
      </w:r>
      <w:r w:rsidR="00505EDF">
        <w:rPr>
          <w:lang w:val="en-US" w:eastAsia="en-AU"/>
        </w:rPr>
        <w:t xml:space="preserve"> This is reflected in the success of COVID-19</w:t>
      </w:r>
      <w:r w:rsidR="0043680B">
        <w:rPr>
          <w:lang w:val="en-US" w:eastAsia="en-AU"/>
        </w:rPr>
        <w:t xml:space="preserve"> related challenges </w:t>
      </w:r>
      <w:r w:rsidR="0049032F">
        <w:rPr>
          <w:lang w:val="en-US" w:eastAsia="en-AU"/>
        </w:rPr>
        <w:t>that have been rolled out in other programs around the world.</w:t>
      </w:r>
    </w:p>
    <w:p w14:paraId="70A09E12" w14:textId="77777777" w:rsidR="0048367A" w:rsidRDefault="0048367A">
      <w:pPr>
        <w:pStyle w:val="Heading3"/>
      </w:pPr>
      <w:bookmarkStart w:id="143" w:name="_Ref75965839"/>
      <w:bookmarkStart w:id="144" w:name="_Ref76042599"/>
      <w:bookmarkStart w:id="145" w:name="_Ref75900903"/>
      <w:bookmarkStart w:id="146" w:name="_Ref75904983"/>
      <w:r>
        <w:t>The BRII has greatly improved its marketing to SMEs</w:t>
      </w:r>
      <w:bookmarkEnd w:id="143"/>
      <w:bookmarkEnd w:id="144"/>
    </w:p>
    <w:p w14:paraId="5CDD185E" w14:textId="77777777" w:rsidR="0048367A" w:rsidRPr="000C4A9E" w:rsidRDefault="0048367A" w:rsidP="0048367A">
      <w:pPr>
        <w:rPr>
          <w:lang w:eastAsia="en-AU"/>
        </w:rPr>
      </w:pPr>
      <w:r w:rsidRPr="000C4A9E">
        <w:rPr>
          <w:lang w:val="en-US" w:eastAsia="en-AU"/>
        </w:rPr>
        <w:t>While the first two rounds of the BRII were broadly considered successful, DISER felt that the communications approach could be improved to attract a greater weight of applications from quality SME’s. An analysis by DISER of the communications approach in rounds one and two found that an improved approach should:</w:t>
      </w:r>
    </w:p>
    <w:p w14:paraId="28FCA37E" w14:textId="77777777" w:rsidR="0048367A" w:rsidRPr="000C4A9E" w:rsidRDefault="0048367A">
      <w:pPr>
        <w:pStyle w:val="Bullet"/>
      </w:pPr>
      <w:r w:rsidRPr="000C4A9E">
        <w:rPr>
          <w:rFonts w:eastAsia="Segoe UI"/>
          <w:lang w:val="en-US"/>
        </w:rPr>
        <w:t>Focus on identifying the characteristics of target audiences to aid in the targeting of communications.</w:t>
      </w:r>
    </w:p>
    <w:p w14:paraId="7F18EE57" w14:textId="77777777" w:rsidR="0048367A" w:rsidRPr="000C4A9E" w:rsidRDefault="0048367A">
      <w:pPr>
        <w:pStyle w:val="Bullet"/>
      </w:pPr>
      <w:r w:rsidRPr="000C4A9E">
        <w:rPr>
          <w:rFonts w:eastAsia="Segoe UI"/>
          <w:lang w:val="en-US"/>
        </w:rPr>
        <w:t xml:space="preserve">Recruit stakeholders that can act as “conduits” to help inform target audiences about the BRII round. </w:t>
      </w:r>
    </w:p>
    <w:p w14:paraId="7A7C6A13" w14:textId="7A0F9BD4" w:rsidR="0048367A" w:rsidRDefault="0048367A" w:rsidP="0048367A">
      <w:pPr>
        <w:rPr>
          <w:lang w:val="en-US" w:eastAsia="en-AU"/>
        </w:rPr>
      </w:pPr>
      <w:r w:rsidRPr="000C4A9E">
        <w:rPr>
          <w:lang w:val="en-US" w:eastAsia="en-AU"/>
        </w:rPr>
        <w:t>These findings resulted in a shift in the communications approach toward a greater emphasis on targeted outreach.</w:t>
      </w:r>
      <w:r>
        <w:rPr>
          <w:lang w:val="en-US" w:eastAsia="en-AU"/>
        </w:rPr>
        <w:t xml:space="preserve"> </w:t>
      </w:r>
      <w:r w:rsidRPr="000C4A9E">
        <w:rPr>
          <w:lang w:val="en-US" w:eastAsia="en-AU"/>
        </w:rPr>
        <w:t>The improved communications approach resulted in a substantial increase in engagement</w:t>
      </w:r>
      <w:r>
        <w:rPr>
          <w:lang w:val="en-US" w:eastAsia="en-AU"/>
        </w:rPr>
        <w:t xml:space="preserve">, as demonstrated in </w:t>
      </w:r>
      <w:r>
        <w:rPr>
          <w:lang w:val="en-US" w:eastAsia="en-AU"/>
        </w:rPr>
        <w:fldChar w:fldCharType="begin"/>
      </w:r>
      <w:r>
        <w:rPr>
          <w:lang w:val="en-US" w:eastAsia="en-AU"/>
        </w:rPr>
        <w:instrText xml:space="preserve"> REF _Ref76023663 \h </w:instrText>
      </w:r>
      <w:r>
        <w:rPr>
          <w:lang w:val="en-US" w:eastAsia="en-AU"/>
        </w:rPr>
      </w:r>
      <w:r>
        <w:rPr>
          <w:lang w:val="en-US" w:eastAsia="en-AU"/>
        </w:rPr>
        <w:fldChar w:fldCharType="separate"/>
      </w:r>
      <w:r w:rsidR="00AE607F">
        <w:t xml:space="preserve">Figure </w:t>
      </w:r>
      <w:r w:rsidR="00AE607F">
        <w:rPr>
          <w:noProof/>
        </w:rPr>
        <w:t>25</w:t>
      </w:r>
      <w:r>
        <w:rPr>
          <w:lang w:val="en-US" w:eastAsia="en-AU"/>
        </w:rPr>
        <w:fldChar w:fldCharType="end"/>
      </w:r>
      <w:r w:rsidRPr="000C4A9E">
        <w:rPr>
          <w:lang w:val="en-US" w:eastAsia="en-AU"/>
        </w:rPr>
        <w:t xml:space="preserve">. </w:t>
      </w:r>
    </w:p>
    <w:p w14:paraId="11FE5F74" w14:textId="283C7D78" w:rsidR="0048367A" w:rsidRDefault="0048367A" w:rsidP="0048367A">
      <w:pPr>
        <w:pStyle w:val="Caption"/>
        <w:rPr>
          <w:lang w:eastAsia="en-AU"/>
        </w:rPr>
      </w:pPr>
      <w:bookmarkStart w:id="147" w:name="_Ref76023663"/>
      <w:r>
        <w:t xml:space="preserve">Figure </w:t>
      </w:r>
      <w:r>
        <w:fldChar w:fldCharType="begin"/>
      </w:r>
      <w:r>
        <w:instrText xml:space="preserve"> SEQ Figure \* ARABIC </w:instrText>
      </w:r>
      <w:r>
        <w:fldChar w:fldCharType="separate"/>
      </w:r>
      <w:r w:rsidR="00870ADB">
        <w:rPr>
          <w:noProof/>
        </w:rPr>
        <w:t>26</w:t>
      </w:r>
      <w:r>
        <w:fldChar w:fldCharType="end"/>
      </w:r>
      <w:bookmarkEnd w:id="147"/>
      <w:r>
        <w:t xml:space="preserve"> | </w:t>
      </w:r>
      <w:r w:rsidRPr="007C7F57">
        <w:t xml:space="preserve">Shift in engagement from Round </w:t>
      </w:r>
      <w:r>
        <w:t>two</w:t>
      </w:r>
      <w:r w:rsidRPr="007C7F57">
        <w:t xml:space="preserve"> to Round </w:t>
      </w:r>
      <w:r>
        <w:t>three</w:t>
      </w:r>
      <w:r w:rsidRPr="007C7F57">
        <w:t xml:space="preserve"> (Priority Sectors)</w:t>
      </w:r>
      <w:r>
        <w:rPr>
          <w:lang w:eastAsia="en-AU"/>
        </w:rPr>
        <w:t xml:space="preserve"> </w:t>
      </w:r>
    </w:p>
    <w:p w14:paraId="66A0A50D" w14:textId="77777777" w:rsidR="0048367A" w:rsidRDefault="0048367A" w:rsidP="0048367A">
      <w:pPr>
        <w:rPr>
          <w:lang w:eastAsia="en-AU"/>
        </w:rPr>
      </w:pPr>
      <w:r w:rsidRPr="00E137E7">
        <w:rPr>
          <w:noProof/>
          <w:lang w:eastAsia="en-AU"/>
        </w:rPr>
        <w:drawing>
          <wp:inline distT="0" distB="0" distL="0" distR="0" wp14:anchorId="162250B4" wp14:editId="03E2A86C">
            <wp:extent cx="5670550" cy="1566545"/>
            <wp:effectExtent l="0" t="0" r="6350" b="0"/>
            <wp:docPr id="18" name="Picture 18" descr="Website visits, round 2, eighteen thousand two hundred, round 3, fifty four thousand seven hundred and forty 5. Increase of two hundred and 1 per cent.&#10;Fact sheet downloads, round, 2 1 thousand three hundred and thirty 5, round 3, 8 thousand one hundred and fifty 9. Increase of 5 hundred and eleven per cent.&#10;Applications commenced, round 2, 4 hundred and 8, round 3, 4 hundred and fifty 8. Increase of twelve per cent. Applications completed, round 2, 1 hundred and fifty, round 3, 2 hundred and twenty. Increase of forty 7 per cent. Applications short listed, round 2, 25, round 3, forty 5. Increase of eighty per cent. Applications funded, round 2, fifteen, round 3, twenty three, increase of fifty 3 per c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Website visits, round 2, eighteen thousand two hundred, round 3, fifty four thousand seven hundred and forty 5. Increase of two hundred and 1 per cent.&#10;Fact sheet downloads, round, 2 1 thousand three hundred and thirty 5, round 3, 8 thousand one hundred and fifty 9. Increase of 5 hundred and eleven per cent.&#10;Applications commenced, round 2, 4 hundred and 8, round 3, 4 hundred and fifty 8. Increase of twelve per cent. Applications completed, round 2, 1 hundred and fifty, round 3, 2 hundred and twenty. Increase of forty 7 per cent. Applications short listed, round 2, 25, round 3, forty 5. Increase of eighty per cent. Applications funded, round 2, fifteen, round 3, twenty three, increase of fifty 3 per cent. "/>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670550" cy="1566545"/>
                    </a:xfrm>
                    <a:prstGeom prst="rect">
                      <a:avLst/>
                    </a:prstGeom>
                    <a:noFill/>
                    <a:ln>
                      <a:noFill/>
                    </a:ln>
                  </pic:spPr>
                </pic:pic>
              </a:graphicData>
            </a:graphic>
          </wp:inline>
        </w:drawing>
      </w:r>
    </w:p>
    <w:p w14:paraId="3BE8E19A" w14:textId="77777777" w:rsidR="0048367A" w:rsidRPr="009B1754" w:rsidRDefault="0048367A" w:rsidP="0048367A">
      <w:pPr>
        <w:pStyle w:val="Source"/>
      </w:pPr>
      <w:r w:rsidRPr="008461CA">
        <w:t>Source: BRII Priority Sectors Round Evaluation, December 2020</w:t>
      </w:r>
    </w:p>
    <w:p w14:paraId="7023B0C7" w14:textId="77777777" w:rsidR="0048367A" w:rsidRDefault="0048367A" w:rsidP="00EA4234">
      <w:pPr>
        <w:pStyle w:val="Heading4"/>
      </w:pPr>
      <w:r w:rsidRPr="008225A5">
        <w:lastRenderedPageBreak/>
        <w:t>The communications approach was improved through extensive targeting and early tailoring</w:t>
      </w:r>
      <w:r>
        <w:t>.</w:t>
      </w:r>
    </w:p>
    <w:p w14:paraId="2441A859" w14:textId="77777777" w:rsidR="0048367A" w:rsidRPr="00292310" w:rsidRDefault="0048367A" w:rsidP="0048367A">
      <w:pPr>
        <w:rPr>
          <w:lang w:eastAsia="en-AU"/>
        </w:rPr>
      </w:pPr>
      <w:r>
        <w:rPr>
          <w:lang w:eastAsia="en-AU"/>
        </w:rPr>
        <w:t xml:space="preserve">For rounds one and two </w:t>
      </w:r>
      <w:r w:rsidRPr="00292310">
        <w:rPr>
          <w:lang w:eastAsia="en-AU"/>
        </w:rPr>
        <w:t xml:space="preserve">the communications approach involved integrated activities </w:t>
      </w:r>
      <w:r>
        <w:rPr>
          <w:lang w:eastAsia="en-AU"/>
        </w:rPr>
        <w:t xml:space="preserve">such as </w:t>
      </w:r>
      <w:r w:rsidRPr="00292310">
        <w:rPr>
          <w:lang w:eastAsia="en-AU"/>
        </w:rPr>
        <w:t xml:space="preserve">downloadable fact sheets, online videos, digital and social media advertising, promotional videos from previous BRII participants, face-to-face presentations and direct emails. </w:t>
      </w:r>
      <w:r>
        <w:rPr>
          <w:lang w:eastAsia="en-AU"/>
        </w:rPr>
        <w:t xml:space="preserve">A communications strategy brought </w:t>
      </w:r>
      <w:r w:rsidRPr="00292310">
        <w:rPr>
          <w:lang w:eastAsia="en-AU"/>
        </w:rPr>
        <w:t xml:space="preserve">coherence </w:t>
      </w:r>
      <w:r>
        <w:rPr>
          <w:lang w:eastAsia="en-AU"/>
        </w:rPr>
        <w:t xml:space="preserve">to </w:t>
      </w:r>
      <w:r w:rsidRPr="00292310">
        <w:rPr>
          <w:lang w:eastAsia="en-AU"/>
        </w:rPr>
        <w:t xml:space="preserve">the approach. </w:t>
      </w:r>
    </w:p>
    <w:p w14:paraId="05E42119" w14:textId="77777777" w:rsidR="0048367A" w:rsidRPr="00292310" w:rsidRDefault="0048367A" w:rsidP="0048367A">
      <w:pPr>
        <w:rPr>
          <w:lang w:eastAsia="en-AU"/>
        </w:rPr>
      </w:pPr>
      <w:r>
        <w:rPr>
          <w:lang w:eastAsia="en-AU"/>
        </w:rPr>
        <w:t xml:space="preserve">DISER engaged </w:t>
      </w:r>
      <w:r w:rsidRPr="00292310">
        <w:rPr>
          <w:lang w:eastAsia="en-AU"/>
        </w:rPr>
        <w:t>Cox Inall Change (CIC)</w:t>
      </w:r>
      <w:r>
        <w:rPr>
          <w:lang w:eastAsia="en-AU"/>
        </w:rPr>
        <w:t xml:space="preserve"> to implement an </w:t>
      </w:r>
      <w:r w:rsidRPr="00292310">
        <w:rPr>
          <w:lang w:eastAsia="en-AU"/>
        </w:rPr>
        <w:t>amended communications approach</w:t>
      </w:r>
      <w:r>
        <w:rPr>
          <w:lang w:eastAsia="en-AU"/>
        </w:rPr>
        <w:t xml:space="preserve"> for </w:t>
      </w:r>
      <w:r w:rsidRPr="00292310">
        <w:rPr>
          <w:lang w:eastAsia="en-AU"/>
        </w:rPr>
        <w:t>round three (Priority Sectors)</w:t>
      </w:r>
      <w:r>
        <w:rPr>
          <w:lang w:eastAsia="en-AU"/>
        </w:rPr>
        <w:t xml:space="preserve">. </w:t>
      </w:r>
      <w:r w:rsidRPr="00292310">
        <w:rPr>
          <w:lang w:eastAsia="en-AU"/>
        </w:rPr>
        <w:t xml:space="preserve">This approach </w:t>
      </w:r>
      <w:r>
        <w:rPr>
          <w:lang w:eastAsia="en-AU"/>
        </w:rPr>
        <w:t xml:space="preserve">built from </w:t>
      </w:r>
      <w:r w:rsidRPr="00292310">
        <w:rPr>
          <w:lang w:eastAsia="en-AU"/>
        </w:rPr>
        <w:t xml:space="preserve">the existing communications strategy, which CIC refined </w:t>
      </w:r>
      <w:r>
        <w:rPr>
          <w:lang w:eastAsia="en-AU"/>
        </w:rPr>
        <w:t xml:space="preserve">through </w:t>
      </w:r>
      <w:r w:rsidRPr="00292310">
        <w:rPr>
          <w:lang w:eastAsia="en-AU"/>
        </w:rPr>
        <w:t>consultations with each challenge agency</w:t>
      </w:r>
      <w:r>
        <w:rPr>
          <w:lang w:eastAsia="en-AU"/>
        </w:rPr>
        <w:t>. This helped</w:t>
      </w:r>
      <w:r w:rsidRPr="00292310">
        <w:rPr>
          <w:lang w:eastAsia="en-AU"/>
        </w:rPr>
        <w:t xml:space="preserve"> to ensure the messaging was tailored to </w:t>
      </w:r>
      <w:r>
        <w:rPr>
          <w:lang w:eastAsia="en-AU"/>
        </w:rPr>
        <w:t xml:space="preserve">each agency’s </w:t>
      </w:r>
      <w:r w:rsidRPr="00292310">
        <w:rPr>
          <w:lang w:eastAsia="en-AU"/>
        </w:rPr>
        <w:t xml:space="preserve">context. </w:t>
      </w:r>
      <w:r>
        <w:rPr>
          <w:lang w:eastAsia="en-AU"/>
        </w:rPr>
        <w:t>CIC also developed l</w:t>
      </w:r>
      <w:r w:rsidRPr="00292310">
        <w:rPr>
          <w:lang w:eastAsia="en-AU"/>
        </w:rPr>
        <w:t>ists of key stakeholders in conjunction with challenge agencies. Finally</w:t>
      </w:r>
      <w:r>
        <w:rPr>
          <w:lang w:eastAsia="en-AU"/>
        </w:rPr>
        <w:t>,</w:t>
      </w:r>
      <w:r w:rsidRPr="00292310">
        <w:rPr>
          <w:lang w:eastAsia="en-AU"/>
        </w:rPr>
        <w:t xml:space="preserve"> CIC developed unique engagement plans for each challenge. </w:t>
      </w:r>
    </w:p>
    <w:p w14:paraId="1BD6697E" w14:textId="1C492A80" w:rsidR="0048367A" w:rsidRPr="00292310" w:rsidRDefault="0048367A" w:rsidP="0048367A">
      <w:pPr>
        <w:rPr>
          <w:lang w:eastAsia="en-AU"/>
        </w:rPr>
      </w:pPr>
      <w:r w:rsidRPr="00292310">
        <w:rPr>
          <w:lang w:eastAsia="en-AU"/>
        </w:rPr>
        <w:t>As demonstrated in</w:t>
      </w:r>
      <w:r>
        <w:rPr>
          <w:lang w:eastAsia="en-AU"/>
        </w:rPr>
        <w:t xml:space="preserve"> </w:t>
      </w:r>
      <w:r>
        <w:rPr>
          <w:lang w:eastAsia="en-AU"/>
        </w:rPr>
        <w:fldChar w:fldCharType="begin"/>
      </w:r>
      <w:r>
        <w:rPr>
          <w:lang w:eastAsia="en-AU"/>
        </w:rPr>
        <w:instrText xml:space="preserve"> REF _Ref76023663 \h </w:instrText>
      </w:r>
      <w:r>
        <w:rPr>
          <w:lang w:eastAsia="en-AU"/>
        </w:rPr>
      </w:r>
      <w:r>
        <w:rPr>
          <w:lang w:eastAsia="en-AU"/>
        </w:rPr>
        <w:fldChar w:fldCharType="separate"/>
      </w:r>
      <w:r w:rsidR="00AE607F">
        <w:t xml:space="preserve">Figure </w:t>
      </w:r>
      <w:r w:rsidR="00AE607F">
        <w:rPr>
          <w:noProof/>
        </w:rPr>
        <w:t>25</w:t>
      </w:r>
      <w:r>
        <w:rPr>
          <w:lang w:eastAsia="en-AU"/>
        </w:rPr>
        <w:fldChar w:fldCharType="end"/>
      </w:r>
      <w:r w:rsidRPr="00292310">
        <w:rPr>
          <w:lang w:eastAsia="en-AU"/>
        </w:rPr>
        <w:t>, the new approach vastly increased engagement and application quality. This increase was attributed to various factors:</w:t>
      </w:r>
    </w:p>
    <w:p w14:paraId="0B99BD1A" w14:textId="77777777" w:rsidR="0048367A" w:rsidRPr="00292310" w:rsidRDefault="0048367A">
      <w:pPr>
        <w:pStyle w:val="Bullet"/>
      </w:pPr>
      <w:r w:rsidRPr="0083354C">
        <w:rPr>
          <w:rFonts w:asciiTheme="majorHAnsi" w:hAnsiTheme="majorHAnsi" w:cstheme="majorHAnsi"/>
        </w:rPr>
        <w:t>A large increase in word-of-mouth, online and industry group-led communication</w:t>
      </w:r>
      <w:r w:rsidRPr="00292310">
        <w:t xml:space="preserve"> of the BRII program. This reflects the impact of CIC’s focus of recruiting industry “influencers”, and better tailoring of online marketing materials.</w:t>
      </w:r>
    </w:p>
    <w:p w14:paraId="23F83602" w14:textId="77777777" w:rsidR="0048367A" w:rsidRPr="00292310" w:rsidRDefault="0048367A">
      <w:pPr>
        <w:pStyle w:val="Bullet"/>
      </w:pPr>
      <w:r w:rsidRPr="0083354C">
        <w:rPr>
          <w:rFonts w:asciiTheme="majorHAnsi" w:hAnsiTheme="majorHAnsi" w:cstheme="majorHAnsi"/>
        </w:rPr>
        <w:t>A paid search and social media campaign executed alongside a targeted stakeholder relationship program</w:t>
      </w:r>
      <w:r>
        <w:rPr>
          <w:rFonts w:asciiTheme="majorHAnsi" w:hAnsiTheme="majorHAnsi" w:cstheme="majorHAnsi"/>
        </w:rPr>
        <w:t>.</w:t>
      </w:r>
      <w:r w:rsidRPr="00292310">
        <w:t xml:space="preserve"> </w:t>
      </w:r>
      <w:r>
        <w:t xml:space="preserve">This strategy </w:t>
      </w:r>
      <w:r w:rsidRPr="00292310">
        <w:t>“kept the BRII top of mind”</w:t>
      </w:r>
      <w:r>
        <w:t xml:space="preserve"> and tripled website traffic.</w:t>
      </w:r>
    </w:p>
    <w:p w14:paraId="043CC0F9" w14:textId="77777777" w:rsidR="0048367A" w:rsidRPr="00292310" w:rsidRDefault="0048367A">
      <w:pPr>
        <w:pStyle w:val="Bullet"/>
      </w:pPr>
      <w:r w:rsidRPr="00812EF9">
        <w:rPr>
          <w:rFonts w:asciiTheme="majorHAnsi" w:hAnsiTheme="majorHAnsi" w:cstheme="majorHAnsi"/>
        </w:rPr>
        <w:t>CIC’s emphasis on tailoring communications</w:t>
      </w:r>
      <w:r>
        <w:rPr>
          <w:rFonts w:asciiTheme="majorHAnsi" w:hAnsiTheme="majorHAnsi" w:cstheme="majorHAnsi"/>
        </w:rPr>
        <w:t>.</w:t>
      </w:r>
      <w:r w:rsidRPr="00812EF9">
        <w:rPr>
          <w:rFonts w:asciiTheme="majorHAnsi" w:hAnsiTheme="majorHAnsi" w:cstheme="majorHAnsi"/>
        </w:rPr>
        <w:t xml:space="preserve"> </w:t>
      </w:r>
      <w:r>
        <w:t xml:space="preserve">This was achieved through </w:t>
      </w:r>
      <w:r w:rsidRPr="00292310">
        <w:t>consultation with challenge agencies and the EPC.</w:t>
      </w:r>
    </w:p>
    <w:p w14:paraId="29C3C68F" w14:textId="77777777" w:rsidR="0048367A" w:rsidRPr="00292310" w:rsidRDefault="0048367A">
      <w:pPr>
        <w:pStyle w:val="Bullet"/>
      </w:pPr>
      <w:r w:rsidRPr="00812EF9">
        <w:rPr>
          <w:rFonts w:asciiTheme="majorHAnsi" w:hAnsiTheme="majorHAnsi" w:cstheme="majorHAnsi"/>
        </w:rPr>
        <w:t>Targeted webinars with interested stakeholders that were identified with challenge agencies.</w:t>
      </w:r>
      <w:r w:rsidRPr="00292310">
        <w:t xml:space="preserve"> There were 568 attendees in round three compared to 174 in round two.</w:t>
      </w:r>
    </w:p>
    <w:p w14:paraId="56A514F8" w14:textId="0C2993B7" w:rsidR="0048367A" w:rsidRPr="002A4453" w:rsidRDefault="0048367A" w:rsidP="0048367A">
      <w:pPr>
        <w:rPr>
          <w:lang w:eastAsia="en-AU"/>
        </w:rPr>
      </w:pPr>
      <w:r w:rsidRPr="00292310">
        <w:rPr>
          <w:lang w:eastAsia="en-AU"/>
        </w:rPr>
        <w:t xml:space="preserve">In all, this </w:t>
      </w:r>
      <w:r>
        <w:rPr>
          <w:lang w:eastAsia="en-AU"/>
        </w:rPr>
        <w:t>communications activity</w:t>
      </w:r>
      <w:r w:rsidRPr="00292310">
        <w:rPr>
          <w:lang w:eastAsia="en-AU"/>
        </w:rPr>
        <w:t xml:space="preserve"> cost DISER approximately $150</w:t>
      </w:r>
      <w:r>
        <w:rPr>
          <w:lang w:eastAsia="en-AU"/>
        </w:rPr>
        <w:t>,000</w:t>
      </w:r>
      <w:r w:rsidRPr="00292310">
        <w:rPr>
          <w:lang w:eastAsia="en-AU"/>
        </w:rPr>
        <w:t>.</w:t>
      </w:r>
      <w:bookmarkStart w:id="148" w:name="_Ref75937678"/>
      <w:r>
        <w:rPr>
          <w:rStyle w:val="FootnoteReference"/>
          <w:lang w:eastAsia="en-AU"/>
        </w:rPr>
        <w:footnoteReference w:id="67"/>
      </w:r>
      <w:bookmarkEnd w:id="148"/>
    </w:p>
    <w:p w14:paraId="07C7468A" w14:textId="690CEBFB" w:rsidR="00DF3247" w:rsidRDefault="006B3371">
      <w:pPr>
        <w:pStyle w:val="Heading2"/>
      </w:pPr>
      <w:bookmarkStart w:id="149" w:name="_Hlk77804257"/>
      <w:bookmarkStart w:id="150" w:name="_Toc124435162"/>
      <w:r>
        <w:t xml:space="preserve">SMEs and challenge agencies reflect positively on </w:t>
      </w:r>
      <w:r w:rsidR="00BC0A09">
        <w:t xml:space="preserve">the </w:t>
      </w:r>
      <w:r>
        <w:t>BRII but suggested improvements to program design</w:t>
      </w:r>
      <w:bookmarkEnd w:id="145"/>
      <w:bookmarkEnd w:id="146"/>
      <w:bookmarkEnd w:id="149"/>
      <w:bookmarkEnd w:id="150"/>
    </w:p>
    <w:p w14:paraId="3E8278EF" w14:textId="478738C6" w:rsidR="00681F39" w:rsidRPr="00630875" w:rsidRDefault="006B3371" w:rsidP="000477F1">
      <w:r>
        <w:rPr>
          <w:lang w:eastAsia="en-AU"/>
        </w:rPr>
        <w:t xml:space="preserve">Overall, most SMEs and challenge agencies </w:t>
      </w:r>
      <w:r w:rsidR="008C34FF">
        <w:rPr>
          <w:lang w:eastAsia="en-AU"/>
        </w:rPr>
        <w:t>found their BRII experience rewarding and would recommend the program to other SMEs</w:t>
      </w:r>
      <w:r w:rsidR="006574A0">
        <w:rPr>
          <w:lang w:eastAsia="en-AU"/>
        </w:rPr>
        <w:t xml:space="preserve"> or </w:t>
      </w:r>
      <w:r w:rsidR="008C34FF">
        <w:rPr>
          <w:lang w:eastAsia="en-AU"/>
        </w:rPr>
        <w:t xml:space="preserve">agencies. This is true for most SMEs regardless of whether they progressed past the feasibility stage. However, some SMEs reflected that </w:t>
      </w:r>
      <w:r w:rsidR="006574A0">
        <w:rPr>
          <w:lang w:eastAsia="en-AU"/>
        </w:rPr>
        <w:t xml:space="preserve">the BRII should </w:t>
      </w:r>
      <w:r w:rsidR="008C34FF">
        <w:rPr>
          <w:lang w:eastAsia="en-AU"/>
        </w:rPr>
        <w:t xml:space="preserve">put in place </w:t>
      </w:r>
      <w:r w:rsidR="006574A0">
        <w:rPr>
          <w:lang w:eastAsia="en-AU"/>
        </w:rPr>
        <w:t xml:space="preserve">mechanisms to improve the </w:t>
      </w:r>
      <w:r w:rsidR="008C34FF">
        <w:rPr>
          <w:lang w:eastAsia="en-AU"/>
        </w:rPr>
        <w:t>buy-in and support from challenge agencies. Agencies also noted tha</w:t>
      </w:r>
      <w:r w:rsidR="00243EAE">
        <w:rPr>
          <w:lang w:eastAsia="en-AU"/>
        </w:rPr>
        <w:t>t</w:t>
      </w:r>
      <w:r w:rsidR="002E103E">
        <w:rPr>
          <w:lang w:eastAsia="en-AU"/>
        </w:rPr>
        <w:t xml:space="preserve"> their experience could be improved </w:t>
      </w:r>
      <w:r w:rsidR="007F0D38">
        <w:rPr>
          <w:lang w:eastAsia="en-AU"/>
        </w:rPr>
        <w:t xml:space="preserve">through </w:t>
      </w:r>
      <w:r w:rsidR="002E103E">
        <w:rPr>
          <w:lang w:eastAsia="en-AU"/>
        </w:rPr>
        <w:t>better buy-in across their agency, alongside resources</w:t>
      </w:r>
      <w:r w:rsidR="00975754">
        <w:rPr>
          <w:lang w:eastAsia="en-AU"/>
        </w:rPr>
        <w:t xml:space="preserve"> dedicated to the BRII projects. Both SMEs and challenge agencies highlighted the importance of some degree of post-proof of concept commercialisation support.</w:t>
      </w:r>
    </w:p>
    <w:p w14:paraId="5B0F46D0" w14:textId="19F0E43A" w:rsidR="00DF3247" w:rsidRDefault="003676BF">
      <w:pPr>
        <w:pStyle w:val="Heading3"/>
      </w:pPr>
      <w:bookmarkStart w:id="151" w:name="_Ref75330834"/>
      <w:r w:rsidRPr="00DF3247">
        <w:lastRenderedPageBreak/>
        <w:t>Most</w:t>
      </w:r>
      <w:r w:rsidR="00DF3247" w:rsidRPr="00DF3247">
        <w:t xml:space="preserve"> SMEs had a positive experience through the feasibility stage</w:t>
      </w:r>
      <w:bookmarkEnd w:id="151"/>
    </w:p>
    <w:p w14:paraId="674857FB" w14:textId="2C20A31C" w:rsidR="00845D51" w:rsidRDefault="00845D51" w:rsidP="00845D51">
      <w:pPr>
        <w:rPr>
          <w:lang w:eastAsia="en-AU"/>
        </w:rPr>
      </w:pPr>
      <w:r w:rsidRPr="00845D51">
        <w:rPr>
          <w:lang w:eastAsia="en-AU"/>
        </w:rPr>
        <w:t xml:space="preserve">Survey responses indicate that almost </w:t>
      </w:r>
      <w:r w:rsidR="005961CA" w:rsidRPr="00845D51">
        <w:rPr>
          <w:lang w:eastAsia="en-AU"/>
        </w:rPr>
        <w:t>all</w:t>
      </w:r>
      <w:r w:rsidRPr="00845D51">
        <w:rPr>
          <w:lang w:eastAsia="en-AU"/>
        </w:rPr>
        <w:t xml:space="preserve"> the respondents (including SMEs that advanced to the proof of concept stage) were satisfied or very satisfied with all aspects of the information and support they received from their challenge agency and DISER. Many SMEs provided feedback that the program was generally well run and that the reporting requirements were clear and manageable.</w:t>
      </w:r>
      <w:r w:rsidR="00F94949">
        <w:rPr>
          <w:lang w:eastAsia="en-AU"/>
        </w:rPr>
        <w:t xml:space="preserve"> </w:t>
      </w:r>
      <w:r w:rsidR="00F94949">
        <w:rPr>
          <w:lang w:eastAsia="en-AU"/>
        </w:rPr>
        <w:fldChar w:fldCharType="begin"/>
      </w:r>
      <w:r w:rsidR="00F94949">
        <w:rPr>
          <w:lang w:eastAsia="en-AU"/>
        </w:rPr>
        <w:instrText xml:space="preserve"> REF _Ref79505695 \h </w:instrText>
      </w:r>
      <w:r w:rsidR="00F94949">
        <w:rPr>
          <w:lang w:eastAsia="en-AU"/>
        </w:rPr>
      </w:r>
      <w:r w:rsidR="00F94949">
        <w:rPr>
          <w:lang w:eastAsia="en-AU"/>
        </w:rPr>
        <w:fldChar w:fldCharType="separate"/>
      </w:r>
      <w:r w:rsidR="00AE607F">
        <w:t xml:space="preserve">Figure </w:t>
      </w:r>
      <w:r w:rsidR="00AE607F">
        <w:rPr>
          <w:noProof/>
        </w:rPr>
        <w:t>26</w:t>
      </w:r>
      <w:r w:rsidR="00F94949">
        <w:rPr>
          <w:lang w:eastAsia="en-AU"/>
        </w:rPr>
        <w:fldChar w:fldCharType="end"/>
      </w:r>
      <w:r w:rsidR="00F94949">
        <w:rPr>
          <w:lang w:eastAsia="en-AU"/>
        </w:rPr>
        <w:t xml:space="preserve"> includes survey responses related to the SME experience of the feasibility study phase.</w:t>
      </w:r>
    </w:p>
    <w:p w14:paraId="302B325D" w14:textId="08814A65" w:rsidR="00734534" w:rsidRDefault="00734534" w:rsidP="00734534">
      <w:pPr>
        <w:pStyle w:val="Caption"/>
      </w:pPr>
      <w:bookmarkStart w:id="152" w:name="_Ref79505695"/>
      <w:r>
        <w:t xml:space="preserve">Figure </w:t>
      </w:r>
      <w:r>
        <w:fldChar w:fldCharType="begin"/>
      </w:r>
      <w:r>
        <w:instrText xml:space="preserve"> SEQ Figure \* ARABIC </w:instrText>
      </w:r>
      <w:r>
        <w:fldChar w:fldCharType="separate"/>
      </w:r>
      <w:r w:rsidR="00870ADB">
        <w:rPr>
          <w:noProof/>
        </w:rPr>
        <w:t>27</w:t>
      </w:r>
      <w:r>
        <w:fldChar w:fldCharType="end"/>
      </w:r>
      <w:bookmarkEnd w:id="152"/>
      <w:r>
        <w:t xml:space="preserve"> | SME experience throughout the feasibility study phase</w:t>
      </w:r>
      <w:bookmarkStart w:id="153" w:name="_Ref75948984"/>
      <w:r w:rsidR="005B4365">
        <w:rPr>
          <w:rStyle w:val="FootnoteReference"/>
        </w:rPr>
        <w:footnoteReference w:id="68"/>
      </w:r>
      <w:bookmarkEnd w:id="153"/>
    </w:p>
    <w:p w14:paraId="4C60AC79" w14:textId="027FC0AB" w:rsidR="00E33181" w:rsidRDefault="004612C8" w:rsidP="00845D51">
      <w:pPr>
        <w:rPr>
          <w:lang w:eastAsia="en-AU"/>
        </w:rPr>
      </w:pPr>
      <w:r w:rsidRPr="004612C8">
        <w:rPr>
          <w:noProof/>
        </w:rPr>
        <w:drawing>
          <wp:inline distT="0" distB="0" distL="0" distR="0" wp14:anchorId="3B154897" wp14:editId="72E890C1">
            <wp:extent cx="5670550" cy="2801620"/>
            <wp:effectExtent l="0" t="0" r="6350" b="0"/>
            <wp:docPr id="27944" name="Picture 27944" descr="Survey question, Throughout the feasibility study phase, to what extent were you satisfied with the following. The information and support provided by your challenge agency. 5%, dissatisfied, 5% neutral, 32% satisfied, 59% very satisfied. Sample size, 22. The timeliness and quality of support you received from DISER as you developed the feasibility study. 5 per cent, dissatisfied, 5 per cent neutral, eighteen per cent satisfied, seventy 3 per cent very satisfied. Sample size, twenty 2. The feedback you received on the initial drafts of your feasibility study. fourteen per cent, not applicable, 5 per cent dissatisfied, twenty 7 per cent satisfied, fifty 5 per cent very satisfied. Sample size, twenty 2. The time that it took to have your feasibility study assessed. thirty per cent not applicable, ten per cent neutral, twenty per cent satisfied, forty per cent very satisfied. Sample size, twe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44" name="Picture 27944" descr="Survey question, Throughout the feasibility study phase, to what extent were you satisfied with the following. The information and support provided by your challenge agency. 5%, dissatisfied, 5% neutral, 32% satisfied, 59% very satisfied. Sample size, 22. The timeliness and quality of support you received from DISER as you developed the feasibility study. 5 per cent, dissatisfied, 5 per cent neutral, eighteen per cent satisfied, seventy 3 per cent very satisfied. Sample size, twenty 2. The feedback you received on the initial drafts of your feasibility study. fourteen per cent, not applicable, 5 per cent dissatisfied, twenty 7 per cent satisfied, fifty 5 per cent very satisfied. Sample size, twenty 2. The time that it took to have your feasibility study assessed. thirty per cent not applicable, ten per cent neutral, twenty per cent satisfied, forty per cent very satisfied. Sample size, twenty."/>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670550" cy="2801620"/>
                    </a:xfrm>
                    <a:prstGeom prst="rect">
                      <a:avLst/>
                    </a:prstGeom>
                    <a:noFill/>
                    <a:ln>
                      <a:noFill/>
                    </a:ln>
                  </pic:spPr>
                </pic:pic>
              </a:graphicData>
            </a:graphic>
          </wp:inline>
        </w:drawing>
      </w:r>
    </w:p>
    <w:p w14:paraId="1626A84C" w14:textId="033289AA" w:rsidR="00DE7AC7" w:rsidRPr="00845D51" w:rsidRDefault="00DE7AC7" w:rsidP="00DE7AC7">
      <w:pPr>
        <w:pStyle w:val="Source"/>
      </w:pPr>
      <w:r>
        <w:t>Source: Feasibility and proof of concept SME surveys.</w:t>
      </w:r>
    </w:p>
    <w:p w14:paraId="5D64346A" w14:textId="6F5950F3" w:rsidR="00845D51" w:rsidRPr="00845D51" w:rsidRDefault="00845D51" w:rsidP="00845D51">
      <w:pPr>
        <w:rPr>
          <w:lang w:eastAsia="en-AU"/>
        </w:rPr>
      </w:pPr>
      <w:r w:rsidRPr="00845D51">
        <w:rPr>
          <w:lang w:eastAsia="en-AU"/>
        </w:rPr>
        <w:t>In interviews, some SMEs provided more constructive feedback on their experience. Many SMEs reported a lack of transparency and engagement with the EPC, who are a key decision maker on who goes through to the proof of concept stage. One SME also noted confusion as to what objectives had a higher weighting in assessing solutions, the program</w:t>
      </w:r>
      <w:r w:rsidR="00C54DF1">
        <w:rPr>
          <w:lang w:eastAsia="en-AU"/>
        </w:rPr>
        <w:t>’</w:t>
      </w:r>
      <w:r w:rsidRPr="00845D51">
        <w:rPr>
          <w:lang w:eastAsia="en-AU"/>
        </w:rPr>
        <w:t xml:space="preserve">s public policy objectives or its commercialisation objectives. It is noted that the assessment criteria clearly state an equal weighting for the two objectives. </w:t>
      </w:r>
    </w:p>
    <w:p w14:paraId="683BA67D" w14:textId="77777777" w:rsidR="00845D51" w:rsidRPr="00845D51" w:rsidRDefault="00845D51" w:rsidP="00845D51">
      <w:pPr>
        <w:rPr>
          <w:lang w:eastAsia="en-AU"/>
        </w:rPr>
      </w:pPr>
      <w:r w:rsidRPr="00845D51">
        <w:rPr>
          <w:lang w:eastAsia="en-AU"/>
        </w:rPr>
        <w:t xml:space="preserve">One suggestion was to provide SMEs the opportunity to engage with the EPC earlier in the feasibility stage, for instance though a mid-feasibility stage report, so they could get feedback from the final decision maker on their progress. This would also give the SMEs a clearer view of how the EPC use the assessment criteria when they judge what solutions should move through to the proof of concept stage. </w:t>
      </w:r>
    </w:p>
    <w:p w14:paraId="536EFD66" w14:textId="5D5387B4" w:rsidR="007E00F8" w:rsidRPr="007E00F8" w:rsidRDefault="00845D51" w:rsidP="007E00F8">
      <w:pPr>
        <w:rPr>
          <w:lang w:eastAsia="en-AU"/>
        </w:rPr>
      </w:pPr>
      <w:r w:rsidRPr="00845D51">
        <w:rPr>
          <w:lang w:eastAsia="en-AU"/>
        </w:rPr>
        <w:lastRenderedPageBreak/>
        <w:t xml:space="preserve">A </w:t>
      </w:r>
      <w:r w:rsidR="00594970" w:rsidRPr="00845D51">
        <w:rPr>
          <w:lang w:eastAsia="en-AU"/>
        </w:rPr>
        <w:t>few</w:t>
      </w:r>
      <w:r w:rsidRPr="00845D51">
        <w:rPr>
          <w:lang w:eastAsia="en-AU"/>
        </w:rPr>
        <w:t xml:space="preserve"> SMEs highlighted that the competitive nature of the grant made some challenge agencies hesitant to engage with them. This reflects comments from challenge agencies about conflict of interest concerns that we explore further </w:t>
      </w:r>
      <w:r w:rsidR="00EE3B10">
        <w:rPr>
          <w:lang w:eastAsia="en-AU"/>
        </w:rPr>
        <w:t xml:space="preserve">in </w:t>
      </w:r>
      <w:r w:rsidR="000673BF">
        <w:rPr>
          <w:lang w:eastAsia="en-AU"/>
        </w:rPr>
        <w:t>Section</w:t>
      </w:r>
      <w:r w:rsidR="00EE3B10">
        <w:rPr>
          <w:lang w:eastAsia="en-AU"/>
        </w:rPr>
        <w:t xml:space="preserve"> </w:t>
      </w:r>
      <w:r w:rsidR="00D02DBE">
        <w:rPr>
          <w:lang w:eastAsia="en-AU"/>
        </w:rPr>
        <w:fldChar w:fldCharType="begin"/>
      </w:r>
      <w:r w:rsidR="00D02DBE">
        <w:rPr>
          <w:lang w:eastAsia="en-AU"/>
        </w:rPr>
        <w:instrText xml:space="preserve"> REF _Ref75330738 \r \h </w:instrText>
      </w:r>
      <w:r w:rsidR="00D02DBE">
        <w:rPr>
          <w:lang w:eastAsia="en-AU"/>
        </w:rPr>
      </w:r>
      <w:r w:rsidR="00D02DBE">
        <w:rPr>
          <w:lang w:eastAsia="en-AU"/>
        </w:rPr>
        <w:fldChar w:fldCharType="separate"/>
      </w:r>
      <w:r w:rsidR="00AE607F">
        <w:rPr>
          <w:lang w:eastAsia="en-AU"/>
        </w:rPr>
        <w:t>7.3.4</w:t>
      </w:r>
      <w:r w:rsidR="00D02DBE">
        <w:rPr>
          <w:lang w:eastAsia="en-AU"/>
        </w:rPr>
        <w:fldChar w:fldCharType="end"/>
      </w:r>
      <w:r w:rsidRPr="00845D51">
        <w:rPr>
          <w:lang w:eastAsia="en-AU"/>
        </w:rPr>
        <w:t>.</w:t>
      </w:r>
    </w:p>
    <w:tbl>
      <w:tblPr>
        <w:tblStyle w:val="TableGrid"/>
        <w:tblW w:w="0" w:type="auto"/>
        <w:tblBorders>
          <w:bottom w:val="single" w:sz="24" w:space="0" w:color="F25E21" w:themeColor="accent2"/>
          <w:insideH w:val="none" w:sz="0" w:space="0" w:color="auto"/>
        </w:tblBorders>
        <w:tblLook w:val="0620" w:firstRow="1" w:lastRow="0" w:firstColumn="0" w:lastColumn="0" w:noHBand="1" w:noVBand="1"/>
      </w:tblPr>
      <w:tblGrid>
        <w:gridCol w:w="1521"/>
        <w:gridCol w:w="2458"/>
        <w:gridCol w:w="2473"/>
        <w:gridCol w:w="2473"/>
      </w:tblGrid>
      <w:tr w:rsidR="000C082C" w14:paraId="55558EE2" w14:textId="77777777" w:rsidTr="00F40D93">
        <w:trPr>
          <w:cnfStyle w:val="100000000000" w:firstRow="1" w:lastRow="0" w:firstColumn="0" w:lastColumn="0" w:oddVBand="0" w:evenVBand="0" w:oddHBand="0" w:evenHBand="0" w:firstRowFirstColumn="0" w:firstRowLastColumn="0" w:lastRowFirstColumn="0" w:lastRowLastColumn="0"/>
        </w:trPr>
        <w:tc>
          <w:tcPr>
            <w:tcW w:w="1276" w:type="dxa"/>
            <w:tcBorders>
              <w:top w:val="single" w:sz="4" w:space="0" w:color="00264D" w:themeColor="background2"/>
              <w:bottom w:val="single" w:sz="24" w:space="0" w:color="F25E21" w:themeColor="accent2"/>
            </w:tcBorders>
            <w:shd w:val="clear" w:color="auto" w:fill="00264D" w:themeFill="background2"/>
            <w:vAlign w:val="bottom"/>
          </w:tcPr>
          <w:p w14:paraId="12B2C39D" w14:textId="0C7E3E08" w:rsidR="000C082C" w:rsidRPr="00746B30" w:rsidRDefault="00746B30" w:rsidP="00746B30">
            <w:pPr>
              <w:pStyle w:val="TableNheader"/>
              <w:rPr>
                <w:color w:val="FFFFFF" w:themeColor="background1"/>
                <w:lang w:eastAsia="en-AU"/>
              </w:rPr>
            </w:pPr>
            <w:r w:rsidRPr="00746B30">
              <w:rPr>
                <w:color w:val="FFFFFF" w:themeColor="background1"/>
                <w:lang w:eastAsia="en-AU"/>
              </w:rPr>
              <w:t>Quotes from respondents</w:t>
            </w:r>
            <w:r w:rsidR="000C082C" w:rsidRPr="00746B30">
              <w:rPr>
                <w:noProof/>
                <w:color w:val="FFFFFF" w:themeColor="background1"/>
                <w:lang w:eastAsia="en-AU"/>
              </w:rPr>
              <w:drawing>
                <wp:inline distT="0" distB="0" distL="0" distR="0" wp14:anchorId="4E575429" wp14:editId="3ECC97AB">
                  <wp:extent cx="504825" cy="1095375"/>
                  <wp:effectExtent l="0" t="0" r="9525" b="9525"/>
                  <wp:docPr id="27849" name="Picture 278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49" name="Picture 27849">
                            <a:extLst>
                              <a:ext uri="{C183D7F6-B498-43B3-948B-1728B52AA6E4}">
                                <adec:decorative xmlns:adec="http://schemas.microsoft.com/office/drawing/2017/decorative" val="1"/>
                              </a:ext>
                            </a:extLs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4825" cy="1095375"/>
                          </a:xfrm>
                          <a:prstGeom prst="rect">
                            <a:avLst/>
                          </a:prstGeom>
                          <a:noFill/>
                          <a:ln>
                            <a:noFill/>
                          </a:ln>
                        </pic:spPr>
                      </pic:pic>
                    </a:graphicData>
                  </a:graphic>
                </wp:inline>
              </w:drawing>
            </w:r>
          </w:p>
        </w:tc>
        <w:tc>
          <w:tcPr>
            <w:tcW w:w="2551" w:type="dxa"/>
            <w:tcBorders>
              <w:top w:val="single" w:sz="4" w:space="0" w:color="00264D" w:themeColor="background2"/>
              <w:bottom w:val="single" w:sz="24" w:space="0" w:color="F25E21" w:themeColor="accent2"/>
              <w:right w:val="single" w:sz="4" w:space="0" w:color="00264D" w:themeColor="background2"/>
            </w:tcBorders>
            <w:vAlign w:val="top"/>
          </w:tcPr>
          <w:p w14:paraId="6F0712DB" w14:textId="5C64C6CF" w:rsidR="000C082C" w:rsidRPr="00746B30" w:rsidRDefault="000C082C" w:rsidP="00746B30">
            <w:pPr>
              <w:pStyle w:val="TableNText"/>
              <w:rPr>
                <w:i/>
                <w:iCs/>
              </w:rPr>
            </w:pPr>
            <w:r w:rsidRPr="00746B30">
              <w:rPr>
                <w:i/>
                <w:iCs/>
              </w:rPr>
              <w:t>“The support we had was excellent and we could not have asked for more” – Feasibility SME</w:t>
            </w:r>
          </w:p>
        </w:tc>
        <w:tc>
          <w:tcPr>
            <w:tcW w:w="2551" w:type="dxa"/>
            <w:tcBorders>
              <w:top w:val="single" w:sz="4" w:space="0" w:color="00264D" w:themeColor="background2"/>
              <w:left w:val="single" w:sz="4" w:space="0" w:color="00264D" w:themeColor="background2"/>
              <w:bottom w:val="single" w:sz="24" w:space="0" w:color="F25E21" w:themeColor="accent2"/>
              <w:right w:val="single" w:sz="4" w:space="0" w:color="00264D" w:themeColor="background2"/>
            </w:tcBorders>
            <w:vAlign w:val="top"/>
          </w:tcPr>
          <w:p w14:paraId="7D6B5DEE" w14:textId="0CEDDE35" w:rsidR="000C082C" w:rsidRPr="00746B30" w:rsidRDefault="000C082C" w:rsidP="00746B30">
            <w:pPr>
              <w:pStyle w:val="TableNText"/>
              <w:rPr>
                <w:i/>
                <w:iCs/>
                <w:lang w:eastAsia="en-AU"/>
              </w:rPr>
            </w:pPr>
            <w:r w:rsidRPr="00746B30">
              <w:rPr>
                <w:i/>
                <w:iCs/>
              </w:rPr>
              <w:t>“It would have been good to have the report feedback before the presentation rather than the other way around” – Feasibility SME</w:t>
            </w:r>
          </w:p>
        </w:tc>
        <w:tc>
          <w:tcPr>
            <w:tcW w:w="2552" w:type="dxa"/>
            <w:tcBorders>
              <w:top w:val="single" w:sz="4" w:space="0" w:color="00264D" w:themeColor="background2"/>
              <w:left w:val="single" w:sz="4" w:space="0" w:color="00264D" w:themeColor="background2"/>
              <w:bottom w:val="single" w:sz="24" w:space="0" w:color="F25E21" w:themeColor="accent2"/>
              <w:right w:val="single" w:sz="4" w:space="0" w:color="00264D" w:themeColor="background2"/>
            </w:tcBorders>
            <w:vAlign w:val="top"/>
          </w:tcPr>
          <w:p w14:paraId="1AFF75C4" w14:textId="25E7FE52" w:rsidR="000C082C" w:rsidRPr="00746B30" w:rsidRDefault="000C082C" w:rsidP="00746B30">
            <w:pPr>
              <w:pStyle w:val="TableNText"/>
              <w:rPr>
                <w:i/>
                <w:iCs/>
                <w:lang w:eastAsia="en-AU"/>
              </w:rPr>
            </w:pPr>
            <w:r w:rsidRPr="00746B30">
              <w:rPr>
                <w:i/>
                <w:iCs/>
              </w:rPr>
              <w:t>“So far the team has made themselves available and responded readily to requests for information. If I was to suggest one thing it would be helping to provide better clarity on who the challenge decision makers are” – Feasibility SME</w:t>
            </w:r>
          </w:p>
        </w:tc>
      </w:tr>
    </w:tbl>
    <w:p w14:paraId="12007ED3" w14:textId="7F5E1B97" w:rsidR="00DF3247" w:rsidRDefault="00DF3247">
      <w:pPr>
        <w:pStyle w:val="Heading3"/>
      </w:pPr>
      <w:bookmarkStart w:id="154" w:name="_Ref75330915"/>
      <w:r w:rsidRPr="00DF3247">
        <w:t>Proof of concept SMEs were generally happy with the program, but some had concerns about challenge agency support</w:t>
      </w:r>
      <w:bookmarkEnd w:id="154"/>
    </w:p>
    <w:p w14:paraId="42C27699" w14:textId="7F02ABD1" w:rsidR="004F1020" w:rsidRPr="004F1020" w:rsidRDefault="004F1020" w:rsidP="004F1020">
      <w:pPr>
        <w:rPr>
          <w:lang w:eastAsia="en-AU"/>
        </w:rPr>
      </w:pPr>
      <w:r w:rsidRPr="004F1020">
        <w:rPr>
          <w:lang w:eastAsia="en-AU"/>
        </w:rPr>
        <w:t xml:space="preserve">Proof of concept SMEs were particularly positive about the support they received from DISER. Many SMEs called out the support they received from the BRII </w:t>
      </w:r>
      <w:r w:rsidR="004477F9">
        <w:rPr>
          <w:lang w:eastAsia="en-AU"/>
        </w:rPr>
        <w:t xml:space="preserve">program </w:t>
      </w:r>
      <w:r w:rsidRPr="004F1020">
        <w:rPr>
          <w:lang w:eastAsia="en-AU"/>
        </w:rPr>
        <w:t xml:space="preserve">manager as particularly valuable. SMEs particularly valued the mediator role DISER played to bridge any gaps in expectations between the SMEs and the challenge agencies. SMEs also appreciated the lengths DISER went to connect them to other programs, such as the </w:t>
      </w:r>
      <w:r w:rsidR="00EE4C61">
        <w:rPr>
          <w:lang w:eastAsia="en-AU"/>
        </w:rPr>
        <w:t>A</w:t>
      </w:r>
      <w:r w:rsidR="009B3CDB">
        <w:rPr>
          <w:lang w:eastAsia="en-AU"/>
        </w:rPr>
        <w:t xml:space="preserve">ccelerating </w:t>
      </w:r>
      <w:r w:rsidR="00EE4C61">
        <w:rPr>
          <w:lang w:eastAsia="en-AU"/>
        </w:rPr>
        <w:t>C</w:t>
      </w:r>
      <w:r w:rsidR="009B3CDB">
        <w:rPr>
          <w:lang w:eastAsia="en-AU"/>
        </w:rPr>
        <w:t>ommercialisation (AC)</w:t>
      </w:r>
      <w:r w:rsidRPr="004F1020">
        <w:rPr>
          <w:lang w:eastAsia="en-AU"/>
        </w:rPr>
        <w:t xml:space="preserve"> program, and potential government clients to support commercialisation beyond the BRII.</w:t>
      </w:r>
    </w:p>
    <w:p w14:paraId="394CAF50" w14:textId="11C7042E" w:rsidR="004F1020" w:rsidRPr="004F1020" w:rsidRDefault="004F1020" w:rsidP="004F1020">
      <w:pPr>
        <w:rPr>
          <w:lang w:eastAsia="en-AU"/>
        </w:rPr>
      </w:pPr>
      <w:r w:rsidRPr="004F1020">
        <w:rPr>
          <w:lang w:eastAsia="en-AU"/>
        </w:rPr>
        <w:t xml:space="preserve">Some SMEs from round two did identify that recent changes in </w:t>
      </w:r>
      <w:r w:rsidR="00D06C68">
        <w:rPr>
          <w:lang w:eastAsia="en-AU"/>
        </w:rPr>
        <w:t>the</w:t>
      </w:r>
      <w:r w:rsidRPr="004F1020">
        <w:rPr>
          <w:lang w:eastAsia="en-AU"/>
        </w:rPr>
        <w:t xml:space="preserve"> BRII staff affected the quality of program support. This was mainly due to the loss of corporate knowledge that was held by the main BRII manager. One SME noted that it felt like the process became more about ticking boxes than supporting them through the final stages of the proof of concept stage. This highlights the importance of putting systems and processes in place that ensure a continuity of service when there is turnover in staff in the BRII team. Several SMEs also identified the opportunity to receive commercialisation support through a dedicated commercialisation adviser.</w:t>
      </w:r>
    </w:p>
    <w:p w14:paraId="3AFDD4D9" w14:textId="0C113B49" w:rsidR="00C82F0A" w:rsidRDefault="004F1020" w:rsidP="00C82F0A">
      <w:pPr>
        <w:rPr>
          <w:lang w:eastAsia="en-AU"/>
        </w:rPr>
      </w:pPr>
      <w:r w:rsidRPr="004F1020">
        <w:rPr>
          <w:lang w:eastAsia="en-AU"/>
        </w:rPr>
        <w:t xml:space="preserve">SMEs were mixed in their assessment of the support they received from their challenge agency. Although most survey respondents were satisfied or very satisfied, a small number of SMEs through both the survey and interviews highlighted inconsistent engagement during the feasibility and proof of concept stage. The SMEs attributed this to a lack of accountability placed on the challenge agencies. SMEs also highlighted that it was unclear whether agencies were committed to the implementation of their solution. </w:t>
      </w:r>
      <w:r w:rsidR="00C82F0A">
        <w:rPr>
          <w:lang w:eastAsia="en-AU"/>
        </w:rPr>
        <w:fldChar w:fldCharType="begin"/>
      </w:r>
      <w:r w:rsidR="00C82F0A">
        <w:rPr>
          <w:lang w:eastAsia="en-AU"/>
        </w:rPr>
        <w:instrText xml:space="preserve"> REF _Ref79505802 \h </w:instrText>
      </w:r>
      <w:r w:rsidR="00C82F0A">
        <w:rPr>
          <w:lang w:eastAsia="en-AU"/>
        </w:rPr>
      </w:r>
      <w:r w:rsidR="00C82F0A">
        <w:rPr>
          <w:lang w:eastAsia="en-AU"/>
        </w:rPr>
        <w:fldChar w:fldCharType="separate"/>
      </w:r>
      <w:r w:rsidR="00AE607F">
        <w:t xml:space="preserve">Figure </w:t>
      </w:r>
      <w:r w:rsidR="00AE607F">
        <w:rPr>
          <w:noProof/>
        </w:rPr>
        <w:t>27</w:t>
      </w:r>
      <w:r w:rsidR="00C82F0A">
        <w:rPr>
          <w:lang w:eastAsia="en-AU"/>
        </w:rPr>
        <w:fldChar w:fldCharType="end"/>
      </w:r>
      <w:r w:rsidR="00C82F0A">
        <w:rPr>
          <w:lang w:eastAsia="en-AU"/>
        </w:rPr>
        <w:t xml:space="preserve"> includes survey responses related to the SME experience of the feasibility study phase.</w:t>
      </w:r>
    </w:p>
    <w:p w14:paraId="4DEE60D6" w14:textId="36DB52CA" w:rsidR="004F1020" w:rsidRDefault="004F1020" w:rsidP="004F1020">
      <w:pPr>
        <w:rPr>
          <w:lang w:eastAsia="en-AU"/>
        </w:rPr>
      </w:pPr>
    </w:p>
    <w:p w14:paraId="03FD813B" w14:textId="03C1F71F" w:rsidR="00604A4A" w:rsidRDefault="00604A4A" w:rsidP="00604A4A">
      <w:pPr>
        <w:pStyle w:val="Caption"/>
      </w:pPr>
      <w:bookmarkStart w:id="155" w:name="_Ref79505802"/>
      <w:r>
        <w:lastRenderedPageBreak/>
        <w:t xml:space="preserve">Figure </w:t>
      </w:r>
      <w:r>
        <w:fldChar w:fldCharType="begin"/>
      </w:r>
      <w:r>
        <w:instrText xml:space="preserve"> SEQ Figure \* ARABIC </w:instrText>
      </w:r>
      <w:r>
        <w:fldChar w:fldCharType="separate"/>
      </w:r>
      <w:r w:rsidR="00870ADB">
        <w:rPr>
          <w:noProof/>
        </w:rPr>
        <w:t>28</w:t>
      </w:r>
      <w:r>
        <w:fldChar w:fldCharType="end"/>
      </w:r>
      <w:bookmarkEnd w:id="155"/>
      <w:r>
        <w:t xml:space="preserve"> | SME experience throughout the </w:t>
      </w:r>
      <w:r w:rsidR="004F1887">
        <w:t>proof of concept</w:t>
      </w:r>
      <w:r>
        <w:t xml:space="preserve"> phase</w:t>
      </w:r>
    </w:p>
    <w:p w14:paraId="3B1EB04A" w14:textId="446FD549" w:rsidR="00604A4A" w:rsidRDefault="00FC74BF" w:rsidP="004F1020">
      <w:pPr>
        <w:rPr>
          <w:lang w:eastAsia="en-AU"/>
        </w:rPr>
      </w:pPr>
      <w:r w:rsidRPr="00FC74BF">
        <w:rPr>
          <w:noProof/>
          <w:lang w:eastAsia="en-AU"/>
        </w:rPr>
        <w:drawing>
          <wp:inline distT="0" distB="0" distL="0" distR="0" wp14:anchorId="35A02019" wp14:editId="7C1D0F71">
            <wp:extent cx="5670550" cy="2433955"/>
            <wp:effectExtent l="0" t="0" r="6350" b="4445"/>
            <wp:docPr id="54" name="Picture 54" descr="Sample size, 8. Survey question, throughout the proof of concept phase, to what extent were you satisfied with the following.&#10;The process of submitting the application for a proof of concept grant. Thirty 8 per cent satisfied. Sixty 3 per cent very satisfied. &#10;The timeliness and quality of support you are receiving from DISER as you developed your proof of concept. Twenty five per cent satisfied. Seventy 5 per cent very satisfied. &#10;The timeliness and quality of support you are receiving from your challenge agency as you developed your proof of concept. Thirteen per cent very dissatisfied. Thirteen per cent dissatisfied. Twenty 5 per cent satisfied. Fifty per cent very satis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Sample size, 8. Survey question, throughout the proof of concept phase, to what extent were you satisfied with the following.&#10;The process of submitting the application for a proof of concept grant. Thirty 8 per cent satisfied. Sixty 3 per cent very satisfied. &#10;The timeliness and quality of support you are receiving from DISER as you developed your proof of concept. Twenty five per cent satisfied. Seventy 5 per cent very satisfied. &#10;The timeliness and quality of support you are receiving from your challenge agency as you developed your proof of concept. Thirteen per cent very dissatisfied. Thirteen per cent dissatisfied. Twenty 5 per cent satisfied. Fifty per cent very satisfi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670550" cy="2433955"/>
                    </a:xfrm>
                    <a:prstGeom prst="rect">
                      <a:avLst/>
                    </a:prstGeom>
                    <a:noFill/>
                    <a:ln>
                      <a:noFill/>
                    </a:ln>
                  </pic:spPr>
                </pic:pic>
              </a:graphicData>
            </a:graphic>
          </wp:inline>
        </w:drawing>
      </w:r>
    </w:p>
    <w:p w14:paraId="49E7A00B" w14:textId="22C52B3E" w:rsidR="00DE7AC7" w:rsidRPr="004F1020" w:rsidRDefault="00DE7AC7" w:rsidP="00DE7AC7">
      <w:pPr>
        <w:pStyle w:val="Source"/>
      </w:pPr>
      <w:r>
        <w:t>Source: Feasibility and proof of concept SME surveys.</w:t>
      </w:r>
    </w:p>
    <w:p w14:paraId="783CCBD0" w14:textId="0F9E91B4" w:rsidR="007E00F8" w:rsidRPr="007E00F8" w:rsidRDefault="004F1020" w:rsidP="007E00F8">
      <w:pPr>
        <w:rPr>
          <w:lang w:eastAsia="en-AU"/>
        </w:rPr>
      </w:pPr>
      <w:r w:rsidRPr="004F1020">
        <w:rPr>
          <w:lang w:eastAsia="en-AU"/>
        </w:rPr>
        <w:t>A key driver of a poor SME experience with challenge agencies was high turnover of agency staff. Some SMEs felt that staff turnover acted as a drag on their progress through the proof of concept stage as they were forced to repeat themselves multiple times. One SME noted that it felt like they were starting from scratch each time their agency project manager changed.</w:t>
      </w:r>
      <w:r w:rsidR="00D94094">
        <w:rPr>
          <w:lang w:eastAsia="en-AU"/>
        </w:rPr>
        <w:t xml:space="preserve"> Staff churn is an inherent element of many government agencies</w:t>
      </w:r>
      <w:r w:rsidR="00406E55">
        <w:rPr>
          <w:lang w:eastAsia="en-AU"/>
        </w:rPr>
        <w:t xml:space="preserve">, and </w:t>
      </w:r>
      <w:r w:rsidR="00D06C68">
        <w:rPr>
          <w:lang w:eastAsia="en-AU"/>
        </w:rPr>
        <w:t>the</w:t>
      </w:r>
      <w:r w:rsidR="00406E55">
        <w:rPr>
          <w:lang w:eastAsia="en-AU"/>
        </w:rPr>
        <w:t xml:space="preserve"> BRII should be designed to help SMEs and challenge agencies navigate this and the resulting uncertainty.</w:t>
      </w:r>
    </w:p>
    <w:tbl>
      <w:tblPr>
        <w:tblStyle w:val="TableGrid"/>
        <w:tblW w:w="0" w:type="auto"/>
        <w:tblBorders>
          <w:top w:val="single" w:sz="4" w:space="0" w:color="00264D" w:themeColor="background2"/>
          <w:left w:val="single" w:sz="4" w:space="0" w:color="00264D" w:themeColor="background2"/>
          <w:bottom w:val="single" w:sz="24" w:space="0" w:color="F25E21" w:themeColor="accent2"/>
          <w:right w:val="single" w:sz="4" w:space="0" w:color="00264D" w:themeColor="background2"/>
          <w:insideH w:val="single" w:sz="4" w:space="0" w:color="00264D" w:themeColor="background2"/>
          <w:insideV w:val="single" w:sz="4" w:space="0" w:color="00264D" w:themeColor="background2"/>
        </w:tblBorders>
        <w:tblLook w:val="0620" w:firstRow="1" w:lastRow="0" w:firstColumn="0" w:lastColumn="0" w:noHBand="1" w:noVBand="1"/>
      </w:tblPr>
      <w:tblGrid>
        <w:gridCol w:w="1521"/>
        <w:gridCol w:w="1913"/>
        <w:gridCol w:w="1883"/>
        <w:gridCol w:w="1670"/>
        <w:gridCol w:w="1933"/>
      </w:tblGrid>
      <w:tr w:rsidR="000C082C" w14:paraId="065C8E03" w14:textId="77777777" w:rsidTr="00D51AD3">
        <w:trPr>
          <w:cnfStyle w:val="100000000000" w:firstRow="1" w:lastRow="0" w:firstColumn="0" w:lastColumn="0" w:oddVBand="0" w:evenVBand="0" w:oddHBand="0" w:evenHBand="0" w:firstRowFirstColumn="0" w:firstRowLastColumn="0" w:lastRowFirstColumn="0" w:lastRowLastColumn="0"/>
        </w:trPr>
        <w:tc>
          <w:tcPr>
            <w:tcW w:w="116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264D" w:themeFill="background2"/>
            <w:vAlign w:val="bottom"/>
          </w:tcPr>
          <w:p w14:paraId="11D30F47" w14:textId="60780CBC" w:rsidR="000C082C" w:rsidRPr="00746B30" w:rsidRDefault="00746B30" w:rsidP="00746B30">
            <w:pPr>
              <w:pStyle w:val="TableNheader"/>
              <w:rPr>
                <w:color w:val="FFFFFF" w:themeColor="background1"/>
                <w:lang w:eastAsia="en-AU"/>
              </w:rPr>
            </w:pPr>
            <w:r w:rsidRPr="00746B30">
              <w:rPr>
                <w:color w:val="FFFFFF" w:themeColor="background1"/>
                <w:lang w:eastAsia="en-AU"/>
              </w:rPr>
              <w:t>Quotes from respondents</w:t>
            </w:r>
            <w:r w:rsidR="000C082C" w:rsidRPr="00746B30">
              <w:rPr>
                <w:noProof/>
                <w:color w:val="FFFFFF" w:themeColor="background1"/>
                <w:lang w:eastAsia="en-AU"/>
              </w:rPr>
              <w:drawing>
                <wp:inline distT="0" distB="0" distL="0" distR="0" wp14:anchorId="27C0B9A5" wp14:editId="0609BE0C">
                  <wp:extent cx="504825" cy="1095375"/>
                  <wp:effectExtent l="0" t="0" r="9525" b="9525"/>
                  <wp:docPr id="27848" name="Picture 278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48" name="Picture 27848">
                            <a:extLst>
                              <a:ext uri="{C183D7F6-B498-43B3-948B-1728B52AA6E4}">
                                <adec:decorative xmlns:adec="http://schemas.microsoft.com/office/drawing/2017/decorative" val="1"/>
                              </a:ext>
                            </a:extLs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4825" cy="1095375"/>
                          </a:xfrm>
                          <a:prstGeom prst="rect">
                            <a:avLst/>
                          </a:prstGeom>
                          <a:noFill/>
                          <a:ln>
                            <a:noFill/>
                          </a:ln>
                        </pic:spPr>
                      </pic:pic>
                    </a:graphicData>
                  </a:graphic>
                </wp:inline>
              </w:drawing>
            </w:r>
          </w:p>
        </w:tc>
        <w:tc>
          <w:tcPr>
            <w:tcW w:w="197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2159EB49" w14:textId="1A4EFA25" w:rsidR="000C082C" w:rsidRPr="00746B30" w:rsidRDefault="000C082C" w:rsidP="00746B30">
            <w:pPr>
              <w:pStyle w:val="TableNText"/>
              <w:rPr>
                <w:i/>
                <w:iCs/>
              </w:rPr>
            </w:pPr>
            <w:r w:rsidRPr="00746B30">
              <w:rPr>
                <w:i/>
                <w:iCs/>
              </w:rPr>
              <w:t>“Our experience with BRII has been overwhelmingly positive. We have had excellent support and encouragement during an extremely challenging business environment” – Proof of concept SME</w:t>
            </w:r>
          </w:p>
          <w:p w14:paraId="68FDC10D" w14:textId="11A4252A" w:rsidR="000C082C" w:rsidRPr="00746B30" w:rsidRDefault="000C082C" w:rsidP="00746B30">
            <w:pPr>
              <w:pStyle w:val="TableNText"/>
              <w:rPr>
                <w:i/>
                <w:iCs/>
              </w:rPr>
            </w:pPr>
          </w:p>
        </w:tc>
        <w:tc>
          <w:tcPr>
            <w:tcW w:w="2053"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69E3FAA5" w14:textId="095A4B71" w:rsidR="000C082C" w:rsidRPr="00746B30" w:rsidRDefault="000C082C" w:rsidP="00746B30">
            <w:pPr>
              <w:pStyle w:val="TableNText"/>
              <w:rPr>
                <w:i/>
                <w:iCs/>
                <w:lang w:eastAsia="en-AU"/>
              </w:rPr>
            </w:pPr>
            <w:r w:rsidRPr="00746B30">
              <w:rPr>
                <w:i/>
                <w:iCs/>
              </w:rPr>
              <w:t>What an amazing process this has been. Thank you to all involved!” – Proof of concept SME</w:t>
            </w:r>
          </w:p>
        </w:tc>
        <w:tc>
          <w:tcPr>
            <w:tcW w:w="168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41F3B625" w14:textId="688437D1" w:rsidR="000C082C" w:rsidRPr="00746B30" w:rsidRDefault="000C082C" w:rsidP="00746B30">
            <w:pPr>
              <w:pStyle w:val="TableNText"/>
              <w:rPr>
                <w:i/>
                <w:iCs/>
              </w:rPr>
            </w:pPr>
            <w:r w:rsidRPr="00746B30">
              <w:rPr>
                <w:i/>
                <w:iCs/>
              </w:rPr>
              <w:t>“Ultimately, the impression we were left with is that the agencies that sponsored our challenge were not sufficiently committed to seeing through the implementation of the solution” – Proof of concept SME</w:t>
            </w:r>
          </w:p>
        </w:tc>
        <w:tc>
          <w:tcPr>
            <w:tcW w:w="2049"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6A136D7F" w14:textId="1301A26B" w:rsidR="000C082C" w:rsidRPr="00746B30" w:rsidRDefault="000C082C" w:rsidP="00746B30">
            <w:pPr>
              <w:pStyle w:val="TableNText"/>
              <w:rPr>
                <w:i/>
                <w:iCs/>
                <w:lang w:eastAsia="en-AU"/>
              </w:rPr>
            </w:pPr>
            <w:r w:rsidRPr="00746B30">
              <w:rPr>
                <w:i/>
                <w:iCs/>
              </w:rPr>
              <w:t>“The management of the program was good, but the requirement placed on challenge agencies was lacking” – Proof of concept SME</w:t>
            </w:r>
          </w:p>
        </w:tc>
      </w:tr>
    </w:tbl>
    <w:p w14:paraId="40ADA525" w14:textId="5606E869" w:rsidR="00DF3247" w:rsidRDefault="00DF3247">
      <w:pPr>
        <w:pStyle w:val="Heading3"/>
      </w:pPr>
      <w:bookmarkStart w:id="156" w:name="_Ref75330957"/>
      <w:r w:rsidRPr="00DF3247">
        <w:lastRenderedPageBreak/>
        <w:t>Challenge agencies identified several opportunities to improve the challenge agency experience</w:t>
      </w:r>
      <w:bookmarkEnd w:id="156"/>
    </w:p>
    <w:p w14:paraId="3F5AAC9A" w14:textId="77777777" w:rsidR="004F166E" w:rsidRPr="004F166E" w:rsidRDefault="004F166E" w:rsidP="004F166E">
      <w:pPr>
        <w:rPr>
          <w:lang w:eastAsia="en-AU"/>
        </w:rPr>
      </w:pPr>
      <w:r w:rsidRPr="004F166E">
        <w:rPr>
          <w:lang w:eastAsia="en-AU"/>
        </w:rPr>
        <w:t>Overall challenge agencies were positive about their experience with the BRII. All agency representatives interviewed said they would participate in the BRII again. Challenge agencies particularly valued the support and engagement that the BRII team provided throughout the feasibility and proof of concept stages.</w:t>
      </w:r>
    </w:p>
    <w:p w14:paraId="1D4CB3A5" w14:textId="6DDE2C2F" w:rsidR="00AC6995" w:rsidRDefault="004F166E" w:rsidP="004F166E">
      <w:pPr>
        <w:rPr>
          <w:lang w:eastAsia="en-AU"/>
        </w:rPr>
      </w:pPr>
      <w:r w:rsidRPr="004F166E">
        <w:rPr>
          <w:lang w:eastAsia="en-AU"/>
        </w:rPr>
        <w:t xml:space="preserve">Challenge agencies identified three main opportunities to improve the delivery of the BRII into the future. These are outlined </w:t>
      </w:r>
      <w:r w:rsidR="00DB61E3">
        <w:rPr>
          <w:lang w:eastAsia="en-AU"/>
        </w:rPr>
        <w:t xml:space="preserve">in </w:t>
      </w:r>
      <w:r w:rsidR="00BB22C1">
        <w:rPr>
          <w:highlight w:val="yellow"/>
          <w:lang w:eastAsia="en-AU"/>
        </w:rPr>
        <w:fldChar w:fldCharType="begin"/>
      </w:r>
      <w:r w:rsidR="00BB22C1">
        <w:rPr>
          <w:lang w:eastAsia="en-AU"/>
        </w:rPr>
        <w:instrText xml:space="preserve"> REF _Ref76024197 \h </w:instrText>
      </w:r>
      <w:r w:rsidR="00BB22C1">
        <w:rPr>
          <w:highlight w:val="yellow"/>
          <w:lang w:eastAsia="en-AU"/>
        </w:rPr>
      </w:r>
      <w:r w:rsidR="00BB22C1">
        <w:rPr>
          <w:highlight w:val="yellow"/>
          <w:lang w:eastAsia="en-AU"/>
        </w:rPr>
        <w:fldChar w:fldCharType="separate"/>
      </w:r>
      <w:r w:rsidR="00AE607F">
        <w:t xml:space="preserve">Figure </w:t>
      </w:r>
      <w:r w:rsidR="00AE607F">
        <w:rPr>
          <w:noProof/>
        </w:rPr>
        <w:t>28</w:t>
      </w:r>
      <w:r w:rsidR="00BB22C1">
        <w:rPr>
          <w:highlight w:val="yellow"/>
          <w:lang w:eastAsia="en-AU"/>
        </w:rPr>
        <w:fldChar w:fldCharType="end"/>
      </w:r>
      <w:r w:rsidRPr="004F166E">
        <w:rPr>
          <w:lang w:eastAsia="en-AU"/>
        </w:rPr>
        <w:t>.</w:t>
      </w:r>
    </w:p>
    <w:p w14:paraId="2EB7FB3F" w14:textId="6F29FFBF" w:rsidR="00DB61E3" w:rsidRDefault="00DB61E3" w:rsidP="00DB61E3">
      <w:pPr>
        <w:pStyle w:val="Caption"/>
      </w:pPr>
      <w:bookmarkStart w:id="157" w:name="_Ref76024197"/>
      <w:r>
        <w:t xml:space="preserve">Figure </w:t>
      </w:r>
      <w:r>
        <w:fldChar w:fldCharType="begin"/>
      </w:r>
      <w:r>
        <w:instrText xml:space="preserve"> SEQ Figure \* ARABIC </w:instrText>
      </w:r>
      <w:r>
        <w:fldChar w:fldCharType="separate"/>
      </w:r>
      <w:r w:rsidR="00870ADB">
        <w:rPr>
          <w:noProof/>
        </w:rPr>
        <w:t>29</w:t>
      </w:r>
      <w:r>
        <w:fldChar w:fldCharType="end"/>
      </w:r>
      <w:bookmarkEnd w:id="157"/>
      <w:r>
        <w:t xml:space="preserve"> | Challenge agency feedback on the BRII experience</w:t>
      </w:r>
    </w:p>
    <w:p w14:paraId="0909F1CF" w14:textId="686B38D1" w:rsidR="00415AC9" w:rsidRPr="00415AC9" w:rsidRDefault="00D76A62" w:rsidP="008C5D0E">
      <w:pPr>
        <w:spacing w:after="0"/>
      </w:pPr>
      <w:r w:rsidRPr="00D76A62">
        <w:rPr>
          <w:noProof/>
        </w:rPr>
        <w:drawing>
          <wp:inline distT="0" distB="0" distL="0" distR="0" wp14:anchorId="2B176AB1" wp14:editId="44AA351A">
            <wp:extent cx="5670550" cy="1693545"/>
            <wp:effectExtent l="0" t="0" r="6350" b="1905"/>
            <wp:docPr id="27874" name="Picture 27874" descr="Opportunity 1. Several challenge agencies highlighted concerns that the BRII design, which is in effect a competitive grant, created potential perceived conflicts of interest in how the agencies engaged with the SMEs. One challenge agency went so far as to say they would not participate in the BRII again unless their concerns were addressed. Addressing this may require a handbook (or similar) to guide challenge agencies’ approach to managing SMEs simultaneously.&#10;The BRII challenge agency guidance does not provide comprehensive information on how to manage the SME relationship. There is an opportunity for DISER to develop and confirm formal guidelines to address these concerns for future round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74" name="Picture 27874" descr="Opportunity 1. Several challenge agencies highlighted concerns that the BRII design, which is in effect a competitive grant, created potential perceived conflicts of interest in how the agencies engaged with the SMEs. One challenge agency went so far as to say they would not participate in the BRII again unless their concerns were addressed. Addressing this may require a handbook (or similar) to guide challenge agencies’ approach to managing SMEs simultaneously.&#10;The BRII challenge agency guidance does not provide comprehensive information on how to manage the SME relationship. There is an opportunity for DISER to develop and confirm formal guidelines to address these concerns for future rounds.&#1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670550" cy="1693545"/>
                    </a:xfrm>
                    <a:prstGeom prst="rect">
                      <a:avLst/>
                    </a:prstGeom>
                    <a:noFill/>
                    <a:ln>
                      <a:noFill/>
                    </a:ln>
                  </pic:spPr>
                </pic:pic>
              </a:graphicData>
            </a:graphic>
          </wp:inline>
        </w:drawing>
      </w:r>
    </w:p>
    <w:p w14:paraId="452292CF" w14:textId="651C6DA8" w:rsidR="0075082C" w:rsidRDefault="008C5D0E" w:rsidP="003F3AD4">
      <w:pPr>
        <w:spacing w:after="0"/>
        <w:rPr>
          <w:lang w:eastAsia="en-AU"/>
        </w:rPr>
      </w:pPr>
      <w:r w:rsidRPr="008C5D0E">
        <w:rPr>
          <w:noProof/>
        </w:rPr>
        <w:drawing>
          <wp:inline distT="0" distB="0" distL="0" distR="0" wp14:anchorId="6EB947B8" wp14:editId="24D4616C">
            <wp:extent cx="5670550" cy="1703070"/>
            <wp:effectExtent l="0" t="0" r="6350" b="0"/>
            <wp:docPr id="27876" name="Picture 27876" descr="Opportunity 2. Almost all the staff from challenge agencies that had carriage of their challenge did so on top of their usual workload. This created substantial resourcing issues for the individuals and their teams. Many challenge agencies shared that they had little to no understanding of the resources and time commitments necessary to get the most value out of the BRII. &#10;Merit criteria D.2 of the challenge agency application does require challenge agencies to outline agency resources to manage the program and support solution implementation. However, none of the successful round three applications gave clear indications of the resources they would commit to support the challenge or implementation in their application. According to DISER stakeholders, some agency concerns such as meeting frequency and responsibilities have been more proactively addressed in Round 3 than previous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76" name="Picture 27876" descr="Opportunity 2. Almost all the staff from challenge agencies that had carriage of their challenge did so on top of their usual workload. This created substantial resourcing issues for the individuals and their teams. Many challenge agencies shared that they had little to no understanding of the resources and time commitments necessary to get the most value out of the BRII. &#10;Merit criteria D.2 of the challenge agency application does require challenge agencies to outline agency resources to manage the program and support solution implementation. However, none of the successful round three applications gave clear indications of the resources they would commit to support the challenge or implementation in their application. According to DISER stakeholders, some agency concerns such as meeting frequency and responsibilities have been more proactively addressed in Round 3 than previously. "/>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670550" cy="1703070"/>
                    </a:xfrm>
                    <a:prstGeom prst="rect">
                      <a:avLst/>
                    </a:prstGeom>
                    <a:noFill/>
                    <a:ln>
                      <a:noFill/>
                    </a:ln>
                  </pic:spPr>
                </pic:pic>
              </a:graphicData>
            </a:graphic>
          </wp:inline>
        </w:drawing>
      </w:r>
    </w:p>
    <w:p w14:paraId="30F753B0" w14:textId="7A4553E1" w:rsidR="003F3AD4" w:rsidRDefault="003F3AD4" w:rsidP="003F3AD4">
      <w:pPr>
        <w:pStyle w:val="Source"/>
        <w:spacing w:before="0"/>
      </w:pPr>
      <w:r w:rsidRPr="003F3AD4">
        <w:rPr>
          <w:noProof/>
        </w:rPr>
        <w:drawing>
          <wp:inline distT="0" distB="0" distL="0" distR="0" wp14:anchorId="40CC2C7D" wp14:editId="46FAB7DA">
            <wp:extent cx="5670550" cy="1693545"/>
            <wp:effectExtent l="0" t="0" r="6350" b="1905"/>
            <wp:docPr id="64" name="Picture 64" descr="Opportunity 3. Several challenge agencies identified that their agency did not have complete buy-in to the BRII. Several reasons for this were given, including project sponsors within the relevant agency moving to new roles that did not have oversight of the program, more general staff turnover that meant there was no ‘owner’ of the projects and the lack of financial contribution reducing a sense of agency responsibility.&#10;Several challenge agencies provided suggestions on how to get around this. This included several upfront requirements of agencies: agency financial co-contributions for the delivery of the BRII; committed agency funding to support the implementation of successful solutions; and committed staffing resources from within agency bud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Opportunity 3. Several challenge agencies identified that their agency did not have complete buy-in to the BRII. Several reasons for this were given, including project sponsors within the relevant agency moving to new roles that did not have oversight of the program, more general staff turnover that meant there was no ‘owner’ of the projects and the lack of financial contribution reducing a sense of agency responsibility.&#10;Several challenge agencies provided suggestions on how to get around this. This included several upfront requirements of agencies: agency financial co-contributions for the delivery of the BRII; committed agency funding to support the implementation of successful solutions; and committed staffing resources from within agency budgets."/>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670550" cy="1693545"/>
                    </a:xfrm>
                    <a:prstGeom prst="rect">
                      <a:avLst/>
                    </a:prstGeom>
                    <a:noFill/>
                    <a:ln>
                      <a:noFill/>
                    </a:ln>
                  </pic:spPr>
                </pic:pic>
              </a:graphicData>
            </a:graphic>
          </wp:inline>
        </w:drawing>
      </w:r>
    </w:p>
    <w:p w14:paraId="451AA05E" w14:textId="2BBDF1F0" w:rsidR="00DE7AC7" w:rsidRPr="00AC6995" w:rsidRDefault="00DE7AC7" w:rsidP="00DE7AC7">
      <w:pPr>
        <w:pStyle w:val="Source"/>
      </w:pPr>
      <w:r>
        <w:t>Source: Challenge agency interviews</w:t>
      </w:r>
    </w:p>
    <w:p w14:paraId="42EFFE16" w14:textId="6820EBD3" w:rsidR="00DF3247" w:rsidRDefault="00DF3247">
      <w:pPr>
        <w:pStyle w:val="Heading3"/>
      </w:pPr>
      <w:bookmarkStart w:id="158" w:name="_Ref75330738"/>
      <w:bookmarkStart w:id="159" w:name="_Ref75330963"/>
      <w:r w:rsidRPr="00DF3247">
        <w:lastRenderedPageBreak/>
        <w:t>Both SMEs and challenge agencies identified an opportunity to extend the BRII support to a follow-on ‘commercialisation’ stage</w:t>
      </w:r>
      <w:bookmarkEnd w:id="158"/>
      <w:bookmarkEnd w:id="159"/>
    </w:p>
    <w:p w14:paraId="12205443" w14:textId="7FCED0FC" w:rsidR="00CC7D2F" w:rsidRPr="001E2DA3" w:rsidRDefault="009A63C2" w:rsidP="00EA4234">
      <w:pPr>
        <w:pStyle w:val="Heading4"/>
      </w:pPr>
      <w:r w:rsidRPr="001E2DA3">
        <w:t>Several proof concept SMEs face a funding and product development chasm at the completion of the BRII.</w:t>
      </w:r>
      <w:r w:rsidR="0020417F">
        <w:rPr>
          <w:rStyle w:val="FootnoteReference"/>
        </w:rPr>
        <w:footnoteReference w:id="69"/>
      </w:r>
    </w:p>
    <w:p w14:paraId="68A2D2D4" w14:textId="77777777" w:rsidR="00F70C65" w:rsidRDefault="009A63C2" w:rsidP="00F70C65">
      <w:pPr>
        <w:rPr>
          <w:lang w:eastAsia="en-AU"/>
        </w:rPr>
      </w:pPr>
      <w:r w:rsidRPr="009A63C2">
        <w:rPr>
          <w:lang w:eastAsia="en-AU"/>
        </w:rPr>
        <w:t>Across both round one and round two, many proof of concept SMEs described the end of the BRII as a cliff. This related to two main instances:</w:t>
      </w:r>
    </w:p>
    <w:p w14:paraId="1C676035" w14:textId="036584C3" w:rsidR="009A63C2" w:rsidRPr="003A41BA" w:rsidRDefault="009A63C2">
      <w:pPr>
        <w:pStyle w:val="Listnumbered"/>
        <w:numPr>
          <w:ilvl w:val="0"/>
          <w:numId w:val="40"/>
        </w:numPr>
      </w:pPr>
      <w:r w:rsidRPr="003A41BA">
        <w:t xml:space="preserve">When the solution required further proof of concept support through a funded pilot that challenge agencies were not able to fund through traditional procurement channels. </w:t>
      </w:r>
    </w:p>
    <w:p w14:paraId="44E29105" w14:textId="3DAA93D0" w:rsidR="009A63C2" w:rsidRPr="003A41BA" w:rsidRDefault="009A63C2">
      <w:pPr>
        <w:pStyle w:val="Listnumbered"/>
      </w:pPr>
      <w:r w:rsidRPr="003A41BA">
        <w:t>When the challenge agency did not have the funding, capacity or will to procure their solution. This may have been due to poor timing regarding government budget cycles, lengthy government business case and procurement processes, no committed resources to support implementation post the BRII, or the challenge agency not being the primary customer for the solution.</w:t>
      </w:r>
    </w:p>
    <w:p w14:paraId="42E23665" w14:textId="47AE36FB" w:rsidR="009A63C2" w:rsidRDefault="009A63C2" w:rsidP="009A63C2">
      <w:pPr>
        <w:rPr>
          <w:lang w:eastAsia="en-AU"/>
        </w:rPr>
      </w:pPr>
      <w:r w:rsidRPr="009A63C2">
        <w:rPr>
          <w:lang w:eastAsia="en-AU"/>
        </w:rPr>
        <w:t xml:space="preserve">A few SMEs noted that the commercialisation pathway post </w:t>
      </w:r>
      <w:r w:rsidR="00B41A0E">
        <w:rPr>
          <w:lang w:eastAsia="en-AU"/>
        </w:rPr>
        <w:t>the</w:t>
      </w:r>
      <w:r w:rsidRPr="009A63C2">
        <w:rPr>
          <w:lang w:eastAsia="en-AU"/>
        </w:rPr>
        <w:t xml:space="preserve"> BRII was up to 18 to 24 months longer than what it could have been if funding or other mechanisms were available to support further proof of concept pilots.</w:t>
      </w:r>
    </w:p>
    <w:p w14:paraId="723DF113" w14:textId="4AE8D947" w:rsidR="001E2DA3" w:rsidRPr="009A63C2" w:rsidRDefault="001E2DA3" w:rsidP="00EA4234">
      <w:pPr>
        <w:pStyle w:val="Heading4"/>
      </w:pPr>
      <w:r w:rsidRPr="001E2DA3">
        <w:t xml:space="preserve">Proof of concept SMEs have had </w:t>
      </w:r>
      <w:r w:rsidR="004A6A34">
        <w:t xml:space="preserve">mixed </w:t>
      </w:r>
      <w:r w:rsidRPr="001E2DA3">
        <w:t>experiences when referred to other government programs or agencies to support commercialisation.</w:t>
      </w:r>
    </w:p>
    <w:p w14:paraId="18561FC4" w14:textId="4785281B" w:rsidR="001E2DA3" w:rsidRPr="001E2DA3" w:rsidRDefault="00D508A1" w:rsidP="001E2DA3">
      <w:pPr>
        <w:rPr>
          <w:lang w:eastAsia="en-AU"/>
        </w:rPr>
      </w:pPr>
      <w:r w:rsidRPr="00A87090">
        <w:rPr>
          <w:lang w:eastAsia="en-AU"/>
        </w:rPr>
        <w:t xml:space="preserve">Three proof of concept SMEs noted that applying to </w:t>
      </w:r>
      <w:r w:rsidR="00804253" w:rsidRPr="00A87090">
        <w:rPr>
          <w:lang w:eastAsia="en-AU"/>
        </w:rPr>
        <w:t>AC was a challenging process post-BRII, potentially because AC has a higher</w:t>
      </w:r>
      <w:r w:rsidR="0070213C" w:rsidRPr="00A87090">
        <w:rPr>
          <w:lang w:eastAsia="en-AU"/>
        </w:rPr>
        <w:t xml:space="preserve"> commercial readiness</w:t>
      </w:r>
      <w:r w:rsidR="00804253" w:rsidRPr="00A87090">
        <w:rPr>
          <w:lang w:eastAsia="en-AU"/>
        </w:rPr>
        <w:t xml:space="preserve"> </w:t>
      </w:r>
      <w:r w:rsidR="00CC2672" w:rsidRPr="00A87090">
        <w:rPr>
          <w:lang w:eastAsia="en-AU"/>
        </w:rPr>
        <w:t>bar than</w:t>
      </w:r>
      <w:r w:rsidR="008206E3">
        <w:rPr>
          <w:lang w:eastAsia="en-AU"/>
        </w:rPr>
        <w:t xml:space="preserve"> the</w:t>
      </w:r>
      <w:r w:rsidR="00CC2672" w:rsidRPr="00A87090">
        <w:rPr>
          <w:lang w:eastAsia="en-AU"/>
        </w:rPr>
        <w:t xml:space="preserve"> BRII. </w:t>
      </w:r>
      <w:r w:rsidR="007F2246" w:rsidRPr="00A87090">
        <w:rPr>
          <w:lang w:eastAsia="en-AU"/>
        </w:rPr>
        <w:t>This may have resulted in a disconnect between SME expectations and outcomes.</w:t>
      </w:r>
      <w:r w:rsidR="007F2246">
        <w:rPr>
          <w:lang w:eastAsia="en-AU"/>
        </w:rPr>
        <w:t xml:space="preserve"> </w:t>
      </w:r>
      <w:r w:rsidR="00861109">
        <w:rPr>
          <w:lang w:eastAsia="en-AU"/>
        </w:rPr>
        <w:t xml:space="preserve">On the other hand, </w:t>
      </w:r>
      <w:r w:rsidR="00EF1D43">
        <w:rPr>
          <w:lang w:eastAsia="en-AU"/>
        </w:rPr>
        <w:t>programs such as AC</w:t>
      </w:r>
      <w:r w:rsidR="008165AC">
        <w:rPr>
          <w:lang w:eastAsia="en-AU"/>
        </w:rPr>
        <w:t xml:space="preserve"> m</w:t>
      </w:r>
      <w:r w:rsidR="00113813">
        <w:rPr>
          <w:lang w:eastAsia="en-AU"/>
        </w:rPr>
        <w:t>a</w:t>
      </w:r>
      <w:r w:rsidR="008165AC">
        <w:rPr>
          <w:lang w:eastAsia="en-AU"/>
        </w:rPr>
        <w:t xml:space="preserve">y be </w:t>
      </w:r>
      <w:r w:rsidR="00D719E1">
        <w:rPr>
          <w:lang w:eastAsia="en-AU"/>
        </w:rPr>
        <w:t>hesitant</w:t>
      </w:r>
      <w:r w:rsidR="008165AC">
        <w:rPr>
          <w:lang w:eastAsia="en-AU"/>
        </w:rPr>
        <w:t xml:space="preserve"> to provide post-BRII commercial support due to the novelty of </w:t>
      </w:r>
      <w:r w:rsidR="00EF1D43">
        <w:rPr>
          <w:lang w:eastAsia="en-AU"/>
        </w:rPr>
        <w:t xml:space="preserve">the </w:t>
      </w:r>
      <w:r w:rsidR="00D17A8D">
        <w:rPr>
          <w:lang w:eastAsia="en-AU"/>
        </w:rPr>
        <w:t xml:space="preserve">ideas and relative youth of some SMEs. </w:t>
      </w:r>
      <w:r w:rsidR="001E2DA3" w:rsidRPr="001E2DA3">
        <w:rPr>
          <w:lang w:eastAsia="en-AU"/>
        </w:rPr>
        <w:t>One SME was told in their feedback that their solution had little commercialisation potential because it was too novel for government. This same SME now has a long-term government client.</w:t>
      </w:r>
    </w:p>
    <w:p w14:paraId="3DD6ECA4" w14:textId="0AB5B9E8" w:rsidR="009A63C2" w:rsidRDefault="001E2DA3" w:rsidP="00CC7D2F">
      <w:pPr>
        <w:rPr>
          <w:lang w:eastAsia="en-AU"/>
        </w:rPr>
      </w:pPr>
      <w:r w:rsidRPr="001E2DA3">
        <w:rPr>
          <w:lang w:eastAsia="en-AU"/>
        </w:rPr>
        <w:t xml:space="preserve">Some proof of concept SMEs also spoke about difficulty getting traction with other agencies beyond their challenge agency when they had not secured a direct procurement from the BRII. Although the agencies were interested, they often </w:t>
      </w:r>
      <w:r>
        <w:rPr>
          <w:lang w:eastAsia="en-AU"/>
        </w:rPr>
        <w:t>c</w:t>
      </w:r>
      <w:r w:rsidRPr="001E2DA3">
        <w:rPr>
          <w:lang w:eastAsia="en-AU"/>
        </w:rPr>
        <w:t xml:space="preserve">ited the lack of a track record beyond </w:t>
      </w:r>
      <w:r w:rsidR="008206E3">
        <w:rPr>
          <w:lang w:eastAsia="en-AU"/>
        </w:rPr>
        <w:t xml:space="preserve">the </w:t>
      </w:r>
      <w:r w:rsidRPr="001E2DA3">
        <w:rPr>
          <w:lang w:eastAsia="en-AU"/>
        </w:rPr>
        <w:t xml:space="preserve">BRII as a main reason why they would not procure </w:t>
      </w:r>
      <w:r w:rsidR="005261F4">
        <w:rPr>
          <w:lang w:eastAsia="en-AU"/>
        </w:rPr>
        <w:t xml:space="preserve">or pilot </w:t>
      </w:r>
      <w:r w:rsidRPr="001E2DA3">
        <w:rPr>
          <w:lang w:eastAsia="en-AU"/>
        </w:rPr>
        <w:t>the solution.</w:t>
      </w:r>
      <w:r w:rsidR="00D6571F">
        <w:rPr>
          <w:lang w:eastAsia="en-AU"/>
        </w:rPr>
        <w:t xml:space="preserve"> </w:t>
      </w:r>
      <w:r w:rsidR="00BA58AA">
        <w:rPr>
          <w:lang w:eastAsia="en-AU"/>
        </w:rPr>
        <w:t xml:space="preserve">Better challenge design may address </w:t>
      </w:r>
      <w:r w:rsidR="00736009">
        <w:rPr>
          <w:lang w:eastAsia="en-AU"/>
        </w:rPr>
        <w:t>some of these issues.</w:t>
      </w:r>
    </w:p>
    <w:p w14:paraId="27DF7F23" w14:textId="587AB516" w:rsidR="0015135E" w:rsidRDefault="001E2DA3" w:rsidP="00D45413">
      <w:r w:rsidRPr="001E2DA3">
        <w:t>Several SMEs and challenge agencies suggested a follow-on commercialisation stage could add significant value to the BRII.</w:t>
      </w:r>
      <w:r w:rsidR="00B41A0E">
        <w:t xml:space="preserve"> </w:t>
      </w:r>
      <w:r w:rsidR="00E61C88">
        <w:t xml:space="preserve">A follow-on commercialisation stage </w:t>
      </w:r>
      <w:r w:rsidR="0020029F">
        <w:t xml:space="preserve">would align </w:t>
      </w:r>
      <w:r w:rsidR="00E61C88">
        <w:t xml:space="preserve">with </w:t>
      </w:r>
      <w:r w:rsidR="00CF7EF1">
        <w:t xml:space="preserve">the </w:t>
      </w:r>
      <w:r w:rsidR="00F87DB0">
        <w:t xml:space="preserve">ISC in Canada </w:t>
      </w:r>
      <w:r w:rsidR="00E61C88">
        <w:t xml:space="preserve">and </w:t>
      </w:r>
      <w:r w:rsidR="00F87DB0">
        <w:t xml:space="preserve">the </w:t>
      </w:r>
      <w:r w:rsidR="00CF7EF1">
        <w:t xml:space="preserve">US </w:t>
      </w:r>
      <w:r w:rsidR="00F87DB0">
        <w:t>SBIR model</w:t>
      </w:r>
      <w:r w:rsidR="00CF7EF1">
        <w:t xml:space="preserve">. ISC has a </w:t>
      </w:r>
      <w:r w:rsidR="00A92DB7">
        <w:t>third phase</w:t>
      </w:r>
      <w:r w:rsidR="00451467">
        <w:t xml:space="preserve"> (Pathway to commercialisation), which is largely a formalisation of the post-proof of concept procurement activities</w:t>
      </w:r>
      <w:r w:rsidR="00390282">
        <w:t xml:space="preserve">. A similar model is in place in the US SBIR, where agencies provide </w:t>
      </w:r>
      <w:r w:rsidR="002821D2">
        <w:t xml:space="preserve">commercialisation </w:t>
      </w:r>
      <w:r w:rsidR="00390282">
        <w:t xml:space="preserve">support </w:t>
      </w:r>
      <w:r w:rsidR="002821D2">
        <w:t xml:space="preserve">in Phase III. This may include procurement of the solution developed in Phase II. </w:t>
      </w:r>
    </w:p>
    <w:p w14:paraId="502010FB" w14:textId="481D1A5F" w:rsidR="00D45413" w:rsidRPr="00D45413" w:rsidRDefault="0015135E" w:rsidP="00D45413">
      <w:pPr>
        <w:rPr>
          <w:lang w:eastAsia="en-AU"/>
        </w:rPr>
      </w:pPr>
      <w:r>
        <w:lastRenderedPageBreak/>
        <w:t xml:space="preserve">DISER could take a similar approach for the BRII to address the </w:t>
      </w:r>
      <w:r w:rsidR="0048679D">
        <w:t xml:space="preserve">funding and product development chasm that some SMEs faced post proof of concept. </w:t>
      </w:r>
      <w:r w:rsidR="00D45413" w:rsidRPr="00D45413">
        <w:rPr>
          <w:lang w:eastAsia="en-AU"/>
        </w:rPr>
        <w:t>Some suggestions on how this could work</w:t>
      </w:r>
      <w:r w:rsidR="002821D2">
        <w:rPr>
          <w:lang w:eastAsia="en-AU"/>
        </w:rPr>
        <w:t xml:space="preserve"> </w:t>
      </w:r>
      <w:r w:rsidR="00D45413" w:rsidRPr="00D45413">
        <w:rPr>
          <w:lang w:eastAsia="en-AU"/>
        </w:rPr>
        <w:t>included:</w:t>
      </w:r>
    </w:p>
    <w:p w14:paraId="793845F8" w14:textId="77777777" w:rsidR="00D45413" w:rsidRPr="005261F4" w:rsidRDefault="00D45413">
      <w:pPr>
        <w:pStyle w:val="Bullet"/>
      </w:pPr>
      <w:r w:rsidRPr="005261F4">
        <w:t>A similar application process as is required for progress from feasibility to proof of concept.</w:t>
      </w:r>
    </w:p>
    <w:p w14:paraId="7EE144A9" w14:textId="77777777" w:rsidR="00D45413" w:rsidRPr="005261F4" w:rsidRDefault="00D45413">
      <w:pPr>
        <w:pStyle w:val="Bullet"/>
      </w:pPr>
      <w:r w:rsidRPr="005261F4">
        <w:t>The opportunity for the SME or challenge agency to include co-sponsors to support the application for further funding.</w:t>
      </w:r>
    </w:p>
    <w:p w14:paraId="2313F41E" w14:textId="77777777" w:rsidR="00D45413" w:rsidRPr="005261F4" w:rsidRDefault="00D45413">
      <w:pPr>
        <w:pStyle w:val="Bullet"/>
      </w:pPr>
      <w:r w:rsidRPr="005261F4">
        <w:t>Co-contributions from sponsoring agencies; challenge agencies could be asked to allocate funding for a follow-on commercialisation stage when they apply to the BRII.</w:t>
      </w:r>
    </w:p>
    <w:p w14:paraId="5A89A427" w14:textId="34C59901" w:rsidR="00515C70" w:rsidRPr="00515C70" w:rsidRDefault="00D45413">
      <w:pPr>
        <w:pStyle w:val="Bullet"/>
      </w:pPr>
      <w:r w:rsidRPr="005261F4">
        <w:t xml:space="preserve">A flexible amount of funding that </w:t>
      </w:r>
      <w:r w:rsidR="007A370A">
        <w:t xml:space="preserve">can </w:t>
      </w:r>
      <w:r w:rsidRPr="005261F4">
        <w:t>be accessed for a time-bound period (e.g., for one year post proof of concept).</w:t>
      </w:r>
    </w:p>
    <w:p w14:paraId="69BB85C0" w14:textId="34C7A371" w:rsidR="006C303F" w:rsidRDefault="006C303F">
      <w:pPr>
        <w:pStyle w:val="Heading2"/>
      </w:pPr>
      <w:bookmarkStart w:id="160" w:name="_Ref75900909"/>
      <w:bookmarkStart w:id="161" w:name="_Toc124435163"/>
      <w:r>
        <w:t xml:space="preserve">DISER should consider </w:t>
      </w:r>
      <w:r w:rsidR="00074B2F">
        <w:t>eleven</w:t>
      </w:r>
      <w:r>
        <w:t xml:space="preserve"> recommendations to improve the current delivery of the BRII.</w:t>
      </w:r>
      <w:bookmarkEnd w:id="160"/>
      <w:bookmarkEnd w:id="161"/>
      <w:r>
        <w:t xml:space="preserve"> </w:t>
      </w:r>
    </w:p>
    <w:p w14:paraId="0BA3AC1D" w14:textId="24FD977E" w:rsidR="0031726F" w:rsidRDefault="006C303F" w:rsidP="0031726F">
      <w:pPr>
        <w:rPr>
          <w:lang w:eastAsia="en-AU"/>
        </w:rPr>
      </w:pPr>
      <w:r>
        <w:rPr>
          <w:lang w:eastAsia="en-AU"/>
        </w:rPr>
        <w:t xml:space="preserve">Irrespective of the BRII’s future scale, there are a variety of changes that should be made to the design and delivery of the program. These recommendations are based on the findings outlined in earlier sections and reflect the feedback of challenge agencies, SMEs and DISER stakeholders. They are presented </w:t>
      </w:r>
      <w:r w:rsidR="0031726F">
        <w:rPr>
          <w:lang w:eastAsia="en-AU"/>
        </w:rPr>
        <w:t>overleaf</w:t>
      </w:r>
      <w:r>
        <w:rPr>
          <w:lang w:eastAsia="en-AU"/>
        </w:rPr>
        <w:t xml:space="preserve"> according to the phase of </w:t>
      </w:r>
      <w:r w:rsidR="00B41A0E">
        <w:rPr>
          <w:lang w:eastAsia="en-AU"/>
        </w:rPr>
        <w:t>the</w:t>
      </w:r>
      <w:r>
        <w:rPr>
          <w:lang w:eastAsia="en-AU"/>
        </w:rPr>
        <w:t xml:space="preserve"> BRII to which they relate, or separately where the recommendation cuts across various aspects of the program. </w:t>
      </w:r>
    </w:p>
    <w:p w14:paraId="54F178C5" w14:textId="77777777" w:rsidR="0031726F" w:rsidRDefault="0031726F">
      <w:pPr>
        <w:spacing w:after="165" w:line="259" w:lineRule="auto"/>
        <w:rPr>
          <w:lang w:eastAsia="en-AU"/>
        </w:rPr>
      </w:pPr>
      <w:r>
        <w:rPr>
          <w:lang w:eastAsia="en-AU"/>
        </w:rPr>
        <w:br w:type="page"/>
      </w:r>
    </w:p>
    <w:p w14:paraId="210E83E4" w14:textId="19FF18E2" w:rsidR="0031726F" w:rsidRDefault="00746B30" w:rsidP="0031726F">
      <w:pPr>
        <w:rPr>
          <w:noProof/>
          <w:lang w:eastAsia="en-AU"/>
        </w:rPr>
      </w:pPr>
      <w:r>
        <w:rPr>
          <w:noProof/>
          <w:lang w:eastAsia="en-AU"/>
        </w:rPr>
        <w:lastRenderedPageBreak/>
        <w:drawing>
          <wp:inline distT="0" distB="0" distL="0" distR="0" wp14:anchorId="38D33C3A" wp14:editId="2C046DAB">
            <wp:extent cx="5700395" cy="481330"/>
            <wp:effectExtent l="0" t="0" r="0" b="0"/>
            <wp:docPr id="476" name="Picture 476"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Picture 476" descr="Recommendation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00395" cy="481330"/>
                    </a:xfrm>
                    <a:prstGeom prst="rect">
                      <a:avLst/>
                    </a:prstGeom>
                    <a:noFill/>
                  </pic:spPr>
                </pic:pic>
              </a:graphicData>
            </a:graphic>
          </wp:inline>
        </w:drawing>
      </w:r>
    </w:p>
    <w:tbl>
      <w:tblPr>
        <w:tblStyle w:val="NousLongformcallout"/>
        <w:tblW w:w="5000" w:type="pct"/>
        <w:tblBorders>
          <w:left w:val="none" w:sz="0" w:space="0" w:color="auto"/>
        </w:tblBorders>
        <w:tblLayout w:type="fixed"/>
        <w:tblCellMar>
          <w:top w:w="170" w:type="dxa"/>
          <w:bottom w:w="170" w:type="dxa"/>
        </w:tblCellMar>
        <w:tblLook w:val="0620" w:firstRow="1" w:lastRow="0" w:firstColumn="0" w:lastColumn="0" w:noHBand="1" w:noVBand="1"/>
      </w:tblPr>
      <w:tblGrid>
        <w:gridCol w:w="5523"/>
        <w:gridCol w:w="3397"/>
      </w:tblGrid>
      <w:tr w:rsidR="00746B30" w:rsidRPr="0039271A" w14:paraId="533C48DA" w14:textId="77777777" w:rsidTr="00F40D93">
        <w:trPr>
          <w:trHeight w:val="20"/>
        </w:trPr>
        <w:tc>
          <w:tcPr>
            <w:tcW w:w="5529" w:type="dxa"/>
            <w:tcBorders>
              <w:left w:val="single" w:sz="4" w:space="0" w:color="00264D" w:themeColor="background2"/>
              <w:bottom w:val="single" w:sz="24" w:space="0" w:color="F25E21" w:themeColor="accent2"/>
              <w:right w:val="single" w:sz="4" w:space="0" w:color="FFFFFF" w:themeColor="background1"/>
            </w:tcBorders>
            <w:shd w:val="clear" w:color="auto" w:fill="00264D" w:themeFill="background2"/>
            <w:vAlign w:val="center"/>
          </w:tcPr>
          <w:p w14:paraId="5CC3CE3E" w14:textId="77777777" w:rsidR="00746B30" w:rsidRPr="00746B30" w:rsidRDefault="00746B30" w:rsidP="00746B30">
            <w:pPr>
              <w:pStyle w:val="TableNheader"/>
              <w:rPr>
                <w:noProof/>
                <w:color w:val="FFFFFF" w:themeColor="background1"/>
              </w:rPr>
            </w:pPr>
            <w:r w:rsidRPr="00746B30">
              <w:rPr>
                <w:noProof/>
                <w:color w:val="FFFFFF" w:themeColor="background1"/>
              </w:rPr>
              <w:t>Challenge design</w:t>
            </w:r>
          </w:p>
        </w:tc>
        <w:tc>
          <w:tcPr>
            <w:tcW w:w="3401" w:type="dxa"/>
            <w:tcBorders>
              <w:left w:val="single" w:sz="4" w:space="0" w:color="FFFFFF" w:themeColor="background1"/>
              <w:bottom w:val="single" w:sz="24" w:space="0" w:color="F25E21" w:themeColor="accent2"/>
              <w:right w:val="single" w:sz="4" w:space="0" w:color="00264D" w:themeColor="background2"/>
            </w:tcBorders>
            <w:shd w:val="clear" w:color="auto" w:fill="00264D" w:themeFill="background2"/>
          </w:tcPr>
          <w:p w14:paraId="5ECC0081" w14:textId="77777777" w:rsidR="00746B30" w:rsidRPr="00746B30" w:rsidRDefault="00746B30" w:rsidP="00746B30">
            <w:pPr>
              <w:pStyle w:val="TableNheader"/>
              <w:rPr>
                <w:noProof/>
                <w:color w:val="FFFFFF" w:themeColor="background1"/>
              </w:rPr>
            </w:pPr>
            <w:r w:rsidRPr="00746B30">
              <w:rPr>
                <w:noProof/>
                <w:color w:val="FFFFFF" w:themeColor="background1"/>
              </w:rPr>
              <w:t>Supporting findings</w:t>
            </w:r>
          </w:p>
        </w:tc>
      </w:tr>
      <w:tr w:rsidR="0031726F" w:rsidRPr="00C6436E" w14:paraId="3173CDBB" w14:textId="77777777" w:rsidTr="00F40D93">
        <w:trPr>
          <w:trHeight w:val="20"/>
        </w:trPr>
        <w:tc>
          <w:tcPr>
            <w:tcW w:w="5529" w:type="dxa"/>
            <w:tcBorders>
              <w:top w:val="single" w:sz="24" w:space="0" w:color="F25E21" w:themeColor="accent2"/>
              <w:left w:val="single" w:sz="4" w:space="0" w:color="00264D" w:themeColor="background2"/>
              <w:right w:val="single" w:sz="4" w:space="0" w:color="00264D" w:themeColor="background2"/>
            </w:tcBorders>
            <w:shd w:val="clear" w:color="auto" w:fill="auto"/>
          </w:tcPr>
          <w:p w14:paraId="4AC3B3ED" w14:textId="77777777" w:rsidR="0031726F" w:rsidRPr="0031726F" w:rsidRDefault="0031726F">
            <w:pPr>
              <w:pStyle w:val="TableNListnumbered"/>
              <w:keepLines/>
              <w:numPr>
                <w:ilvl w:val="0"/>
                <w:numId w:val="25"/>
              </w:numPr>
              <w:suppressAutoHyphens w:val="0"/>
              <w:spacing w:before="0" w:after="0"/>
            </w:pPr>
            <w:r w:rsidRPr="0031726F">
              <w:rPr>
                <w:rFonts w:asciiTheme="majorHAnsi" w:hAnsiTheme="majorHAnsi" w:cstheme="majorHAnsi"/>
              </w:rPr>
              <w:t>Explore opportunities to streamline and improve the BRII marketing and engagement processes for SMEs and challenge agencies</w:t>
            </w:r>
            <w:r w:rsidRPr="0031726F">
              <w:t xml:space="preserve"> – for example through: </w:t>
            </w:r>
          </w:p>
          <w:p w14:paraId="50DA780B" w14:textId="77777777" w:rsidR="0031726F" w:rsidRDefault="0031726F">
            <w:pPr>
              <w:pStyle w:val="TableNBullet"/>
              <w:keepLines/>
              <w:numPr>
                <w:ilvl w:val="1"/>
                <w:numId w:val="1"/>
              </w:numPr>
              <w:suppressAutoHyphens w:val="0"/>
              <w:spacing w:before="0" w:after="0"/>
              <w:ind w:left="1018"/>
            </w:pPr>
            <w:r>
              <w:t>Embedding challenge communication capabilities within the participating agencies (e.g. through the Portfolio Liaison Officers).</w:t>
            </w:r>
          </w:p>
          <w:p w14:paraId="683C1BE1" w14:textId="77777777" w:rsidR="0031726F" w:rsidRDefault="0031726F">
            <w:pPr>
              <w:pStyle w:val="TableNBullet"/>
              <w:keepLines/>
              <w:numPr>
                <w:ilvl w:val="1"/>
                <w:numId w:val="1"/>
              </w:numPr>
              <w:suppressAutoHyphens w:val="0"/>
              <w:spacing w:before="0" w:after="0"/>
              <w:ind w:left="1018"/>
            </w:pPr>
            <w:r w:rsidRPr="004C6E10">
              <w:t>Develop</w:t>
            </w:r>
            <w:r>
              <w:t>ing</w:t>
            </w:r>
            <w:r w:rsidRPr="004C6E10">
              <w:t xml:space="preserve"> guidance and templates to streamline and quality control the development of marketing and engagement materials.</w:t>
            </w:r>
          </w:p>
          <w:p w14:paraId="6506776E" w14:textId="280A6601" w:rsidR="0031726F" w:rsidRPr="00C6436E" w:rsidRDefault="0031726F">
            <w:pPr>
              <w:pStyle w:val="TableNBullet"/>
              <w:keepLines/>
              <w:numPr>
                <w:ilvl w:val="1"/>
                <w:numId w:val="1"/>
              </w:numPr>
              <w:suppressAutoHyphens w:val="0"/>
              <w:spacing w:before="0" w:after="0"/>
              <w:ind w:left="1018"/>
            </w:pPr>
            <w:r w:rsidRPr="005B3E85">
              <w:t>Expand</w:t>
            </w:r>
            <w:r>
              <w:t>ing</w:t>
            </w:r>
            <w:r w:rsidRPr="005B3E85">
              <w:t xml:space="preserve"> the reach and visibility of</w:t>
            </w:r>
            <w:r>
              <w:t xml:space="preserve"> the</w:t>
            </w:r>
            <w:r w:rsidRPr="005B3E85">
              <w:t xml:space="preserve"> BRII across federal government departments and agencies</w:t>
            </w:r>
            <w:r>
              <w:t xml:space="preserve"> through a targeted communications campaign for government agencies or the use of </w:t>
            </w:r>
            <w:r w:rsidR="00B41A0E">
              <w:t>the</w:t>
            </w:r>
            <w:r>
              <w:t xml:space="preserve"> BRII challenge agency account managers.</w:t>
            </w:r>
          </w:p>
        </w:tc>
        <w:tc>
          <w:tcPr>
            <w:tcW w:w="3401" w:type="dxa"/>
            <w:tcBorders>
              <w:top w:val="single" w:sz="24" w:space="0" w:color="F25E21" w:themeColor="accent2"/>
              <w:left w:val="single" w:sz="4" w:space="0" w:color="00264D" w:themeColor="background2"/>
              <w:right w:val="single" w:sz="4" w:space="0" w:color="00264D" w:themeColor="background2"/>
            </w:tcBorders>
          </w:tcPr>
          <w:p w14:paraId="442097FE" w14:textId="77777777" w:rsidR="0031726F" w:rsidRPr="006D1BBD" w:rsidRDefault="0031726F" w:rsidP="00AA384D">
            <w:pPr>
              <w:pStyle w:val="TableNText"/>
            </w:pPr>
            <w:r>
              <w:t>T</w:t>
            </w:r>
            <w:r w:rsidRPr="00BB51B3">
              <w:t>here is still substantial opportunity to extend the reach of the BRII across more government departments and agencies. Across the Australian Government there are over 150 potential agencies or departments that could participate in the BRII. A potential area for expansion is to support the Australian Government’s national priorities</w:t>
            </w:r>
            <w:r>
              <w:t>.</w:t>
            </w:r>
          </w:p>
        </w:tc>
      </w:tr>
      <w:tr w:rsidR="00746B30" w:rsidRPr="0039271A" w14:paraId="7887A5CE" w14:textId="77777777" w:rsidTr="00F40D93">
        <w:trPr>
          <w:trHeight w:val="20"/>
        </w:trPr>
        <w:tc>
          <w:tcPr>
            <w:tcW w:w="5529" w:type="dxa"/>
            <w:tcBorders>
              <w:left w:val="single" w:sz="4" w:space="0" w:color="00264D" w:themeColor="background2"/>
              <w:bottom w:val="single" w:sz="24" w:space="0" w:color="F25E21" w:themeColor="accent2"/>
              <w:right w:val="single" w:sz="4" w:space="0" w:color="FFFFFF" w:themeColor="background1"/>
            </w:tcBorders>
            <w:shd w:val="clear" w:color="auto" w:fill="00264D" w:themeFill="background2"/>
            <w:vAlign w:val="center"/>
          </w:tcPr>
          <w:p w14:paraId="4D854B12" w14:textId="77777777" w:rsidR="00746B30" w:rsidRPr="00746B30" w:rsidRDefault="00746B30" w:rsidP="00746B30">
            <w:pPr>
              <w:pStyle w:val="TableNheader"/>
              <w:rPr>
                <w:noProof/>
                <w:color w:val="FFFFFF" w:themeColor="background1"/>
              </w:rPr>
            </w:pPr>
            <w:r w:rsidRPr="00746B30">
              <w:rPr>
                <w:noProof/>
                <w:color w:val="FFFFFF" w:themeColor="background1"/>
              </w:rPr>
              <w:t>Feasibility</w:t>
            </w:r>
          </w:p>
        </w:tc>
        <w:tc>
          <w:tcPr>
            <w:tcW w:w="3401" w:type="dxa"/>
            <w:tcBorders>
              <w:left w:val="single" w:sz="4" w:space="0" w:color="FFFFFF" w:themeColor="background1"/>
              <w:bottom w:val="single" w:sz="24" w:space="0" w:color="F25E21" w:themeColor="accent2"/>
              <w:right w:val="single" w:sz="4" w:space="0" w:color="00264D" w:themeColor="background2"/>
            </w:tcBorders>
            <w:shd w:val="clear" w:color="auto" w:fill="00264D" w:themeFill="background2"/>
          </w:tcPr>
          <w:p w14:paraId="0D9DC47D" w14:textId="77777777" w:rsidR="00746B30" w:rsidRPr="00746B30" w:rsidRDefault="00746B30" w:rsidP="00746B30">
            <w:pPr>
              <w:pStyle w:val="TableNheader"/>
              <w:rPr>
                <w:noProof/>
                <w:color w:val="FFFFFF" w:themeColor="background1"/>
              </w:rPr>
            </w:pPr>
            <w:r w:rsidRPr="00746B30">
              <w:rPr>
                <w:noProof/>
                <w:color w:val="FFFFFF" w:themeColor="background1"/>
              </w:rPr>
              <w:t>Supporting findings</w:t>
            </w:r>
          </w:p>
        </w:tc>
      </w:tr>
      <w:tr w:rsidR="0031726F" w:rsidRPr="00726EFA" w14:paraId="0DD0D9D1" w14:textId="77777777" w:rsidTr="00F40D93">
        <w:trPr>
          <w:trHeight w:val="20"/>
        </w:trPr>
        <w:tc>
          <w:tcPr>
            <w:tcW w:w="5529" w:type="dxa"/>
            <w:tcBorders>
              <w:top w:val="single" w:sz="24" w:space="0" w:color="F25E21" w:themeColor="accent2"/>
              <w:left w:val="single" w:sz="4" w:space="0" w:color="00264D" w:themeColor="background2"/>
              <w:bottom w:val="single" w:sz="4" w:space="0" w:color="00264D" w:themeColor="background2"/>
              <w:right w:val="single" w:sz="4" w:space="0" w:color="00264D" w:themeColor="background2"/>
            </w:tcBorders>
            <w:shd w:val="clear" w:color="auto" w:fill="auto"/>
          </w:tcPr>
          <w:p w14:paraId="06F0CB19" w14:textId="77777777" w:rsidR="0031726F" w:rsidRPr="00A5304D" w:rsidRDefault="0031726F">
            <w:pPr>
              <w:pStyle w:val="TableNListnumbered"/>
              <w:keepLines/>
              <w:suppressAutoHyphens w:val="0"/>
              <w:spacing w:before="0" w:after="0"/>
              <w:ind w:left="593" w:hanging="593"/>
            </w:pPr>
            <w:r w:rsidRPr="006D1BBD">
              <w:rPr>
                <w:rFonts w:asciiTheme="majorHAnsi" w:hAnsiTheme="majorHAnsi" w:cstheme="majorHAnsi"/>
              </w:rPr>
              <w:t xml:space="preserve">Develop an SME engagement framework and accompanying guidance </w:t>
            </w:r>
            <w:r w:rsidRPr="000C68D6">
              <w:rPr>
                <w:rFonts w:asciiTheme="majorHAnsi" w:hAnsiTheme="majorHAnsi" w:cstheme="majorHAnsi"/>
              </w:rPr>
              <w:t>for challenge agencies</w:t>
            </w:r>
            <w:r>
              <w:rPr>
                <w:rFonts w:asciiTheme="majorHAnsi" w:hAnsiTheme="majorHAnsi" w:cstheme="majorHAnsi"/>
              </w:rPr>
              <w:t>.</w:t>
            </w:r>
            <w:r w:rsidRPr="00E74EEB">
              <w:t xml:space="preserve"> </w:t>
            </w:r>
            <w:r>
              <w:t xml:space="preserve">The framework and guidance should </w:t>
            </w:r>
            <w:r w:rsidRPr="0068279F">
              <w:t xml:space="preserve">support </w:t>
            </w:r>
            <w:r>
              <w:t xml:space="preserve">challenge agencies </w:t>
            </w:r>
            <w:r w:rsidRPr="0068279F">
              <w:t>to</w:t>
            </w:r>
            <w:r w:rsidRPr="00E74EEB">
              <w:t xml:space="preserve"> manage </w:t>
            </w:r>
            <w:r>
              <w:t xml:space="preserve">real and perceived </w:t>
            </w:r>
            <w:r w:rsidRPr="00E74EEB">
              <w:t>probity concerns</w:t>
            </w:r>
            <w:r w:rsidRPr="0068279F">
              <w:t xml:space="preserve"> when working with multiple SMEs</w:t>
            </w:r>
            <w:r w:rsidRPr="00E74EEB">
              <w:t>.</w:t>
            </w:r>
          </w:p>
        </w:tc>
        <w:tc>
          <w:tcPr>
            <w:tcW w:w="3401" w:type="dxa"/>
            <w:tcBorders>
              <w:top w:val="single" w:sz="24" w:space="0" w:color="F25E21" w:themeColor="accent2"/>
              <w:left w:val="single" w:sz="4" w:space="0" w:color="00264D" w:themeColor="background2"/>
              <w:bottom w:val="single" w:sz="4" w:space="0" w:color="00264D" w:themeColor="background2"/>
              <w:right w:val="single" w:sz="4" w:space="0" w:color="00264D" w:themeColor="background2"/>
            </w:tcBorders>
          </w:tcPr>
          <w:p w14:paraId="5EAC29EA" w14:textId="77777777" w:rsidR="0031726F" w:rsidRPr="006D1BBD" w:rsidRDefault="0031726F" w:rsidP="00AA384D">
            <w:pPr>
              <w:pStyle w:val="TableNText"/>
            </w:pPr>
            <w:r w:rsidRPr="00983971">
              <w:rPr>
                <w:lang w:val="en-US"/>
              </w:rPr>
              <w:t>Several challenge agencies highlighted concerns that the BRII design, which is in effect a competitive grant, created potential perceived conflicts of interest in how the agencies engaged with the SMEs</w:t>
            </w:r>
            <w:r>
              <w:t>.</w:t>
            </w:r>
          </w:p>
        </w:tc>
      </w:tr>
      <w:tr w:rsidR="0031726F" w:rsidRPr="00726EFA" w14:paraId="70237DCE" w14:textId="77777777" w:rsidTr="00F40D93">
        <w:trPr>
          <w:trHeight w:val="20"/>
        </w:trPr>
        <w:tc>
          <w:tcPr>
            <w:tcW w:w="5529" w:type="dxa"/>
            <w:tcBorders>
              <w:top w:val="single" w:sz="4" w:space="0" w:color="00264D" w:themeColor="background2"/>
              <w:left w:val="single" w:sz="4" w:space="0" w:color="00264D" w:themeColor="background2"/>
              <w:right w:val="single" w:sz="4" w:space="0" w:color="00264D" w:themeColor="background2"/>
            </w:tcBorders>
            <w:shd w:val="clear" w:color="auto" w:fill="auto"/>
          </w:tcPr>
          <w:p w14:paraId="2040D84E" w14:textId="77777777" w:rsidR="0031726F" w:rsidRPr="006D1BBD" w:rsidRDefault="0031726F">
            <w:pPr>
              <w:pStyle w:val="TableNListnumbered"/>
              <w:keepLines/>
              <w:suppressAutoHyphens w:val="0"/>
              <w:spacing w:before="0" w:after="0"/>
              <w:ind w:left="593" w:hanging="593"/>
              <w:rPr>
                <w:rFonts w:asciiTheme="majorHAnsi" w:hAnsiTheme="majorHAnsi" w:cstheme="majorHAnsi"/>
              </w:rPr>
            </w:pPr>
            <w:r w:rsidRPr="006D1BBD">
              <w:rPr>
                <w:rFonts w:asciiTheme="majorHAnsi" w:hAnsiTheme="majorHAnsi" w:cstheme="majorHAnsi"/>
              </w:rPr>
              <w:t xml:space="preserve">Provide SMEs the opportunity to engage with the </w:t>
            </w:r>
            <w:r w:rsidRPr="005E629C">
              <w:rPr>
                <w:rFonts w:asciiTheme="majorHAnsi" w:hAnsiTheme="majorHAnsi" w:cstheme="majorHAnsi"/>
              </w:rPr>
              <w:t xml:space="preserve">Entrepreneurs’ Programme Committee </w:t>
            </w:r>
            <w:r>
              <w:rPr>
                <w:rFonts w:asciiTheme="majorHAnsi" w:hAnsiTheme="majorHAnsi" w:cstheme="majorHAnsi"/>
              </w:rPr>
              <w:t>(</w:t>
            </w:r>
            <w:r w:rsidRPr="006D1BBD">
              <w:rPr>
                <w:rFonts w:asciiTheme="majorHAnsi" w:hAnsiTheme="majorHAnsi" w:cstheme="majorHAnsi"/>
              </w:rPr>
              <w:t>EPC</w:t>
            </w:r>
            <w:r>
              <w:rPr>
                <w:rFonts w:asciiTheme="majorHAnsi" w:hAnsiTheme="majorHAnsi" w:cstheme="majorHAnsi"/>
              </w:rPr>
              <w:t>)</w:t>
            </w:r>
            <w:r w:rsidRPr="006D1BBD">
              <w:rPr>
                <w:rFonts w:asciiTheme="majorHAnsi" w:hAnsiTheme="majorHAnsi" w:cstheme="majorHAnsi"/>
              </w:rPr>
              <w:t xml:space="preserve"> (or whichever body oversees future assessments)</w:t>
            </w:r>
            <w:r>
              <w:t>.</w:t>
            </w:r>
            <w:r w:rsidRPr="00D74465">
              <w:t xml:space="preserve"> </w:t>
            </w:r>
            <w:r>
              <w:t xml:space="preserve">This could occur through </w:t>
            </w:r>
            <w:r w:rsidRPr="00D74465">
              <w:t xml:space="preserve">a mid-feasibility stage </w:t>
            </w:r>
            <w:r>
              <w:t>presentation to increase transparency and allow SMEs to receive feedback from the project’s final decision makers.</w:t>
            </w:r>
          </w:p>
        </w:tc>
        <w:tc>
          <w:tcPr>
            <w:tcW w:w="3401" w:type="dxa"/>
            <w:tcBorders>
              <w:top w:val="single" w:sz="4" w:space="0" w:color="00264D" w:themeColor="background2"/>
              <w:left w:val="single" w:sz="4" w:space="0" w:color="00264D" w:themeColor="background2"/>
              <w:right w:val="single" w:sz="4" w:space="0" w:color="00264D" w:themeColor="background2"/>
            </w:tcBorders>
          </w:tcPr>
          <w:p w14:paraId="72B6F6B5" w14:textId="77777777" w:rsidR="0031726F" w:rsidRPr="006D1BBD" w:rsidRDefault="0031726F" w:rsidP="00AA384D">
            <w:pPr>
              <w:pStyle w:val="TableNText"/>
            </w:pPr>
            <w:r>
              <w:t xml:space="preserve">Many SMEs felt that they had little practical understanding of the criteria the EPC used to assess their feasibility round applications. Some SMEs told us that they would have benefited from early engagement with the </w:t>
            </w:r>
            <w:r>
              <w:lastRenderedPageBreak/>
              <w:t>EPC so they could have adapted their approach to better meet the requirements.</w:t>
            </w:r>
          </w:p>
        </w:tc>
      </w:tr>
      <w:tr w:rsidR="00746B30" w:rsidRPr="00C6436E" w14:paraId="0A6CC214" w14:textId="77777777" w:rsidTr="00F40D93">
        <w:trPr>
          <w:trHeight w:val="20"/>
        </w:trPr>
        <w:tc>
          <w:tcPr>
            <w:tcW w:w="5529" w:type="dxa"/>
            <w:tcBorders>
              <w:left w:val="single" w:sz="4" w:space="0" w:color="00264D" w:themeColor="background2"/>
              <w:bottom w:val="single" w:sz="24" w:space="0" w:color="F25E21" w:themeColor="accent2"/>
              <w:right w:val="single" w:sz="4" w:space="0" w:color="FFFFFF" w:themeColor="background1"/>
            </w:tcBorders>
            <w:shd w:val="clear" w:color="auto" w:fill="00264D" w:themeFill="background2"/>
            <w:vAlign w:val="center"/>
          </w:tcPr>
          <w:p w14:paraId="7BF15F66" w14:textId="77777777" w:rsidR="00746B30" w:rsidRPr="00746B30" w:rsidRDefault="00746B30" w:rsidP="00746B30">
            <w:pPr>
              <w:pStyle w:val="TableNheader"/>
              <w:rPr>
                <w:noProof/>
                <w:color w:val="FFFFFF" w:themeColor="background1"/>
              </w:rPr>
            </w:pPr>
            <w:r w:rsidRPr="00746B30">
              <w:rPr>
                <w:noProof/>
                <w:color w:val="FFFFFF" w:themeColor="background1"/>
              </w:rPr>
              <w:lastRenderedPageBreak/>
              <w:t>Proof of concept</w:t>
            </w:r>
          </w:p>
        </w:tc>
        <w:tc>
          <w:tcPr>
            <w:tcW w:w="3401" w:type="dxa"/>
            <w:tcBorders>
              <w:left w:val="single" w:sz="4" w:space="0" w:color="FFFFFF" w:themeColor="background1"/>
              <w:bottom w:val="single" w:sz="24" w:space="0" w:color="F25E21" w:themeColor="accent2"/>
              <w:right w:val="single" w:sz="4" w:space="0" w:color="00264D" w:themeColor="background2"/>
            </w:tcBorders>
            <w:shd w:val="clear" w:color="auto" w:fill="00264D" w:themeFill="background2"/>
          </w:tcPr>
          <w:p w14:paraId="75E5C2BD" w14:textId="77777777" w:rsidR="00746B30" w:rsidRPr="00746B30" w:rsidRDefault="00746B30" w:rsidP="00746B30">
            <w:pPr>
              <w:pStyle w:val="TableNheader"/>
              <w:rPr>
                <w:noProof/>
                <w:color w:val="FFFFFF" w:themeColor="background1"/>
              </w:rPr>
            </w:pPr>
            <w:r w:rsidRPr="00746B30">
              <w:rPr>
                <w:noProof/>
                <w:color w:val="FFFFFF" w:themeColor="background1"/>
              </w:rPr>
              <w:t>Supporting findings</w:t>
            </w:r>
          </w:p>
        </w:tc>
      </w:tr>
      <w:tr w:rsidR="0031726F" w:rsidRPr="00726EFA" w14:paraId="53DA309C" w14:textId="77777777" w:rsidTr="00F40D93">
        <w:trPr>
          <w:trHeight w:val="337"/>
        </w:trPr>
        <w:tc>
          <w:tcPr>
            <w:tcW w:w="5529" w:type="dxa"/>
            <w:tcBorders>
              <w:top w:val="single" w:sz="24" w:space="0" w:color="F25E21" w:themeColor="accent2"/>
              <w:left w:val="single" w:sz="4" w:space="0" w:color="00264D" w:themeColor="background2"/>
              <w:bottom w:val="single" w:sz="4" w:space="0" w:color="00264D" w:themeColor="background2"/>
              <w:right w:val="single" w:sz="4" w:space="0" w:color="00264D" w:themeColor="background2"/>
            </w:tcBorders>
            <w:shd w:val="clear" w:color="auto" w:fill="auto"/>
          </w:tcPr>
          <w:p w14:paraId="095E1EA9" w14:textId="77777777" w:rsidR="0031726F" w:rsidRPr="00A5304D" w:rsidRDefault="0031726F">
            <w:pPr>
              <w:pStyle w:val="TableNListnumbered"/>
              <w:keepLines/>
              <w:suppressAutoHyphens w:val="0"/>
              <w:spacing w:before="0" w:after="0"/>
              <w:ind w:left="593" w:hanging="593"/>
            </w:pPr>
            <w:r w:rsidRPr="006D1BBD">
              <w:rPr>
                <w:rFonts w:asciiTheme="majorHAnsi" w:hAnsiTheme="majorHAnsi" w:cstheme="majorHAnsi"/>
              </w:rPr>
              <w:t xml:space="preserve">Consider changes to the design of </w:t>
            </w:r>
            <w:r>
              <w:rPr>
                <w:rFonts w:asciiTheme="majorHAnsi" w:hAnsiTheme="majorHAnsi" w:cstheme="majorHAnsi"/>
              </w:rPr>
              <w:t xml:space="preserve">the </w:t>
            </w:r>
            <w:r w:rsidRPr="006D1BBD">
              <w:rPr>
                <w:rFonts w:asciiTheme="majorHAnsi" w:hAnsiTheme="majorHAnsi" w:cstheme="majorHAnsi"/>
              </w:rPr>
              <w:t xml:space="preserve">BRII to encourage </w:t>
            </w:r>
            <w:r>
              <w:rPr>
                <w:rFonts w:asciiTheme="majorHAnsi" w:hAnsiTheme="majorHAnsi" w:cstheme="majorHAnsi"/>
              </w:rPr>
              <w:t xml:space="preserve">collaboration between </w:t>
            </w:r>
            <w:r w:rsidRPr="006D1BBD">
              <w:rPr>
                <w:rFonts w:asciiTheme="majorHAnsi" w:hAnsiTheme="majorHAnsi" w:cstheme="majorHAnsi"/>
              </w:rPr>
              <w:t xml:space="preserve">complementary feasibility SMEs </w:t>
            </w:r>
            <w:r w:rsidRPr="00136BCD">
              <w:rPr>
                <w:rFonts w:asciiTheme="majorHAnsi" w:hAnsiTheme="majorHAnsi" w:cstheme="majorHAnsi"/>
              </w:rPr>
              <w:t>in the proof of concept phase</w:t>
            </w:r>
            <w:r>
              <w:rPr>
                <w:rFonts w:asciiTheme="majorHAnsi" w:hAnsiTheme="majorHAnsi" w:cstheme="majorHAnsi"/>
              </w:rPr>
              <w:t>.</w:t>
            </w:r>
            <w:r w:rsidRPr="007A19C4">
              <w:t xml:space="preserve"> </w:t>
            </w:r>
            <w:r>
              <w:t>Both SMEs and challenge agencies highlighted the opportunity for higher impact solutions through collaboration in certain cases. However, c</w:t>
            </w:r>
            <w:r>
              <w:rPr>
                <w:rFonts w:asciiTheme="minorHAnsi" w:hAnsiTheme="minorHAnsi" w:cstheme="minorHAnsi"/>
              </w:rPr>
              <w:t xml:space="preserve">hanges will need to carefully consider how collaboration will impact on probity concerns, the development, ownership and commercialisation of any resulting IP. DISER should also test whether </w:t>
            </w:r>
            <w:r w:rsidRPr="007A19C4">
              <w:t>collaboration is likely to produce a higher quality solution.</w:t>
            </w:r>
          </w:p>
        </w:tc>
        <w:tc>
          <w:tcPr>
            <w:tcW w:w="3401" w:type="dxa"/>
            <w:tcBorders>
              <w:top w:val="single" w:sz="24" w:space="0" w:color="F25E21" w:themeColor="accent2"/>
              <w:left w:val="single" w:sz="4" w:space="0" w:color="00264D" w:themeColor="background2"/>
              <w:bottom w:val="single" w:sz="4" w:space="0" w:color="00264D" w:themeColor="background2"/>
              <w:right w:val="single" w:sz="4" w:space="0" w:color="00264D" w:themeColor="background2"/>
            </w:tcBorders>
          </w:tcPr>
          <w:p w14:paraId="7ACADF01" w14:textId="77777777" w:rsidR="0031726F" w:rsidRPr="006D1BBD" w:rsidRDefault="0031726F" w:rsidP="00AA384D">
            <w:pPr>
              <w:pStyle w:val="TableNText"/>
            </w:pPr>
            <w:r w:rsidRPr="00192E92">
              <w:t xml:space="preserve">Some challenge agencies and SMEs </w:t>
            </w:r>
            <w:r>
              <w:t>observed circumstances in which different SMEs had complementary solutions. They remarked that there was</w:t>
            </w:r>
            <w:r w:rsidRPr="00192E92">
              <w:t xml:space="preserve"> an opportunity for </w:t>
            </w:r>
            <w:r>
              <w:t xml:space="preserve">the </w:t>
            </w:r>
            <w:r w:rsidRPr="00192E92">
              <w:t xml:space="preserve">BRII to </w:t>
            </w:r>
            <w:r>
              <w:t xml:space="preserve">consider </w:t>
            </w:r>
            <w:r w:rsidRPr="00192E92">
              <w:t>collaboration</w:t>
            </w:r>
            <w:r>
              <w:t>s</w:t>
            </w:r>
            <w:r w:rsidRPr="00192E92">
              <w:t xml:space="preserve"> between SMEs in cases when solutions were complementary and together had a higher likelihood of solving the challenge</w:t>
            </w:r>
            <w:r>
              <w:t>.</w:t>
            </w:r>
          </w:p>
        </w:tc>
      </w:tr>
      <w:tr w:rsidR="0031726F" w:rsidRPr="00726EFA" w14:paraId="1CB83063" w14:textId="77777777" w:rsidTr="00F40D93">
        <w:trPr>
          <w:trHeight w:val="24"/>
        </w:trPr>
        <w:tc>
          <w:tcPr>
            <w:tcW w:w="5529"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auto"/>
          </w:tcPr>
          <w:p w14:paraId="7487A543" w14:textId="77777777" w:rsidR="0031726F" w:rsidRPr="00A5304D" w:rsidRDefault="0031726F">
            <w:pPr>
              <w:pStyle w:val="TableNListnumbered"/>
              <w:keepLines/>
              <w:suppressAutoHyphens w:val="0"/>
              <w:spacing w:before="0" w:after="0"/>
              <w:ind w:left="593" w:hanging="593"/>
            </w:pPr>
            <w:r w:rsidRPr="006D1BBD">
              <w:rPr>
                <w:rFonts w:asciiTheme="majorHAnsi" w:hAnsiTheme="majorHAnsi" w:cstheme="majorHAnsi"/>
              </w:rPr>
              <w:t xml:space="preserve">Provide </w:t>
            </w:r>
            <w:r>
              <w:rPr>
                <w:rFonts w:asciiTheme="majorHAnsi" w:hAnsiTheme="majorHAnsi" w:cstheme="majorHAnsi"/>
              </w:rPr>
              <w:t xml:space="preserve">participating SMEs with </w:t>
            </w:r>
            <w:r w:rsidRPr="006D1BBD">
              <w:rPr>
                <w:rFonts w:asciiTheme="majorHAnsi" w:hAnsiTheme="majorHAnsi" w:cstheme="majorHAnsi"/>
              </w:rPr>
              <w:t>better access to information on government procurement processes</w:t>
            </w:r>
            <w:r>
              <w:t xml:space="preserve"> - for example through tailored factsheets, briefings, webinars or other resources - to help SMEs navigate procurement with their challenge agency or other government agencies. This could be delivered through the challenge agencies based on guidance from the Department of Finance.</w:t>
            </w:r>
          </w:p>
        </w:tc>
        <w:tc>
          <w:tcPr>
            <w:tcW w:w="3401"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12DBFE51" w14:textId="77777777" w:rsidR="0031726F" w:rsidRPr="006D1BBD" w:rsidRDefault="0031726F" w:rsidP="00AA384D">
            <w:pPr>
              <w:pStyle w:val="TableNText"/>
            </w:pPr>
            <w:r w:rsidRPr="0002215C">
              <w:t xml:space="preserve">Some </w:t>
            </w:r>
            <w:r>
              <w:t xml:space="preserve">SMEs </w:t>
            </w:r>
            <w:r w:rsidRPr="0002215C">
              <w:t>found it difficult and confusing to navigate procurement processes.</w:t>
            </w:r>
            <w:r>
              <w:t xml:space="preserve"> </w:t>
            </w:r>
            <w:r w:rsidRPr="004D708F">
              <w:t>Many challenge agencies highlighted that government decision-making and procurement processes were areas for participating SMEs to improve their knowledge</w:t>
            </w:r>
            <w:r>
              <w:t>.</w:t>
            </w:r>
          </w:p>
        </w:tc>
      </w:tr>
      <w:tr w:rsidR="0031726F" w:rsidRPr="00726EFA" w14:paraId="34617570" w14:textId="77777777" w:rsidTr="00F40D93">
        <w:trPr>
          <w:trHeight w:val="3754"/>
        </w:trPr>
        <w:tc>
          <w:tcPr>
            <w:tcW w:w="5529" w:type="dxa"/>
            <w:tcBorders>
              <w:top w:val="single" w:sz="4" w:space="0" w:color="00264D" w:themeColor="background2"/>
              <w:left w:val="single" w:sz="4" w:space="0" w:color="00264D" w:themeColor="background2"/>
              <w:bottom w:val="single" w:sz="4" w:space="0" w:color="FFFFFF" w:themeColor="background1"/>
              <w:right w:val="single" w:sz="4" w:space="0" w:color="00264D" w:themeColor="background2"/>
            </w:tcBorders>
            <w:shd w:val="clear" w:color="auto" w:fill="auto"/>
          </w:tcPr>
          <w:p w14:paraId="6124F9F7" w14:textId="77777777" w:rsidR="0031726F" w:rsidRDefault="0031726F">
            <w:pPr>
              <w:pStyle w:val="TableNListnumbered"/>
              <w:keepLines/>
              <w:suppressAutoHyphens w:val="0"/>
              <w:spacing w:before="0" w:after="0"/>
              <w:ind w:left="593" w:hanging="593"/>
            </w:pPr>
            <w:r w:rsidRPr="006D1BBD">
              <w:rPr>
                <w:rFonts w:asciiTheme="majorHAnsi" w:hAnsiTheme="majorHAnsi" w:cstheme="majorHAnsi"/>
              </w:rPr>
              <w:t>Improve support for commercialisation during and after the proof of concept phase</w:t>
            </w:r>
            <w:r>
              <w:t xml:space="preserve"> through:</w:t>
            </w:r>
          </w:p>
          <w:p w14:paraId="629654D1" w14:textId="77777777" w:rsidR="0031726F" w:rsidRDefault="0031726F">
            <w:pPr>
              <w:pStyle w:val="TableNBullet"/>
              <w:keepLines/>
              <w:numPr>
                <w:ilvl w:val="1"/>
                <w:numId w:val="1"/>
              </w:numPr>
              <w:suppressAutoHyphens w:val="0"/>
              <w:spacing w:before="0" w:after="0"/>
              <w:ind w:left="1018" w:hanging="284"/>
            </w:pPr>
            <w:r>
              <w:t xml:space="preserve">Offering access to commercialisation coaches during the proof of concept phase to mitigate the </w:t>
            </w:r>
            <w:r w:rsidRPr="002F4206">
              <w:t xml:space="preserve">risk of </w:t>
            </w:r>
            <w:r>
              <w:t>SMEs d</w:t>
            </w:r>
            <w:r w:rsidRPr="002F4206">
              <w:t xml:space="preserve">eveloping </w:t>
            </w:r>
            <w:r>
              <w:t xml:space="preserve">bespoke </w:t>
            </w:r>
            <w:r w:rsidRPr="002F4206">
              <w:t>product</w:t>
            </w:r>
            <w:r>
              <w:t>s</w:t>
            </w:r>
            <w:r w:rsidRPr="002F4206">
              <w:t xml:space="preserve"> </w:t>
            </w:r>
            <w:r>
              <w:t xml:space="preserve">with limited </w:t>
            </w:r>
            <w:r w:rsidRPr="002F4206">
              <w:t xml:space="preserve">commercialisation </w:t>
            </w:r>
            <w:r>
              <w:t xml:space="preserve">potential </w:t>
            </w:r>
            <w:r w:rsidRPr="002F4206">
              <w:t>post-BRII.</w:t>
            </w:r>
            <w:r>
              <w:t xml:space="preserve"> </w:t>
            </w:r>
            <w:r w:rsidRPr="002131AB">
              <w:t xml:space="preserve">The BRII could leverage DISER’s broader advisor network </w:t>
            </w:r>
            <w:r>
              <w:t>or</w:t>
            </w:r>
            <w:r w:rsidRPr="002131AB">
              <w:t xml:space="preserve"> </w:t>
            </w:r>
            <w:r>
              <w:t xml:space="preserve">provide </w:t>
            </w:r>
            <w:r w:rsidRPr="002131AB">
              <w:t>incubation style support through an external provider.</w:t>
            </w:r>
          </w:p>
          <w:p w14:paraId="3C40B8D5" w14:textId="77777777" w:rsidR="0031726F" w:rsidRDefault="0031726F">
            <w:pPr>
              <w:pStyle w:val="TableNBullet"/>
              <w:keepLines/>
              <w:numPr>
                <w:ilvl w:val="1"/>
                <w:numId w:val="1"/>
              </w:numPr>
              <w:suppressAutoHyphens w:val="0"/>
              <w:spacing w:before="0" w:after="0"/>
              <w:ind w:left="1018" w:hanging="284"/>
            </w:pPr>
            <w:r>
              <w:t>C</w:t>
            </w:r>
            <w:r w:rsidRPr="00A27291">
              <w:t xml:space="preserve">reating a dedicated stream of funding </w:t>
            </w:r>
            <w:r>
              <w:t>to support</w:t>
            </w:r>
            <w:r w:rsidRPr="00A27291">
              <w:t xml:space="preserve"> </w:t>
            </w:r>
            <w:r>
              <w:t xml:space="preserve">post-BRII commercialisation pilots for eligible </w:t>
            </w:r>
            <w:r w:rsidRPr="00A27291">
              <w:t>proof of concept SMEs</w:t>
            </w:r>
            <w:r>
              <w:t>.</w:t>
            </w:r>
          </w:p>
          <w:p w14:paraId="19FF943B" w14:textId="4B28E905" w:rsidR="0031726F" w:rsidRPr="00B4354D" w:rsidRDefault="00215A42">
            <w:pPr>
              <w:pStyle w:val="TableNBullet"/>
              <w:keepLines/>
              <w:numPr>
                <w:ilvl w:val="1"/>
                <w:numId w:val="1"/>
              </w:numPr>
              <w:suppressAutoHyphens w:val="0"/>
              <w:spacing w:before="0" w:after="0"/>
              <w:ind w:left="1018" w:hanging="284"/>
            </w:pPr>
            <w:r w:rsidRPr="001A577A">
              <w:lastRenderedPageBreak/>
              <w:t>Providing the opportunity for other government departments and agencies not affiliated with the challenge to apply as co-sponsors for post-BRII commercialisation pilots. DISER could develop guidance materials or play an active role to identify and encourage co-sponsors.</w:t>
            </w:r>
          </w:p>
        </w:tc>
        <w:tc>
          <w:tcPr>
            <w:tcW w:w="3401" w:type="dxa"/>
            <w:tcBorders>
              <w:top w:val="single" w:sz="4" w:space="0" w:color="00264D" w:themeColor="background2"/>
              <w:left w:val="single" w:sz="4" w:space="0" w:color="00264D" w:themeColor="background2"/>
              <w:bottom w:val="single" w:sz="4" w:space="0" w:color="FFFFFF" w:themeColor="background1"/>
              <w:right w:val="single" w:sz="4" w:space="0" w:color="00264D" w:themeColor="background2"/>
            </w:tcBorders>
          </w:tcPr>
          <w:p w14:paraId="7CE64E88" w14:textId="433F1A6C" w:rsidR="0031726F" w:rsidRDefault="0031726F" w:rsidP="00AA384D">
            <w:pPr>
              <w:pStyle w:val="TableNListnumbered"/>
              <w:keepLines/>
              <w:numPr>
                <w:ilvl w:val="0"/>
                <w:numId w:val="0"/>
              </w:numPr>
              <w:suppressAutoHyphens w:val="0"/>
              <w:spacing w:before="0" w:after="0"/>
            </w:pPr>
            <w:r w:rsidRPr="009A63C2">
              <w:lastRenderedPageBreak/>
              <w:t>Across both round one and round two, many proof of concept SMEs described the end of the BRII as a cliff.</w:t>
            </w:r>
            <w:r>
              <w:t xml:space="preserve"> </w:t>
            </w:r>
            <w:r w:rsidRPr="00904A45">
              <w:t>A few SMEs noted that the commercialisation pathway post</w:t>
            </w:r>
            <w:r w:rsidR="0009560F">
              <w:t>-</w:t>
            </w:r>
            <w:r w:rsidRPr="00904A45">
              <w:t>BRII was up to 18 to 24 months longer than it could have been if funding or other mechanisms were available to support further proof of concept pilots</w:t>
            </w:r>
            <w:r>
              <w:t>.</w:t>
            </w:r>
          </w:p>
          <w:p w14:paraId="2A5FB2F7" w14:textId="77777777" w:rsidR="0031726F" w:rsidRPr="006D1BBD" w:rsidRDefault="0031726F" w:rsidP="00AA384D">
            <w:pPr>
              <w:pStyle w:val="TableNListnumbered"/>
              <w:keepLines/>
              <w:numPr>
                <w:ilvl w:val="0"/>
                <w:numId w:val="0"/>
              </w:numPr>
              <w:suppressAutoHyphens w:val="0"/>
              <w:spacing w:before="0" w:after="0"/>
              <w:rPr>
                <w:rFonts w:asciiTheme="majorHAnsi" w:hAnsiTheme="majorHAnsi" w:cstheme="majorHAnsi"/>
              </w:rPr>
            </w:pPr>
            <w:r>
              <w:lastRenderedPageBreak/>
              <w:t xml:space="preserve">One SME suggested </w:t>
            </w:r>
            <w:r w:rsidRPr="00907041">
              <w:t xml:space="preserve">co-sponsors </w:t>
            </w:r>
            <w:r>
              <w:t xml:space="preserve">could be included </w:t>
            </w:r>
            <w:r w:rsidRPr="00907041">
              <w:t xml:space="preserve">to support the </w:t>
            </w:r>
            <w:r>
              <w:t>follow-on commercialisation stage.</w:t>
            </w:r>
          </w:p>
        </w:tc>
      </w:tr>
      <w:tr w:rsidR="00746B30" w:rsidRPr="00726EFA" w14:paraId="48B42399" w14:textId="77777777" w:rsidTr="00F40D93">
        <w:trPr>
          <w:trHeight w:val="161"/>
        </w:trPr>
        <w:tc>
          <w:tcPr>
            <w:tcW w:w="5529" w:type="dxa"/>
            <w:tcBorders>
              <w:top w:val="single" w:sz="4" w:space="0" w:color="FFFFFF" w:themeColor="background1"/>
              <w:left w:val="single" w:sz="4" w:space="0" w:color="00264D" w:themeColor="background2"/>
              <w:bottom w:val="single" w:sz="24" w:space="0" w:color="F25E21" w:themeColor="accent2"/>
              <w:right w:val="single" w:sz="4" w:space="0" w:color="FFFFFF" w:themeColor="background1"/>
            </w:tcBorders>
            <w:shd w:val="clear" w:color="auto" w:fill="00264D" w:themeFill="background2"/>
            <w:vAlign w:val="center"/>
          </w:tcPr>
          <w:p w14:paraId="38DCAEF8" w14:textId="77777777" w:rsidR="00746B30" w:rsidRPr="00746B30" w:rsidRDefault="00746B30" w:rsidP="00746B30">
            <w:pPr>
              <w:pStyle w:val="TableNheader"/>
              <w:rPr>
                <w:noProof/>
                <w:color w:val="FFFFFF" w:themeColor="background1"/>
              </w:rPr>
            </w:pPr>
            <w:r w:rsidRPr="00746B30">
              <w:rPr>
                <w:noProof/>
                <w:color w:val="FFFFFF" w:themeColor="background1"/>
              </w:rPr>
              <w:lastRenderedPageBreak/>
              <w:t>Whole of program</w:t>
            </w:r>
          </w:p>
        </w:tc>
        <w:tc>
          <w:tcPr>
            <w:tcW w:w="3401" w:type="dxa"/>
            <w:tcBorders>
              <w:top w:val="single" w:sz="4" w:space="0" w:color="FFFFFF" w:themeColor="background1"/>
              <w:left w:val="single" w:sz="4" w:space="0" w:color="FFFFFF" w:themeColor="background1"/>
              <w:bottom w:val="single" w:sz="24" w:space="0" w:color="F25E21" w:themeColor="accent2"/>
              <w:right w:val="single" w:sz="4" w:space="0" w:color="00264D" w:themeColor="background2"/>
            </w:tcBorders>
            <w:shd w:val="clear" w:color="auto" w:fill="00264D" w:themeFill="background2"/>
          </w:tcPr>
          <w:p w14:paraId="05312063" w14:textId="77777777" w:rsidR="00746B30" w:rsidRPr="00746B30" w:rsidRDefault="00746B30" w:rsidP="00746B30">
            <w:pPr>
              <w:pStyle w:val="TableNheader"/>
              <w:rPr>
                <w:noProof/>
                <w:color w:val="FFFFFF" w:themeColor="background1"/>
              </w:rPr>
            </w:pPr>
            <w:r w:rsidRPr="00746B30">
              <w:rPr>
                <w:noProof/>
                <w:color w:val="FFFFFF" w:themeColor="background1"/>
              </w:rPr>
              <w:t>Supporting findings</w:t>
            </w:r>
          </w:p>
        </w:tc>
      </w:tr>
      <w:tr w:rsidR="0031726F" w:rsidRPr="00D0394C" w14:paraId="4740ABBB" w14:textId="77777777" w:rsidTr="00F40D93">
        <w:trPr>
          <w:trHeight w:val="2640"/>
        </w:trPr>
        <w:tc>
          <w:tcPr>
            <w:tcW w:w="5529" w:type="dxa"/>
            <w:tcBorders>
              <w:top w:val="single" w:sz="24" w:space="0" w:color="F25E21" w:themeColor="accent2"/>
              <w:left w:val="single" w:sz="4" w:space="0" w:color="00264D" w:themeColor="background2"/>
              <w:bottom w:val="single" w:sz="4" w:space="0" w:color="00264D" w:themeColor="background2"/>
              <w:right w:val="single" w:sz="4" w:space="0" w:color="00264D" w:themeColor="background2"/>
            </w:tcBorders>
            <w:shd w:val="clear" w:color="auto" w:fill="auto"/>
          </w:tcPr>
          <w:p w14:paraId="41C66FCF" w14:textId="77777777" w:rsidR="0031726F" w:rsidRDefault="0031726F">
            <w:pPr>
              <w:pStyle w:val="TableNListnumbered"/>
              <w:keepLines/>
              <w:suppressAutoHyphens w:val="0"/>
              <w:spacing w:before="0" w:after="0"/>
              <w:ind w:left="593" w:hanging="593"/>
            </w:pPr>
            <w:r w:rsidRPr="006D1BBD">
              <w:rPr>
                <w:rFonts w:asciiTheme="majorHAnsi" w:hAnsiTheme="majorHAnsi" w:cstheme="majorHAnsi"/>
              </w:rPr>
              <w:t>Increase the efficiency and effectiveness of governance and administrative arrangements</w:t>
            </w:r>
            <w:r>
              <w:rPr>
                <w:rFonts w:asciiTheme="majorHAnsi" w:hAnsiTheme="majorHAnsi" w:cstheme="majorHAnsi"/>
              </w:rPr>
              <w:t xml:space="preserve"> </w:t>
            </w:r>
            <w:r w:rsidRPr="006D1BBD">
              <w:rPr>
                <w:rFonts w:asciiTheme="minorHAnsi" w:hAnsiTheme="minorHAnsi" w:cstheme="minorHAnsi"/>
              </w:rPr>
              <w:t>through</w:t>
            </w:r>
            <w:r>
              <w:t>:</w:t>
            </w:r>
          </w:p>
          <w:p w14:paraId="74BC401F" w14:textId="77777777" w:rsidR="0031726F" w:rsidRPr="007C6A27" w:rsidRDefault="0031726F">
            <w:pPr>
              <w:pStyle w:val="TableNBullet"/>
              <w:keepLines/>
              <w:numPr>
                <w:ilvl w:val="1"/>
                <w:numId w:val="1"/>
              </w:numPr>
              <w:suppressAutoHyphens w:val="0"/>
              <w:spacing w:before="0" w:after="0"/>
              <w:ind w:left="1018" w:hanging="284"/>
            </w:pPr>
            <w:r w:rsidRPr="007C6A27">
              <w:t xml:space="preserve">Embedding a clear approach and rhythm of information sharing between </w:t>
            </w:r>
            <w:r>
              <w:t xml:space="preserve">the BRII </w:t>
            </w:r>
            <w:r w:rsidRPr="007C6A27">
              <w:t xml:space="preserve">policy </w:t>
            </w:r>
            <w:r>
              <w:t xml:space="preserve">and </w:t>
            </w:r>
            <w:r w:rsidRPr="007C6A27">
              <w:t>program teams to drive continuous improvement.</w:t>
            </w:r>
          </w:p>
          <w:p w14:paraId="74F4E2FD" w14:textId="77777777" w:rsidR="0031726F" w:rsidRPr="00A5304D" w:rsidRDefault="0031726F">
            <w:pPr>
              <w:pStyle w:val="TableNBullet"/>
              <w:keepLines/>
              <w:numPr>
                <w:ilvl w:val="1"/>
                <w:numId w:val="1"/>
              </w:numPr>
              <w:suppressAutoHyphens w:val="0"/>
              <w:spacing w:before="0" w:after="0"/>
              <w:ind w:left="1018" w:hanging="284"/>
            </w:pPr>
            <w:r>
              <w:t>Clarifying the different roles that the EPC play (e.g. assessing challenges and SME applications vs providing commercialisation advice to DISER) and then updating governance arrangements accordingly. For example, DISER could engage EPC members to provide commercialisation support directly to challenge agencies in addition to their assessment role.</w:t>
            </w:r>
          </w:p>
        </w:tc>
        <w:tc>
          <w:tcPr>
            <w:tcW w:w="3401" w:type="dxa"/>
            <w:tcBorders>
              <w:top w:val="single" w:sz="24" w:space="0" w:color="F25E21" w:themeColor="accent2"/>
              <w:left w:val="single" w:sz="4" w:space="0" w:color="00264D" w:themeColor="background2"/>
              <w:bottom w:val="single" w:sz="4" w:space="0" w:color="00264D" w:themeColor="background2"/>
              <w:right w:val="single" w:sz="4" w:space="0" w:color="00264D" w:themeColor="background2"/>
            </w:tcBorders>
          </w:tcPr>
          <w:p w14:paraId="71B4FC51" w14:textId="5C2CB7B3" w:rsidR="0031726F" w:rsidRPr="006D1BBD" w:rsidRDefault="0031726F" w:rsidP="00AA384D">
            <w:pPr>
              <w:pStyle w:val="TableNListnumbered"/>
              <w:keepLines/>
              <w:numPr>
                <w:ilvl w:val="0"/>
                <w:numId w:val="0"/>
              </w:numPr>
              <w:suppressAutoHyphens w:val="0"/>
              <w:spacing w:before="0" w:after="0"/>
              <w:rPr>
                <w:rFonts w:asciiTheme="majorHAnsi" w:hAnsiTheme="majorHAnsi" w:cstheme="majorHAnsi"/>
              </w:rPr>
            </w:pPr>
            <w:r w:rsidRPr="009B0238">
              <w:t>Stakeholders identified the opportunity for tighter collaboration between the BRII policy team, program team and the EPC across the three stages of the BRII. Stakeholders identified the benefit of faster feedback loops to improve the design and delivery of the BRII</w:t>
            </w:r>
            <w:r>
              <w:t xml:space="preserve">. EPC members also identified scope creep as a key concern as </w:t>
            </w:r>
            <w:r w:rsidR="003A1DB6">
              <w:t>the</w:t>
            </w:r>
            <w:r>
              <w:t xml:space="preserve"> BRII has evolved over time. This included more requests for commercialisation advice separate to their assessment role</w:t>
            </w:r>
            <w:r w:rsidRPr="00F33542">
              <w:t>.</w:t>
            </w:r>
          </w:p>
        </w:tc>
      </w:tr>
      <w:tr w:rsidR="0031726F" w:rsidRPr="00D0394C" w14:paraId="541F9117" w14:textId="77777777" w:rsidTr="00F40D93">
        <w:trPr>
          <w:trHeight w:val="2027"/>
        </w:trPr>
        <w:tc>
          <w:tcPr>
            <w:tcW w:w="5529"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auto"/>
          </w:tcPr>
          <w:p w14:paraId="17090BF6" w14:textId="77777777" w:rsidR="0031726F" w:rsidRPr="00A5304D" w:rsidRDefault="0031726F">
            <w:pPr>
              <w:pStyle w:val="TableNListnumbered"/>
              <w:keepLines/>
              <w:suppressAutoHyphens w:val="0"/>
              <w:spacing w:before="0" w:after="0"/>
              <w:ind w:left="593" w:hanging="593"/>
            </w:pPr>
            <w:r w:rsidRPr="006D1BBD">
              <w:rPr>
                <w:rFonts w:asciiTheme="majorHAnsi" w:hAnsiTheme="majorHAnsi" w:cstheme="majorHAnsi"/>
              </w:rPr>
              <w:lastRenderedPageBreak/>
              <w:t xml:space="preserve">Explore avenues to increase challenge agency buy-in to </w:t>
            </w:r>
            <w:r>
              <w:rPr>
                <w:rFonts w:asciiTheme="majorHAnsi" w:hAnsiTheme="majorHAnsi" w:cstheme="majorHAnsi"/>
              </w:rPr>
              <w:t xml:space="preserve">the </w:t>
            </w:r>
            <w:r w:rsidRPr="006D1BBD">
              <w:rPr>
                <w:rFonts w:asciiTheme="majorHAnsi" w:hAnsiTheme="majorHAnsi" w:cstheme="majorHAnsi"/>
              </w:rPr>
              <w:t>BRII projects</w:t>
            </w:r>
            <w:r w:rsidRPr="0078197C">
              <w:t xml:space="preserve"> – for example through requirements for financial </w:t>
            </w:r>
            <w:r>
              <w:t>co-</w:t>
            </w:r>
            <w:r w:rsidRPr="0078197C">
              <w:t>contributions</w:t>
            </w:r>
            <w:r>
              <w:t xml:space="preserve">, allocated budgets for implementation or dedicated resources within agency budgets. </w:t>
            </w:r>
            <w:r w:rsidRPr="00A97CFC">
              <w:t>This should also help mitigate the impact of staff turnover in challenge agencies on the SME experience and program outcomes. Additionally, DISER should consider how it can ensure the effective handover of information and relationships when there is the inevitable staff turnover.</w:t>
            </w:r>
          </w:p>
        </w:tc>
        <w:tc>
          <w:tcPr>
            <w:tcW w:w="3401"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511CACD7" w14:textId="77777777" w:rsidR="0031726F" w:rsidRPr="006D1BBD" w:rsidRDefault="0031726F" w:rsidP="00AA384D">
            <w:pPr>
              <w:pStyle w:val="TableNText"/>
            </w:pPr>
            <w:r>
              <w:t>There are currently varying levels of engagement and buy-in across challenge agencies. Both SMEs and challenge agency delivery staff noted that poor engagement and buy-in had negative impacts on their experience.</w:t>
            </w:r>
          </w:p>
        </w:tc>
      </w:tr>
      <w:tr w:rsidR="0031726F" w:rsidRPr="00D0394C" w14:paraId="02AB39D9" w14:textId="77777777" w:rsidTr="00F40D93">
        <w:trPr>
          <w:trHeight w:val="1624"/>
        </w:trPr>
        <w:tc>
          <w:tcPr>
            <w:tcW w:w="5529"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auto"/>
          </w:tcPr>
          <w:p w14:paraId="5A0E0927" w14:textId="77777777" w:rsidR="0031726F" w:rsidRPr="00A5304D" w:rsidRDefault="0031726F">
            <w:pPr>
              <w:pStyle w:val="TableNListnumbered"/>
              <w:spacing w:before="0" w:after="0"/>
              <w:ind w:left="601" w:hanging="601"/>
              <w:rPr>
                <w:rFonts w:asciiTheme="majorHAnsi" w:hAnsiTheme="majorHAnsi" w:cstheme="majorHAnsi"/>
                <w:bCs/>
              </w:rPr>
            </w:pPr>
            <w:r>
              <w:rPr>
                <w:rFonts w:asciiTheme="majorHAnsi" w:hAnsiTheme="majorHAnsi" w:cstheme="majorHAnsi"/>
                <w:bCs/>
              </w:rPr>
              <w:t>Build on current project related data collection</w:t>
            </w:r>
            <w:r w:rsidRPr="005E0F6F">
              <w:rPr>
                <w:rFonts w:asciiTheme="majorHAnsi" w:hAnsiTheme="majorHAnsi" w:cstheme="majorHAnsi"/>
                <w:bCs/>
              </w:rPr>
              <w:t xml:space="preserve"> </w:t>
            </w:r>
            <w:r>
              <w:rPr>
                <w:rFonts w:asciiTheme="majorHAnsi" w:hAnsiTheme="majorHAnsi" w:cstheme="majorHAnsi"/>
                <w:bCs/>
              </w:rPr>
              <w:t xml:space="preserve">and develop </w:t>
            </w:r>
            <w:r w:rsidRPr="005E0F6F">
              <w:rPr>
                <w:rFonts w:asciiTheme="majorHAnsi" w:hAnsiTheme="majorHAnsi" w:cstheme="majorHAnsi"/>
                <w:bCs/>
              </w:rPr>
              <w:t xml:space="preserve">ongoing </w:t>
            </w:r>
            <w:r>
              <w:rPr>
                <w:rFonts w:asciiTheme="majorHAnsi" w:hAnsiTheme="majorHAnsi" w:cstheme="majorHAnsi"/>
                <w:bCs/>
              </w:rPr>
              <w:t xml:space="preserve">program related </w:t>
            </w:r>
            <w:r w:rsidRPr="005E0F6F">
              <w:rPr>
                <w:rFonts w:asciiTheme="majorHAnsi" w:hAnsiTheme="majorHAnsi" w:cstheme="majorHAnsi"/>
                <w:bCs/>
              </w:rPr>
              <w:t xml:space="preserve">data collection to measure the experience, outcomes and impact of </w:t>
            </w:r>
            <w:r>
              <w:rPr>
                <w:rFonts w:asciiTheme="majorHAnsi" w:hAnsiTheme="majorHAnsi" w:cstheme="majorHAnsi"/>
                <w:bCs/>
              </w:rPr>
              <w:t xml:space="preserve">the </w:t>
            </w:r>
            <w:r w:rsidRPr="005E0F6F">
              <w:rPr>
                <w:rFonts w:asciiTheme="majorHAnsi" w:hAnsiTheme="majorHAnsi" w:cstheme="majorHAnsi"/>
                <w:bCs/>
              </w:rPr>
              <w:t>BRII for participating SMEs</w:t>
            </w:r>
            <w:r>
              <w:rPr>
                <w:rFonts w:asciiTheme="majorHAnsi" w:hAnsiTheme="majorHAnsi" w:cstheme="majorHAnsi"/>
                <w:bCs/>
              </w:rPr>
              <w:t xml:space="preserve"> and challenge agencies</w:t>
            </w:r>
            <w:r w:rsidRPr="005E0F6F">
              <w:rPr>
                <w:rFonts w:asciiTheme="majorHAnsi" w:hAnsiTheme="majorHAnsi" w:cstheme="majorHAnsi"/>
                <w:bCs/>
              </w:rPr>
              <w:t>.</w:t>
            </w:r>
            <w:r w:rsidRPr="005E0F6F">
              <w:rPr>
                <w:rFonts w:asciiTheme="minorHAnsi" w:hAnsiTheme="minorHAnsi" w:cstheme="minorHAnsi"/>
                <w:bCs/>
              </w:rPr>
              <w:t xml:space="preserve"> The ongoing, systematised collection of data will support ongoing program improvements and future evaluations. DISER could use the surveys </w:t>
            </w:r>
            <w:r>
              <w:rPr>
                <w:rFonts w:asciiTheme="minorHAnsi" w:hAnsiTheme="minorHAnsi" w:cstheme="minorHAnsi"/>
                <w:bCs/>
              </w:rPr>
              <w:t xml:space="preserve">and interview guides </w:t>
            </w:r>
            <w:r w:rsidRPr="005E0F6F">
              <w:rPr>
                <w:rFonts w:asciiTheme="minorHAnsi" w:hAnsiTheme="minorHAnsi" w:cstheme="minorHAnsi"/>
                <w:bCs/>
              </w:rPr>
              <w:t xml:space="preserve">developed to support this evaluation as a starting point. </w:t>
            </w:r>
          </w:p>
        </w:tc>
        <w:tc>
          <w:tcPr>
            <w:tcW w:w="3401"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6782094A" w14:textId="77777777" w:rsidR="0031726F" w:rsidRPr="00616213" w:rsidRDefault="0031726F" w:rsidP="00AA384D">
            <w:pPr>
              <w:pStyle w:val="TableNText"/>
              <w:rPr>
                <w:highlight w:val="yellow"/>
              </w:rPr>
            </w:pPr>
            <w:r w:rsidRPr="00BF3327">
              <w:t xml:space="preserve">Throughout the evaluation, it was clear that </w:t>
            </w:r>
            <w:r>
              <w:t>DISER had not collected formal data from SMEs and challenge agencies on their experience with the BRII program. This evaluation developed bespoke survey and interview data collection tools to fill these data collection gaps. DISER had collected some data on round one SME and challenge agency outcomes, however, this was through ad hoc processes and not a formal monitoring data collection approach</w:t>
            </w:r>
            <w:r w:rsidRPr="00BF3327">
              <w:t>.</w:t>
            </w:r>
          </w:p>
        </w:tc>
      </w:tr>
      <w:tr w:rsidR="0031726F" w:rsidRPr="00D0394C" w14:paraId="48BE5374" w14:textId="77777777" w:rsidTr="00F40D93">
        <w:trPr>
          <w:trHeight w:val="2269"/>
        </w:trPr>
        <w:tc>
          <w:tcPr>
            <w:tcW w:w="5529" w:type="dxa"/>
            <w:tcBorders>
              <w:top w:val="single" w:sz="4" w:space="0" w:color="00264D" w:themeColor="background2"/>
              <w:left w:val="single" w:sz="4" w:space="0" w:color="00264D" w:themeColor="background2"/>
              <w:bottom w:val="single" w:sz="4" w:space="0" w:color="FFFFFF" w:themeColor="background1"/>
              <w:right w:val="single" w:sz="4" w:space="0" w:color="00264D" w:themeColor="background2"/>
            </w:tcBorders>
            <w:shd w:val="clear" w:color="auto" w:fill="auto"/>
          </w:tcPr>
          <w:p w14:paraId="7DD6E4C3" w14:textId="77777777" w:rsidR="0031726F" w:rsidRPr="007B5931" w:rsidRDefault="0031726F">
            <w:pPr>
              <w:pStyle w:val="TableNListnumbered"/>
              <w:spacing w:before="0" w:after="0"/>
              <w:ind w:left="601" w:hanging="601"/>
              <w:rPr>
                <w:bCs/>
              </w:rPr>
            </w:pPr>
            <w:r w:rsidRPr="006D6A86">
              <w:rPr>
                <w:rFonts w:asciiTheme="majorHAnsi" w:hAnsiTheme="majorHAnsi" w:cstheme="majorHAnsi"/>
              </w:rPr>
              <w:t xml:space="preserve">Build a longitudinal dataset of </w:t>
            </w:r>
            <w:r>
              <w:rPr>
                <w:rFonts w:asciiTheme="majorHAnsi" w:hAnsiTheme="majorHAnsi" w:cstheme="majorHAnsi"/>
              </w:rPr>
              <w:t xml:space="preserve">the </w:t>
            </w:r>
            <w:r w:rsidRPr="006D6A86">
              <w:rPr>
                <w:rFonts w:asciiTheme="majorHAnsi" w:hAnsiTheme="majorHAnsi" w:cstheme="majorHAnsi"/>
              </w:rPr>
              <w:t xml:space="preserve">BRII participants to demonstrate the program’s impact on business performance and their spill over </w:t>
            </w:r>
            <w:r>
              <w:rPr>
                <w:rFonts w:asciiTheme="majorHAnsi" w:hAnsiTheme="majorHAnsi" w:cstheme="majorHAnsi"/>
              </w:rPr>
              <w:t>e</w:t>
            </w:r>
            <w:r w:rsidRPr="006D6A86">
              <w:rPr>
                <w:rFonts w:asciiTheme="majorHAnsi" w:hAnsiTheme="majorHAnsi" w:cstheme="majorHAnsi"/>
              </w:rPr>
              <w:t>ffects</w:t>
            </w:r>
            <w:r w:rsidRPr="006D6A86">
              <w:rPr>
                <w:rFonts w:asciiTheme="majorHAnsi" w:hAnsiTheme="majorHAnsi" w:cstheme="majorHAnsi"/>
                <w:bCs/>
              </w:rPr>
              <w:t>.</w:t>
            </w:r>
            <w:r w:rsidRPr="007B5931">
              <w:rPr>
                <w:bCs/>
              </w:rPr>
              <w:t xml:space="preserve"> This should include:</w:t>
            </w:r>
          </w:p>
          <w:p w14:paraId="3813101E" w14:textId="77777777" w:rsidR="0031726F" w:rsidRPr="007C7038" w:rsidRDefault="0031726F">
            <w:pPr>
              <w:pStyle w:val="TableNBullet"/>
              <w:spacing w:before="0" w:after="0"/>
              <w:ind w:left="885"/>
            </w:pPr>
            <w:r>
              <w:t>M</w:t>
            </w:r>
            <w:r w:rsidRPr="006D6A86">
              <w:t xml:space="preserve">aintaining the CBA model (and relevant guidance material) completed for this evaluation and </w:t>
            </w:r>
            <w:r>
              <w:t xml:space="preserve">integrating </w:t>
            </w:r>
            <w:r w:rsidRPr="006D6A86">
              <w:t xml:space="preserve">more SMEs </w:t>
            </w:r>
            <w:r>
              <w:t xml:space="preserve">into the CBA model </w:t>
            </w:r>
            <w:r w:rsidRPr="006D6A86">
              <w:t>across subsequent rounds, starting with round two SMEs.</w:t>
            </w:r>
          </w:p>
          <w:p w14:paraId="4E5E2271" w14:textId="77777777" w:rsidR="0031726F" w:rsidRPr="00A5304D" w:rsidRDefault="0031726F">
            <w:pPr>
              <w:pStyle w:val="TableNBullet"/>
              <w:spacing w:before="0" w:after="0"/>
              <w:ind w:left="885"/>
            </w:pPr>
            <w:r>
              <w:t xml:space="preserve">Exploring the ongoing use of the datasets developed through the evaluation to create a </w:t>
            </w:r>
            <w:r>
              <w:lastRenderedPageBreak/>
              <w:t>synthetic ‘control group’ for CBAs of future rounds.</w:t>
            </w:r>
          </w:p>
        </w:tc>
        <w:tc>
          <w:tcPr>
            <w:tcW w:w="3401" w:type="dxa"/>
            <w:tcBorders>
              <w:top w:val="single" w:sz="4" w:space="0" w:color="00264D" w:themeColor="background2"/>
              <w:left w:val="single" w:sz="4" w:space="0" w:color="00264D" w:themeColor="background2"/>
              <w:bottom w:val="single" w:sz="4" w:space="0" w:color="FFFFFF" w:themeColor="background1"/>
              <w:right w:val="single" w:sz="4" w:space="0" w:color="00264D" w:themeColor="background2"/>
            </w:tcBorders>
          </w:tcPr>
          <w:p w14:paraId="0C5C3733" w14:textId="77777777" w:rsidR="0031726F" w:rsidRPr="006D1BBD" w:rsidRDefault="0031726F" w:rsidP="00AA384D">
            <w:pPr>
              <w:pStyle w:val="TableNText"/>
            </w:pPr>
            <w:r w:rsidRPr="00397910">
              <w:lastRenderedPageBreak/>
              <w:t xml:space="preserve">There is an opportunity to extend the above methodology so that an increasingly robust evidence base for the costs and benefits of the BRII can be developed over time. The BRII policy and program teams could work closely with the Evaluation and Research Branch of </w:t>
            </w:r>
            <w:r>
              <w:t>DISER</w:t>
            </w:r>
            <w:r w:rsidRPr="00397910">
              <w:t xml:space="preserve"> to engage challenge agencies and SMEs to collect the right data to support the CBA model</w:t>
            </w:r>
            <w:r>
              <w:t>.</w:t>
            </w:r>
          </w:p>
        </w:tc>
      </w:tr>
      <w:tr w:rsidR="0031726F" w:rsidRPr="00D0394C" w14:paraId="7C5A83D5" w14:textId="77777777" w:rsidTr="00F40D93">
        <w:trPr>
          <w:trHeight w:val="332"/>
        </w:trPr>
        <w:tc>
          <w:tcPr>
            <w:tcW w:w="5529" w:type="dxa"/>
            <w:tcBorders>
              <w:top w:val="single" w:sz="4" w:space="0" w:color="FFFFFF" w:themeColor="background1"/>
              <w:left w:val="single" w:sz="4" w:space="0" w:color="00264D" w:themeColor="background2"/>
              <w:bottom w:val="single" w:sz="4" w:space="0" w:color="F25E21" w:themeColor="accent2"/>
              <w:right w:val="single" w:sz="4" w:space="0" w:color="00264D" w:themeColor="background2"/>
            </w:tcBorders>
            <w:shd w:val="clear" w:color="auto" w:fill="auto"/>
          </w:tcPr>
          <w:p w14:paraId="48945E42" w14:textId="15BCFA2F" w:rsidR="0031726F" w:rsidRPr="006D1BBD" w:rsidRDefault="0031726F">
            <w:pPr>
              <w:pStyle w:val="TableNListnumbered"/>
              <w:keepLines/>
              <w:suppressAutoHyphens w:val="0"/>
              <w:spacing w:before="0" w:after="0"/>
              <w:ind w:left="593" w:hanging="593"/>
              <w:rPr>
                <w:rFonts w:asciiTheme="majorHAnsi" w:hAnsiTheme="majorHAnsi" w:cstheme="majorHAnsi"/>
              </w:rPr>
            </w:pPr>
            <w:r w:rsidRPr="006D6A86">
              <w:rPr>
                <w:rFonts w:asciiTheme="majorHAnsi" w:hAnsiTheme="majorHAnsi" w:cstheme="majorHAnsi"/>
              </w:rPr>
              <w:t>Develop a benefits realisation framework to monitor the benefits realised through successful challenge solutions.</w:t>
            </w:r>
            <w:r>
              <w:rPr>
                <w:rFonts w:asciiTheme="majorHAnsi" w:hAnsiTheme="majorHAnsi" w:cstheme="majorHAnsi"/>
              </w:rPr>
              <w:t xml:space="preserve"> </w:t>
            </w:r>
            <w:r>
              <w:t xml:space="preserve">The benefits realisation framework should be flexible so that it can capture the outcomes of the BRII solutions across the various challenges. DISER should consider providing targeted support to challenge agencies to use the benefits realisation framework to develop approaches to measure the impact of </w:t>
            </w:r>
            <w:r w:rsidR="00EE1E4A">
              <w:t xml:space="preserve">the </w:t>
            </w:r>
            <w:r>
              <w:t>successful BRII solutions over time.</w:t>
            </w:r>
          </w:p>
        </w:tc>
        <w:tc>
          <w:tcPr>
            <w:tcW w:w="3401" w:type="dxa"/>
            <w:tcBorders>
              <w:top w:val="single" w:sz="4" w:space="0" w:color="FFFFFF" w:themeColor="background1"/>
              <w:left w:val="single" w:sz="4" w:space="0" w:color="00264D" w:themeColor="background2"/>
              <w:bottom w:val="single" w:sz="4" w:space="0" w:color="F25E21" w:themeColor="accent2"/>
              <w:right w:val="single" w:sz="4" w:space="0" w:color="00264D" w:themeColor="background2"/>
            </w:tcBorders>
          </w:tcPr>
          <w:p w14:paraId="7EF0F100" w14:textId="77777777" w:rsidR="0031726F" w:rsidRPr="006D1BBD" w:rsidRDefault="0031726F" w:rsidP="00AA384D">
            <w:pPr>
              <w:pStyle w:val="TableNText"/>
            </w:pPr>
            <w:r w:rsidRPr="00637318">
              <w:t xml:space="preserve">To measure the impact of </w:t>
            </w:r>
            <w:r>
              <w:t>the BRII</w:t>
            </w:r>
            <w:r w:rsidRPr="00637318">
              <w:t xml:space="preserve"> solutions required longitudinal data that shows the benefits and costs of the various solutions. Due to the unavailability of data or the immaturity of some solutions the evaluation could only provide a high-level assessment of the benefits for three of the ten round one solutions. All three of the quantified solutions are also in the early stages of commercialisation. This limited the quantified benefits, which are expected to increase over time if the solutions continue to gain commercial traction</w:t>
            </w:r>
            <w:r>
              <w:t>.</w:t>
            </w:r>
          </w:p>
        </w:tc>
      </w:tr>
    </w:tbl>
    <w:p w14:paraId="68727BB0" w14:textId="378085E1" w:rsidR="002137EF" w:rsidRPr="002137EF" w:rsidRDefault="002137EF" w:rsidP="0079165B"/>
    <w:p w14:paraId="5FD08037" w14:textId="77777777" w:rsidR="00E80BF0" w:rsidRDefault="00E80BF0" w:rsidP="00E80BF0">
      <w:pPr>
        <w:pStyle w:val="TableNListnumbered"/>
        <w:keepLines/>
        <w:numPr>
          <w:ilvl w:val="0"/>
          <w:numId w:val="0"/>
        </w:numPr>
        <w:suppressAutoHyphens w:val="0"/>
        <w:spacing w:before="0" w:after="0"/>
        <w:rPr>
          <w:rFonts w:asciiTheme="majorHAnsi" w:hAnsiTheme="majorHAnsi" w:cstheme="majorHAnsi"/>
        </w:rPr>
      </w:pPr>
    </w:p>
    <w:p w14:paraId="607B4C72" w14:textId="5A02D99B" w:rsidR="00A36EC9" w:rsidRPr="00D5567E" w:rsidRDefault="00D5567E">
      <w:pPr>
        <w:pStyle w:val="Heading1"/>
      </w:pPr>
      <w:bookmarkStart w:id="162" w:name="_Ref75899923"/>
      <w:bookmarkStart w:id="163" w:name="_Toc124435164"/>
      <w:r>
        <w:rPr>
          <w:noProof/>
        </w:rPr>
        <w:lastRenderedPageBreak/>
        <w:drawing>
          <wp:anchor distT="0" distB="0" distL="114300" distR="114300" simplePos="0" relativeHeight="251680256" behindDoc="0" locked="0" layoutInCell="1" allowOverlap="1" wp14:anchorId="5FA3EEEB" wp14:editId="30DA0129">
            <wp:simplePos x="0" y="0"/>
            <wp:positionH relativeFrom="margin">
              <wp:posOffset>-984250</wp:posOffset>
            </wp:positionH>
            <wp:positionV relativeFrom="paragraph">
              <wp:posOffset>-786130</wp:posOffset>
            </wp:positionV>
            <wp:extent cx="7632700" cy="1530350"/>
            <wp:effectExtent l="0" t="0" r="6350"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632700" cy="1530350"/>
                    </a:xfrm>
                    <a:prstGeom prst="rect">
                      <a:avLst/>
                    </a:prstGeom>
                    <a:noFill/>
                  </pic:spPr>
                </pic:pic>
              </a:graphicData>
            </a:graphic>
          </wp:anchor>
        </w:drawing>
      </w:r>
      <w:r w:rsidR="00360668" w:rsidRPr="00D5567E">
        <w:t>The f</w:t>
      </w:r>
      <w:r w:rsidR="00674432" w:rsidRPr="00D5567E">
        <w:t xml:space="preserve">uture of </w:t>
      </w:r>
      <w:r w:rsidR="00360668" w:rsidRPr="00D5567E">
        <w:t xml:space="preserve">the </w:t>
      </w:r>
      <w:r w:rsidR="00674432" w:rsidRPr="00D5567E">
        <w:t>BRII</w:t>
      </w:r>
      <w:bookmarkEnd w:id="162"/>
      <w:bookmarkEnd w:id="163"/>
    </w:p>
    <w:p w14:paraId="6513C9D0" w14:textId="5B32FF7B" w:rsidR="000170D6" w:rsidRDefault="00746B30" w:rsidP="000170D6">
      <w:pPr>
        <w:rPr>
          <w:b/>
          <w:noProof/>
        </w:rPr>
      </w:pPr>
      <w:r>
        <w:rPr>
          <w:b/>
          <w:noProof/>
        </w:rPr>
        <w:drawing>
          <wp:inline distT="0" distB="0" distL="0" distR="0" wp14:anchorId="1480FDEA" wp14:editId="3026184E">
            <wp:extent cx="5700395" cy="481330"/>
            <wp:effectExtent l="0" t="0" r="0" b="0"/>
            <wp:docPr id="477" name="Picture 477" descr="Summary of fin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Picture 477" descr="Summary of finding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00395" cy="481330"/>
                    </a:xfrm>
                    <a:prstGeom prst="rect">
                      <a:avLst/>
                    </a:prstGeom>
                    <a:noFill/>
                  </pic:spPr>
                </pic:pic>
              </a:graphicData>
            </a:graphic>
          </wp:inline>
        </w:drawing>
      </w:r>
    </w:p>
    <w:p w14:paraId="0ACE9CCC" w14:textId="77777777" w:rsidR="00746B30" w:rsidRPr="00746B30" w:rsidRDefault="00746B30" w:rsidP="00746B30">
      <w:pPr>
        <w:pBdr>
          <w:top w:val="single" w:sz="18" w:space="1" w:color="00264D" w:themeColor="background2"/>
          <w:bottom w:val="single" w:sz="18" w:space="1" w:color="00264D" w:themeColor="background2"/>
        </w:pBdr>
        <w:shd w:val="clear" w:color="auto" w:fill="E6E6E1" w:themeFill="accent5"/>
        <w:rPr>
          <w:rFonts w:asciiTheme="majorHAnsi" w:hAnsiTheme="majorHAnsi" w:cstheme="majorHAnsi"/>
        </w:rPr>
      </w:pPr>
      <w:r w:rsidRPr="00746B30">
        <w:rPr>
          <w:rFonts w:asciiTheme="majorHAnsi" w:hAnsiTheme="majorHAnsi" w:cstheme="majorHAnsi"/>
        </w:rPr>
        <w:fldChar w:fldCharType="begin"/>
      </w:r>
      <w:r w:rsidRPr="00746B30">
        <w:rPr>
          <w:rFonts w:asciiTheme="majorHAnsi" w:hAnsiTheme="majorHAnsi" w:cstheme="majorHAnsi"/>
        </w:rPr>
        <w:instrText xml:space="preserve"> REF _Ref79358654 \h  \* MERGEFORMAT </w:instrText>
      </w:r>
      <w:r w:rsidRPr="00746B30">
        <w:rPr>
          <w:rFonts w:asciiTheme="majorHAnsi" w:hAnsiTheme="majorHAnsi" w:cstheme="majorHAnsi"/>
        </w:rPr>
      </w:r>
      <w:r w:rsidRPr="00746B30">
        <w:rPr>
          <w:rFonts w:asciiTheme="majorHAnsi" w:hAnsiTheme="majorHAnsi" w:cstheme="majorHAnsi"/>
        </w:rPr>
        <w:fldChar w:fldCharType="separate"/>
      </w:r>
      <w:r w:rsidRPr="00746B30">
        <w:rPr>
          <w:rFonts w:asciiTheme="majorHAnsi" w:hAnsiTheme="majorHAnsi" w:cstheme="majorHAnsi"/>
        </w:rPr>
        <w:t>The findings of this evaluation support the scale-up of the BRII to increase its reach and impact</w:t>
      </w:r>
      <w:r w:rsidRPr="00746B30">
        <w:rPr>
          <w:rFonts w:asciiTheme="majorHAnsi" w:hAnsiTheme="majorHAnsi" w:cstheme="majorHAnsi"/>
        </w:rPr>
        <w:fldChar w:fldCharType="end"/>
      </w:r>
    </w:p>
    <w:p w14:paraId="33620657" w14:textId="77777777" w:rsidR="00746B30" w:rsidRPr="00EC6E93" w:rsidRDefault="00746B30" w:rsidP="00746B30">
      <w:pPr>
        <w:pStyle w:val="Bullet"/>
        <w:pBdr>
          <w:top w:val="single" w:sz="18" w:space="1" w:color="00264D" w:themeColor="background2"/>
          <w:bottom w:val="single" w:sz="18" w:space="1" w:color="00264D" w:themeColor="background2"/>
        </w:pBdr>
        <w:shd w:val="clear" w:color="auto" w:fill="E6E6E1" w:themeFill="accent5"/>
        <w:rPr>
          <w:rFonts w:asciiTheme="majorHAnsi" w:hAnsiTheme="majorHAnsi" w:cstheme="majorHAnsi"/>
        </w:rPr>
      </w:pPr>
      <w:r w:rsidRPr="00EC6E93">
        <w:rPr>
          <w:rFonts w:asciiTheme="majorHAnsi" w:hAnsiTheme="majorHAnsi" w:cstheme="majorHAnsi"/>
        </w:rPr>
        <w:fldChar w:fldCharType="begin"/>
      </w:r>
      <w:r w:rsidRPr="00EC6E93">
        <w:rPr>
          <w:rFonts w:asciiTheme="majorHAnsi" w:hAnsiTheme="majorHAnsi" w:cstheme="majorHAnsi"/>
        </w:rPr>
        <w:instrText xml:space="preserve"> REF _Ref75900448 \h </w:instrText>
      </w:r>
      <w:r>
        <w:rPr>
          <w:rFonts w:asciiTheme="majorHAnsi" w:hAnsiTheme="majorHAnsi" w:cstheme="majorHAnsi"/>
        </w:rPr>
        <w:instrText xml:space="preserve"> \* MERGEFORMAT </w:instrText>
      </w:r>
      <w:r w:rsidRPr="00EC6E93">
        <w:rPr>
          <w:rFonts w:asciiTheme="majorHAnsi" w:hAnsiTheme="majorHAnsi" w:cstheme="majorHAnsi"/>
        </w:rPr>
      </w:r>
      <w:r w:rsidRPr="00EC6E93">
        <w:rPr>
          <w:rFonts w:asciiTheme="majorHAnsi" w:hAnsiTheme="majorHAnsi" w:cstheme="majorHAnsi"/>
        </w:rPr>
        <w:fldChar w:fldCharType="separate"/>
      </w:r>
      <w:r w:rsidRPr="00AE607F">
        <w:rPr>
          <w:rFonts w:asciiTheme="majorHAnsi" w:hAnsiTheme="majorHAnsi" w:cstheme="majorHAnsi"/>
        </w:rPr>
        <w:t>The opportunity to scale-up the BRII is large</w:t>
      </w:r>
      <w:r w:rsidRPr="00EC6E93">
        <w:rPr>
          <w:rFonts w:asciiTheme="majorHAnsi" w:hAnsiTheme="majorHAnsi" w:cstheme="majorHAnsi"/>
        </w:rPr>
        <w:fldChar w:fldCharType="end"/>
      </w:r>
      <w:r>
        <w:rPr>
          <w:rFonts w:asciiTheme="majorHAnsi" w:hAnsiTheme="majorHAnsi" w:cstheme="majorHAnsi"/>
        </w:rPr>
        <w:t xml:space="preserve">. </w:t>
      </w:r>
      <w:r w:rsidRPr="00820FD3">
        <w:t>Similar programs in the US</w:t>
      </w:r>
      <w:r>
        <w:t>A</w:t>
      </w:r>
      <w:r w:rsidRPr="00820FD3">
        <w:t xml:space="preserve">, UK and Canada are between </w:t>
      </w:r>
      <w:r>
        <w:t>12</w:t>
      </w:r>
      <w:r w:rsidRPr="008B1635">
        <w:t xml:space="preserve"> and 53 times larger than </w:t>
      </w:r>
      <w:r>
        <w:t xml:space="preserve">the </w:t>
      </w:r>
      <w:r w:rsidRPr="008B1635">
        <w:t>BRII in terms of annual spend</w:t>
      </w:r>
      <w:r w:rsidRPr="00820FD3">
        <w:t>, relative to GDP. If</w:t>
      </w:r>
      <w:r>
        <w:t xml:space="preserve"> the</w:t>
      </w:r>
      <w:r w:rsidRPr="00820FD3">
        <w:t xml:space="preserve"> BRII were to reach the same size as the Canadian program it could support over </w:t>
      </w:r>
      <w:r>
        <w:t>140</w:t>
      </w:r>
      <w:r w:rsidRPr="00820FD3">
        <w:t xml:space="preserve"> SMEs to solve roughly </w:t>
      </w:r>
      <w:r>
        <w:t>35</w:t>
      </w:r>
      <w:r w:rsidRPr="00820FD3">
        <w:t xml:space="preserve"> challenge</w:t>
      </w:r>
      <w:r>
        <w:t>s</w:t>
      </w:r>
      <w:r w:rsidRPr="00820FD3">
        <w:t xml:space="preserve"> per year.</w:t>
      </w:r>
    </w:p>
    <w:p w14:paraId="529A1557" w14:textId="77777777" w:rsidR="00746B30" w:rsidRPr="00C50B5E" w:rsidRDefault="00746B30" w:rsidP="00746B30">
      <w:pPr>
        <w:pStyle w:val="Bullet"/>
        <w:pBdr>
          <w:top w:val="single" w:sz="18" w:space="1" w:color="00264D" w:themeColor="background2"/>
          <w:bottom w:val="single" w:sz="18" w:space="1" w:color="00264D" w:themeColor="background2"/>
        </w:pBdr>
        <w:shd w:val="clear" w:color="auto" w:fill="E6E6E1" w:themeFill="accent5"/>
      </w:pPr>
      <w:r w:rsidRPr="00EC6E93">
        <w:rPr>
          <w:rFonts w:asciiTheme="majorHAnsi" w:hAnsiTheme="majorHAnsi" w:cstheme="majorHAnsi"/>
        </w:rPr>
        <w:fldChar w:fldCharType="begin"/>
      </w:r>
      <w:r w:rsidRPr="00EC6E93">
        <w:rPr>
          <w:rFonts w:asciiTheme="majorHAnsi" w:hAnsiTheme="majorHAnsi" w:cstheme="majorHAnsi"/>
        </w:rPr>
        <w:instrText xml:space="preserve"> REF _Ref75328545 \h  \* MERGEFORMAT </w:instrText>
      </w:r>
      <w:r w:rsidRPr="00EC6E93">
        <w:rPr>
          <w:rFonts w:asciiTheme="majorHAnsi" w:hAnsiTheme="majorHAnsi" w:cstheme="majorHAnsi"/>
        </w:rPr>
      </w:r>
      <w:r w:rsidRPr="00EC6E93">
        <w:rPr>
          <w:rFonts w:asciiTheme="majorHAnsi" w:hAnsiTheme="majorHAnsi" w:cstheme="majorHAnsi"/>
        </w:rPr>
        <w:fldChar w:fldCharType="separate"/>
      </w:r>
      <w:r w:rsidRPr="00AE607F">
        <w:rPr>
          <w:rFonts w:asciiTheme="majorHAnsi" w:hAnsiTheme="majorHAnsi" w:cstheme="majorHAnsi"/>
        </w:rPr>
        <w:t>The evaluation has identified four areas for consideration to scale-up the BRII</w:t>
      </w:r>
      <w:r w:rsidRPr="00EC6E93">
        <w:rPr>
          <w:rFonts w:asciiTheme="majorHAnsi" w:hAnsiTheme="majorHAnsi" w:cstheme="majorHAnsi"/>
        </w:rPr>
        <w:fldChar w:fldCharType="end"/>
      </w:r>
      <w:r w:rsidRPr="00EC6E93">
        <w:rPr>
          <w:rFonts w:asciiTheme="majorHAnsi" w:hAnsiTheme="majorHAnsi" w:cstheme="majorHAnsi"/>
        </w:rPr>
        <w:t>.</w:t>
      </w:r>
      <w:r>
        <w:rPr>
          <w:rFonts w:asciiTheme="majorHAnsi" w:hAnsiTheme="majorHAnsi" w:cstheme="majorHAnsi"/>
        </w:rPr>
        <w:t xml:space="preserve"> </w:t>
      </w:r>
      <w:r w:rsidRPr="00C50B5E">
        <w:t>The government</w:t>
      </w:r>
      <w:r w:rsidRPr="00C50B5E" w:rsidDel="00BE7993">
        <w:t xml:space="preserve"> </w:t>
      </w:r>
      <w:r>
        <w:t>should</w:t>
      </w:r>
      <w:r w:rsidRPr="00C50B5E">
        <w:t xml:space="preserve"> focus on </w:t>
      </w:r>
      <w:r>
        <w:t xml:space="preserve">the </w:t>
      </w:r>
      <w:r w:rsidRPr="00C50B5E">
        <w:t>BRII’s funding arrangements, the delivery of the program, how challenge agencies are supported and engaged, and how SMEs are supported and engaged.</w:t>
      </w:r>
    </w:p>
    <w:p w14:paraId="7C318D5C" w14:textId="77777777" w:rsidR="00746B30" w:rsidRPr="00EC6E93" w:rsidRDefault="00746B30" w:rsidP="00746B30">
      <w:pPr>
        <w:pStyle w:val="Bullet"/>
        <w:pBdr>
          <w:top w:val="single" w:sz="18" w:space="1" w:color="00264D" w:themeColor="background2"/>
          <w:bottom w:val="single" w:sz="18" w:space="1" w:color="00264D" w:themeColor="background2"/>
        </w:pBdr>
        <w:shd w:val="clear" w:color="auto" w:fill="E6E6E1" w:themeFill="accent5"/>
        <w:rPr>
          <w:rFonts w:asciiTheme="majorHAnsi" w:hAnsiTheme="majorHAnsi" w:cstheme="majorHAnsi"/>
        </w:rPr>
      </w:pPr>
      <w:r w:rsidRPr="00EC6E93">
        <w:rPr>
          <w:rFonts w:asciiTheme="majorHAnsi" w:hAnsiTheme="majorHAnsi" w:cstheme="majorHAnsi"/>
        </w:rPr>
        <w:fldChar w:fldCharType="begin"/>
      </w:r>
      <w:r w:rsidRPr="00EC6E93">
        <w:rPr>
          <w:rFonts w:asciiTheme="majorHAnsi" w:hAnsiTheme="majorHAnsi" w:cstheme="majorHAnsi"/>
        </w:rPr>
        <w:instrText xml:space="preserve"> REF _Ref75328548 \h  \* MERGEFORMAT </w:instrText>
      </w:r>
      <w:r w:rsidRPr="00EC6E93">
        <w:rPr>
          <w:rFonts w:asciiTheme="majorHAnsi" w:hAnsiTheme="majorHAnsi" w:cstheme="majorHAnsi"/>
        </w:rPr>
      </w:r>
      <w:r w:rsidRPr="00EC6E93">
        <w:rPr>
          <w:rFonts w:asciiTheme="majorHAnsi" w:hAnsiTheme="majorHAnsi" w:cstheme="majorHAnsi"/>
        </w:rPr>
        <w:fldChar w:fldCharType="separate"/>
      </w:r>
      <w:r w:rsidRPr="00AE607F">
        <w:rPr>
          <w:rFonts w:asciiTheme="majorHAnsi" w:hAnsiTheme="majorHAnsi" w:cstheme="majorHAnsi"/>
        </w:rPr>
        <w:t>There are different funding options to expand the BRII</w:t>
      </w:r>
      <w:r w:rsidRPr="00EC6E93">
        <w:rPr>
          <w:rFonts w:asciiTheme="majorHAnsi" w:hAnsiTheme="majorHAnsi" w:cstheme="majorHAnsi"/>
        </w:rPr>
        <w:fldChar w:fldCharType="end"/>
      </w:r>
      <w:r w:rsidRPr="00EC6E93">
        <w:rPr>
          <w:rFonts w:asciiTheme="majorHAnsi" w:hAnsiTheme="majorHAnsi" w:cstheme="majorHAnsi"/>
        </w:rPr>
        <w:t>.</w:t>
      </w:r>
      <w:r>
        <w:rPr>
          <w:rFonts w:asciiTheme="majorHAnsi" w:hAnsiTheme="majorHAnsi" w:cstheme="majorHAnsi"/>
        </w:rPr>
        <w:t xml:space="preserve"> </w:t>
      </w:r>
      <w:r w:rsidRPr="00C50B5E">
        <w:t xml:space="preserve">DISER could set broad expenditure targets and support agencies and departments to engage in </w:t>
      </w:r>
      <w:r>
        <w:t xml:space="preserve">the </w:t>
      </w:r>
      <w:r w:rsidRPr="00C50B5E">
        <w:t xml:space="preserve">BRII to reach the target expenditure, like the approach taken in the UK. However, this </w:t>
      </w:r>
      <w:r>
        <w:t>approach in the UK has often led to missed targets</w:t>
      </w:r>
      <w:r w:rsidRPr="00C50B5E">
        <w:t xml:space="preserve">. A more effective model </w:t>
      </w:r>
      <w:r>
        <w:t xml:space="preserve">is to mandate </w:t>
      </w:r>
      <w:r w:rsidRPr="00C50B5E">
        <w:t xml:space="preserve">targets as a proportion of </w:t>
      </w:r>
      <w:r>
        <w:t>a portfolio’s annual operating and capital budget. This is</w:t>
      </w:r>
      <w:r w:rsidRPr="00C50B5E">
        <w:t xml:space="preserve"> like the approach taken in Canada and the US</w:t>
      </w:r>
      <w:r>
        <w:t>A</w:t>
      </w:r>
      <w:r w:rsidRPr="00C50B5E">
        <w:t>.</w:t>
      </w:r>
    </w:p>
    <w:p w14:paraId="1408EBB3" w14:textId="77777777" w:rsidR="00746B30" w:rsidRPr="00EC6E93" w:rsidRDefault="00746B30" w:rsidP="00746B30">
      <w:pPr>
        <w:pStyle w:val="Bullet"/>
        <w:pBdr>
          <w:top w:val="single" w:sz="18" w:space="1" w:color="00264D" w:themeColor="background2"/>
          <w:bottom w:val="single" w:sz="18" w:space="1" w:color="00264D" w:themeColor="background2"/>
        </w:pBdr>
        <w:shd w:val="clear" w:color="auto" w:fill="E6E6E1" w:themeFill="accent5"/>
        <w:rPr>
          <w:rFonts w:asciiTheme="majorHAnsi" w:hAnsiTheme="majorHAnsi" w:cstheme="majorHAnsi"/>
        </w:rPr>
      </w:pPr>
      <w:r w:rsidRPr="00EC6E93">
        <w:rPr>
          <w:rFonts w:asciiTheme="majorHAnsi" w:hAnsiTheme="majorHAnsi" w:cstheme="majorHAnsi"/>
        </w:rPr>
        <w:fldChar w:fldCharType="begin"/>
      </w:r>
      <w:r w:rsidRPr="00EC6E93">
        <w:rPr>
          <w:rFonts w:asciiTheme="majorHAnsi" w:hAnsiTheme="majorHAnsi" w:cstheme="majorHAnsi"/>
        </w:rPr>
        <w:instrText xml:space="preserve"> REF _Ref75328550 \h  \* MERGEFORMAT </w:instrText>
      </w:r>
      <w:r w:rsidRPr="00EC6E93">
        <w:rPr>
          <w:rFonts w:asciiTheme="majorHAnsi" w:hAnsiTheme="majorHAnsi" w:cstheme="majorHAnsi"/>
        </w:rPr>
      </w:r>
      <w:r w:rsidRPr="00EC6E93">
        <w:rPr>
          <w:rFonts w:asciiTheme="majorHAnsi" w:hAnsiTheme="majorHAnsi" w:cstheme="majorHAnsi"/>
        </w:rPr>
        <w:fldChar w:fldCharType="separate"/>
      </w:r>
      <w:r w:rsidRPr="00AE607F">
        <w:rPr>
          <w:rFonts w:asciiTheme="majorHAnsi" w:hAnsiTheme="majorHAnsi" w:cstheme="majorHAnsi"/>
        </w:rPr>
        <w:t>The BRII delivery will need to evolve to enable greater scale</w:t>
      </w:r>
      <w:r w:rsidRPr="00EC6E93">
        <w:rPr>
          <w:rFonts w:asciiTheme="majorHAnsi" w:hAnsiTheme="majorHAnsi" w:cstheme="majorHAnsi"/>
        </w:rPr>
        <w:fldChar w:fldCharType="end"/>
      </w:r>
      <w:r>
        <w:rPr>
          <w:rFonts w:asciiTheme="majorHAnsi" w:hAnsiTheme="majorHAnsi" w:cstheme="majorHAnsi"/>
        </w:rPr>
        <w:t xml:space="preserve">. </w:t>
      </w:r>
      <w:r w:rsidRPr="00C50B5E">
        <w:t>Current governance and management arrangements will need to change, for example through new EPC committee arrangements and a centralised governance, administration and policy unit. The program will also need to increase the frequency and nature of challenges; a rolling challenge model is typical in other comparable programs. Workflows and manual process</w:t>
      </w:r>
      <w:r>
        <w:t>es</w:t>
      </w:r>
      <w:r w:rsidRPr="00C50B5E">
        <w:t xml:space="preserve"> will also need to be streamlined and automated. A dedicated online portal</w:t>
      </w:r>
      <w:r>
        <w:t>, like the one ISC uses,</w:t>
      </w:r>
      <w:r w:rsidRPr="00C50B5E">
        <w:t xml:space="preserve"> could support this</w:t>
      </w:r>
      <w:r>
        <w:t xml:space="preserve"> and other efficiencies.</w:t>
      </w:r>
    </w:p>
    <w:p w14:paraId="3546ED72" w14:textId="77777777" w:rsidR="00746B30" w:rsidRPr="00931CB3" w:rsidRDefault="00746B30" w:rsidP="00746B30">
      <w:pPr>
        <w:pStyle w:val="Bullet"/>
        <w:pBdr>
          <w:top w:val="single" w:sz="18" w:space="1" w:color="00264D" w:themeColor="background2"/>
          <w:bottom w:val="single" w:sz="18" w:space="1" w:color="00264D" w:themeColor="background2"/>
        </w:pBdr>
        <w:shd w:val="clear" w:color="auto" w:fill="E6E6E1" w:themeFill="accent5"/>
      </w:pPr>
      <w:r w:rsidRPr="00EC6E93">
        <w:rPr>
          <w:rFonts w:asciiTheme="majorHAnsi" w:hAnsiTheme="majorHAnsi" w:cstheme="majorHAnsi"/>
        </w:rPr>
        <w:fldChar w:fldCharType="begin"/>
      </w:r>
      <w:r w:rsidRPr="00EC6E93">
        <w:rPr>
          <w:rFonts w:asciiTheme="majorHAnsi" w:hAnsiTheme="majorHAnsi" w:cstheme="majorHAnsi"/>
        </w:rPr>
        <w:instrText xml:space="preserve"> REF _Ref75328554 \h  \* MERGEFORMAT </w:instrText>
      </w:r>
      <w:r w:rsidRPr="00EC6E93">
        <w:rPr>
          <w:rFonts w:asciiTheme="majorHAnsi" w:hAnsiTheme="majorHAnsi" w:cstheme="majorHAnsi"/>
        </w:rPr>
      </w:r>
      <w:r w:rsidRPr="00EC6E93">
        <w:rPr>
          <w:rFonts w:asciiTheme="majorHAnsi" w:hAnsiTheme="majorHAnsi" w:cstheme="majorHAnsi"/>
        </w:rPr>
        <w:fldChar w:fldCharType="separate"/>
      </w:r>
      <w:r w:rsidRPr="00AE607F">
        <w:rPr>
          <w:rFonts w:asciiTheme="majorHAnsi" w:hAnsiTheme="majorHAnsi" w:cstheme="majorHAnsi"/>
        </w:rPr>
        <w:t>Australian Public Service capacity and capability will need to improve to support a scaled-up</w:t>
      </w:r>
      <w:r w:rsidRPr="00DF3247">
        <w:t xml:space="preserve"> </w:t>
      </w:r>
      <w:r w:rsidRPr="00AE607F">
        <w:rPr>
          <w:rFonts w:asciiTheme="majorHAnsi" w:hAnsiTheme="majorHAnsi"/>
        </w:rPr>
        <w:t>BRII</w:t>
      </w:r>
      <w:r w:rsidRPr="00EC6E93">
        <w:rPr>
          <w:rFonts w:asciiTheme="majorHAnsi" w:hAnsiTheme="majorHAnsi" w:cstheme="majorHAnsi"/>
        </w:rPr>
        <w:fldChar w:fldCharType="end"/>
      </w:r>
      <w:r>
        <w:rPr>
          <w:rFonts w:asciiTheme="majorHAnsi" w:hAnsiTheme="majorHAnsi" w:cstheme="majorHAnsi"/>
        </w:rPr>
        <w:t xml:space="preserve">. </w:t>
      </w:r>
      <w:r w:rsidRPr="00931CB3">
        <w:t>New embedded roles across participating portfolios that support the administration of the BRII can help to address current workload issues and help to deliver more challenges. Similarly, capability uplift in commercialisation assessment to help the assessment and delivery stages is critical to support a scaled-up BRII. Such uplift may involve the use of dedicated commercialisation advisers.</w:t>
      </w:r>
    </w:p>
    <w:p w14:paraId="3F84BB43" w14:textId="7D1009D3" w:rsidR="00746B30" w:rsidRPr="000170D6" w:rsidRDefault="00746B30" w:rsidP="00746B30">
      <w:pPr>
        <w:pBdr>
          <w:top w:val="single" w:sz="18" w:space="1" w:color="00264D" w:themeColor="background2"/>
          <w:bottom w:val="single" w:sz="18" w:space="1" w:color="00264D" w:themeColor="background2"/>
        </w:pBdr>
        <w:shd w:val="clear" w:color="auto" w:fill="E6E6E1" w:themeFill="accent5"/>
        <w:rPr>
          <w:lang w:eastAsia="en-AU"/>
        </w:rPr>
      </w:pPr>
      <w:r w:rsidRPr="00EC6E93">
        <w:rPr>
          <w:rFonts w:asciiTheme="majorHAnsi" w:hAnsiTheme="majorHAnsi" w:cstheme="majorHAnsi"/>
        </w:rPr>
        <w:fldChar w:fldCharType="begin"/>
      </w:r>
      <w:r w:rsidRPr="00EC6E93">
        <w:rPr>
          <w:rFonts w:asciiTheme="majorHAnsi" w:hAnsiTheme="majorHAnsi" w:cstheme="majorHAnsi"/>
        </w:rPr>
        <w:instrText xml:space="preserve"> REF _Ref75328557 \h  \* MERGEFORMAT </w:instrText>
      </w:r>
      <w:r w:rsidRPr="00EC6E93">
        <w:rPr>
          <w:rFonts w:asciiTheme="majorHAnsi" w:hAnsiTheme="majorHAnsi" w:cstheme="majorHAnsi"/>
        </w:rPr>
      </w:r>
      <w:r w:rsidRPr="00EC6E93">
        <w:rPr>
          <w:rFonts w:asciiTheme="majorHAnsi" w:hAnsiTheme="majorHAnsi" w:cstheme="majorHAnsi"/>
        </w:rPr>
        <w:fldChar w:fldCharType="separate"/>
      </w:r>
      <w:r w:rsidRPr="00AE607F">
        <w:rPr>
          <w:rFonts w:asciiTheme="majorHAnsi" w:hAnsiTheme="majorHAnsi" w:cstheme="majorHAnsi"/>
        </w:rPr>
        <w:t>New approaches to SME engagement and support will enable greater scale</w:t>
      </w:r>
      <w:r w:rsidRPr="00EC6E93">
        <w:rPr>
          <w:rFonts w:asciiTheme="majorHAnsi" w:hAnsiTheme="majorHAnsi" w:cstheme="majorHAnsi"/>
        </w:rPr>
        <w:fldChar w:fldCharType="end"/>
      </w:r>
      <w:r>
        <w:rPr>
          <w:rFonts w:asciiTheme="majorHAnsi" w:hAnsiTheme="majorHAnsi" w:cstheme="majorHAnsi"/>
        </w:rPr>
        <w:t xml:space="preserve">. </w:t>
      </w:r>
      <w:r w:rsidRPr="00931CB3">
        <w:t>A pillar of the BRII’s success is the quality of participating SME’s. This requires focus on early and effective communication to garner interest from the right businesses</w:t>
      </w:r>
      <w:r>
        <w:t xml:space="preserve">. This is even more critical </w:t>
      </w:r>
      <w:r w:rsidRPr="00931CB3">
        <w:t xml:space="preserve">as the BRII </w:t>
      </w:r>
      <w:r>
        <w:t>will need</w:t>
      </w:r>
      <w:r w:rsidRPr="00931CB3">
        <w:t xml:space="preserve"> to reach up to </w:t>
      </w:r>
      <w:r>
        <w:t>1000</w:t>
      </w:r>
      <w:r w:rsidRPr="00931CB3">
        <w:t xml:space="preserve"> applicants per annum</w:t>
      </w:r>
      <w:r>
        <w:t xml:space="preserve"> if it is to achieve similar scale to the ISC.</w:t>
      </w:r>
      <w:r w:rsidRPr="00931CB3">
        <w:t xml:space="preserve"> </w:t>
      </w:r>
      <w:r>
        <w:lastRenderedPageBreak/>
        <w:t xml:space="preserve">Maintaining quality </w:t>
      </w:r>
      <w:r w:rsidRPr="00931CB3">
        <w:t>alongside growth is challenging and will require a</w:t>
      </w:r>
      <w:r>
        <w:t xml:space="preserve">n efficient and effective SME </w:t>
      </w:r>
      <w:r w:rsidRPr="00931CB3">
        <w:t xml:space="preserve">engagement approach. </w:t>
      </w:r>
      <w:r>
        <w:t xml:space="preserve">Maintaining positive SME outcomes and impact, as shown through this evaluation, </w:t>
      </w:r>
      <w:r w:rsidRPr="00931CB3">
        <w:t>will also require greater support for SMEs to understand both government procurement requirements and commercialisation pathways.</w:t>
      </w:r>
    </w:p>
    <w:p w14:paraId="0733C315" w14:textId="613820B8" w:rsidR="00C72CAD" w:rsidRPr="00742311" w:rsidRDefault="00192DDF">
      <w:pPr>
        <w:pStyle w:val="Heading2"/>
      </w:pPr>
      <w:bookmarkStart w:id="164" w:name="_Toc75385680"/>
      <w:bookmarkStart w:id="165" w:name="_Ref75900053"/>
      <w:bookmarkStart w:id="166" w:name="_Ref75900104"/>
      <w:bookmarkStart w:id="167" w:name="_Ref75900415"/>
      <w:bookmarkStart w:id="168" w:name="_Ref75900436"/>
      <w:bookmarkStart w:id="169" w:name="_Ref75900437"/>
      <w:bookmarkStart w:id="170" w:name="_Ref75900439"/>
      <w:bookmarkStart w:id="171" w:name="_Ref79358654"/>
      <w:bookmarkStart w:id="172" w:name="_Toc124435165"/>
      <w:bookmarkStart w:id="173" w:name="_Ref75328523"/>
      <w:bookmarkStart w:id="174" w:name="_Ref75328537"/>
      <w:bookmarkEnd w:id="164"/>
      <w:r w:rsidRPr="00742311">
        <w:t xml:space="preserve">The </w:t>
      </w:r>
      <w:r w:rsidR="00D0724B">
        <w:t xml:space="preserve">findings of this evaluation support </w:t>
      </w:r>
      <w:r w:rsidR="00132A51">
        <w:t xml:space="preserve">the </w:t>
      </w:r>
      <w:r w:rsidR="00861004" w:rsidRPr="00742311">
        <w:t>scale</w:t>
      </w:r>
      <w:r w:rsidR="00D0724B">
        <w:t>-</w:t>
      </w:r>
      <w:r w:rsidRPr="00742311">
        <w:t>up</w:t>
      </w:r>
      <w:r w:rsidR="00D0724B">
        <w:t xml:space="preserve"> of</w:t>
      </w:r>
      <w:r w:rsidRPr="00742311">
        <w:t xml:space="preserve"> </w:t>
      </w:r>
      <w:r w:rsidR="00D22A61" w:rsidRPr="00742311">
        <w:t>the</w:t>
      </w:r>
      <w:r w:rsidRPr="00742311">
        <w:t xml:space="preserve"> BRII</w:t>
      </w:r>
      <w:r w:rsidR="00842234" w:rsidRPr="00742311">
        <w:t xml:space="preserve"> to increase its reach and impact</w:t>
      </w:r>
      <w:bookmarkEnd w:id="165"/>
      <w:bookmarkEnd w:id="166"/>
      <w:bookmarkEnd w:id="167"/>
      <w:bookmarkEnd w:id="168"/>
      <w:bookmarkEnd w:id="169"/>
      <w:bookmarkEnd w:id="170"/>
      <w:bookmarkEnd w:id="171"/>
      <w:bookmarkEnd w:id="172"/>
    </w:p>
    <w:p w14:paraId="62739B14" w14:textId="77777777" w:rsidR="003E5E17" w:rsidRDefault="003E5E17" w:rsidP="003E5E17">
      <w:pPr>
        <w:rPr>
          <w:lang w:eastAsia="en-AU"/>
        </w:rPr>
      </w:pPr>
      <w:r>
        <w:rPr>
          <w:lang w:eastAsia="en-AU"/>
        </w:rPr>
        <w:t xml:space="preserve">One of the purposes of this evaluation was to inform a decision on whether the Government should scale-up the BRII. This evaluation was also asked to provide views on future models to support scaling up the BRII. </w:t>
      </w:r>
    </w:p>
    <w:p w14:paraId="08114C26" w14:textId="1B2956C0" w:rsidR="003E5E17" w:rsidRDefault="003E5E17" w:rsidP="003E5E17">
      <w:r>
        <w:rPr>
          <w:lang w:eastAsia="en-AU"/>
        </w:rPr>
        <w:t xml:space="preserve">This evaluation found that the BRII has </w:t>
      </w:r>
      <w:r w:rsidR="00224D8D">
        <w:rPr>
          <w:lang w:eastAsia="en-AU"/>
        </w:rPr>
        <w:t xml:space="preserve">achieved its dual objectives, creating significant value for government agencies and helping Australian SMEs to innovate and grow. </w:t>
      </w:r>
      <w:r w:rsidR="00986B68">
        <w:rPr>
          <w:lang w:eastAsia="en-AU"/>
        </w:rPr>
        <w:t xml:space="preserve">This evaluation has also found that the BRII has delivered a substantial net economic benefit to Australia based on the impact of </w:t>
      </w:r>
      <w:r w:rsidR="0034677D">
        <w:rPr>
          <w:lang w:eastAsia="en-AU"/>
        </w:rPr>
        <w:t xml:space="preserve">round one SMEs. </w:t>
      </w:r>
      <w:r w:rsidRPr="00635F1A">
        <w:rPr>
          <w:lang w:eastAsia="en-AU"/>
        </w:rPr>
        <w:t>This evaluation therefore recommends that the Government consider scaling up the BRII to increase its reach and impact.</w:t>
      </w:r>
    </w:p>
    <w:p w14:paraId="7B5AEE7B" w14:textId="5110B463" w:rsidR="003E5E17" w:rsidRPr="00654F08" w:rsidRDefault="0034677D" w:rsidP="003E5E17">
      <w:pPr>
        <w:rPr>
          <w:lang w:eastAsia="en-AU"/>
        </w:rPr>
      </w:pPr>
      <w:r>
        <w:rPr>
          <w:lang w:eastAsia="en-AU"/>
        </w:rPr>
        <w:t>It is also important to note that t</w:t>
      </w:r>
      <w:r w:rsidR="003E5E17" w:rsidRPr="00654F08">
        <w:rPr>
          <w:lang w:eastAsia="en-AU"/>
        </w:rPr>
        <w:t xml:space="preserve">he BRII is one of the few demand side levers that </w:t>
      </w:r>
      <w:r w:rsidR="004C6557">
        <w:rPr>
          <w:lang w:eastAsia="en-AU"/>
        </w:rPr>
        <w:t>G</w:t>
      </w:r>
      <w:r w:rsidR="003E5E17" w:rsidRPr="00654F08">
        <w:rPr>
          <w:lang w:eastAsia="en-AU"/>
        </w:rPr>
        <w:t xml:space="preserve">overnment </w:t>
      </w:r>
      <w:r w:rsidR="004C6557">
        <w:rPr>
          <w:lang w:eastAsia="en-AU"/>
        </w:rPr>
        <w:t xml:space="preserve">can </w:t>
      </w:r>
      <w:r w:rsidR="003E5E17" w:rsidRPr="00654F08">
        <w:rPr>
          <w:lang w:eastAsia="en-AU"/>
        </w:rPr>
        <w:t>use to stimulate business innovation</w:t>
      </w:r>
      <w:r w:rsidR="003E5E17">
        <w:rPr>
          <w:lang w:eastAsia="en-AU"/>
        </w:rPr>
        <w:t xml:space="preserve"> and is therefore an important and unique part of the Government’s suite of innovation programs</w:t>
      </w:r>
      <w:r w:rsidR="003E5E17" w:rsidRPr="00654F08">
        <w:rPr>
          <w:lang w:eastAsia="en-AU"/>
        </w:rPr>
        <w:t>.</w:t>
      </w:r>
      <w:r w:rsidR="003E5E17" w:rsidRPr="00336F28">
        <w:rPr>
          <w:lang w:eastAsia="en-AU"/>
        </w:rPr>
        <w:t xml:space="preserve"> </w:t>
      </w:r>
      <w:r w:rsidR="004C6557">
        <w:rPr>
          <w:lang w:eastAsia="en-AU"/>
        </w:rPr>
        <w:t xml:space="preserve">Industry </w:t>
      </w:r>
      <w:r w:rsidR="003E5E17" w:rsidRPr="00B75288">
        <w:rPr>
          <w:lang w:eastAsia="en-AU"/>
        </w:rPr>
        <w:t xml:space="preserve">Innovation Sciences Australia </w:t>
      </w:r>
      <w:r w:rsidR="003E5E17" w:rsidRPr="00654F08">
        <w:rPr>
          <w:lang w:eastAsia="en-AU"/>
        </w:rPr>
        <w:t>(</w:t>
      </w:r>
      <w:r w:rsidR="004C6557">
        <w:rPr>
          <w:lang w:eastAsia="en-AU"/>
        </w:rPr>
        <w:t>I</w:t>
      </w:r>
      <w:r w:rsidR="003E5E17" w:rsidRPr="00654F08">
        <w:rPr>
          <w:lang w:eastAsia="en-AU"/>
        </w:rPr>
        <w:t xml:space="preserve">ISA) </w:t>
      </w:r>
      <w:r w:rsidR="003E5E17" w:rsidRPr="00B75288">
        <w:rPr>
          <w:lang w:eastAsia="en-AU"/>
        </w:rPr>
        <w:t xml:space="preserve">recommended in 2020 that, where appropriate, government leverage its procurement of products and services to promote a more innovation-oriented response from business and build business capability. </w:t>
      </w:r>
      <w:r w:rsidR="004C6557">
        <w:rPr>
          <w:lang w:eastAsia="en-AU"/>
        </w:rPr>
        <w:t>I</w:t>
      </w:r>
      <w:r w:rsidR="003E5E17" w:rsidRPr="00B75288">
        <w:rPr>
          <w:lang w:eastAsia="en-AU"/>
        </w:rPr>
        <w:t>ISA particularly noted the need to focus on procurement policy that can deliver innovative solutions for government and growth opportunities for innovative firms.</w:t>
      </w:r>
      <w:r w:rsidR="003E5E17">
        <w:rPr>
          <w:rStyle w:val="FootnoteReference"/>
          <w:lang w:eastAsia="en-AU"/>
        </w:rPr>
        <w:footnoteReference w:id="70"/>
      </w:r>
    </w:p>
    <w:p w14:paraId="56BA79C2" w14:textId="65BD688A" w:rsidR="00224D8D" w:rsidRDefault="003E5E17" w:rsidP="003E5E17">
      <w:pPr>
        <w:rPr>
          <w:lang w:eastAsia="en-AU"/>
        </w:rPr>
      </w:pPr>
      <w:r w:rsidRPr="00654F08">
        <w:rPr>
          <w:lang w:eastAsia="en-AU"/>
        </w:rPr>
        <w:t xml:space="preserve">This </w:t>
      </w:r>
      <w:r w:rsidR="004C6557">
        <w:rPr>
          <w:lang w:eastAsia="en-AU"/>
        </w:rPr>
        <w:t>I</w:t>
      </w:r>
      <w:r w:rsidRPr="00B75288">
        <w:rPr>
          <w:lang w:eastAsia="en-AU"/>
        </w:rPr>
        <w:t xml:space="preserve">ISA recommendation </w:t>
      </w:r>
      <w:r w:rsidRPr="00654F08">
        <w:rPr>
          <w:lang w:eastAsia="en-AU"/>
        </w:rPr>
        <w:t>also aligns with the recent</w:t>
      </w:r>
      <w:r>
        <w:rPr>
          <w:lang w:eastAsia="en-AU"/>
        </w:rPr>
        <w:t xml:space="preserve"> Department of Education, Skills and Employment</w:t>
      </w:r>
      <w:r w:rsidRPr="00654F08">
        <w:rPr>
          <w:lang w:eastAsia="en-AU"/>
        </w:rPr>
        <w:t xml:space="preserve"> discussion paper to support the design of the </w:t>
      </w:r>
      <w:r w:rsidRPr="00B75288">
        <w:rPr>
          <w:lang w:eastAsia="en-AU"/>
        </w:rPr>
        <w:t>University Research Commercialisation Scheme (URCS).</w:t>
      </w:r>
      <w:r>
        <w:rPr>
          <w:rStyle w:val="FootnoteReference"/>
          <w:lang w:eastAsia="en-AU"/>
        </w:rPr>
        <w:footnoteReference w:id="71"/>
      </w:r>
      <w:r w:rsidRPr="00B75288">
        <w:rPr>
          <w:lang w:eastAsia="en-AU"/>
        </w:rPr>
        <w:t xml:space="preserve"> The consultation paper highlights both challenge</w:t>
      </w:r>
      <w:r>
        <w:rPr>
          <w:lang w:eastAsia="en-AU"/>
        </w:rPr>
        <w:t>-</w:t>
      </w:r>
      <w:r w:rsidRPr="00B75288">
        <w:rPr>
          <w:lang w:eastAsia="en-AU"/>
        </w:rPr>
        <w:t xml:space="preserve">based research and stage gated scheme design as two important factors to support innovation. The BRII has shown itself to be a model that can successfully leverage both factors to deliver significant value. However, any decision to scale-up the BRII must consider how it will augment other focus areas for government, such as the URCS. </w:t>
      </w:r>
    </w:p>
    <w:p w14:paraId="0A462DF7" w14:textId="0137D82B" w:rsidR="00C35073" w:rsidRPr="00C35073" w:rsidRDefault="000A6004" w:rsidP="00C35073">
      <w:pPr>
        <w:rPr>
          <w:lang w:eastAsia="en-AU"/>
        </w:rPr>
      </w:pPr>
      <w:r>
        <w:rPr>
          <w:lang w:eastAsia="en-AU"/>
        </w:rPr>
        <w:t xml:space="preserve">This section first looks to the </w:t>
      </w:r>
      <w:r w:rsidR="001348CA">
        <w:rPr>
          <w:lang w:eastAsia="en-AU"/>
        </w:rPr>
        <w:t xml:space="preserve">experience of the BRII’s international comparators to </w:t>
      </w:r>
      <w:r w:rsidR="0086674A">
        <w:rPr>
          <w:lang w:eastAsia="en-AU"/>
        </w:rPr>
        <w:t>clearly understand the</w:t>
      </w:r>
      <w:r w:rsidR="00AE28D8">
        <w:rPr>
          <w:lang w:eastAsia="en-AU"/>
        </w:rPr>
        <w:t xml:space="preserve"> substantial</w:t>
      </w:r>
      <w:r w:rsidR="0086674A">
        <w:rPr>
          <w:lang w:eastAsia="en-AU"/>
        </w:rPr>
        <w:t xml:space="preserve"> opportunity at hand. </w:t>
      </w:r>
      <w:r w:rsidR="0038628D">
        <w:rPr>
          <w:lang w:eastAsia="en-AU"/>
        </w:rPr>
        <w:t>It then outlines important scale</w:t>
      </w:r>
      <w:r w:rsidR="008C404E">
        <w:rPr>
          <w:lang w:eastAsia="en-AU"/>
        </w:rPr>
        <w:t>-</w:t>
      </w:r>
      <w:r w:rsidR="0038628D">
        <w:rPr>
          <w:lang w:eastAsia="en-AU"/>
        </w:rPr>
        <w:t xml:space="preserve">up considerations to support </w:t>
      </w:r>
      <w:r>
        <w:rPr>
          <w:lang w:eastAsia="en-AU"/>
        </w:rPr>
        <w:t xml:space="preserve">DISER and its partners </w:t>
      </w:r>
      <w:r w:rsidR="0038628D">
        <w:rPr>
          <w:lang w:eastAsia="en-AU"/>
        </w:rPr>
        <w:t xml:space="preserve">across </w:t>
      </w:r>
      <w:r w:rsidR="0086674A">
        <w:rPr>
          <w:lang w:eastAsia="en-AU"/>
        </w:rPr>
        <w:t xml:space="preserve">four key areas of focus: funding, program delivery, </w:t>
      </w:r>
      <w:r w:rsidR="0038628D">
        <w:rPr>
          <w:lang w:eastAsia="en-AU"/>
        </w:rPr>
        <w:t xml:space="preserve">APS agency </w:t>
      </w:r>
      <w:r w:rsidR="0086674A">
        <w:rPr>
          <w:lang w:eastAsia="en-AU"/>
        </w:rPr>
        <w:t>engagement and support</w:t>
      </w:r>
      <w:r w:rsidR="0038628D">
        <w:rPr>
          <w:lang w:eastAsia="en-AU"/>
        </w:rPr>
        <w:t xml:space="preserve"> and SME engagement and support</w:t>
      </w:r>
      <w:r w:rsidR="0086674A">
        <w:rPr>
          <w:lang w:eastAsia="en-AU"/>
        </w:rPr>
        <w:t>.</w:t>
      </w:r>
    </w:p>
    <w:p w14:paraId="467814FA" w14:textId="0AB9DFEB" w:rsidR="00DF3247" w:rsidRDefault="00DF3247">
      <w:pPr>
        <w:pStyle w:val="Heading3"/>
      </w:pPr>
      <w:bookmarkStart w:id="175" w:name="_Ref75900448"/>
      <w:r w:rsidRPr="00DF3247">
        <w:lastRenderedPageBreak/>
        <w:t>The opportunity to scale-up the BRII is large</w:t>
      </w:r>
      <w:bookmarkEnd w:id="173"/>
      <w:bookmarkEnd w:id="174"/>
      <w:bookmarkEnd w:id="175"/>
    </w:p>
    <w:p w14:paraId="1C1B0C36" w14:textId="365051E7" w:rsidR="002C6EC0" w:rsidRDefault="002C6EC0" w:rsidP="00EA4234">
      <w:pPr>
        <w:pStyle w:val="Heading4"/>
        <w:rPr>
          <w:lang w:val="en-US"/>
        </w:rPr>
      </w:pPr>
      <w:r w:rsidRPr="002C6EC0">
        <w:rPr>
          <w:lang w:val="en-US"/>
        </w:rPr>
        <w:t>Comparative international programs are many times larger than the BRII.</w:t>
      </w:r>
    </w:p>
    <w:p w14:paraId="59F44747" w14:textId="6DAF1A11" w:rsidR="001A6B4A" w:rsidRDefault="002C6EC0">
      <w:pPr>
        <w:spacing w:after="165" w:line="259" w:lineRule="auto"/>
        <w:rPr>
          <w:rFonts w:ascii="Segoe UI Semibold" w:hAnsi="Segoe UI Semibold"/>
          <w:bCs/>
          <w:color w:val="00264D" w:themeColor="background2"/>
          <w:szCs w:val="18"/>
        </w:rPr>
      </w:pPr>
      <w:r w:rsidRPr="002C6EC0">
        <w:rPr>
          <w:lang w:eastAsia="en-AU"/>
        </w:rPr>
        <w:t>The three main comparison programs are the SBIR program in the USA, the SBRI in the UK and ISC</w:t>
      </w:r>
      <w:r w:rsidR="00E4498E">
        <w:rPr>
          <w:lang w:eastAsia="en-AU"/>
        </w:rPr>
        <w:t xml:space="preserve"> </w:t>
      </w:r>
      <w:r w:rsidR="000245C0">
        <w:rPr>
          <w:lang w:eastAsia="en-AU"/>
        </w:rPr>
        <w:t xml:space="preserve">in </w:t>
      </w:r>
      <w:r w:rsidR="00E4498E">
        <w:rPr>
          <w:lang w:eastAsia="en-AU"/>
        </w:rPr>
        <w:t>Canada</w:t>
      </w:r>
      <w:r w:rsidRPr="002C6EC0">
        <w:rPr>
          <w:lang w:eastAsia="en-AU"/>
        </w:rPr>
        <w:t xml:space="preserve">. The US SBIR is the oldest and largest program. </w:t>
      </w:r>
      <w:r w:rsidR="00DE253C">
        <w:rPr>
          <w:lang w:eastAsia="en-AU"/>
        </w:rPr>
        <w:t xml:space="preserve">Although much younger, </w:t>
      </w:r>
      <w:r w:rsidR="00F75170">
        <w:rPr>
          <w:lang w:eastAsia="en-AU"/>
        </w:rPr>
        <w:t xml:space="preserve">the </w:t>
      </w:r>
      <w:r w:rsidRPr="002C6EC0">
        <w:rPr>
          <w:lang w:eastAsia="en-AU"/>
        </w:rPr>
        <w:t xml:space="preserve">ISC has a larger </w:t>
      </w:r>
      <w:r w:rsidR="00AB5462">
        <w:rPr>
          <w:lang w:eastAsia="en-AU"/>
        </w:rPr>
        <w:t>budget</w:t>
      </w:r>
      <w:r w:rsidRPr="002C6EC0">
        <w:rPr>
          <w:lang w:eastAsia="en-AU"/>
        </w:rPr>
        <w:t xml:space="preserve"> than the older UK SBRI </w:t>
      </w:r>
      <w:r w:rsidR="00264189">
        <w:rPr>
          <w:lang w:eastAsia="en-AU"/>
        </w:rPr>
        <w:t xml:space="preserve">when scaled to GDP size. </w:t>
      </w:r>
      <w:r w:rsidR="00BD4D37" w:rsidRPr="002C6EC0">
        <w:rPr>
          <w:lang w:eastAsia="en-AU"/>
        </w:rPr>
        <w:t xml:space="preserve">A comparison of the scale of the three international programs </w:t>
      </w:r>
      <w:r w:rsidR="00BD4D37">
        <w:rPr>
          <w:lang w:eastAsia="en-AU"/>
        </w:rPr>
        <w:t>is</w:t>
      </w:r>
      <w:r w:rsidR="00BD4D37" w:rsidRPr="002C6EC0">
        <w:rPr>
          <w:lang w:eastAsia="en-AU"/>
        </w:rPr>
        <w:t xml:space="preserve"> provided</w:t>
      </w:r>
      <w:r w:rsidR="00591997">
        <w:rPr>
          <w:lang w:eastAsia="en-AU"/>
        </w:rPr>
        <w:t xml:space="preserve"> in </w:t>
      </w:r>
      <w:r w:rsidR="00591997">
        <w:rPr>
          <w:lang w:eastAsia="en-AU"/>
        </w:rPr>
        <w:fldChar w:fldCharType="begin"/>
      </w:r>
      <w:r w:rsidR="00591997">
        <w:rPr>
          <w:lang w:eastAsia="en-AU"/>
        </w:rPr>
        <w:instrText xml:space="preserve"> REF _Ref81294515 \h </w:instrText>
      </w:r>
      <w:r w:rsidR="00591997">
        <w:rPr>
          <w:lang w:eastAsia="en-AU"/>
        </w:rPr>
      </w:r>
      <w:r w:rsidR="00591997">
        <w:rPr>
          <w:lang w:eastAsia="en-AU"/>
        </w:rPr>
        <w:fldChar w:fldCharType="separate"/>
      </w:r>
      <w:r w:rsidR="00AE607F">
        <w:t xml:space="preserve">Table </w:t>
      </w:r>
      <w:r w:rsidR="00AE607F">
        <w:rPr>
          <w:noProof/>
        </w:rPr>
        <w:t>10</w:t>
      </w:r>
      <w:r w:rsidR="00591997">
        <w:rPr>
          <w:lang w:eastAsia="en-AU"/>
        </w:rPr>
        <w:fldChar w:fldCharType="end"/>
      </w:r>
      <w:r w:rsidR="005A6DB0">
        <w:rPr>
          <w:lang w:eastAsia="en-AU"/>
        </w:rPr>
        <w:t xml:space="preserve"> overleaf</w:t>
      </w:r>
      <w:r w:rsidR="00BD4D37" w:rsidRPr="002C6EC0">
        <w:rPr>
          <w:lang w:eastAsia="en-AU"/>
        </w:rPr>
        <w:t xml:space="preserve">. More detail on each program is provided in </w:t>
      </w:r>
      <w:r w:rsidR="00BD4D37">
        <w:rPr>
          <w:lang w:eastAsia="en-AU"/>
        </w:rPr>
        <w:fldChar w:fldCharType="begin"/>
      </w:r>
      <w:r w:rsidR="00BD4D37">
        <w:rPr>
          <w:lang w:eastAsia="en-AU"/>
        </w:rPr>
        <w:instrText xml:space="preserve"> REF _Ref75945988 \r \h </w:instrText>
      </w:r>
      <w:r w:rsidR="00BD4D37">
        <w:rPr>
          <w:lang w:eastAsia="en-AU"/>
        </w:rPr>
      </w:r>
      <w:r w:rsidR="00BD4D37">
        <w:rPr>
          <w:lang w:eastAsia="en-AU"/>
        </w:rPr>
        <w:fldChar w:fldCharType="separate"/>
      </w:r>
      <w:r w:rsidR="00AE607F">
        <w:rPr>
          <w:lang w:eastAsia="en-AU"/>
        </w:rPr>
        <w:t>Appendix A</w:t>
      </w:r>
      <w:r w:rsidR="00BD4D37">
        <w:rPr>
          <w:lang w:eastAsia="en-AU"/>
        </w:rPr>
        <w:fldChar w:fldCharType="end"/>
      </w:r>
      <w:r w:rsidR="00BD4D37">
        <w:rPr>
          <w:lang w:eastAsia="en-AU"/>
        </w:rPr>
        <w:t>.</w:t>
      </w:r>
      <w:bookmarkStart w:id="176" w:name="_Ref79402783"/>
      <w:r w:rsidR="001A6B4A">
        <w:br w:type="page"/>
      </w:r>
    </w:p>
    <w:p w14:paraId="0A17A91F" w14:textId="424A2027" w:rsidR="006A0054" w:rsidRDefault="006A0054" w:rsidP="006A0054">
      <w:pPr>
        <w:pStyle w:val="Caption"/>
        <w:rPr>
          <w:lang w:eastAsia="en-AU"/>
        </w:rPr>
      </w:pPr>
      <w:bookmarkStart w:id="177" w:name="_Ref81294515"/>
      <w:r>
        <w:lastRenderedPageBreak/>
        <w:t xml:space="preserve">Table </w:t>
      </w:r>
      <w:r>
        <w:fldChar w:fldCharType="begin"/>
      </w:r>
      <w:r>
        <w:instrText xml:space="preserve"> SEQ Table \* ARABIC </w:instrText>
      </w:r>
      <w:r>
        <w:fldChar w:fldCharType="separate"/>
      </w:r>
      <w:r w:rsidR="00AE607F">
        <w:rPr>
          <w:noProof/>
        </w:rPr>
        <w:t>10</w:t>
      </w:r>
      <w:r>
        <w:fldChar w:fldCharType="end"/>
      </w:r>
      <w:bookmarkEnd w:id="176"/>
      <w:bookmarkEnd w:id="177"/>
      <w:r>
        <w:t xml:space="preserve"> | Comparison of </w:t>
      </w:r>
      <w:r w:rsidR="0025512D">
        <w:t xml:space="preserve">BRII funding size with </w:t>
      </w:r>
      <w:r>
        <w:t>international CBI schemes</w:t>
      </w:r>
    </w:p>
    <w:tbl>
      <w:tblPr>
        <w:tblStyle w:val="NOUSSideHeader1"/>
        <w:tblW w:w="5000" w:type="pct"/>
        <w:tblLook w:val="0620" w:firstRow="1" w:lastRow="0" w:firstColumn="0" w:lastColumn="0" w:noHBand="1" w:noVBand="1"/>
      </w:tblPr>
      <w:tblGrid>
        <w:gridCol w:w="1559"/>
        <w:gridCol w:w="1840"/>
        <w:gridCol w:w="1841"/>
        <w:gridCol w:w="1839"/>
        <w:gridCol w:w="1841"/>
      </w:tblGrid>
      <w:tr w:rsidR="003C631D" w:rsidRPr="00EA7AB8" w14:paraId="79617ACA" w14:textId="77777777" w:rsidTr="003C631D">
        <w:trPr>
          <w:cnfStyle w:val="100000000000" w:firstRow="1" w:lastRow="0" w:firstColumn="0" w:lastColumn="0" w:oddVBand="0" w:evenVBand="0" w:oddHBand="0" w:evenHBand="0" w:firstRowFirstColumn="0" w:firstRowLastColumn="0" w:lastRowFirstColumn="0" w:lastRowLastColumn="0"/>
          <w:trHeight w:val="397"/>
        </w:trPr>
        <w:tc>
          <w:tcPr>
            <w:tcW w:w="873" w:type="pct"/>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auto"/>
            <w:hideMark/>
          </w:tcPr>
          <w:p w14:paraId="48BFD08B" w14:textId="77777777" w:rsidR="006A0054" w:rsidRPr="00EA7AB8" w:rsidRDefault="006A0054" w:rsidP="008B08AE">
            <w:pPr>
              <w:spacing w:after="0"/>
              <w:rPr>
                <w:lang w:eastAsia="en-AU"/>
              </w:rPr>
            </w:pPr>
          </w:p>
        </w:tc>
        <w:tc>
          <w:tcPr>
            <w:tcW w:w="1031" w:type="pct"/>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hideMark/>
          </w:tcPr>
          <w:p w14:paraId="01B04CE0" w14:textId="77777777" w:rsidR="006A0054" w:rsidRPr="00746B30" w:rsidRDefault="006A0054" w:rsidP="00746B30">
            <w:pPr>
              <w:pStyle w:val="TableNheader"/>
              <w:rPr>
                <w:color w:val="FFFFFF" w:themeColor="background1"/>
                <w:lang w:eastAsia="en-AU"/>
              </w:rPr>
            </w:pPr>
            <w:r w:rsidRPr="00746B30">
              <w:rPr>
                <w:color w:val="FFFFFF" w:themeColor="background1"/>
                <w:lang w:eastAsia="en-AU"/>
              </w:rPr>
              <w:t>US - SBIR</w:t>
            </w:r>
          </w:p>
        </w:tc>
        <w:tc>
          <w:tcPr>
            <w:tcW w:w="1032" w:type="pct"/>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hideMark/>
          </w:tcPr>
          <w:p w14:paraId="6381E1D3" w14:textId="77777777" w:rsidR="006A0054" w:rsidRPr="00746B30" w:rsidRDefault="006A0054" w:rsidP="00746B30">
            <w:pPr>
              <w:pStyle w:val="TableNheader"/>
              <w:rPr>
                <w:color w:val="FFFFFF" w:themeColor="background1"/>
                <w:lang w:eastAsia="en-AU"/>
              </w:rPr>
            </w:pPr>
            <w:r w:rsidRPr="00746B30">
              <w:rPr>
                <w:color w:val="FFFFFF" w:themeColor="background1"/>
                <w:lang w:eastAsia="en-AU"/>
              </w:rPr>
              <w:t>UK - SBRI</w:t>
            </w:r>
          </w:p>
        </w:tc>
        <w:tc>
          <w:tcPr>
            <w:tcW w:w="1031" w:type="pct"/>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hideMark/>
          </w:tcPr>
          <w:p w14:paraId="08C13B31" w14:textId="6F77AE8C" w:rsidR="006A0054" w:rsidRPr="00746B30" w:rsidRDefault="00237B38" w:rsidP="00746B30">
            <w:pPr>
              <w:pStyle w:val="TableNheader"/>
              <w:rPr>
                <w:color w:val="FFFFFF" w:themeColor="background1"/>
                <w:lang w:eastAsia="en-AU"/>
              </w:rPr>
            </w:pPr>
            <w:r w:rsidRPr="00746B30">
              <w:rPr>
                <w:color w:val="FFFFFF" w:themeColor="background1"/>
                <w:lang w:eastAsia="en-AU"/>
              </w:rPr>
              <w:t>Canada</w:t>
            </w:r>
            <w:r w:rsidR="006A0054" w:rsidRPr="00746B30">
              <w:rPr>
                <w:color w:val="FFFFFF" w:themeColor="background1"/>
                <w:lang w:eastAsia="en-AU"/>
              </w:rPr>
              <w:t xml:space="preserve"> - ISC</w:t>
            </w:r>
          </w:p>
        </w:tc>
        <w:tc>
          <w:tcPr>
            <w:tcW w:w="1032" w:type="pct"/>
            <w:tcBorders>
              <w:top w:val="single" w:sz="4" w:space="0" w:color="FFFFFF" w:themeColor="background1"/>
              <w:left w:val="single" w:sz="4" w:space="0" w:color="FFFFFF" w:themeColor="background1"/>
              <w:bottom w:val="single" w:sz="4" w:space="0" w:color="00264D" w:themeColor="background2"/>
              <w:right w:val="single" w:sz="4" w:space="0" w:color="FFFFFF" w:themeColor="background1"/>
            </w:tcBorders>
            <w:shd w:val="clear" w:color="auto" w:fill="00264D" w:themeFill="background2"/>
          </w:tcPr>
          <w:p w14:paraId="7808819E" w14:textId="77777777" w:rsidR="006A0054" w:rsidRPr="00746B30" w:rsidRDefault="006A0054" w:rsidP="00746B30">
            <w:pPr>
              <w:pStyle w:val="TableNheader"/>
              <w:rPr>
                <w:color w:val="FFFFFF" w:themeColor="background1"/>
                <w:lang w:eastAsia="en-AU"/>
              </w:rPr>
            </w:pPr>
            <w:r w:rsidRPr="00746B30">
              <w:rPr>
                <w:color w:val="FFFFFF" w:themeColor="background1"/>
                <w:lang w:eastAsia="en-AU"/>
              </w:rPr>
              <w:t>BRII</w:t>
            </w:r>
          </w:p>
        </w:tc>
      </w:tr>
      <w:tr w:rsidR="006A0054" w:rsidRPr="00EA7AB8" w14:paraId="157F2811" w14:textId="77777777" w:rsidTr="003C631D">
        <w:trPr>
          <w:trHeight w:val="432"/>
        </w:trPr>
        <w:tc>
          <w:tcPr>
            <w:tcW w:w="873"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2BB082E8" w14:textId="74FA8CE3" w:rsidR="006A0054" w:rsidRPr="00EA7AB8" w:rsidRDefault="00746B30" w:rsidP="00746B30">
            <w:pPr>
              <w:pStyle w:val="TableNheader"/>
              <w:rPr>
                <w:lang w:eastAsia="en-AU"/>
              </w:rPr>
            </w:pPr>
            <w:r w:rsidRPr="00EA7AB8">
              <w:rPr>
                <w:lang w:eastAsia="en-AU"/>
              </w:rPr>
              <w:t>Year established</w:t>
            </w:r>
          </w:p>
        </w:tc>
        <w:tc>
          <w:tcPr>
            <w:tcW w:w="1031"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2D9ACAEF" w14:textId="77777777" w:rsidR="006A0054" w:rsidRPr="00EA7AB8" w:rsidRDefault="006A0054" w:rsidP="00746B30">
            <w:pPr>
              <w:pStyle w:val="TableNText"/>
              <w:rPr>
                <w:lang w:eastAsia="en-AU"/>
              </w:rPr>
            </w:pPr>
            <w:r w:rsidRPr="00EA7AB8">
              <w:rPr>
                <w:lang w:eastAsia="en-AU"/>
              </w:rPr>
              <w:t>1982</w:t>
            </w:r>
          </w:p>
        </w:tc>
        <w:tc>
          <w:tcPr>
            <w:tcW w:w="1032"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266805B2" w14:textId="77777777" w:rsidR="006A0054" w:rsidRPr="00EA7AB8" w:rsidRDefault="006A0054" w:rsidP="00746B30">
            <w:pPr>
              <w:pStyle w:val="TableNText"/>
              <w:rPr>
                <w:lang w:eastAsia="en-AU"/>
              </w:rPr>
            </w:pPr>
            <w:r w:rsidRPr="00EA7AB8">
              <w:rPr>
                <w:lang w:eastAsia="en-AU"/>
              </w:rPr>
              <w:t>2009</w:t>
            </w:r>
          </w:p>
        </w:tc>
        <w:tc>
          <w:tcPr>
            <w:tcW w:w="1031"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7FAF5374" w14:textId="77777777" w:rsidR="006A0054" w:rsidRPr="00EA7AB8" w:rsidRDefault="006A0054" w:rsidP="00746B30">
            <w:pPr>
              <w:pStyle w:val="TableNText"/>
              <w:rPr>
                <w:lang w:eastAsia="en-AU"/>
              </w:rPr>
            </w:pPr>
            <w:r w:rsidRPr="00EA7AB8">
              <w:rPr>
                <w:lang w:eastAsia="en-AU"/>
              </w:rPr>
              <w:t>201</w:t>
            </w:r>
            <w:r>
              <w:rPr>
                <w:lang w:eastAsia="en-AU"/>
              </w:rPr>
              <w:t>7</w:t>
            </w:r>
          </w:p>
        </w:tc>
        <w:tc>
          <w:tcPr>
            <w:tcW w:w="1032"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04218886" w14:textId="77777777" w:rsidR="006A0054" w:rsidRPr="00EA7AB8" w:rsidRDefault="006A0054" w:rsidP="00746B30">
            <w:pPr>
              <w:pStyle w:val="TableNText"/>
              <w:rPr>
                <w:lang w:eastAsia="en-AU"/>
              </w:rPr>
            </w:pPr>
            <w:r>
              <w:rPr>
                <w:lang w:eastAsia="en-AU"/>
              </w:rPr>
              <w:t>2016</w:t>
            </w:r>
          </w:p>
        </w:tc>
      </w:tr>
      <w:tr w:rsidR="006A0054" w:rsidRPr="00EA7AB8" w14:paraId="14662B79" w14:textId="77777777" w:rsidTr="003C631D">
        <w:trPr>
          <w:trHeight w:val="432"/>
        </w:trPr>
        <w:tc>
          <w:tcPr>
            <w:tcW w:w="873"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4A30CE2C" w14:textId="1AD6A98F" w:rsidR="006A0054" w:rsidRPr="00EA7AB8" w:rsidRDefault="00746B30" w:rsidP="00746B30">
            <w:pPr>
              <w:pStyle w:val="TableNheader"/>
              <w:rPr>
                <w:lang w:eastAsia="en-AU"/>
              </w:rPr>
            </w:pPr>
            <w:r w:rsidRPr="00EA7AB8">
              <w:rPr>
                <w:lang w:eastAsia="en-AU"/>
              </w:rPr>
              <w:t xml:space="preserve">Program size </w:t>
            </w:r>
            <w:r>
              <w:rPr>
                <w:lang w:eastAsia="en-AU"/>
              </w:rPr>
              <w:t xml:space="preserve">p.a. </w:t>
            </w:r>
            <w:r w:rsidRPr="00EA7AB8">
              <w:rPr>
                <w:lang w:eastAsia="en-AU"/>
              </w:rPr>
              <w:t>(AUD)</w:t>
            </w:r>
            <w:r w:rsidR="006A0054" w:rsidRPr="00B31BF7">
              <w:rPr>
                <w:rStyle w:val="FootnoteReference"/>
                <w:rFonts w:asciiTheme="majorHAnsi" w:hAnsiTheme="majorHAnsi"/>
                <w:lang w:eastAsia="en-AU"/>
              </w:rPr>
              <w:footnoteReference w:id="72"/>
            </w:r>
          </w:p>
        </w:tc>
        <w:tc>
          <w:tcPr>
            <w:tcW w:w="1031"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4D623817" w14:textId="77777777" w:rsidR="006A0054" w:rsidRPr="00EA7AB8" w:rsidRDefault="006A0054" w:rsidP="00746B30">
            <w:pPr>
              <w:pStyle w:val="TableNText"/>
              <w:rPr>
                <w:lang w:eastAsia="en-AU"/>
              </w:rPr>
            </w:pPr>
            <w:r w:rsidRPr="00EA7AB8">
              <w:rPr>
                <w:lang w:eastAsia="en-AU"/>
              </w:rPr>
              <w:t>$4.5 billion</w:t>
            </w:r>
            <w:bookmarkStart w:id="178" w:name="_Ref75991130"/>
            <w:r>
              <w:rPr>
                <w:rStyle w:val="FootnoteReference"/>
                <w:lang w:eastAsia="en-AU"/>
              </w:rPr>
              <w:footnoteReference w:id="73"/>
            </w:r>
            <w:bookmarkEnd w:id="178"/>
            <w:r w:rsidRPr="00EA7AB8">
              <w:rPr>
                <w:lang w:eastAsia="en-AU"/>
              </w:rPr>
              <w:t xml:space="preserve"> (2019)</w:t>
            </w:r>
          </w:p>
        </w:tc>
        <w:tc>
          <w:tcPr>
            <w:tcW w:w="1032"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4C0E967B" w14:textId="77777777" w:rsidR="006A0054" w:rsidRPr="00EA7AB8" w:rsidRDefault="006A0054" w:rsidP="00746B30">
            <w:pPr>
              <w:pStyle w:val="TableNText"/>
              <w:rPr>
                <w:lang w:eastAsia="en-AU"/>
              </w:rPr>
            </w:pPr>
            <w:r w:rsidRPr="00EA7AB8">
              <w:rPr>
                <w:lang w:eastAsia="en-AU"/>
              </w:rPr>
              <w:t>$145 million</w:t>
            </w:r>
            <w:bookmarkStart w:id="179" w:name="_Ref75991139"/>
            <w:r>
              <w:rPr>
                <w:rStyle w:val="FootnoteReference"/>
                <w:lang w:eastAsia="en-AU"/>
              </w:rPr>
              <w:footnoteReference w:id="74"/>
            </w:r>
            <w:bookmarkEnd w:id="179"/>
            <w:r w:rsidRPr="00EA7AB8">
              <w:rPr>
                <w:lang w:eastAsia="en-AU"/>
              </w:rPr>
              <w:t xml:space="preserve"> (2015)</w:t>
            </w:r>
          </w:p>
        </w:tc>
        <w:tc>
          <w:tcPr>
            <w:tcW w:w="1031"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66AFDB80" w14:textId="77777777" w:rsidR="006A0054" w:rsidRPr="00EA7AB8" w:rsidRDefault="006A0054" w:rsidP="00746B30">
            <w:pPr>
              <w:pStyle w:val="TableNText"/>
              <w:rPr>
                <w:lang w:eastAsia="en-AU"/>
              </w:rPr>
            </w:pPr>
            <w:r w:rsidRPr="00EA7AB8">
              <w:rPr>
                <w:lang w:eastAsia="en-AU"/>
              </w:rPr>
              <w:t>$1</w:t>
            </w:r>
            <w:r>
              <w:rPr>
                <w:lang w:eastAsia="en-AU"/>
              </w:rPr>
              <w:t>20</w:t>
            </w:r>
            <w:r w:rsidRPr="00EA7AB8">
              <w:rPr>
                <w:lang w:eastAsia="en-AU"/>
              </w:rPr>
              <w:t xml:space="preserve"> million</w:t>
            </w:r>
            <w:bookmarkStart w:id="180" w:name="_Ref75991143"/>
            <w:r>
              <w:rPr>
                <w:rStyle w:val="FootnoteReference"/>
                <w:lang w:eastAsia="en-AU"/>
              </w:rPr>
              <w:footnoteReference w:id="75"/>
            </w:r>
            <w:bookmarkEnd w:id="180"/>
            <w:r w:rsidRPr="00EA7AB8">
              <w:rPr>
                <w:lang w:eastAsia="en-AU"/>
              </w:rPr>
              <w:t xml:space="preserve"> (20</w:t>
            </w:r>
            <w:r>
              <w:rPr>
                <w:lang w:eastAsia="en-AU"/>
              </w:rPr>
              <w:t>20</w:t>
            </w:r>
            <w:r w:rsidRPr="00EA7AB8">
              <w:rPr>
                <w:lang w:eastAsia="en-AU"/>
              </w:rPr>
              <w:t>)</w:t>
            </w:r>
          </w:p>
        </w:tc>
        <w:tc>
          <w:tcPr>
            <w:tcW w:w="1032"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0384B025" w14:textId="16262B3A" w:rsidR="006A0054" w:rsidRPr="00EA7AB8" w:rsidRDefault="006A0054" w:rsidP="00746B30">
            <w:pPr>
              <w:pStyle w:val="TableNText"/>
              <w:rPr>
                <w:lang w:eastAsia="en-AU"/>
              </w:rPr>
            </w:pPr>
            <w:r>
              <w:rPr>
                <w:lang w:eastAsia="en-AU"/>
              </w:rPr>
              <w:t>$</w:t>
            </w:r>
            <w:r w:rsidR="001E147A">
              <w:rPr>
                <w:lang w:eastAsia="en-AU"/>
              </w:rPr>
              <w:t>4</w:t>
            </w:r>
            <w:r>
              <w:rPr>
                <w:lang w:eastAsia="en-AU"/>
              </w:rPr>
              <w:t xml:space="preserve"> million (average)</w:t>
            </w:r>
            <w:bookmarkStart w:id="181" w:name="_Ref75991104"/>
            <w:r>
              <w:rPr>
                <w:rStyle w:val="FootnoteReference"/>
                <w:lang w:eastAsia="en-AU"/>
              </w:rPr>
              <w:footnoteReference w:id="76"/>
            </w:r>
            <w:bookmarkEnd w:id="181"/>
          </w:p>
        </w:tc>
      </w:tr>
      <w:tr w:rsidR="006A0054" w:rsidRPr="00EA7AB8" w14:paraId="36490617" w14:textId="77777777" w:rsidTr="003C631D">
        <w:trPr>
          <w:trHeight w:val="432"/>
        </w:trPr>
        <w:tc>
          <w:tcPr>
            <w:tcW w:w="873"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2E9E84FE" w14:textId="5DEDCFE5" w:rsidR="006A0054" w:rsidRPr="00EA7AB8" w:rsidRDefault="00746B30" w:rsidP="00746B30">
            <w:pPr>
              <w:pStyle w:val="TableNheader"/>
              <w:rPr>
                <w:lang w:eastAsia="en-AU"/>
              </w:rPr>
            </w:pPr>
            <w:r w:rsidRPr="00EA7AB8">
              <w:rPr>
                <w:lang w:eastAsia="en-AU"/>
              </w:rPr>
              <w:t>Program size scaled to AUD GDP</w:t>
            </w:r>
            <w:r w:rsidR="006A0054" w:rsidRPr="00B31BF7">
              <w:rPr>
                <w:rStyle w:val="FootnoteReference"/>
                <w:rFonts w:asciiTheme="majorHAnsi" w:hAnsiTheme="majorHAnsi"/>
                <w:lang w:eastAsia="en-AU"/>
              </w:rPr>
              <w:footnoteReference w:id="77"/>
            </w:r>
          </w:p>
        </w:tc>
        <w:tc>
          <w:tcPr>
            <w:tcW w:w="1031"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1260DB6B" w14:textId="77777777" w:rsidR="006A0054" w:rsidRPr="00EA7AB8" w:rsidRDefault="006A0054" w:rsidP="00746B30">
            <w:pPr>
              <w:pStyle w:val="TableNText"/>
              <w:rPr>
                <w:lang w:eastAsia="en-AU"/>
              </w:rPr>
            </w:pPr>
            <w:r w:rsidRPr="00EA7AB8">
              <w:rPr>
                <w:lang w:eastAsia="en-AU"/>
              </w:rPr>
              <w:t>$316 million</w:t>
            </w:r>
          </w:p>
        </w:tc>
        <w:tc>
          <w:tcPr>
            <w:tcW w:w="1032"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28CE54DD" w14:textId="77777777" w:rsidR="006A0054" w:rsidRPr="00EA7AB8" w:rsidRDefault="006A0054" w:rsidP="00746B30">
            <w:pPr>
              <w:pStyle w:val="TableNText"/>
              <w:rPr>
                <w:lang w:eastAsia="en-AU"/>
              </w:rPr>
            </w:pPr>
            <w:r w:rsidRPr="00EA7AB8">
              <w:rPr>
                <w:lang w:eastAsia="en-AU"/>
              </w:rPr>
              <w:t>$72.8 million</w:t>
            </w:r>
          </w:p>
        </w:tc>
        <w:tc>
          <w:tcPr>
            <w:tcW w:w="1031"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0E9A7695" w14:textId="77777777" w:rsidR="006A0054" w:rsidRPr="00EA7AB8" w:rsidRDefault="006A0054" w:rsidP="00746B30">
            <w:pPr>
              <w:pStyle w:val="TableNText"/>
              <w:rPr>
                <w:lang w:eastAsia="en-AU"/>
              </w:rPr>
            </w:pPr>
            <w:r w:rsidRPr="00EA7AB8">
              <w:rPr>
                <w:lang w:eastAsia="en-AU"/>
              </w:rPr>
              <w:t>$1</w:t>
            </w:r>
            <w:r>
              <w:rPr>
                <w:lang w:eastAsia="en-AU"/>
              </w:rPr>
              <w:t>00</w:t>
            </w:r>
            <w:r w:rsidRPr="00EA7AB8">
              <w:rPr>
                <w:lang w:eastAsia="en-AU"/>
              </w:rPr>
              <w:t xml:space="preserve"> million</w:t>
            </w:r>
          </w:p>
        </w:tc>
        <w:tc>
          <w:tcPr>
            <w:tcW w:w="1032"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56C3F2DE" w14:textId="77777777" w:rsidR="006A0054" w:rsidRPr="00EA7AB8" w:rsidRDefault="006A0054" w:rsidP="00746B30">
            <w:pPr>
              <w:pStyle w:val="TableNText"/>
              <w:rPr>
                <w:lang w:eastAsia="en-AU"/>
              </w:rPr>
            </w:pPr>
            <w:r>
              <w:rPr>
                <w:lang w:eastAsia="en-AU"/>
              </w:rPr>
              <w:t>N/A</w:t>
            </w:r>
          </w:p>
        </w:tc>
      </w:tr>
      <w:tr w:rsidR="006A0054" w:rsidRPr="00EA7AB8" w14:paraId="72336782" w14:textId="77777777" w:rsidTr="003C631D">
        <w:trPr>
          <w:trHeight w:val="432"/>
        </w:trPr>
        <w:tc>
          <w:tcPr>
            <w:tcW w:w="873"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2A7B7939" w14:textId="2C654D83" w:rsidR="006A0054" w:rsidRPr="00EA7AB8" w:rsidRDefault="00746B30" w:rsidP="00746B30">
            <w:pPr>
              <w:pStyle w:val="TableNheader"/>
              <w:rPr>
                <w:lang w:eastAsia="en-AU"/>
              </w:rPr>
            </w:pPr>
            <w:r w:rsidRPr="00EA7AB8">
              <w:rPr>
                <w:lang w:eastAsia="en-AU"/>
              </w:rPr>
              <w:t>Comparative size to BRII based on GDP</w:t>
            </w:r>
          </w:p>
        </w:tc>
        <w:tc>
          <w:tcPr>
            <w:tcW w:w="1031"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5DE64384" w14:textId="77777777" w:rsidR="006A0054" w:rsidRPr="00EA7AB8" w:rsidRDefault="006A0054" w:rsidP="00746B30">
            <w:pPr>
              <w:pStyle w:val="TableNText"/>
              <w:rPr>
                <w:lang w:eastAsia="en-AU"/>
              </w:rPr>
            </w:pPr>
            <w:r w:rsidRPr="00EA7AB8">
              <w:rPr>
                <w:lang w:eastAsia="en-AU"/>
              </w:rPr>
              <w:t>52.7x larger</w:t>
            </w:r>
          </w:p>
        </w:tc>
        <w:tc>
          <w:tcPr>
            <w:tcW w:w="1032"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65B9078D" w14:textId="77777777" w:rsidR="006A0054" w:rsidRPr="00EA7AB8" w:rsidRDefault="006A0054" w:rsidP="00746B30">
            <w:pPr>
              <w:pStyle w:val="TableNText"/>
              <w:rPr>
                <w:lang w:eastAsia="en-AU"/>
              </w:rPr>
            </w:pPr>
            <w:r>
              <w:rPr>
                <w:lang w:eastAsia="en-AU"/>
              </w:rPr>
              <w:t>12</w:t>
            </w:r>
            <w:r w:rsidRPr="00EA7AB8">
              <w:rPr>
                <w:lang w:eastAsia="en-AU"/>
              </w:rPr>
              <w:t>.1x larger</w:t>
            </w:r>
          </w:p>
        </w:tc>
        <w:tc>
          <w:tcPr>
            <w:tcW w:w="1031"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06639BF2" w14:textId="77777777" w:rsidR="006A0054" w:rsidRPr="00EA7AB8" w:rsidRDefault="006A0054" w:rsidP="00746B30">
            <w:pPr>
              <w:pStyle w:val="TableNText"/>
              <w:rPr>
                <w:lang w:eastAsia="en-AU"/>
              </w:rPr>
            </w:pPr>
            <w:r>
              <w:rPr>
                <w:lang w:eastAsia="en-AU"/>
              </w:rPr>
              <w:t>16</w:t>
            </w:r>
            <w:r w:rsidRPr="00EA7AB8">
              <w:rPr>
                <w:lang w:eastAsia="en-AU"/>
              </w:rPr>
              <w:t>.</w:t>
            </w:r>
            <w:r>
              <w:rPr>
                <w:lang w:eastAsia="en-AU"/>
              </w:rPr>
              <w:t>7</w:t>
            </w:r>
            <w:r w:rsidRPr="00EA7AB8">
              <w:rPr>
                <w:lang w:eastAsia="en-AU"/>
              </w:rPr>
              <w:t>x larger</w:t>
            </w:r>
          </w:p>
        </w:tc>
        <w:tc>
          <w:tcPr>
            <w:tcW w:w="1032"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36623FB9" w14:textId="77777777" w:rsidR="006A0054" w:rsidRPr="00EA7AB8" w:rsidRDefault="006A0054" w:rsidP="00746B30">
            <w:pPr>
              <w:pStyle w:val="TableNText"/>
              <w:rPr>
                <w:lang w:eastAsia="en-AU"/>
              </w:rPr>
            </w:pPr>
            <w:r>
              <w:rPr>
                <w:lang w:eastAsia="en-AU"/>
              </w:rPr>
              <w:t>N/A</w:t>
            </w:r>
          </w:p>
        </w:tc>
      </w:tr>
    </w:tbl>
    <w:p w14:paraId="660B0EAE" w14:textId="28CAB5E8" w:rsidR="006C57A4" w:rsidRDefault="00265559" w:rsidP="00BD4D37">
      <w:pPr>
        <w:spacing w:before="240" w:after="165" w:line="259" w:lineRule="auto"/>
        <w:rPr>
          <w:rFonts w:ascii="Segoe UI Semibold" w:hAnsi="Segoe UI Semibold"/>
          <w:bCs/>
          <w:color w:val="00264D" w:themeColor="background2"/>
          <w:szCs w:val="18"/>
        </w:rPr>
      </w:pPr>
      <w:r>
        <w:rPr>
          <w:lang w:eastAsia="en-AU"/>
        </w:rPr>
        <w:t>In its third year</w:t>
      </w:r>
      <w:r w:rsidR="002C6EC0" w:rsidRPr="002C6EC0">
        <w:rPr>
          <w:lang w:eastAsia="en-AU"/>
        </w:rPr>
        <w:t xml:space="preserve"> of </w:t>
      </w:r>
      <w:r>
        <w:rPr>
          <w:lang w:eastAsia="en-AU"/>
        </w:rPr>
        <w:t xml:space="preserve">operation the ISC awarded </w:t>
      </w:r>
      <w:r w:rsidR="00DE253C">
        <w:rPr>
          <w:lang w:eastAsia="en-AU"/>
        </w:rPr>
        <w:t xml:space="preserve">$20.6 million </w:t>
      </w:r>
      <w:r w:rsidR="00DA5663">
        <w:rPr>
          <w:lang w:eastAsia="en-AU"/>
        </w:rPr>
        <w:t xml:space="preserve">of a total budget of </w:t>
      </w:r>
      <w:r w:rsidR="006E089E">
        <w:rPr>
          <w:lang w:eastAsia="en-AU"/>
        </w:rPr>
        <w:t>~</w:t>
      </w:r>
      <w:r w:rsidR="00DA5663">
        <w:rPr>
          <w:lang w:eastAsia="en-AU"/>
        </w:rPr>
        <w:t xml:space="preserve">$120 million </w:t>
      </w:r>
      <w:r w:rsidR="006E089E">
        <w:rPr>
          <w:lang w:eastAsia="en-AU"/>
        </w:rPr>
        <w:t xml:space="preserve">AUD </w:t>
      </w:r>
      <w:r w:rsidR="00DE253C">
        <w:rPr>
          <w:lang w:eastAsia="en-AU"/>
        </w:rPr>
        <w:t>to Canadian SMEs through the challenge stream</w:t>
      </w:r>
      <w:r w:rsidR="00DA5663">
        <w:rPr>
          <w:lang w:eastAsia="en-AU"/>
        </w:rPr>
        <w:t>.</w:t>
      </w:r>
      <w:r w:rsidR="002C6EC0" w:rsidRPr="002C6EC0">
        <w:rPr>
          <w:lang w:eastAsia="en-AU"/>
        </w:rPr>
        <w:t xml:space="preserve"> According to DISER stakeholders, ISC achieved this scale by taking the best features of each of the current programs, including the BRII. </w:t>
      </w:r>
      <w:r w:rsidR="00FF0B55">
        <w:rPr>
          <w:lang w:eastAsia="en-AU"/>
        </w:rPr>
        <w:t>A unique aspect of the ISC is the inclusion of a testing stream</w:t>
      </w:r>
      <w:r w:rsidR="0066461E">
        <w:rPr>
          <w:lang w:eastAsia="en-AU"/>
        </w:rPr>
        <w:t>, which prequa</w:t>
      </w:r>
      <w:r w:rsidR="00BE541D">
        <w:rPr>
          <w:lang w:eastAsia="en-AU"/>
        </w:rPr>
        <w:t xml:space="preserve">lifies </w:t>
      </w:r>
      <w:r w:rsidR="00701158">
        <w:rPr>
          <w:lang w:eastAsia="en-AU"/>
        </w:rPr>
        <w:t xml:space="preserve">late stage (pre-commercial) </w:t>
      </w:r>
      <w:r w:rsidR="006232C7">
        <w:rPr>
          <w:lang w:eastAsia="en-AU"/>
        </w:rPr>
        <w:t>prototypes</w:t>
      </w:r>
      <w:r w:rsidR="00A00E96">
        <w:rPr>
          <w:lang w:eastAsia="en-AU"/>
        </w:rPr>
        <w:t xml:space="preserve"> with government agencies willing to </w:t>
      </w:r>
      <w:r w:rsidR="00AB31B4">
        <w:rPr>
          <w:lang w:eastAsia="en-AU"/>
        </w:rPr>
        <w:t xml:space="preserve">test the prototypes and provide feedback to the SMEs. </w:t>
      </w:r>
      <w:r w:rsidR="00F175EA">
        <w:rPr>
          <w:lang w:eastAsia="en-AU"/>
        </w:rPr>
        <w:t>SMEs that complete the challenge stream have streamlined access to the</w:t>
      </w:r>
      <w:r w:rsidR="00162C11">
        <w:rPr>
          <w:lang w:eastAsia="en-AU"/>
        </w:rPr>
        <w:t xml:space="preserve"> </w:t>
      </w:r>
      <w:r w:rsidR="00AB3CC1">
        <w:rPr>
          <w:lang w:eastAsia="en-AU"/>
        </w:rPr>
        <w:t>testing stream, effectively extending support to a third stage.</w:t>
      </w:r>
      <w:bookmarkStart w:id="182" w:name="_Ref75951108"/>
    </w:p>
    <w:bookmarkEnd w:id="182"/>
    <w:p w14:paraId="0CEBCF4D" w14:textId="2E505C60" w:rsidR="002537BC" w:rsidRDefault="002537BC" w:rsidP="00EA4234">
      <w:pPr>
        <w:pStyle w:val="Heading4"/>
      </w:pPr>
      <w:r w:rsidRPr="002537BC">
        <w:lastRenderedPageBreak/>
        <w:t>The BRII will need to significantly expand if it is to reach a similar scale to comparative international programs.</w:t>
      </w:r>
    </w:p>
    <w:p w14:paraId="42FAC160" w14:textId="23513F86" w:rsidR="002537BC" w:rsidRDefault="002537BC" w:rsidP="002537BC">
      <w:r w:rsidRPr="002537BC">
        <w:t xml:space="preserve">A major focus of this evaluation is to consider how the design of </w:t>
      </w:r>
      <w:r w:rsidR="008A0BB1">
        <w:t xml:space="preserve">the </w:t>
      </w:r>
      <w:r w:rsidRPr="002537BC">
        <w:t xml:space="preserve">BRII might change if it were scaled up. </w:t>
      </w:r>
      <w:r w:rsidR="00396D4D">
        <w:t>T</w:t>
      </w:r>
      <w:r w:rsidRPr="002537BC">
        <w:t xml:space="preserve">he ISC is a good </w:t>
      </w:r>
      <w:r w:rsidR="00396D4D">
        <w:t>case study against which to compare</w:t>
      </w:r>
      <w:r w:rsidRPr="002537BC">
        <w:t xml:space="preserve"> the </w:t>
      </w:r>
      <w:r w:rsidR="00396D4D">
        <w:t xml:space="preserve">future </w:t>
      </w:r>
      <w:r w:rsidRPr="002537BC">
        <w:t>scale</w:t>
      </w:r>
      <w:r w:rsidR="00396D4D">
        <w:t>-up</w:t>
      </w:r>
      <w:r w:rsidRPr="002537BC">
        <w:t xml:space="preserve"> of the </w:t>
      </w:r>
      <w:r w:rsidR="00396D4D">
        <w:t xml:space="preserve">BRII as it </w:t>
      </w:r>
      <w:r w:rsidR="00840693">
        <w:t xml:space="preserve">has the same </w:t>
      </w:r>
      <w:r w:rsidRPr="002537BC">
        <w:t>program</w:t>
      </w:r>
      <w:r w:rsidR="00840693">
        <w:t xml:space="preserve"> design yet</w:t>
      </w:r>
      <w:r w:rsidRPr="002537BC">
        <w:t xml:space="preserve"> is both younger and larger than the BRII. </w:t>
      </w:r>
      <w:r w:rsidR="008B3A11">
        <w:t>In just over two years b</w:t>
      </w:r>
      <w:r w:rsidR="00DC1B10">
        <w:t xml:space="preserve">etween December </w:t>
      </w:r>
      <w:r w:rsidR="002E20B7">
        <w:t xml:space="preserve">2017 </w:t>
      </w:r>
      <w:r w:rsidR="008B3A11">
        <w:t xml:space="preserve">when it launched </w:t>
      </w:r>
      <w:r w:rsidR="002E20B7">
        <w:t>and March 2020 the ISC</w:t>
      </w:r>
      <w:r w:rsidRPr="002537BC">
        <w:t>:</w:t>
      </w:r>
    </w:p>
    <w:p w14:paraId="1D5F1879" w14:textId="009AC738" w:rsidR="002537BC" w:rsidRPr="00237B38" w:rsidRDefault="008B3A11">
      <w:pPr>
        <w:pStyle w:val="Bullet"/>
      </w:pPr>
      <w:r w:rsidRPr="00237B38">
        <w:t xml:space="preserve">Launched </w:t>
      </w:r>
      <w:r w:rsidR="00D92CC3" w:rsidRPr="00237B38">
        <w:rPr>
          <w:rFonts w:asciiTheme="majorHAnsi" w:hAnsiTheme="majorHAnsi"/>
        </w:rPr>
        <w:t>7</w:t>
      </w:r>
      <w:r w:rsidR="002537BC" w:rsidRPr="00237B38">
        <w:rPr>
          <w:rFonts w:asciiTheme="majorHAnsi" w:hAnsiTheme="majorHAnsi"/>
        </w:rPr>
        <w:t>0 challenges</w:t>
      </w:r>
      <w:r w:rsidR="002537BC" w:rsidRPr="00237B38">
        <w:t xml:space="preserve"> </w:t>
      </w:r>
      <w:r w:rsidR="00D92CC3" w:rsidRPr="00237B38">
        <w:t>(</w:t>
      </w:r>
      <w:r w:rsidR="00F11AE5" w:rsidRPr="00237B38">
        <w:t>42 challenges in</w:t>
      </w:r>
      <w:r w:rsidR="002537BC" w:rsidRPr="00237B38">
        <w:t xml:space="preserve"> year</w:t>
      </w:r>
      <w:r w:rsidR="00F11AE5" w:rsidRPr="00237B38">
        <w:t xml:space="preserve"> 1 and 28 challenges in year 2); </w:t>
      </w:r>
      <w:r w:rsidR="009652B2" w:rsidRPr="00237B38">
        <w:t>this is considerably more than</w:t>
      </w:r>
      <w:r w:rsidR="008D4C05" w:rsidRPr="00237B38">
        <w:t xml:space="preserve"> </w:t>
      </w:r>
      <w:r w:rsidR="00CF2D6D" w:rsidRPr="00237B38">
        <w:t xml:space="preserve">the </w:t>
      </w:r>
      <w:r w:rsidR="00CF2D6D" w:rsidRPr="00237B38">
        <w:rPr>
          <w:rFonts w:asciiTheme="majorHAnsi" w:hAnsiTheme="majorHAnsi" w:cstheme="majorHAnsi"/>
        </w:rPr>
        <w:t xml:space="preserve">15 </w:t>
      </w:r>
      <w:r w:rsidR="00397645" w:rsidRPr="00237B38">
        <w:rPr>
          <w:rFonts w:asciiTheme="majorHAnsi" w:hAnsiTheme="majorHAnsi" w:cstheme="majorHAnsi"/>
        </w:rPr>
        <w:t>challenges</w:t>
      </w:r>
      <w:r w:rsidR="00397645" w:rsidRPr="00237B38">
        <w:t xml:space="preserve"> the BRII has </w:t>
      </w:r>
      <w:r w:rsidR="00CF2D6D" w:rsidRPr="00237B38">
        <w:t xml:space="preserve">completed or </w:t>
      </w:r>
      <w:r w:rsidR="00397645" w:rsidRPr="00237B38">
        <w:t>started since 201</w:t>
      </w:r>
      <w:r w:rsidR="00AC1E9A" w:rsidRPr="00237B38">
        <w:t>6</w:t>
      </w:r>
      <w:r w:rsidR="006D47CD" w:rsidRPr="00237B38">
        <w:t>.</w:t>
      </w:r>
      <w:r w:rsidR="0020417F" w:rsidRPr="00237B38">
        <w:rPr>
          <w:rStyle w:val="FootnoteReference"/>
        </w:rPr>
        <w:footnoteReference w:id="78"/>
      </w:r>
      <w:r w:rsidR="006D47CD" w:rsidRPr="00237B38">
        <w:t xml:space="preserve"> </w:t>
      </w:r>
    </w:p>
    <w:p w14:paraId="0DB0F79D" w14:textId="7CCDCA44" w:rsidR="002537BC" w:rsidRPr="00237B38" w:rsidRDefault="0069341A">
      <w:pPr>
        <w:pStyle w:val="Bullet"/>
      </w:pPr>
      <w:r w:rsidRPr="00237B38">
        <w:t xml:space="preserve">Assessed </w:t>
      </w:r>
      <w:r w:rsidR="002537BC" w:rsidRPr="00237B38">
        <w:rPr>
          <w:rFonts w:asciiTheme="majorHAnsi" w:hAnsiTheme="majorHAnsi"/>
        </w:rPr>
        <w:t>~</w:t>
      </w:r>
      <w:r w:rsidR="00220CBB" w:rsidRPr="00237B38">
        <w:rPr>
          <w:rFonts w:asciiTheme="majorHAnsi" w:hAnsiTheme="majorHAnsi"/>
        </w:rPr>
        <w:t>1</w:t>
      </w:r>
      <w:r w:rsidR="00AE07AF" w:rsidRPr="00237B38">
        <w:rPr>
          <w:rFonts w:asciiTheme="majorHAnsi" w:hAnsiTheme="majorHAnsi"/>
        </w:rPr>
        <w:t>,</w:t>
      </w:r>
      <w:r w:rsidR="00220CBB" w:rsidRPr="00237B38">
        <w:rPr>
          <w:rFonts w:asciiTheme="majorHAnsi" w:hAnsiTheme="majorHAnsi"/>
        </w:rPr>
        <w:t xml:space="preserve">082 </w:t>
      </w:r>
      <w:r w:rsidR="002537BC" w:rsidRPr="00237B38">
        <w:rPr>
          <w:rFonts w:asciiTheme="majorHAnsi" w:hAnsiTheme="majorHAnsi"/>
        </w:rPr>
        <w:t>applications</w:t>
      </w:r>
      <w:r w:rsidR="002537BC" w:rsidRPr="00237B38">
        <w:t xml:space="preserve"> </w:t>
      </w:r>
      <w:r w:rsidR="00220CBB" w:rsidRPr="00237B38">
        <w:t>(</w:t>
      </w:r>
      <w:r w:rsidR="0066672E" w:rsidRPr="00237B38">
        <w:t xml:space="preserve">717 applications in year 1 and 365 in year 2); </w:t>
      </w:r>
      <w:r w:rsidR="004802FC" w:rsidRPr="00237B38">
        <w:t xml:space="preserve">both figures are considerably higher than the </w:t>
      </w:r>
      <w:r w:rsidR="00CE2A0A" w:rsidRPr="00237B38">
        <w:rPr>
          <w:rFonts w:asciiTheme="majorHAnsi" w:hAnsiTheme="majorHAnsi" w:cstheme="majorHAnsi"/>
        </w:rPr>
        <w:t>221</w:t>
      </w:r>
      <w:r w:rsidR="00322C97" w:rsidRPr="00237B38">
        <w:rPr>
          <w:rFonts w:asciiTheme="majorHAnsi" w:hAnsiTheme="majorHAnsi" w:cstheme="majorHAnsi"/>
        </w:rPr>
        <w:t xml:space="preserve"> </w:t>
      </w:r>
      <w:r w:rsidR="004802FC" w:rsidRPr="00237B38">
        <w:rPr>
          <w:rFonts w:asciiTheme="majorHAnsi" w:hAnsiTheme="majorHAnsi" w:cstheme="majorHAnsi"/>
        </w:rPr>
        <w:t>applications</w:t>
      </w:r>
      <w:r w:rsidR="004802FC" w:rsidRPr="00237B38">
        <w:t xml:space="preserve"> the BRII</w:t>
      </w:r>
      <w:r w:rsidR="00CC3B81" w:rsidRPr="00237B38">
        <w:t xml:space="preserve"> team processed for r</w:t>
      </w:r>
      <w:r w:rsidR="00915753" w:rsidRPr="00237B38">
        <w:t xml:space="preserve">ound </w:t>
      </w:r>
      <w:r w:rsidR="0076424C" w:rsidRPr="00237B38">
        <w:t>three</w:t>
      </w:r>
      <w:r w:rsidR="00915753" w:rsidRPr="00237B38">
        <w:t>.</w:t>
      </w:r>
    </w:p>
    <w:p w14:paraId="61E4FD91" w14:textId="74A40A26" w:rsidR="002537BC" w:rsidRPr="00237B38" w:rsidRDefault="00235E66">
      <w:pPr>
        <w:pStyle w:val="Bullet"/>
      </w:pPr>
      <w:r w:rsidRPr="00237B38">
        <w:t>Has engaged</w:t>
      </w:r>
      <w:r w:rsidR="002537BC" w:rsidRPr="00237B38">
        <w:t xml:space="preserve"> </w:t>
      </w:r>
      <w:r w:rsidR="0063641A" w:rsidRPr="00237B38">
        <w:rPr>
          <w:rFonts w:asciiTheme="majorHAnsi" w:hAnsiTheme="majorHAnsi"/>
        </w:rPr>
        <w:t>17</w:t>
      </w:r>
      <w:r w:rsidR="002537BC" w:rsidRPr="00237B38">
        <w:rPr>
          <w:rFonts w:asciiTheme="majorHAnsi" w:hAnsiTheme="majorHAnsi"/>
        </w:rPr>
        <w:t xml:space="preserve"> challenge agencies</w:t>
      </w:r>
      <w:r w:rsidR="009555D2" w:rsidRPr="00237B38">
        <w:rPr>
          <w:rFonts w:asciiTheme="majorHAnsi" w:hAnsiTheme="majorHAnsi"/>
        </w:rPr>
        <w:t xml:space="preserve">, </w:t>
      </w:r>
      <w:r w:rsidR="009555D2" w:rsidRPr="00237B38">
        <w:rPr>
          <w:rFonts w:asciiTheme="minorHAnsi" w:hAnsiTheme="minorHAnsi" w:cstheme="minorHAnsi"/>
        </w:rPr>
        <w:t>with 1</w:t>
      </w:r>
      <w:r w:rsidR="00BF078C" w:rsidRPr="00237B38">
        <w:rPr>
          <w:rFonts w:asciiTheme="minorHAnsi" w:hAnsiTheme="minorHAnsi" w:cstheme="minorHAnsi"/>
        </w:rPr>
        <w:t>1</w:t>
      </w:r>
      <w:r w:rsidR="009555D2" w:rsidRPr="00237B38">
        <w:rPr>
          <w:rFonts w:asciiTheme="minorHAnsi" w:hAnsiTheme="minorHAnsi" w:cstheme="minorHAnsi"/>
        </w:rPr>
        <w:t xml:space="preserve"> agencies </w:t>
      </w:r>
      <w:r w:rsidR="00BF078C" w:rsidRPr="00237B38">
        <w:rPr>
          <w:rFonts w:asciiTheme="minorHAnsi" w:hAnsiTheme="minorHAnsi" w:cstheme="minorHAnsi"/>
        </w:rPr>
        <w:t>releasing three or more challenges</w:t>
      </w:r>
      <w:r w:rsidR="00300533" w:rsidRPr="00237B38">
        <w:rPr>
          <w:rFonts w:asciiTheme="minorHAnsi" w:hAnsiTheme="minorHAnsi" w:cstheme="minorHAnsi"/>
        </w:rPr>
        <w:t xml:space="preserve">; this compares </w:t>
      </w:r>
      <w:r w:rsidR="00644E15" w:rsidRPr="00237B38">
        <w:rPr>
          <w:rFonts w:asciiTheme="minorHAnsi" w:hAnsiTheme="minorHAnsi" w:cstheme="minorHAnsi"/>
        </w:rPr>
        <w:t>favourably</w:t>
      </w:r>
      <w:r w:rsidR="00236AD0" w:rsidRPr="00237B38">
        <w:rPr>
          <w:rFonts w:asciiTheme="minorHAnsi" w:hAnsiTheme="minorHAnsi" w:cstheme="minorHAnsi"/>
        </w:rPr>
        <w:t xml:space="preserve"> with </w:t>
      </w:r>
      <w:r w:rsidR="00955DD2" w:rsidRPr="00237B38">
        <w:rPr>
          <w:rFonts w:asciiTheme="minorHAnsi" w:hAnsiTheme="minorHAnsi" w:cstheme="minorHAnsi"/>
        </w:rPr>
        <w:t xml:space="preserve">the </w:t>
      </w:r>
      <w:r w:rsidR="00955DD2" w:rsidRPr="00237B38">
        <w:rPr>
          <w:rFonts w:asciiTheme="majorHAnsi" w:hAnsiTheme="majorHAnsi" w:cstheme="majorHAnsi"/>
        </w:rPr>
        <w:t xml:space="preserve">fourteen </w:t>
      </w:r>
      <w:r w:rsidR="00300533" w:rsidRPr="00237B38">
        <w:rPr>
          <w:rFonts w:asciiTheme="majorHAnsi" w:hAnsiTheme="majorHAnsi" w:cstheme="majorHAnsi"/>
        </w:rPr>
        <w:t>challenge agencies</w:t>
      </w:r>
      <w:r w:rsidR="00300533" w:rsidRPr="00237B38">
        <w:rPr>
          <w:rFonts w:asciiTheme="minorHAnsi" w:hAnsiTheme="minorHAnsi" w:cstheme="minorHAnsi"/>
        </w:rPr>
        <w:t xml:space="preserve"> </w:t>
      </w:r>
      <w:r w:rsidR="00955DD2" w:rsidRPr="00237B38">
        <w:rPr>
          <w:rFonts w:asciiTheme="minorHAnsi" w:hAnsiTheme="minorHAnsi" w:cstheme="minorHAnsi"/>
        </w:rPr>
        <w:t xml:space="preserve">that have participated across the first </w:t>
      </w:r>
      <w:r w:rsidR="00407B77" w:rsidRPr="00237B38">
        <w:rPr>
          <w:rFonts w:asciiTheme="minorHAnsi" w:hAnsiTheme="minorHAnsi" w:cstheme="minorHAnsi"/>
        </w:rPr>
        <w:t>three rounds</w:t>
      </w:r>
      <w:r w:rsidR="00300533" w:rsidRPr="00237B38">
        <w:rPr>
          <w:rFonts w:asciiTheme="minorHAnsi" w:hAnsiTheme="minorHAnsi" w:cstheme="minorHAnsi"/>
        </w:rPr>
        <w:t xml:space="preserve"> of the BRII</w:t>
      </w:r>
      <w:r w:rsidR="0073215A" w:rsidRPr="00237B38">
        <w:rPr>
          <w:rFonts w:asciiTheme="minorHAnsi" w:hAnsiTheme="minorHAnsi" w:cstheme="minorHAnsi"/>
        </w:rPr>
        <w:t>.</w:t>
      </w:r>
    </w:p>
    <w:p w14:paraId="05B4B44C" w14:textId="4A81857C" w:rsidR="006E7551" w:rsidRPr="00237B38" w:rsidRDefault="00235E66">
      <w:pPr>
        <w:pStyle w:val="Bullet"/>
      </w:pPr>
      <w:r w:rsidRPr="00237B38">
        <w:t xml:space="preserve">Has engaged </w:t>
      </w:r>
      <w:r w:rsidR="006E7551" w:rsidRPr="00237B38">
        <w:t xml:space="preserve">over </w:t>
      </w:r>
      <w:r w:rsidR="00473F2D" w:rsidRPr="00237B38">
        <w:rPr>
          <w:rFonts w:asciiTheme="majorHAnsi" w:hAnsiTheme="majorHAnsi"/>
        </w:rPr>
        <w:t xml:space="preserve">140 </w:t>
      </w:r>
      <w:r w:rsidR="006E7551" w:rsidRPr="00237B38">
        <w:rPr>
          <w:rFonts w:asciiTheme="majorHAnsi" w:hAnsiTheme="majorHAnsi"/>
        </w:rPr>
        <w:t>SMEs</w:t>
      </w:r>
      <w:r w:rsidR="006E7551" w:rsidRPr="00237B38">
        <w:t xml:space="preserve">, </w:t>
      </w:r>
      <w:r w:rsidR="00FF76F9" w:rsidRPr="00237B38">
        <w:t>that have received 154 phase 1 (feasibility</w:t>
      </w:r>
      <w:r w:rsidR="0031418A" w:rsidRPr="00237B38">
        <w:t>) grants and 24 phase 2 (proof of concept) grants</w:t>
      </w:r>
      <w:r w:rsidRPr="00237B38">
        <w:t xml:space="preserve">; this compares with </w:t>
      </w:r>
      <w:r w:rsidR="00DC4A9C" w:rsidRPr="00237B38">
        <w:rPr>
          <w:rFonts w:asciiTheme="majorHAnsi" w:hAnsiTheme="majorHAnsi" w:cstheme="majorHAnsi"/>
        </w:rPr>
        <w:t>5</w:t>
      </w:r>
      <w:r w:rsidR="00B91EB9" w:rsidRPr="00237B38">
        <w:rPr>
          <w:rFonts w:asciiTheme="majorHAnsi" w:hAnsiTheme="majorHAnsi" w:cstheme="majorHAnsi"/>
        </w:rPr>
        <w:t>5 SMEs</w:t>
      </w:r>
      <w:r w:rsidR="00B91EB9" w:rsidRPr="00237B38">
        <w:rPr>
          <w:rFonts w:asciiTheme="minorHAnsi" w:hAnsiTheme="minorHAnsi" w:cstheme="minorHAnsi"/>
        </w:rPr>
        <w:t xml:space="preserve"> that have received 5</w:t>
      </w:r>
      <w:r w:rsidR="00DC4A9C" w:rsidRPr="00237B38">
        <w:rPr>
          <w:rFonts w:asciiTheme="minorHAnsi" w:hAnsiTheme="minorHAnsi" w:cstheme="minorHAnsi"/>
        </w:rPr>
        <w:t>8</w:t>
      </w:r>
      <w:r w:rsidR="003E371A" w:rsidRPr="00237B38">
        <w:rPr>
          <w:rFonts w:asciiTheme="minorHAnsi" w:hAnsiTheme="minorHAnsi" w:cstheme="minorHAnsi"/>
        </w:rPr>
        <w:t xml:space="preserve"> feasibility </w:t>
      </w:r>
      <w:r w:rsidR="00B91EB9" w:rsidRPr="00237B38">
        <w:rPr>
          <w:rFonts w:asciiTheme="minorHAnsi" w:hAnsiTheme="minorHAnsi" w:cstheme="minorHAnsi"/>
        </w:rPr>
        <w:t xml:space="preserve">grants </w:t>
      </w:r>
      <w:r w:rsidR="003E371A" w:rsidRPr="00237B38">
        <w:rPr>
          <w:rFonts w:asciiTheme="minorHAnsi" w:hAnsiTheme="minorHAnsi" w:cstheme="minorHAnsi"/>
        </w:rPr>
        <w:t xml:space="preserve">and </w:t>
      </w:r>
      <w:r w:rsidR="00DC4A9C" w:rsidRPr="00237B38">
        <w:rPr>
          <w:rFonts w:asciiTheme="minorHAnsi" w:hAnsiTheme="minorHAnsi" w:cstheme="minorHAnsi"/>
        </w:rPr>
        <w:t xml:space="preserve">15 </w:t>
      </w:r>
      <w:r w:rsidR="00AD6FD6" w:rsidRPr="00237B38">
        <w:rPr>
          <w:rFonts w:asciiTheme="minorHAnsi" w:hAnsiTheme="minorHAnsi" w:cstheme="minorHAnsi"/>
        </w:rPr>
        <w:t xml:space="preserve">proof of concept </w:t>
      </w:r>
      <w:r w:rsidR="00B91EB9" w:rsidRPr="00237B38">
        <w:rPr>
          <w:rFonts w:asciiTheme="minorHAnsi" w:hAnsiTheme="minorHAnsi" w:cstheme="minorHAnsi"/>
        </w:rPr>
        <w:t xml:space="preserve">grants </w:t>
      </w:r>
      <w:r w:rsidR="00DC4A9C" w:rsidRPr="00237B38">
        <w:rPr>
          <w:rFonts w:asciiTheme="minorHAnsi" w:hAnsiTheme="minorHAnsi" w:cstheme="minorHAnsi"/>
        </w:rPr>
        <w:t>in the BRII to date</w:t>
      </w:r>
      <w:r w:rsidR="0073215A" w:rsidRPr="00237B38">
        <w:rPr>
          <w:rFonts w:asciiTheme="minorHAnsi" w:hAnsiTheme="minorHAnsi" w:cstheme="minorHAnsi"/>
        </w:rPr>
        <w:t>.</w:t>
      </w:r>
    </w:p>
    <w:p w14:paraId="03B7444B" w14:textId="2950E531" w:rsidR="00DC4A9C" w:rsidRPr="00407B77" w:rsidRDefault="00DC4A9C" w:rsidP="00DC4A9C">
      <w:r>
        <w:t xml:space="preserve">These numbers highlight the significant increase in capacity that the BRII will need to </w:t>
      </w:r>
      <w:r w:rsidR="00FB2645">
        <w:t>undertake to achieve comparable scale with the ISC.</w:t>
      </w:r>
    </w:p>
    <w:p w14:paraId="0958C0A4" w14:textId="1ED5D8D3" w:rsidR="00DF3247" w:rsidRDefault="00DF3247">
      <w:pPr>
        <w:pStyle w:val="Heading3"/>
      </w:pPr>
      <w:bookmarkStart w:id="183" w:name="_Ref75328545"/>
      <w:r w:rsidRPr="00DF3247">
        <w:t>The evaluation has identified four areas for consideration to scale-up the BRII</w:t>
      </w:r>
      <w:bookmarkEnd w:id="183"/>
    </w:p>
    <w:p w14:paraId="46CC4DE2" w14:textId="0540F5AF" w:rsidR="00241915" w:rsidRDefault="002B37AF" w:rsidP="00241915">
      <w:pPr>
        <w:rPr>
          <w:lang w:eastAsia="en-AU"/>
        </w:rPr>
      </w:pPr>
      <w:r w:rsidRPr="002B37AF">
        <w:rPr>
          <w:lang w:eastAsia="en-AU"/>
        </w:rPr>
        <w:t xml:space="preserve">The four focus areas, described briefly </w:t>
      </w:r>
      <w:r w:rsidR="006C57A4">
        <w:rPr>
          <w:lang w:eastAsia="en-AU"/>
        </w:rPr>
        <w:t xml:space="preserve">in </w:t>
      </w:r>
      <w:r w:rsidR="006C57A4">
        <w:rPr>
          <w:lang w:eastAsia="en-AU"/>
        </w:rPr>
        <w:fldChar w:fldCharType="begin"/>
      </w:r>
      <w:r w:rsidR="006C57A4">
        <w:rPr>
          <w:lang w:eastAsia="en-AU"/>
        </w:rPr>
        <w:instrText xml:space="preserve"> REF _Ref79402806 \h </w:instrText>
      </w:r>
      <w:r w:rsidR="006C57A4">
        <w:rPr>
          <w:lang w:eastAsia="en-AU"/>
        </w:rPr>
      </w:r>
      <w:r w:rsidR="006C57A4">
        <w:rPr>
          <w:lang w:eastAsia="en-AU"/>
        </w:rPr>
        <w:fldChar w:fldCharType="separate"/>
      </w:r>
      <w:r w:rsidR="00AE607F">
        <w:t xml:space="preserve">Table </w:t>
      </w:r>
      <w:r w:rsidR="00AE607F">
        <w:rPr>
          <w:noProof/>
        </w:rPr>
        <w:t>11</w:t>
      </w:r>
      <w:r w:rsidR="006C57A4">
        <w:rPr>
          <w:lang w:eastAsia="en-AU"/>
        </w:rPr>
        <w:fldChar w:fldCharType="end"/>
      </w:r>
      <w:r w:rsidRPr="002B37AF">
        <w:rPr>
          <w:lang w:eastAsia="en-AU"/>
        </w:rPr>
        <w:t>, will be discussed in greater detail in this section. Each area has its own considerations and potential solutions as outlined by participating SME’s, challenge agencies and government stakeholders, as well as research on international schemes.</w:t>
      </w:r>
      <w:r w:rsidR="00C42173">
        <w:rPr>
          <w:lang w:eastAsia="en-AU"/>
        </w:rPr>
        <w:t xml:space="preserve"> It is important to note that during the evaluation, the RegTech round (</w:t>
      </w:r>
      <w:r w:rsidR="00D46F72">
        <w:rPr>
          <w:lang w:eastAsia="en-AU"/>
        </w:rPr>
        <w:t>r</w:t>
      </w:r>
      <w:r w:rsidR="00C42173">
        <w:rPr>
          <w:lang w:eastAsia="en-AU"/>
        </w:rPr>
        <w:t xml:space="preserve">ound </w:t>
      </w:r>
      <w:r w:rsidR="00D46F72">
        <w:rPr>
          <w:lang w:eastAsia="en-AU"/>
        </w:rPr>
        <w:t>four</w:t>
      </w:r>
      <w:r w:rsidR="00C42173">
        <w:rPr>
          <w:lang w:eastAsia="en-AU"/>
        </w:rPr>
        <w:t xml:space="preserve">) was launched with a different design to </w:t>
      </w:r>
      <w:r w:rsidR="0041121E">
        <w:rPr>
          <w:lang w:eastAsia="en-AU"/>
        </w:rPr>
        <w:t>the</w:t>
      </w:r>
      <w:r w:rsidR="00C42173">
        <w:rPr>
          <w:lang w:eastAsia="en-AU"/>
        </w:rPr>
        <w:t xml:space="preserve"> other BRII rounds. </w:t>
      </w:r>
      <w:r w:rsidR="0057454B">
        <w:rPr>
          <w:lang w:eastAsia="en-AU"/>
        </w:rPr>
        <w:t xml:space="preserve">Of particular importance </w:t>
      </w:r>
      <w:r w:rsidR="00EF0B2E">
        <w:rPr>
          <w:lang w:eastAsia="en-AU"/>
        </w:rPr>
        <w:t>is the “sponsored” nature of the round</w:t>
      </w:r>
      <w:r w:rsidR="00EE6A11">
        <w:rPr>
          <w:lang w:eastAsia="en-AU"/>
        </w:rPr>
        <w:t xml:space="preserve">. The </w:t>
      </w:r>
      <w:r w:rsidR="00C7078B">
        <w:rPr>
          <w:lang w:eastAsia="en-AU"/>
        </w:rPr>
        <w:t xml:space="preserve">other policy </w:t>
      </w:r>
      <w:r w:rsidR="00EE6A11">
        <w:rPr>
          <w:lang w:eastAsia="en-AU"/>
        </w:rPr>
        <w:t xml:space="preserve">team </w:t>
      </w:r>
      <w:r w:rsidR="00C7078B">
        <w:rPr>
          <w:lang w:eastAsia="en-AU"/>
        </w:rPr>
        <w:t>within DISER has provided the funding for the round</w:t>
      </w:r>
      <w:r w:rsidR="00EF0B2E">
        <w:rPr>
          <w:lang w:eastAsia="en-AU"/>
        </w:rPr>
        <w:t>.</w:t>
      </w:r>
    </w:p>
    <w:p w14:paraId="08953A90" w14:textId="4BF3BD63" w:rsidR="00E51D8C" w:rsidRDefault="00E51D8C" w:rsidP="00E51D8C">
      <w:pPr>
        <w:pStyle w:val="Caption"/>
        <w:rPr>
          <w:lang w:eastAsia="en-AU"/>
        </w:rPr>
      </w:pPr>
      <w:bookmarkStart w:id="184" w:name="_Ref79402806"/>
      <w:r>
        <w:lastRenderedPageBreak/>
        <w:t xml:space="preserve">Table </w:t>
      </w:r>
      <w:r>
        <w:fldChar w:fldCharType="begin"/>
      </w:r>
      <w:r>
        <w:instrText xml:space="preserve"> SEQ Table \* ARABIC </w:instrText>
      </w:r>
      <w:r>
        <w:fldChar w:fldCharType="separate"/>
      </w:r>
      <w:r w:rsidR="00AE607F">
        <w:rPr>
          <w:noProof/>
        </w:rPr>
        <w:t>11</w:t>
      </w:r>
      <w:r>
        <w:fldChar w:fldCharType="end"/>
      </w:r>
      <w:bookmarkEnd w:id="184"/>
      <w:r>
        <w:t xml:space="preserve"> | </w:t>
      </w:r>
      <w:r w:rsidR="00CC1F31">
        <w:t>Four areas for consideration to scale-up the BRII</w:t>
      </w:r>
    </w:p>
    <w:tbl>
      <w:tblPr>
        <w:tblStyle w:val="NousTableSide"/>
        <w:tblW w:w="0" w:type="auto"/>
        <w:tblLook w:val="04A0" w:firstRow="1" w:lastRow="0" w:firstColumn="1" w:lastColumn="0" w:noHBand="0" w:noVBand="1"/>
      </w:tblPr>
      <w:tblGrid>
        <w:gridCol w:w="3162"/>
        <w:gridCol w:w="5738"/>
      </w:tblGrid>
      <w:tr w:rsidR="00237B38" w14:paraId="3BFCCE2C" w14:textId="77777777" w:rsidTr="00237B38">
        <w:trPr>
          <w:cantSplit/>
          <w:trHeight w:val="556"/>
        </w:trPr>
        <w:tc>
          <w:tcPr>
            <w:cnfStyle w:val="001000000000" w:firstRow="0" w:lastRow="0" w:firstColumn="1" w:lastColumn="0" w:oddVBand="0" w:evenVBand="0" w:oddHBand="0" w:evenHBand="0" w:firstRowFirstColumn="0" w:firstRowLastColumn="0" w:lastRowFirstColumn="0" w:lastRowLastColumn="0"/>
            <w:tcW w:w="3162" w:type="dxa"/>
            <w:tcBorders>
              <w:top w:val="single" w:sz="12" w:space="0" w:color="E6E6E1" w:themeColor="accent5"/>
              <w:left w:val="single" w:sz="24" w:space="0" w:color="25B3E0" w:themeColor="accent6"/>
            </w:tcBorders>
          </w:tcPr>
          <w:p w14:paraId="7EA13B13" w14:textId="77777777" w:rsidR="00237B38" w:rsidRPr="00237B38" w:rsidRDefault="00237B38" w:rsidP="00237B38">
            <w:pPr>
              <w:pStyle w:val="TableNheader"/>
              <w:rPr>
                <w:lang w:eastAsia="en-AU"/>
              </w:rPr>
            </w:pPr>
            <w:r w:rsidRPr="00237B38">
              <w:rPr>
                <w:noProof/>
                <w:lang w:eastAsia="en-AU"/>
              </w:rPr>
              <w:drawing>
                <wp:inline distT="0" distB="0" distL="0" distR="0" wp14:anchorId="139B2BC5" wp14:editId="27B9A220">
                  <wp:extent cx="296841" cy="360000"/>
                  <wp:effectExtent l="0" t="0" r="8255" b="2540"/>
                  <wp:docPr id="27855" name="Picture 278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55" name="Picture 27855">
                            <a:extLst>
                              <a:ext uri="{C183D7F6-B498-43B3-948B-1728B52AA6E4}">
                                <adec:decorative xmlns:adec="http://schemas.microsoft.com/office/drawing/2017/decorative" val="1"/>
                              </a:ext>
                            </a:extLst>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96841" cy="360000"/>
                          </a:xfrm>
                          <a:prstGeom prst="rect">
                            <a:avLst/>
                          </a:prstGeom>
                          <a:noFill/>
                          <a:ln>
                            <a:noFill/>
                          </a:ln>
                        </pic:spPr>
                      </pic:pic>
                    </a:graphicData>
                  </a:graphic>
                </wp:inline>
              </w:drawing>
            </w:r>
          </w:p>
          <w:p w14:paraId="09ABB188" w14:textId="47435F06" w:rsidR="00237B38" w:rsidRPr="00237B38" w:rsidRDefault="00237B38" w:rsidP="00237B38">
            <w:pPr>
              <w:pStyle w:val="TableNheader"/>
              <w:rPr>
                <w:rFonts w:asciiTheme="majorHAnsi" w:hAnsiTheme="majorHAnsi"/>
                <w:noProof/>
                <w:lang w:eastAsia="en-AU"/>
              </w:rPr>
            </w:pPr>
            <w:r w:rsidRPr="00237B38">
              <w:rPr>
                <w:lang w:val="en-US" w:eastAsia="en-AU"/>
              </w:rPr>
              <w:t xml:space="preserve">There are different </w:t>
            </w:r>
            <w:r w:rsidRPr="00237B38">
              <w:rPr>
                <w:rFonts w:asciiTheme="majorHAnsi" w:hAnsiTheme="majorHAnsi"/>
                <w:lang w:val="en-US" w:eastAsia="en-AU"/>
              </w:rPr>
              <w:t xml:space="preserve">funding options </w:t>
            </w:r>
            <w:r w:rsidRPr="00237B38">
              <w:rPr>
                <w:lang w:val="en-US" w:eastAsia="en-AU"/>
              </w:rPr>
              <w:t xml:space="preserve">to scale-up the BRII. </w:t>
            </w:r>
          </w:p>
        </w:tc>
        <w:tc>
          <w:tcPr>
            <w:tcW w:w="5738" w:type="dxa"/>
          </w:tcPr>
          <w:p w14:paraId="454D27CD" w14:textId="7BAEDE10" w:rsidR="00237B38" w:rsidRDefault="00237B38" w:rsidP="00237B38">
            <w:pPr>
              <w:pStyle w:val="TableN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Section</w:t>
            </w:r>
            <w:r w:rsidRPr="00E73BF5">
              <w:rPr>
                <w:lang w:eastAsia="en-AU"/>
              </w:rPr>
              <w:t xml:space="preserve"> </w:t>
            </w:r>
            <w:r>
              <w:rPr>
                <w:lang w:eastAsia="en-AU"/>
              </w:rPr>
              <w:fldChar w:fldCharType="begin"/>
            </w:r>
            <w:r>
              <w:rPr>
                <w:lang w:eastAsia="en-AU"/>
              </w:rPr>
              <w:instrText xml:space="preserve"> REF _Ref75328548 \n \h  \* MERGEFORMAT </w:instrText>
            </w:r>
            <w:r>
              <w:rPr>
                <w:lang w:eastAsia="en-AU"/>
              </w:rPr>
            </w:r>
            <w:r>
              <w:rPr>
                <w:lang w:eastAsia="en-AU"/>
              </w:rPr>
              <w:fldChar w:fldCharType="separate"/>
            </w:r>
            <w:r>
              <w:rPr>
                <w:lang w:eastAsia="en-AU"/>
              </w:rPr>
              <w:t>8.1.3</w:t>
            </w:r>
            <w:r>
              <w:rPr>
                <w:lang w:eastAsia="en-AU"/>
              </w:rPr>
              <w:fldChar w:fldCharType="end"/>
            </w:r>
            <w:r w:rsidRPr="00E73BF5">
              <w:rPr>
                <w:lang w:eastAsia="en-AU"/>
              </w:rPr>
              <w:t xml:space="preserve"> outlines the various options that DISER </w:t>
            </w:r>
            <w:r>
              <w:rPr>
                <w:lang w:eastAsia="en-AU"/>
              </w:rPr>
              <w:t>can</w:t>
            </w:r>
            <w:r w:rsidRPr="00E73BF5">
              <w:rPr>
                <w:lang w:eastAsia="en-AU"/>
              </w:rPr>
              <w:t xml:space="preserve"> consider to </w:t>
            </w:r>
            <w:r>
              <w:rPr>
                <w:lang w:eastAsia="en-AU"/>
              </w:rPr>
              <w:t xml:space="preserve">fund the scale-up of the BRII, </w:t>
            </w:r>
            <w:r w:rsidRPr="00E73BF5">
              <w:rPr>
                <w:lang w:eastAsia="en-AU"/>
              </w:rPr>
              <w:t>using lessons from international experience. This ranges from models with a low degree of change and scale of potential funding available (the status quo) to a high degree (mandated targets).</w:t>
            </w:r>
            <w:r>
              <w:rPr>
                <w:lang w:eastAsia="en-AU"/>
              </w:rPr>
              <w:t xml:space="preserve"> It also includes analysis of the potential expansion pathways for the BRII, using the experience of the ISC and US SBIR as benchmarks.</w:t>
            </w:r>
          </w:p>
        </w:tc>
      </w:tr>
      <w:tr w:rsidR="00237B38" w14:paraId="6F3916C6" w14:textId="77777777" w:rsidTr="00237B38">
        <w:trPr>
          <w:cantSplit/>
        </w:trPr>
        <w:tc>
          <w:tcPr>
            <w:cnfStyle w:val="001000000000" w:firstRow="0" w:lastRow="0" w:firstColumn="1" w:lastColumn="0" w:oddVBand="0" w:evenVBand="0" w:oddHBand="0" w:evenHBand="0" w:firstRowFirstColumn="0" w:firstRowLastColumn="0" w:lastRowFirstColumn="0" w:lastRowLastColumn="0"/>
            <w:tcW w:w="3162" w:type="dxa"/>
            <w:tcBorders>
              <w:left w:val="single" w:sz="24" w:space="0" w:color="25B3E0" w:themeColor="accent6"/>
            </w:tcBorders>
          </w:tcPr>
          <w:p w14:paraId="6708135C" w14:textId="77777777" w:rsidR="00237B38" w:rsidRPr="00237B38" w:rsidRDefault="00237B38" w:rsidP="00237B38">
            <w:pPr>
              <w:pStyle w:val="TableNheader"/>
              <w:rPr>
                <w:lang w:eastAsia="en-AU"/>
              </w:rPr>
            </w:pPr>
            <w:r w:rsidRPr="00237B38">
              <w:rPr>
                <w:noProof/>
                <w:lang w:eastAsia="en-AU"/>
              </w:rPr>
              <w:drawing>
                <wp:inline distT="0" distB="0" distL="0" distR="0" wp14:anchorId="402EBB53" wp14:editId="616BF2F9">
                  <wp:extent cx="360000" cy="360000"/>
                  <wp:effectExtent l="0" t="0" r="2540" b="2540"/>
                  <wp:docPr id="27856" name="Picture 278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56" name="Picture 27856">
                            <a:extLst>
                              <a:ext uri="{C183D7F6-B498-43B3-948B-1728B52AA6E4}">
                                <adec:decorative xmlns:adec="http://schemas.microsoft.com/office/drawing/2017/decorative" val="1"/>
                              </a:ext>
                            </a:extLst>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14:paraId="6C7E3AA2" w14:textId="5DECF88D" w:rsidR="00237B38" w:rsidRPr="00237B38" w:rsidRDefault="00237B38" w:rsidP="00237B38">
            <w:pPr>
              <w:pStyle w:val="TableNheader"/>
              <w:rPr>
                <w:lang w:eastAsia="en-AU"/>
              </w:rPr>
            </w:pPr>
            <w:r w:rsidRPr="00237B38">
              <w:rPr>
                <w:rFonts w:asciiTheme="majorHAnsi" w:hAnsiTheme="majorHAnsi"/>
                <w:lang w:val="en-US" w:eastAsia="en-AU"/>
              </w:rPr>
              <w:t xml:space="preserve">BRII program delivery </w:t>
            </w:r>
            <w:r w:rsidRPr="00237B38">
              <w:rPr>
                <w:rFonts w:asciiTheme="minorHAnsi" w:hAnsiTheme="minorHAnsi" w:cstheme="minorHAnsi"/>
                <w:lang w:val="en-US" w:eastAsia="en-AU"/>
              </w:rPr>
              <w:t>will need to evolve to enable greater scale.</w:t>
            </w:r>
          </w:p>
        </w:tc>
        <w:tc>
          <w:tcPr>
            <w:tcW w:w="5738" w:type="dxa"/>
            <w:vAlign w:val="center"/>
          </w:tcPr>
          <w:p w14:paraId="5057A7C5" w14:textId="0E72246E" w:rsidR="00237B38" w:rsidRPr="003362B8" w:rsidRDefault="00237B38" w:rsidP="00237B38">
            <w:pPr>
              <w:pStyle w:val="TableN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 xml:space="preserve">Section </w:t>
            </w:r>
            <w:r>
              <w:rPr>
                <w:lang w:eastAsia="en-AU"/>
              </w:rPr>
              <w:fldChar w:fldCharType="begin"/>
            </w:r>
            <w:r>
              <w:rPr>
                <w:lang w:eastAsia="en-AU"/>
              </w:rPr>
              <w:instrText xml:space="preserve"> REF _Ref75328550 \n \h  \* MERGEFORMAT </w:instrText>
            </w:r>
            <w:r>
              <w:rPr>
                <w:lang w:eastAsia="en-AU"/>
              </w:rPr>
            </w:r>
            <w:r>
              <w:rPr>
                <w:lang w:eastAsia="en-AU"/>
              </w:rPr>
              <w:fldChar w:fldCharType="separate"/>
            </w:r>
            <w:r>
              <w:rPr>
                <w:lang w:eastAsia="en-AU"/>
              </w:rPr>
              <w:t>8.1.4</w:t>
            </w:r>
            <w:r>
              <w:rPr>
                <w:lang w:eastAsia="en-AU"/>
              </w:rPr>
              <w:fldChar w:fldCharType="end"/>
            </w:r>
            <w:r>
              <w:rPr>
                <w:lang w:eastAsia="en-AU"/>
              </w:rPr>
              <w:t xml:space="preserve"> </w:t>
            </w:r>
            <w:r w:rsidRPr="003362B8">
              <w:rPr>
                <w:lang w:eastAsia="en-AU"/>
              </w:rPr>
              <w:t xml:space="preserve">outlines considerations for changes to </w:t>
            </w:r>
            <w:r>
              <w:rPr>
                <w:lang w:eastAsia="en-AU"/>
              </w:rPr>
              <w:t>the</w:t>
            </w:r>
            <w:r w:rsidRPr="003362B8">
              <w:rPr>
                <w:lang w:eastAsia="en-AU"/>
              </w:rPr>
              <w:t xml:space="preserve"> BRII program delivery across three critical areas:</w:t>
            </w:r>
          </w:p>
          <w:p w14:paraId="4DCC1D49" w14:textId="77777777" w:rsidR="00237B38" w:rsidRPr="003362B8" w:rsidRDefault="00237B38" w:rsidP="00237B38">
            <w:pPr>
              <w:pStyle w:val="TableNBullet"/>
              <w:cnfStyle w:val="000000000000" w:firstRow="0" w:lastRow="0" w:firstColumn="0" w:lastColumn="0" w:oddVBand="0" w:evenVBand="0" w:oddHBand="0" w:evenHBand="0" w:firstRowFirstColumn="0" w:firstRowLastColumn="0" w:lastRowFirstColumn="0" w:lastRowLastColumn="0"/>
            </w:pPr>
            <w:r w:rsidRPr="003362B8">
              <w:t>Governance arrangements</w:t>
            </w:r>
          </w:p>
          <w:p w14:paraId="2A8C68DD" w14:textId="77777777" w:rsidR="00237B38" w:rsidRPr="003362B8" w:rsidRDefault="00237B38" w:rsidP="00237B38">
            <w:pPr>
              <w:pStyle w:val="TableNBullet"/>
              <w:cnfStyle w:val="000000000000" w:firstRow="0" w:lastRow="0" w:firstColumn="0" w:lastColumn="0" w:oddVBand="0" w:evenVBand="0" w:oddHBand="0" w:evenHBand="0" w:firstRowFirstColumn="0" w:firstRowLastColumn="0" w:lastRowFirstColumn="0" w:lastRowLastColumn="0"/>
            </w:pPr>
            <w:r w:rsidRPr="003362B8">
              <w:t>The frequency and nature of challenges</w:t>
            </w:r>
          </w:p>
          <w:p w14:paraId="2505EBF0" w14:textId="679FBCFA" w:rsidR="00237B38" w:rsidRDefault="00237B38" w:rsidP="00237B38">
            <w:pPr>
              <w:pStyle w:val="TableNBullet"/>
              <w:cnfStyle w:val="000000000000" w:firstRow="0" w:lastRow="0" w:firstColumn="0" w:lastColumn="0" w:oddVBand="0" w:evenVBand="0" w:oddHBand="0" w:evenHBand="0" w:firstRowFirstColumn="0" w:firstRowLastColumn="0" w:lastRowFirstColumn="0" w:lastRowLastColumn="0"/>
            </w:pPr>
            <w:r w:rsidRPr="003362B8">
              <w:t>End-to-end workflow</w:t>
            </w:r>
          </w:p>
        </w:tc>
      </w:tr>
      <w:tr w:rsidR="00237B38" w14:paraId="51451BD2" w14:textId="77777777" w:rsidTr="00237B38">
        <w:trPr>
          <w:cantSplit/>
        </w:trPr>
        <w:tc>
          <w:tcPr>
            <w:cnfStyle w:val="001000000000" w:firstRow="0" w:lastRow="0" w:firstColumn="1" w:lastColumn="0" w:oddVBand="0" w:evenVBand="0" w:oddHBand="0" w:evenHBand="0" w:firstRowFirstColumn="0" w:firstRowLastColumn="0" w:lastRowFirstColumn="0" w:lastRowLastColumn="0"/>
            <w:tcW w:w="3162" w:type="dxa"/>
            <w:tcBorders>
              <w:left w:val="single" w:sz="24" w:space="0" w:color="25B3E0" w:themeColor="accent6"/>
            </w:tcBorders>
          </w:tcPr>
          <w:p w14:paraId="12214C01" w14:textId="77777777" w:rsidR="00237B38" w:rsidRPr="00237B38" w:rsidRDefault="00237B38" w:rsidP="00237B38">
            <w:pPr>
              <w:pStyle w:val="TableNheader"/>
              <w:rPr>
                <w:lang w:eastAsia="en-AU"/>
              </w:rPr>
            </w:pPr>
            <w:r w:rsidRPr="00237B38">
              <w:rPr>
                <w:noProof/>
                <w:lang w:eastAsia="en-AU"/>
              </w:rPr>
              <w:drawing>
                <wp:inline distT="0" distB="0" distL="0" distR="0" wp14:anchorId="0AF17A26" wp14:editId="55D181C3">
                  <wp:extent cx="361950" cy="419100"/>
                  <wp:effectExtent l="0" t="0" r="0" b="0"/>
                  <wp:docPr id="27858" name="Picture 278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58" name="Picture 27858">
                            <a:extLst>
                              <a:ext uri="{C183D7F6-B498-43B3-948B-1728B52AA6E4}">
                                <adec:decorative xmlns:adec="http://schemas.microsoft.com/office/drawing/2017/decorative" val="1"/>
                              </a:ext>
                            </a:extLst>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61950" cy="419100"/>
                          </a:xfrm>
                          <a:prstGeom prst="rect">
                            <a:avLst/>
                          </a:prstGeom>
                          <a:noFill/>
                          <a:ln>
                            <a:noFill/>
                          </a:ln>
                        </pic:spPr>
                      </pic:pic>
                    </a:graphicData>
                  </a:graphic>
                </wp:inline>
              </w:drawing>
            </w:r>
          </w:p>
          <w:p w14:paraId="7C2B99CB" w14:textId="4A71FDC5" w:rsidR="00237B38" w:rsidRPr="00237B38" w:rsidRDefault="00237B38" w:rsidP="00237B38">
            <w:pPr>
              <w:pStyle w:val="TableNheader"/>
              <w:rPr>
                <w:lang w:eastAsia="en-AU"/>
              </w:rPr>
            </w:pPr>
            <w:r w:rsidRPr="00237B38">
              <w:rPr>
                <w:rFonts w:asciiTheme="majorHAnsi" w:hAnsiTheme="majorHAnsi" w:cstheme="minorHAnsi"/>
                <w:lang w:val="en-US" w:eastAsia="en-AU"/>
              </w:rPr>
              <w:t xml:space="preserve">APS capacity and capability </w:t>
            </w:r>
            <w:r w:rsidRPr="00237B38">
              <w:rPr>
                <w:rFonts w:asciiTheme="minorHAnsi" w:hAnsiTheme="minorHAnsi" w:cstheme="minorHAnsi"/>
                <w:lang w:val="en-US" w:eastAsia="en-AU"/>
              </w:rPr>
              <w:t>will need to improve to support a scaled-up BRII.</w:t>
            </w:r>
          </w:p>
        </w:tc>
        <w:tc>
          <w:tcPr>
            <w:tcW w:w="5738" w:type="dxa"/>
            <w:vAlign w:val="center"/>
          </w:tcPr>
          <w:p w14:paraId="5E2AA6A6" w14:textId="4479139D" w:rsidR="00237B38" w:rsidRPr="005D397D" w:rsidRDefault="00237B38" w:rsidP="00237B38">
            <w:pPr>
              <w:pStyle w:val="TableN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 xml:space="preserve">Section </w:t>
            </w:r>
            <w:r>
              <w:rPr>
                <w:lang w:eastAsia="en-AU"/>
              </w:rPr>
              <w:fldChar w:fldCharType="begin"/>
            </w:r>
            <w:r>
              <w:rPr>
                <w:lang w:eastAsia="en-AU"/>
              </w:rPr>
              <w:instrText xml:space="preserve"> REF _Ref75328554 \n \h  \* MERGEFORMAT </w:instrText>
            </w:r>
            <w:r>
              <w:rPr>
                <w:lang w:eastAsia="en-AU"/>
              </w:rPr>
            </w:r>
            <w:r>
              <w:rPr>
                <w:lang w:eastAsia="en-AU"/>
              </w:rPr>
              <w:fldChar w:fldCharType="separate"/>
            </w:r>
            <w:r>
              <w:rPr>
                <w:lang w:eastAsia="en-AU"/>
              </w:rPr>
              <w:t>8.1.5</w:t>
            </w:r>
            <w:r>
              <w:rPr>
                <w:lang w:eastAsia="en-AU"/>
              </w:rPr>
              <w:fldChar w:fldCharType="end"/>
            </w:r>
            <w:r>
              <w:rPr>
                <w:lang w:eastAsia="en-AU"/>
              </w:rPr>
              <w:t xml:space="preserve"> </w:t>
            </w:r>
            <w:r w:rsidRPr="005D397D">
              <w:rPr>
                <w:lang w:eastAsia="en-AU"/>
              </w:rPr>
              <w:t>outlines two opportunities to facilitate challenge agency success in a scaled-up BRII:</w:t>
            </w:r>
          </w:p>
          <w:p w14:paraId="25481F73" w14:textId="77777777" w:rsidR="00237B38" w:rsidRPr="005D397D" w:rsidRDefault="00237B38" w:rsidP="00237B38">
            <w:pPr>
              <w:pStyle w:val="TableNBullet"/>
              <w:cnfStyle w:val="000000000000" w:firstRow="0" w:lastRow="0" w:firstColumn="0" w:lastColumn="0" w:oddVBand="0" w:evenVBand="0" w:oddHBand="0" w:evenHBand="0" w:firstRowFirstColumn="0" w:firstRowLastColumn="0" w:lastRowFirstColumn="0" w:lastRowLastColumn="0"/>
            </w:pPr>
            <w:r w:rsidRPr="005D397D">
              <w:t xml:space="preserve">Increase challenge agency capacity through dedicated portfolio resources </w:t>
            </w:r>
          </w:p>
          <w:p w14:paraId="4222EF5A" w14:textId="5AEB3CE4" w:rsidR="00237B38" w:rsidRDefault="00237B38" w:rsidP="00237B38">
            <w:pPr>
              <w:pStyle w:val="TableNBullet"/>
              <w:cnfStyle w:val="000000000000" w:firstRow="0" w:lastRow="0" w:firstColumn="0" w:lastColumn="0" w:oddVBand="0" w:evenVBand="0" w:oddHBand="0" w:evenHBand="0" w:firstRowFirstColumn="0" w:firstRowLastColumn="0" w:lastRowFirstColumn="0" w:lastRowLastColumn="0"/>
            </w:pPr>
            <w:r w:rsidRPr="005D397D">
              <w:t>Improve challenge agency capability through tailored support roles</w:t>
            </w:r>
          </w:p>
        </w:tc>
      </w:tr>
      <w:tr w:rsidR="00237B38" w14:paraId="5E276205" w14:textId="77777777" w:rsidTr="00237B38">
        <w:trPr>
          <w:cantSplit/>
        </w:trPr>
        <w:tc>
          <w:tcPr>
            <w:cnfStyle w:val="001000000000" w:firstRow="0" w:lastRow="0" w:firstColumn="1" w:lastColumn="0" w:oddVBand="0" w:evenVBand="0" w:oddHBand="0" w:evenHBand="0" w:firstRowFirstColumn="0" w:firstRowLastColumn="0" w:lastRowFirstColumn="0" w:lastRowLastColumn="0"/>
            <w:tcW w:w="3162" w:type="dxa"/>
            <w:tcBorders>
              <w:left w:val="single" w:sz="24" w:space="0" w:color="25B3E0" w:themeColor="accent6"/>
            </w:tcBorders>
          </w:tcPr>
          <w:p w14:paraId="0DD3A1D2" w14:textId="77777777" w:rsidR="00237B38" w:rsidRPr="00237B38" w:rsidRDefault="00237B38" w:rsidP="00237B38">
            <w:pPr>
              <w:pStyle w:val="TableNheader"/>
              <w:rPr>
                <w:lang w:eastAsia="en-AU"/>
              </w:rPr>
            </w:pPr>
            <w:r w:rsidRPr="00237B38">
              <w:rPr>
                <w:noProof/>
                <w:lang w:eastAsia="en-AU"/>
              </w:rPr>
              <w:drawing>
                <wp:inline distT="0" distB="0" distL="0" distR="0" wp14:anchorId="3452972D" wp14:editId="7E7E7EC0">
                  <wp:extent cx="474894" cy="360000"/>
                  <wp:effectExtent l="0" t="0" r="1905" b="2540"/>
                  <wp:docPr id="27859" name="Picture 278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59" name="Picture 27859">
                            <a:extLst>
                              <a:ext uri="{C183D7F6-B498-43B3-948B-1728B52AA6E4}">
                                <adec:decorative xmlns:adec="http://schemas.microsoft.com/office/drawing/2017/decorative" val="1"/>
                              </a:ext>
                            </a:extLst>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74894" cy="360000"/>
                          </a:xfrm>
                          <a:prstGeom prst="rect">
                            <a:avLst/>
                          </a:prstGeom>
                          <a:noFill/>
                          <a:ln>
                            <a:noFill/>
                          </a:ln>
                        </pic:spPr>
                      </pic:pic>
                    </a:graphicData>
                  </a:graphic>
                </wp:inline>
              </w:drawing>
            </w:r>
          </w:p>
          <w:p w14:paraId="6349361B" w14:textId="4934E8CB" w:rsidR="00237B38" w:rsidRPr="00237B38" w:rsidRDefault="00237B38" w:rsidP="00237B38">
            <w:pPr>
              <w:pStyle w:val="TableNheader"/>
              <w:rPr>
                <w:lang w:eastAsia="en-AU"/>
              </w:rPr>
            </w:pPr>
            <w:r w:rsidRPr="00237B38">
              <w:rPr>
                <w:rFonts w:asciiTheme="minorHAnsi" w:hAnsiTheme="minorHAnsi" w:cstheme="minorHAnsi"/>
                <w:lang w:val="en-US" w:eastAsia="en-AU"/>
              </w:rPr>
              <w:t xml:space="preserve">New approaches to </w:t>
            </w:r>
            <w:r w:rsidRPr="00237B38">
              <w:rPr>
                <w:rFonts w:asciiTheme="majorHAnsi" w:hAnsiTheme="majorHAnsi" w:cstheme="minorHAnsi"/>
                <w:lang w:val="en-US" w:eastAsia="en-AU"/>
              </w:rPr>
              <w:t xml:space="preserve">SME engagement and support </w:t>
            </w:r>
            <w:r w:rsidRPr="00237B38">
              <w:rPr>
                <w:rFonts w:asciiTheme="minorHAnsi" w:hAnsiTheme="minorHAnsi" w:cstheme="minorHAnsi"/>
                <w:lang w:val="en-US" w:eastAsia="en-AU"/>
              </w:rPr>
              <w:t>will enable greater scale.</w:t>
            </w:r>
          </w:p>
        </w:tc>
        <w:tc>
          <w:tcPr>
            <w:tcW w:w="5738" w:type="dxa"/>
          </w:tcPr>
          <w:p w14:paraId="789CB9DB" w14:textId="33FCAB33" w:rsidR="00237B38" w:rsidRPr="00822A6E" w:rsidRDefault="00237B38" w:rsidP="00237B38">
            <w:pPr>
              <w:pStyle w:val="TableN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 xml:space="preserve">Section </w:t>
            </w:r>
            <w:r>
              <w:rPr>
                <w:lang w:eastAsia="en-AU"/>
              </w:rPr>
              <w:fldChar w:fldCharType="begin"/>
            </w:r>
            <w:r>
              <w:rPr>
                <w:lang w:eastAsia="en-AU"/>
              </w:rPr>
              <w:instrText xml:space="preserve"> REF _Ref75328557 \n \h  \* MERGEFORMAT </w:instrText>
            </w:r>
            <w:r>
              <w:rPr>
                <w:lang w:eastAsia="en-AU"/>
              </w:rPr>
            </w:r>
            <w:r>
              <w:rPr>
                <w:lang w:eastAsia="en-AU"/>
              </w:rPr>
              <w:fldChar w:fldCharType="separate"/>
            </w:r>
            <w:r>
              <w:rPr>
                <w:lang w:eastAsia="en-AU"/>
              </w:rPr>
              <w:t>8.1.6</w:t>
            </w:r>
            <w:r>
              <w:rPr>
                <w:lang w:eastAsia="en-AU"/>
              </w:rPr>
              <w:fldChar w:fldCharType="end"/>
            </w:r>
            <w:r>
              <w:rPr>
                <w:lang w:eastAsia="en-AU"/>
              </w:rPr>
              <w:t xml:space="preserve"> </w:t>
            </w:r>
            <w:r w:rsidRPr="00822A6E">
              <w:rPr>
                <w:lang w:eastAsia="en-AU"/>
              </w:rPr>
              <w:t>outlines three opportunities to scale-up SME engagement and enhance support:</w:t>
            </w:r>
          </w:p>
          <w:p w14:paraId="2F9308A3" w14:textId="77777777" w:rsidR="00237B38" w:rsidRPr="00822A6E" w:rsidRDefault="00237B38" w:rsidP="00237B38">
            <w:pPr>
              <w:pStyle w:val="TableNBullet"/>
              <w:cnfStyle w:val="000000000000" w:firstRow="0" w:lastRow="0" w:firstColumn="0" w:lastColumn="0" w:oddVBand="0" w:evenVBand="0" w:oddHBand="0" w:evenHBand="0" w:firstRowFirstColumn="0" w:firstRowLastColumn="0" w:lastRowFirstColumn="0" w:lastRowLastColumn="0"/>
            </w:pPr>
            <w:r w:rsidRPr="00822A6E">
              <w:t>A streamlined and distributed SME marketing and engagement approach</w:t>
            </w:r>
          </w:p>
          <w:p w14:paraId="36BF1548" w14:textId="77777777" w:rsidR="00237B38" w:rsidRPr="00822A6E" w:rsidRDefault="00237B38" w:rsidP="00237B38">
            <w:pPr>
              <w:pStyle w:val="TableNBullet"/>
              <w:cnfStyle w:val="000000000000" w:firstRow="0" w:lastRow="0" w:firstColumn="0" w:lastColumn="0" w:oddVBand="0" w:evenVBand="0" w:oddHBand="0" w:evenHBand="0" w:firstRowFirstColumn="0" w:firstRowLastColumn="0" w:lastRowFirstColumn="0" w:lastRowLastColumn="0"/>
            </w:pPr>
            <w:r w:rsidRPr="00822A6E">
              <w:t>Support SMEs to understand government procurement and commercialisation pathways</w:t>
            </w:r>
          </w:p>
          <w:p w14:paraId="4157BE2B" w14:textId="5BA02A3F" w:rsidR="00237B38" w:rsidRDefault="00237B38" w:rsidP="00237B38">
            <w:pPr>
              <w:pStyle w:val="TableNBullet"/>
              <w:cnfStyle w:val="000000000000" w:firstRow="0" w:lastRow="0" w:firstColumn="0" w:lastColumn="0" w:oddVBand="0" w:evenVBand="0" w:oddHBand="0" w:evenHBand="0" w:firstRowFirstColumn="0" w:firstRowLastColumn="0" w:lastRowFirstColumn="0" w:lastRowLastColumn="0"/>
            </w:pPr>
            <w:r w:rsidRPr="00822A6E">
              <w:t>Create a follow-on commercialisation stage for proof of concept SMEs</w:t>
            </w:r>
          </w:p>
        </w:tc>
      </w:tr>
    </w:tbl>
    <w:p w14:paraId="2F3C48B3" w14:textId="0FC823C1" w:rsidR="00DF3247" w:rsidRDefault="00DF3247">
      <w:pPr>
        <w:pStyle w:val="Heading3"/>
      </w:pPr>
      <w:bookmarkStart w:id="185" w:name="_Ref75328548"/>
      <w:r w:rsidRPr="00DF3247">
        <w:t xml:space="preserve">There are different </w:t>
      </w:r>
      <w:r w:rsidR="00CD286B">
        <w:t>funding options</w:t>
      </w:r>
      <w:r w:rsidRPr="00DF3247">
        <w:t xml:space="preserve"> to </w:t>
      </w:r>
      <w:r w:rsidR="00A621A9">
        <w:t>expand the</w:t>
      </w:r>
      <w:r w:rsidRPr="00DF3247">
        <w:t xml:space="preserve"> BRII</w:t>
      </w:r>
      <w:bookmarkEnd w:id="185"/>
    </w:p>
    <w:p w14:paraId="6F7C4EA6" w14:textId="2684EEFE" w:rsidR="00234FC8" w:rsidRPr="00234FC8" w:rsidRDefault="00234FC8" w:rsidP="00234FC8">
      <w:pPr>
        <w:rPr>
          <w:lang w:eastAsia="en-AU"/>
        </w:rPr>
      </w:pPr>
      <w:r w:rsidRPr="00234FC8">
        <w:rPr>
          <w:lang w:eastAsia="en-AU"/>
        </w:rPr>
        <w:t xml:space="preserve">Options for funding a potential expansion of the BRII range from the Australian Government continuing to fund the program through DISER to the introduction of </w:t>
      </w:r>
      <w:r w:rsidR="006E409D">
        <w:rPr>
          <w:lang w:eastAsia="en-AU"/>
        </w:rPr>
        <w:t>w</w:t>
      </w:r>
      <w:r w:rsidRPr="00234FC8">
        <w:rPr>
          <w:lang w:eastAsia="en-AU"/>
        </w:rPr>
        <w:t>hole-</w:t>
      </w:r>
      <w:r w:rsidR="006E409D">
        <w:rPr>
          <w:lang w:eastAsia="en-AU"/>
        </w:rPr>
        <w:t>o</w:t>
      </w:r>
      <w:r w:rsidRPr="00234FC8">
        <w:rPr>
          <w:lang w:eastAsia="en-AU"/>
        </w:rPr>
        <w:t>f-</w:t>
      </w:r>
      <w:r w:rsidR="006E409D">
        <w:rPr>
          <w:lang w:eastAsia="en-AU"/>
        </w:rPr>
        <w:t>g</w:t>
      </w:r>
      <w:r w:rsidRPr="00234FC8">
        <w:rPr>
          <w:lang w:eastAsia="en-AU"/>
        </w:rPr>
        <w:t>overnment targets – as per the US SBIR and ISC models. A high level summary of potential models is provided</w:t>
      </w:r>
      <w:r w:rsidR="00265A95">
        <w:rPr>
          <w:lang w:eastAsia="en-AU"/>
        </w:rPr>
        <w:t xml:space="preserve"> in </w:t>
      </w:r>
      <w:r w:rsidR="00265A95">
        <w:rPr>
          <w:lang w:eastAsia="en-AU"/>
        </w:rPr>
        <w:fldChar w:fldCharType="begin"/>
      </w:r>
      <w:r w:rsidR="00265A95">
        <w:rPr>
          <w:lang w:eastAsia="en-AU"/>
        </w:rPr>
        <w:instrText xml:space="preserve"> REF _Ref76063100 \h </w:instrText>
      </w:r>
      <w:r w:rsidR="00265A95">
        <w:rPr>
          <w:lang w:eastAsia="en-AU"/>
        </w:rPr>
      </w:r>
      <w:r w:rsidR="00265A95">
        <w:rPr>
          <w:lang w:eastAsia="en-AU"/>
        </w:rPr>
        <w:fldChar w:fldCharType="separate"/>
      </w:r>
      <w:r w:rsidR="00AE607F">
        <w:t xml:space="preserve">Figure </w:t>
      </w:r>
      <w:r w:rsidR="00AE607F">
        <w:rPr>
          <w:noProof/>
        </w:rPr>
        <w:t>29</w:t>
      </w:r>
      <w:r w:rsidR="00265A95">
        <w:rPr>
          <w:lang w:eastAsia="en-AU"/>
        </w:rPr>
        <w:fldChar w:fldCharType="end"/>
      </w:r>
      <w:r w:rsidR="00CF3902">
        <w:rPr>
          <w:lang w:eastAsia="en-AU"/>
        </w:rPr>
        <w:t xml:space="preserve"> </w:t>
      </w:r>
      <w:r w:rsidRPr="00234FC8">
        <w:rPr>
          <w:lang w:eastAsia="en-AU"/>
        </w:rPr>
        <w:t xml:space="preserve">– ordered by degree of change from the status quo and scale of the potential funding that would be available to the BRII. </w:t>
      </w:r>
    </w:p>
    <w:p w14:paraId="1476A920" w14:textId="71B73E60" w:rsidR="00E20F1A" w:rsidRDefault="00E20F1A" w:rsidP="00E20F1A">
      <w:pPr>
        <w:pStyle w:val="Caption"/>
        <w:rPr>
          <w:lang w:eastAsia="en-AU"/>
        </w:rPr>
      </w:pPr>
      <w:bookmarkStart w:id="186" w:name="_Ref76063100"/>
      <w:r>
        <w:lastRenderedPageBreak/>
        <w:t xml:space="preserve">Figure </w:t>
      </w:r>
      <w:r>
        <w:fldChar w:fldCharType="begin"/>
      </w:r>
      <w:r>
        <w:instrText xml:space="preserve"> SEQ Figure \* ARABIC </w:instrText>
      </w:r>
      <w:r>
        <w:fldChar w:fldCharType="separate"/>
      </w:r>
      <w:r w:rsidR="00870ADB">
        <w:rPr>
          <w:noProof/>
        </w:rPr>
        <w:t>30</w:t>
      </w:r>
      <w:r>
        <w:fldChar w:fldCharType="end"/>
      </w:r>
      <w:bookmarkEnd w:id="186"/>
      <w:r>
        <w:t xml:space="preserve"> | Continuum of </w:t>
      </w:r>
      <w:r w:rsidR="00A019AE">
        <w:t>CBI</w:t>
      </w:r>
      <w:r>
        <w:t xml:space="preserve"> program funding models</w:t>
      </w:r>
      <w:r w:rsidR="00BE34FB">
        <w:tab/>
      </w:r>
    </w:p>
    <w:p w14:paraId="7FEB6A2D" w14:textId="42112232" w:rsidR="00234FC8" w:rsidRPr="007E6657" w:rsidRDefault="001D6C77" w:rsidP="00234FC8">
      <w:pPr>
        <w:rPr>
          <w:lang w:eastAsia="en-AU"/>
        </w:rPr>
      </w:pPr>
      <w:r w:rsidRPr="001D6C77">
        <w:rPr>
          <w:noProof/>
        </w:rPr>
        <w:drawing>
          <wp:inline distT="0" distB="0" distL="0" distR="0" wp14:anchorId="66BA65EF" wp14:editId="57DD22C7">
            <wp:extent cx="5670550" cy="2469515"/>
            <wp:effectExtent l="0" t="0" r="6350" b="6985"/>
            <wp:docPr id="27846" name="Picture 27846" descr="Scale showing the DEGREE OF CHANGE AND SCALE OF POTENTIAL FUNDING AVAILABLE.&#10;Low. STATUS QUO, Government continues to fund the BRII through DISER. Medium to Low. CO-FUNDING, DISER continues to manage the BRII but funding is provided in part by the relevant challenge agencies. Medium. ORGANIC GROWTH, DISER supports other agencies to develop and implement the BRII or similar programs like Defence’s Innovation Hub and DAWE’s Biosecurity Innovation Challenges, that are funded by the relevant agency, while still allowing ISA and EPC to play active advisory and assurance roles.&#10;Medium to High. SELECTED TARGETS, Government identifies selected agencies that would then allocate a proportion of their R&amp;D or procurement budget to challenge based procurement from SMEs.&#10;High. MANDATED TARGETS, Government mandates that all agencies over a certain size allocate a proportion of their R&amp;D or procurement budget to challenge-based procurement from SMEs.&#10;Low for analogous programs. Medium for UK SBRI. High for US SBIR/ISC.&#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46" name="Picture 27846" descr="Scale showing the DEGREE OF CHANGE AND SCALE OF POTENTIAL FUNDING AVAILABLE.&#10;Low. STATUS QUO, Government continues to fund the BRII through DISER. Medium to Low. CO-FUNDING, DISER continues to manage the BRII but funding is provided in part by the relevant challenge agencies. Medium. ORGANIC GROWTH, DISER supports other agencies to develop and implement the BRII or similar programs like Defence’s Innovation Hub and DAWE’s Biosecurity Innovation Challenges, that are funded by the relevant agency, while still allowing ISA and EPC to play active advisory and assurance roles.&#10;Medium to High. SELECTED TARGETS, Government identifies selected agencies that would then allocate a proportion of their R&amp;D or procurement budget to challenge based procurement from SMEs.&#10;High. MANDATED TARGETS, Government mandates that all agencies over a certain size allocate a proportion of their R&amp;D or procurement budget to challenge-based procurement from SMEs.&#10;Low for analogous programs. Medium for UK SBRI. High for US SBIR/ISC.&#10;&#1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670550" cy="2469515"/>
                    </a:xfrm>
                    <a:prstGeom prst="rect">
                      <a:avLst/>
                    </a:prstGeom>
                    <a:noFill/>
                    <a:ln>
                      <a:noFill/>
                    </a:ln>
                  </pic:spPr>
                </pic:pic>
              </a:graphicData>
            </a:graphic>
          </wp:inline>
        </w:drawing>
      </w:r>
    </w:p>
    <w:p w14:paraId="74ACE78B" w14:textId="30CEDBB0" w:rsidR="00F73C23" w:rsidRDefault="00F73C23" w:rsidP="00F73C23">
      <w:pPr>
        <w:rPr>
          <w:lang w:eastAsia="en-AU"/>
        </w:rPr>
      </w:pPr>
      <w:bookmarkStart w:id="187" w:name="_Ref77930398"/>
      <w:r w:rsidRPr="00234FC8">
        <w:rPr>
          <w:lang w:eastAsia="en-AU"/>
        </w:rPr>
        <w:t>The 2018 post-commencement evaluation focused on lessons from the UK’s experience managing the SBRI. Since then, Innovate Canada has rapidly launched ISC, which has achieved significant scale in a very short timeframe. A key driver of its success has been a mandated</w:t>
      </w:r>
      <w:r w:rsidDel="007011FA">
        <w:rPr>
          <w:lang w:eastAsia="en-AU"/>
        </w:rPr>
        <w:t xml:space="preserve"> </w:t>
      </w:r>
      <w:r>
        <w:rPr>
          <w:lang w:eastAsia="en-AU"/>
        </w:rPr>
        <w:t>one per cent</w:t>
      </w:r>
      <w:r w:rsidRPr="00234FC8">
        <w:rPr>
          <w:lang w:eastAsia="en-AU"/>
        </w:rPr>
        <w:t xml:space="preserve"> R&amp;D spend from the 20 participating agencies, effectively guaranteeing </w:t>
      </w:r>
      <w:r>
        <w:rPr>
          <w:lang w:eastAsia="en-AU"/>
        </w:rPr>
        <w:t>available funding</w:t>
      </w:r>
      <w:r w:rsidRPr="00234FC8">
        <w:rPr>
          <w:lang w:eastAsia="en-AU"/>
        </w:rPr>
        <w:t xml:space="preserve"> of $1</w:t>
      </w:r>
      <w:r w:rsidR="00615E0A">
        <w:rPr>
          <w:lang w:eastAsia="en-AU"/>
        </w:rPr>
        <w:t>20</w:t>
      </w:r>
      <w:r>
        <w:rPr>
          <w:lang w:eastAsia="en-AU"/>
        </w:rPr>
        <w:t xml:space="preserve"> million</w:t>
      </w:r>
      <w:r w:rsidRPr="00234FC8">
        <w:rPr>
          <w:lang w:eastAsia="en-AU"/>
        </w:rPr>
        <w:t xml:space="preserve"> </w:t>
      </w:r>
      <w:r w:rsidR="00615E0A">
        <w:rPr>
          <w:lang w:eastAsia="en-AU"/>
        </w:rPr>
        <w:t xml:space="preserve">AUD </w:t>
      </w:r>
      <w:r w:rsidRPr="00234FC8">
        <w:rPr>
          <w:lang w:eastAsia="en-AU"/>
        </w:rPr>
        <w:t>p.a. This mandate was based on the collective experience of the US SBIR approach, which has successfully mandated agency funding contributions, and the UK SBRI approach, which had poor uptake when it first launched due to limited mechanisms to achieve agency buy-in. The UK SBRI was re-launched in 2009 with non-mandatory agency expenditure targets, which on the one hand increased agency participation but on the other hand have been missed on multiple occasions.</w:t>
      </w:r>
      <w:bookmarkStart w:id="188" w:name="_Ref75949167"/>
      <w:r>
        <w:rPr>
          <w:rStyle w:val="FootnoteReference"/>
          <w:lang w:eastAsia="en-AU"/>
        </w:rPr>
        <w:footnoteReference w:id="79"/>
      </w:r>
      <w:bookmarkEnd w:id="188"/>
    </w:p>
    <w:p w14:paraId="2E161CAC" w14:textId="39D39F20" w:rsidR="00526D71" w:rsidRDefault="00526D71" w:rsidP="00FE67ED">
      <w:pPr>
        <w:spacing w:before="240" w:line="257" w:lineRule="auto"/>
      </w:pPr>
      <w:r>
        <w:t xml:space="preserve">In other jurisdictions, targets are typically set based on </w:t>
      </w:r>
      <w:r w:rsidR="00CF3902">
        <w:t xml:space="preserve">departmental or portfolio </w:t>
      </w:r>
      <w:r>
        <w:t xml:space="preserve">R&amp;D budgets – but these do not exist in the same way for Australian </w:t>
      </w:r>
      <w:r w:rsidR="00301208">
        <w:t>G</w:t>
      </w:r>
      <w:r>
        <w:t xml:space="preserve">overnment bodies. </w:t>
      </w:r>
      <w:r w:rsidR="0041121E">
        <w:t xml:space="preserve">The </w:t>
      </w:r>
      <w:r w:rsidR="005D0564">
        <w:t xml:space="preserve">BRII targets could instead be based on </w:t>
      </w:r>
      <w:r w:rsidR="000623B2" w:rsidRPr="000623B2">
        <w:t>annual operating and capital budget</w:t>
      </w:r>
      <w:r w:rsidR="000623B2">
        <w:t>s, procurement budgets or a weighting based on the agency’s R&amp;D intensiveness.</w:t>
      </w:r>
      <w:bookmarkEnd w:id="187"/>
    </w:p>
    <w:p w14:paraId="63D94017" w14:textId="1F42BB44" w:rsidR="00F13F9A" w:rsidRDefault="00754E35" w:rsidP="00EA4234">
      <w:pPr>
        <w:pStyle w:val="Heading4"/>
      </w:pPr>
      <w:r>
        <w:t>I</w:t>
      </w:r>
      <w:r w:rsidR="00ED3577">
        <w:t>nternational comparators</w:t>
      </w:r>
      <w:r>
        <w:t xml:space="preserve"> provide benchmarks against which to plan the expansion</w:t>
      </w:r>
      <w:r w:rsidR="00183AFE">
        <w:t xml:space="preserve"> of the BRII</w:t>
      </w:r>
      <w:r w:rsidR="00ED3577">
        <w:t>.</w:t>
      </w:r>
    </w:p>
    <w:p w14:paraId="22A51A85" w14:textId="475A1B0D" w:rsidR="004C0F9D" w:rsidRDefault="00AF1D42" w:rsidP="004C0F9D">
      <w:pPr>
        <w:spacing w:before="240" w:line="257" w:lineRule="auto"/>
      </w:pPr>
      <w:r>
        <w:t>The BRII has not grown significantly since its inception, awarding $20.4</w:t>
      </w:r>
      <w:r w:rsidR="00F33B5B">
        <w:t xml:space="preserve"> </w:t>
      </w:r>
      <w:r>
        <w:t>m</w:t>
      </w:r>
      <w:r w:rsidR="00F33B5B">
        <w:t>illion</w:t>
      </w:r>
      <w:r>
        <w:t xml:space="preserve"> in funding across the first three rounds</w:t>
      </w:r>
      <w:r w:rsidR="0045689D">
        <w:t xml:space="preserve">. This amounts to </w:t>
      </w:r>
      <w:r>
        <w:t>an average annual spend of $</w:t>
      </w:r>
      <w:r w:rsidR="00E32D33">
        <w:t>4.08</w:t>
      </w:r>
      <w:r w:rsidR="00F33B5B">
        <w:t xml:space="preserve"> </w:t>
      </w:r>
      <w:r>
        <w:t>m</w:t>
      </w:r>
      <w:r w:rsidR="00F33B5B">
        <w:t>illion</w:t>
      </w:r>
      <w:r>
        <w:t xml:space="preserve"> </w:t>
      </w:r>
      <w:r w:rsidR="0045689D">
        <w:t xml:space="preserve">across </w:t>
      </w:r>
      <w:r>
        <w:t xml:space="preserve">the last </w:t>
      </w:r>
      <w:r w:rsidR="00E32D33">
        <w:t>five</w:t>
      </w:r>
      <w:r>
        <w:t xml:space="preserve"> years. </w:t>
      </w:r>
      <w:r w:rsidR="004C0F9D">
        <w:t xml:space="preserve">In comparison, the SBIR grew rapidly from its inception (1983) over the next </w:t>
      </w:r>
      <w:r w:rsidR="00CD1C61">
        <w:t>ten</w:t>
      </w:r>
      <w:r w:rsidR="004C0F9D">
        <w:t xml:space="preserve"> years, with a compound annual growth rate (CAGR) of 34 per cent.</w:t>
      </w:r>
      <w:r w:rsidR="00211761">
        <w:rPr>
          <w:rStyle w:val="FootnoteReference"/>
        </w:rPr>
        <w:footnoteReference w:id="80"/>
      </w:r>
      <w:r w:rsidR="000441A4" w:rsidRPr="000441A4">
        <w:rPr>
          <w:vertAlign w:val="superscript"/>
        </w:rPr>
        <w:t>,</w:t>
      </w:r>
      <w:r w:rsidR="000441A4">
        <w:rPr>
          <w:rStyle w:val="FootnoteReference"/>
        </w:rPr>
        <w:footnoteReference w:id="81"/>
      </w:r>
      <w:r w:rsidR="004C0F9D">
        <w:t xml:space="preserve"> Although only two full years into its existence, the ISC </w:t>
      </w:r>
      <w:r w:rsidR="008B6E82">
        <w:t xml:space="preserve">has </w:t>
      </w:r>
      <w:r w:rsidR="001E717A">
        <w:t>dispersed</w:t>
      </w:r>
      <w:r w:rsidR="005C625A">
        <w:t xml:space="preserve"> </w:t>
      </w:r>
      <w:r w:rsidR="004C0F9D">
        <w:t>$6.6</w:t>
      </w:r>
      <w:r w:rsidR="00AA4B8C">
        <w:t xml:space="preserve"> million</w:t>
      </w:r>
      <w:r w:rsidR="004C0F9D">
        <w:t xml:space="preserve"> AUD</w:t>
      </w:r>
      <w:r w:rsidR="00AB0C92">
        <w:rPr>
          <w:rStyle w:val="FootnoteReference"/>
        </w:rPr>
        <w:footnoteReference w:id="82"/>
      </w:r>
      <w:r w:rsidR="004C0F9D">
        <w:t xml:space="preserve"> to </w:t>
      </w:r>
      <w:r w:rsidR="005C625A">
        <w:t xml:space="preserve">SMEs in year one and </w:t>
      </w:r>
      <w:r w:rsidR="004C0F9D">
        <w:t>$14.7</w:t>
      </w:r>
      <w:r w:rsidR="00AA4B8C">
        <w:t xml:space="preserve"> million </w:t>
      </w:r>
      <w:r w:rsidR="004C0F9D">
        <w:lastRenderedPageBreak/>
        <w:t xml:space="preserve">AUD </w:t>
      </w:r>
      <w:r w:rsidR="005C625A">
        <w:t>to SMEs in year two</w:t>
      </w:r>
      <w:r w:rsidR="00014051">
        <w:rPr>
          <w:rStyle w:val="FootnoteReference"/>
        </w:rPr>
        <w:footnoteReference w:id="83"/>
      </w:r>
      <w:r w:rsidR="005C625A">
        <w:t xml:space="preserve">. </w:t>
      </w:r>
      <w:r w:rsidR="00E610C8">
        <w:t xml:space="preserve">This amounts to a </w:t>
      </w:r>
      <w:r w:rsidR="00822094">
        <w:t xml:space="preserve">growth rate of over </w:t>
      </w:r>
      <w:r w:rsidR="00BA1DB9">
        <w:t xml:space="preserve">120 per cent between year one and year two. </w:t>
      </w:r>
      <w:r w:rsidR="004C0F9D">
        <w:t xml:space="preserve">The long-term goal is to scale the ISC to </w:t>
      </w:r>
      <w:r w:rsidR="007B0CDF">
        <w:t xml:space="preserve">its mandated spend target of </w:t>
      </w:r>
      <w:r w:rsidR="004C0F9D">
        <w:t>$1</w:t>
      </w:r>
      <w:r w:rsidR="008C3005">
        <w:t>2</w:t>
      </w:r>
      <w:r w:rsidR="004C0F9D">
        <w:t>0</w:t>
      </w:r>
      <w:r w:rsidR="007B0CDF">
        <w:t xml:space="preserve"> </w:t>
      </w:r>
      <w:r w:rsidR="004C0F9D">
        <w:t>m</w:t>
      </w:r>
      <w:r w:rsidR="007B0CDF">
        <w:t>illion</w:t>
      </w:r>
      <w:r w:rsidR="004C0F9D">
        <w:t xml:space="preserve"> </w:t>
      </w:r>
      <w:r w:rsidR="008C3005">
        <w:t xml:space="preserve">AUD </w:t>
      </w:r>
      <w:r w:rsidR="004C0F9D">
        <w:t>per annum</w:t>
      </w:r>
      <w:r w:rsidR="00EB2570">
        <w:t xml:space="preserve">. If the ISC </w:t>
      </w:r>
      <w:r w:rsidR="00C145BC">
        <w:t xml:space="preserve">maintains a similar growth rate it could reach the </w:t>
      </w:r>
      <w:r w:rsidR="003F55D7">
        <w:t xml:space="preserve">mandated spend target </w:t>
      </w:r>
      <w:r w:rsidR="003256C5">
        <w:t>within five years.</w:t>
      </w:r>
    </w:p>
    <w:p w14:paraId="129FDB69" w14:textId="007D65EB" w:rsidR="00AF1D42" w:rsidRDefault="002879CA" w:rsidP="00AF1D42">
      <w:pPr>
        <w:spacing w:before="240" w:line="257" w:lineRule="auto"/>
      </w:pPr>
      <w:r>
        <w:rPr>
          <w:highlight w:val="yellow"/>
        </w:rPr>
        <w:fldChar w:fldCharType="begin"/>
      </w:r>
      <w:r>
        <w:instrText xml:space="preserve"> REF _Ref79423174 \h </w:instrText>
      </w:r>
      <w:r>
        <w:rPr>
          <w:highlight w:val="yellow"/>
        </w:rPr>
      </w:r>
      <w:r>
        <w:rPr>
          <w:highlight w:val="yellow"/>
        </w:rPr>
        <w:fldChar w:fldCharType="separate"/>
      </w:r>
      <w:r w:rsidR="00AE607F">
        <w:t xml:space="preserve">Figure </w:t>
      </w:r>
      <w:r w:rsidR="00AE607F">
        <w:rPr>
          <w:noProof/>
        </w:rPr>
        <w:t>30</w:t>
      </w:r>
      <w:r>
        <w:rPr>
          <w:highlight w:val="yellow"/>
        </w:rPr>
        <w:fldChar w:fldCharType="end"/>
      </w:r>
      <w:r>
        <w:t xml:space="preserve"> </w:t>
      </w:r>
      <w:r w:rsidR="003B7DA3">
        <w:t>shows</w:t>
      </w:r>
      <w:r w:rsidR="00AF1D42">
        <w:t xml:space="preserve"> the </w:t>
      </w:r>
      <w:r w:rsidR="003B7DA3">
        <w:t xml:space="preserve">average yearly spend for the </w:t>
      </w:r>
      <w:r w:rsidR="00AF1D42">
        <w:t xml:space="preserve">BRII </w:t>
      </w:r>
      <w:r w:rsidR="003B7DA3">
        <w:t xml:space="preserve">across the first </w:t>
      </w:r>
      <w:r w:rsidR="00122C8E">
        <w:t xml:space="preserve">five </w:t>
      </w:r>
      <w:r w:rsidR="00AF1D42">
        <w:t xml:space="preserve">years </w:t>
      </w:r>
      <w:r w:rsidR="003B7DA3">
        <w:t xml:space="preserve">of </w:t>
      </w:r>
      <w:r w:rsidR="00122C8E">
        <w:t>operation. It then plots two potential expansion pathways: the first is in</w:t>
      </w:r>
      <w:r w:rsidR="00322931">
        <w:t xml:space="preserve"> </w:t>
      </w:r>
      <w:r w:rsidR="00122C8E">
        <w:t xml:space="preserve">line with the </w:t>
      </w:r>
      <w:r w:rsidR="00322931">
        <w:t xml:space="preserve">projected </w:t>
      </w:r>
      <w:r w:rsidR="004A51BE">
        <w:t xml:space="preserve">growth trajectory of ISC; the second is in line </w:t>
      </w:r>
      <w:r w:rsidR="00504D30">
        <w:t>with</w:t>
      </w:r>
      <w:r w:rsidR="004A51BE">
        <w:t xml:space="preserve"> the </w:t>
      </w:r>
      <w:r w:rsidR="00093495">
        <w:t xml:space="preserve">actual </w:t>
      </w:r>
      <w:r w:rsidR="00F4344E">
        <w:t xml:space="preserve">growth </w:t>
      </w:r>
      <w:r w:rsidR="002570FB">
        <w:t xml:space="preserve">trajectory of the SBIR across its first </w:t>
      </w:r>
      <w:r w:rsidR="00E64CD2">
        <w:t>ten</w:t>
      </w:r>
      <w:r w:rsidR="00F4344E">
        <w:t xml:space="preserve"> </w:t>
      </w:r>
      <w:r w:rsidR="00504D30">
        <w:t>years of operation</w:t>
      </w:r>
      <w:r w:rsidR="00AF1D42">
        <w:t xml:space="preserve">. </w:t>
      </w:r>
    </w:p>
    <w:p w14:paraId="064CDFA2" w14:textId="26476CBA" w:rsidR="00260F9B" w:rsidRDefault="00260F9B" w:rsidP="00260F9B">
      <w:pPr>
        <w:pStyle w:val="Caption"/>
      </w:pPr>
      <w:bookmarkStart w:id="189" w:name="_Ref79423174"/>
      <w:r>
        <w:t xml:space="preserve">Figure </w:t>
      </w:r>
      <w:r>
        <w:fldChar w:fldCharType="begin"/>
      </w:r>
      <w:r>
        <w:instrText xml:space="preserve"> SEQ Figure \* ARABIC </w:instrText>
      </w:r>
      <w:r>
        <w:fldChar w:fldCharType="separate"/>
      </w:r>
      <w:r w:rsidR="00870ADB">
        <w:rPr>
          <w:noProof/>
        </w:rPr>
        <w:t>31</w:t>
      </w:r>
      <w:r>
        <w:fldChar w:fldCharType="end"/>
      </w:r>
      <w:bookmarkEnd w:id="189"/>
      <w:r>
        <w:t xml:space="preserve"> | </w:t>
      </w:r>
      <w:r w:rsidR="00ED3577">
        <w:t>Expansion pathways</w:t>
      </w:r>
      <w:r>
        <w:t xml:space="preserve"> of</w:t>
      </w:r>
      <w:r w:rsidR="00ED3577">
        <w:t xml:space="preserve"> the BRII based on other</w:t>
      </w:r>
      <w:r>
        <w:t xml:space="preserve"> </w:t>
      </w:r>
      <w:r w:rsidR="00A019AE">
        <w:t>CBI</w:t>
      </w:r>
      <w:r>
        <w:t xml:space="preserve"> programs</w:t>
      </w:r>
    </w:p>
    <w:p w14:paraId="79460F90" w14:textId="2CFEAC2D" w:rsidR="004937FE" w:rsidRPr="004937FE" w:rsidRDefault="004937FE" w:rsidP="004937FE">
      <w:r w:rsidRPr="004937FE">
        <w:rPr>
          <w:noProof/>
        </w:rPr>
        <w:drawing>
          <wp:inline distT="0" distB="0" distL="0" distR="0" wp14:anchorId="440E44A7" wp14:editId="5B3EF315">
            <wp:extent cx="5670550" cy="2270125"/>
            <wp:effectExtent l="0" t="0" r="6350" b="0"/>
            <wp:docPr id="65" name="Picture 65" descr="BRII actual average annual spend. 2 thousand and seventeen to twenty, twenty 1, 4 million dollars. BRII projected spend at SBIR trajectory. Twenty, twenty 2, 5 million, twenty, twenty 3, 7 million, twenty, twenty 4, ten million, twenty, twenty 5, thirteen million, twenty, twenty 6, seventeen million. &#10;BRII projected spend at ISC trajectory. Twenty, twenty 2, 8 million, twenty, twenty 3, seventeen million, twenty, twenty four, thirty 3 million, twenty, twenty 5, sixty seven million, twenty, twenty 6, one hundred twenty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BRII actual average annual spend. 2 thousand and seventeen to twenty, twenty 1, 4 million dollars. BRII projected spend at SBIR trajectory. Twenty, twenty 2, 5 million, twenty, twenty 3, 7 million, twenty, twenty 4, ten million, twenty, twenty 5, thirteen million, twenty, twenty 6, seventeen million. &#10;BRII projected spend at ISC trajectory. Twenty, twenty 2, 8 million, twenty, twenty 3, seventeen million, twenty, twenty four, thirty 3 million, twenty, twenty 5, sixty seven million, twenty, twenty 6, one hundred twenty million."/>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670550" cy="2270125"/>
                    </a:xfrm>
                    <a:prstGeom prst="rect">
                      <a:avLst/>
                    </a:prstGeom>
                    <a:noFill/>
                    <a:ln>
                      <a:noFill/>
                    </a:ln>
                  </pic:spPr>
                </pic:pic>
              </a:graphicData>
            </a:graphic>
          </wp:inline>
        </w:drawing>
      </w:r>
    </w:p>
    <w:p w14:paraId="5C69542C" w14:textId="2BFD9941" w:rsidR="007962CE" w:rsidRDefault="00C5266A" w:rsidP="00D11079">
      <w:pPr>
        <w:spacing w:before="240" w:line="257" w:lineRule="auto"/>
      </w:pPr>
      <w:r>
        <w:t>As shown above, t</w:t>
      </w:r>
      <w:r w:rsidR="000E1B32">
        <w:t xml:space="preserve">he </w:t>
      </w:r>
      <w:r>
        <w:t xml:space="preserve">potential expansion pathways of the BRII </w:t>
      </w:r>
      <w:r w:rsidR="00B00E53">
        <w:t xml:space="preserve">are significantly different </w:t>
      </w:r>
      <w:r>
        <w:t>based on the varying experience of the ISC and SBIR</w:t>
      </w:r>
      <w:r w:rsidR="003A52D7">
        <w:t xml:space="preserve">. </w:t>
      </w:r>
      <w:r w:rsidR="00A575CD">
        <w:t>Using these examples as benchmarks, t</w:t>
      </w:r>
      <w:r w:rsidR="00591B32">
        <w:t xml:space="preserve">he </w:t>
      </w:r>
      <w:r w:rsidR="00A575CD">
        <w:t xml:space="preserve">BRII could </w:t>
      </w:r>
      <w:r w:rsidR="00DD26B3">
        <w:t xml:space="preserve">follow one </w:t>
      </w:r>
      <w:r w:rsidR="00A575CD">
        <w:t xml:space="preserve">of </w:t>
      </w:r>
      <w:r w:rsidR="00A84804">
        <w:t xml:space="preserve">three potential </w:t>
      </w:r>
      <w:r w:rsidR="00A575CD">
        <w:t xml:space="preserve">expansion </w:t>
      </w:r>
      <w:r w:rsidR="00A84804">
        <w:t xml:space="preserve">pathways: the </w:t>
      </w:r>
      <w:r w:rsidR="00022203">
        <w:t xml:space="preserve">ambitious </w:t>
      </w:r>
      <w:r w:rsidR="00B633C1">
        <w:t xml:space="preserve">expansion pathway </w:t>
      </w:r>
      <w:r w:rsidR="00022203">
        <w:t>of the ISC</w:t>
      </w:r>
      <w:r w:rsidR="00A84804">
        <w:t>;</w:t>
      </w:r>
      <w:r w:rsidR="00022203">
        <w:t xml:space="preserve"> the </w:t>
      </w:r>
      <w:r w:rsidR="00DD26B3">
        <w:t xml:space="preserve">moderate but steady </w:t>
      </w:r>
      <w:r w:rsidR="00956B2A">
        <w:t xml:space="preserve">expansion pathway </w:t>
      </w:r>
      <w:r w:rsidR="00DD26B3">
        <w:t>of the SBIR</w:t>
      </w:r>
      <w:r w:rsidR="00A84804">
        <w:t>;</w:t>
      </w:r>
      <w:r w:rsidR="00DD26B3">
        <w:t xml:space="preserve"> or a middle ground.</w:t>
      </w:r>
      <w:r w:rsidR="000E1B32">
        <w:t xml:space="preserve"> </w:t>
      </w:r>
      <w:r w:rsidR="00BC6BBF">
        <w:t>Following the aggressive growth plan of the ISC would result in annual spend of $100</w:t>
      </w:r>
      <w:r w:rsidR="007D2E05">
        <w:t xml:space="preserve"> </w:t>
      </w:r>
      <w:r w:rsidR="00BC6BBF">
        <w:t>m</w:t>
      </w:r>
      <w:r w:rsidR="007D2E05">
        <w:t>illion</w:t>
      </w:r>
      <w:r w:rsidR="00BC6BBF">
        <w:t xml:space="preserve"> by 2026</w:t>
      </w:r>
      <w:r w:rsidR="00A82081">
        <w:t>.</w:t>
      </w:r>
      <w:r w:rsidR="00BC6BBF">
        <w:t xml:space="preserve"> </w:t>
      </w:r>
      <w:r w:rsidR="00A82081">
        <w:t>F</w:t>
      </w:r>
      <w:r w:rsidR="00BC6BBF">
        <w:t xml:space="preserve">ollowing the moderate </w:t>
      </w:r>
      <w:r w:rsidR="00E427C5">
        <w:t xml:space="preserve">trajectory experienced by the SBIR would </w:t>
      </w:r>
      <w:r w:rsidR="007D2E05">
        <w:t xml:space="preserve">see the BRII </w:t>
      </w:r>
      <w:r w:rsidR="006F08AC">
        <w:t>reach $17.5</w:t>
      </w:r>
      <w:r w:rsidR="007D2E05">
        <w:t xml:space="preserve"> </w:t>
      </w:r>
      <w:r w:rsidR="006F08AC">
        <w:t>m</w:t>
      </w:r>
      <w:r w:rsidR="007D2E05">
        <w:t>illion</w:t>
      </w:r>
      <w:r w:rsidR="006F08AC">
        <w:t xml:space="preserve"> in annual spend by 2026. </w:t>
      </w:r>
    </w:p>
    <w:p w14:paraId="6545ACED" w14:textId="09133712" w:rsidR="00D11079" w:rsidRDefault="002879CA" w:rsidP="00D11079">
      <w:pPr>
        <w:spacing w:before="240" w:line="257" w:lineRule="auto"/>
      </w:pPr>
      <w:r>
        <w:rPr>
          <w:highlight w:val="yellow"/>
        </w:rPr>
        <w:fldChar w:fldCharType="begin"/>
      </w:r>
      <w:r>
        <w:instrText xml:space="preserve"> REF _Ref79423193 \h </w:instrText>
      </w:r>
      <w:r>
        <w:rPr>
          <w:highlight w:val="yellow"/>
        </w:rPr>
      </w:r>
      <w:r>
        <w:rPr>
          <w:highlight w:val="yellow"/>
        </w:rPr>
        <w:fldChar w:fldCharType="separate"/>
      </w:r>
      <w:r w:rsidR="00AE607F">
        <w:t xml:space="preserve">Table </w:t>
      </w:r>
      <w:r w:rsidR="00AE607F">
        <w:rPr>
          <w:noProof/>
        </w:rPr>
        <w:t>12</w:t>
      </w:r>
      <w:r>
        <w:rPr>
          <w:highlight w:val="yellow"/>
        </w:rPr>
        <w:fldChar w:fldCharType="end"/>
      </w:r>
      <w:r w:rsidR="00717E98">
        <w:t xml:space="preserve"> explores these expansion pathways in more detail, including the addition of </w:t>
      </w:r>
      <w:r w:rsidR="00E55BFE">
        <w:t>administrative costs</w:t>
      </w:r>
      <w:r w:rsidR="0047403A">
        <w:t xml:space="preserve"> </w:t>
      </w:r>
      <w:r w:rsidR="00717E98">
        <w:t xml:space="preserve">equal to </w:t>
      </w:r>
      <w:r w:rsidR="0047403A">
        <w:t>1</w:t>
      </w:r>
      <w:r w:rsidR="00B00E53">
        <w:t>7</w:t>
      </w:r>
      <w:r w:rsidR="0047403A">
        <w:t>% of grant funding</w:t>
      </w:r>
      <w:r w:rsidR="007962CE">
        <w:t>. This is</w:t>
      </w:r>
      <w:r w:rsidR="00E55BFE">
        <w:t xml:space="preserve"> based on the approximate spend of $0.</w:t>
      </w:r>
      <w:r w:rsidR="00E87FC7">
        <w:t>86</w:t>
      </w:r>
      <w:r w:rsidR="007962CE">
        <w:t xml:space="preserve"> million</w:t>
      </w:r>
      <w:r w:rsidR="000E1B32">
        <w:t xml:space="preserve"> per annum of program administration in each of the first </w:t>
      </w:r>
      <w:r w:rsidR="00AB23F2">
        <w:t>four</w:t>
      </w:r>
      <w:r w:rsidR="00AB23F2">
        <w:rPr>
          <w:rStyle w:val="FootnoteReference"/>
        </w:rPr>
        <w:footnoteReference w:id="84"/>
      </w:r>
      <w:r w:rsidR="007962CE">
        <w:t xml:space="preserve"> </w:t>
      </w:r>
      <w:r w:rsidR="000E1B32">
        <w:t xml:space="preserve">years of the BRII. </w:t>
      </w:r>
      <w:r w:rsidR="00DD26B3">
        <w:t xml:space="preserve">The sum of </w:t>
      </w:r>
      <w:r w:rsidR="009F4D73">
        <w:t>the administrative</w:t>
      </w:r>
      <w:r w:rsidR="00DD26B3">
        <w:t xml:space="preserve"> cost over the </w:t>
      </w:r>
      <w:r w:rsidR="0047403A">
        <w:t>five-year</w:t>
      </w:r>
      <w:r w:rsidR="00DD26B3">
        <w:t xml:space="preserve"> period is shown at the bottom of the table.</w:t>
      </w:r>
    </w:p>
    <w:p w14:paraId="06722D6F" w14:textId="4D698A03" w:rsidR="00D11079" w:rsidRDefault="007C4E59" w:rsidP="007C4E59">
      <w:pPr>
        <w:pStyle w:val="Caption"/>
      </w:pPr>
      <w:bookmarkStart w:id="190" w:name="_Ref79423193"/>
      <w:r>
        <w:t xml:space="preserve">Table </w:t>
      </w:r>
      <w:r>
        <w:fldChar w:fldCharType="begin"/>
      </w:r>
      <w:r>
        <w:instrText xml:space="preserve"> SEQ Table \* ARABIC </w:instrText>
      </w:r>
      <w:r>
        <w:fldChar w:fldCharType="separate"/>
      </w:r>
      <w:r w:rsidR="00AE607F">
        <w:rPr>
          <w:noProof/>
        </w:rPr>
        <w:t>12</w:t>
      </w:r>
      <w:r>
        <w:fldChar w:fldCharType="end"/>
      </w:r>
      <w:bookmarkEnd w:id="190"/>
      <w:r>
        <w:t xml:space="preserve"> | </w:t>
      </w:r>
      <w:r w:rsidR="00ED3577">
        <w:t>Expansion pathways</w:t>
      </w:r>
      <w:r>
        <w:t xml:space="preserve"> for the BRII based on international comparators</w:t>
      </w:r>
    </w:p>
    <w:tbl>
      <w:tblPr>
        <w:tblStyle w:val="TableGrid"/>
        <w:tblW w:w="0" w:type="auto"/>
        <w:tblLook w:val="04A0" w:firstRow="1" w:lastRow="0" w:firstColumn="1" w:lastColumn="0" w:noHBand="0" w:noVBand="1"/>
      </w:tblPr>
      <w:tblGrid>
        <w:gridCol w:w="2976"/>
        <w:gridCol w:w="2977"/>
        <w:gridCol w:w="2977"/>
      </w:tblGrid>
      <w:tr w:rsidR="006A7B58" w14:paraId="3E405147" w14:textId="77777777" w:rsidTr="005E3702">
        <w:trPr>
          <w:cnfStyle w:val="100000000000" w:firstRow="1" w:lastRow="0" w:firstColumn="0" w:lastColumn="0" w:oddVBand="0" w:evenVBand="0" w:oddHBand="0" w:evenHBand="0" w:firstRowFirstColumn="0" w:firstRowLastColumn="0" w:lastRowFirstColumn="0" w:lastRowLastColumn="0"/>
        </w:trPr>
        <w:tc>
          <w:tcPr>
            <w:tcW w:w="2976" w:type="dxa"/>
            <w:tcBorders>
              <w:top w:val="nil"/>
              <w:bottom w:val="single" w:sz="4" w:space="0" w:color="00264D" w:themeColor="background2"/>
            </w:tcBorders>
            <w:shd w:val="clear" w:color="auto" w:fill="00264D" w:themeFill="background2"/>
          </w:tcPr>
          <w:p w14:paraId="626FA850" w14:textId="618DA486" w:rsidR="006A7B58" w:rsidRPr="00237B38" w:rsidRDefault="006A7B58" w:rsidP="00237B38">
            <w:pPr>
              <w:pStyle w:val="TableNheader"/>
              <w:rPr>
                <w:color w:val="FFFFFF" w:themeColor="background1"/>
              </w:rPr>
            </w:pPr>
            <w:r w:rsidRPr="00237B38">
              <w:rPr>
                <w:color w:val="FFFFFF" w:themeColor="background1"/>
              </w:rPr>
              <w:t xml:space="preserve">Year </w:t>
            </w:r>
          </w:p>
        </w:tc>
        <w:tc>
          <w:tcPr>
            <w:tcW w:w="2977" w:type="dxa"/>
            <w:tcBorders>
              <w:top w:val="nil"/>
              <w:bottom w:val="single" w:sz="4" w:space="0" w:color="00264D" w:themeColor="background2"/>
            </w:tcBorders>
            <w:shd w:val="clear" w:color="auto" w:fill="00264D" w:themeFill="background2"/>
          </w:tcPr>
          <w:p w14:paraId="718C3656" w14:textId="7650BF4C" w:rsidR="006A7B58" w:rsidRPr="00237B38" w:rsidRDefault="006A7B58" w:rsidP="00237B38">
            <w:pPr>
              <w:pStyle w:val="TableNheader"/>
              <w:rPr>
                <w:color w:val="FFFFFF" w:themeColor="background1"/>
              </w:rPr>
            </w:pPr>
            <w:r w:rsidRPr="00237B38">
              <w:rPr>
                <w:color w:val="FFFFFF" w:themeColor="background1"/>
              </w:rPr>
              <w:t>Annual grant spend at ISC rate</w:t>
            </w:r>
            <w:r w:rsidR="00985A81" w:rsidRPr="00237B38">
              <w:rPr>
                <w:color w:val="FFFFFF" w:themeColor="background1"/>
              </w:rPr>
              <w:t xml:space="preserve"> ($AUD)</w:t>
            </w:r>
          </w:p>
        </w:tc>
        <w:tc>
          <w:tcPr>
            <w:tcW w:w="2977" w:type="dxa"/>
            <w:tcBorders>
              <w:top w:val="nil"/>
              <w:bottom w:val="single" w:sz="4" w:space="0" w:color="00264D" w:themeColor="background2"/>
            </w:tcBorders>
            <w:shd w:val="clear" w:color="auto" w:fill="00264D" w:themeFill="background2"/>
          </w:tcPr>
          <w:p w14:paraId="2B0D74A3" w14:textId="7DE96CF8" w:rsidR="006A7B58" w:rsidRPr="00237B38" w:rsidRDefault="006A7B58" w:rsidP="00237B38">
            <w:pPr>
              <w:pStyle w:val="TableNheader"/>
              <w:rPr>
                <w:color w:val="FFFFFF" w:themeColor="background1"/>
              </w:rPr>
            </w:pPr>
            <w:r w:rsidRPr="00237B38">
              <w:rPr>
                <w:color w:val="FFFFFF" w:themeColor="background1"/>
              </w:rPr>
              <w:t>Annual grant spend at SBIR rate</w:t>
            </w:r>
            <w:r w:rsidR="00985A81" w:rsidRPr="00237B38">
              <w:rPr>
                <w:color w:val="FFFFFF" w:themeColor="background1"/>
              </w:rPr>
              <w:t xml:space="preserve"> ($AUD)</w:t>
            </w:r>
          </w:p>
        </w:tc>
      </w:tr>
      <w:tr w:rsidR="006A7B58" w:rsidRPr="006B677B" w14:paraId="269012FD" w14:textId="77777777" w:rsidTr="005E3702">
        <w:trPr>
          <w:cnfStyle w:val="000000100000" w:firstRow="0" w:lastRow="0" w:firstColumn="0" w:lastColumn="0" w:oddVBand="0" w:evenVBand="0" w:oddHBand="1" w:evenHBand="0" w:firstRowFirstColumn="0" w:firstRowLastColumn="0" w:lastRowFirstColumn="0" w:lastRowLastColumn="0"/>
        </w:trPr>
        <w:tc>
          <w:tcPr>
            <w:tcW w:w="2976"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27C7F379" w14:textId="01846318" w:rsidR="006A7B58" w:rsidRPr="00146FB4" w:rsidRDefault="006A7B58" w:rsidP="00146FB4">
            <w:pPr>
              <w:pStyle w:val="TableNText"/>
            </w:pPr>
            <w:r>
              <w:rPr>
                <w:rFonts w:asciiTheme="majorHAnsi" w:hAnsiTheme="majorHAnsi" w:cstheme="majorHAnsi"/>
              </w:rPr>
              <w:t>2022</w:t>
            </w:r>
          </w:p>
        </w:tc>
        <w:tc>
          <w:tcPr>
            <w:tcW w:w="2977"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auto"/>
            <w:vAlign w:val="bottom"/>
          </w:tcPr>
          <w:p w14:paraId="3CD428CC" w14:textId="61B0E716" w:rsidR="006A7B58" w:rsidRPr="00146FB4" w:rsidRDefault="006A7B58" w:rsidP="00146FB4">
            <w:pPr>
              <w:pStyle w:val="TableNText"/>
            </w:pPr>
            <w:r>
              <w:t>$</w:t>
            </w:r>
            <w:r w:rsidRPr="00146FB4">
              <w:t>8</w:t>
            </w:r>
            <w:r>
              <w:t>m</w:t>
            </w:r>
          </w:p>
        </w:tc>
        <w:tc>
          <w:tcPr>
            <w:tcW w:w="2977"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auto"/>
            <w:vAlign w:val="bottom"/>
          </w:tcPr>
          <w:p w14:paraId="322DEAA9" w14:textId="1F50AE30" w:rsidR="006A7B58" w:rsidRPr="00146FB4" w:rsidRDefault="006A7B58" w:rsidP="00146FB4">
            <w:pPr>
              <w:pStyle w:val="TableNText"/>
            </w:pPr>
            <w:r>
              <w:t>$</w:t>
            </w:r>
            <w:r w:rsidRPr="00146FB4">
              <w:t>5</w:t>
            </w:r>
            <w:r>
              <w:t>m</w:t>
            </w:r>
          </w:p>
        </w:tc>
      </w:tr>
      <w:tr w:rsidR="006A7B58" w:rsidRPr="006B677B" w14:paraId="5F2B0FD9" w14:textId="77777777" w:rsidTr="005E3702">
        <w:trPr>
          <w:cnfStyle w:val="000000010000" w:firstRow="0" w:lastRow="0" w:firstColumn="0" w:lastColumn="0" w:oddVBand="0" w:evenVBand="0" w:oddHBand="0" w:evenHBand="1" w:firstRowFirstColumn="0" w:firstRowLastColumn="0" w:lastRowFirstColumn="0" w:lastRowLastColumn="0"/>
        </w:trPr>
        <w:tc>
          <w:tcPr>
            <w:tcW w:w="2976"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5E7119D4" w14:textId="29F576D2" w:rsidR="006A7B58" w:rsidRPr="00146FB4" w:rsidRDefault="006A7B58" w:rsidP="00146FB4">
            <w:pPr>
              <w:pStyle w:val="TableNText"/>
            </w:pPr>
            <w:r>
              <w:rPr>
                <w:rFonts w:asciiTheme="majorHAnsi" w:hAnsiTheme="majorHAnsi" w:cstheme="majorHAnsi"/>
              </w:rPr>
              <w:lastRenderedPageBreak/>
              <w:t>2023</w:t>
            </w:r>
          </w:p>
        </w:tc>
        <w:tc>
          <w:tcPr>
            <w:tcW w:w="2977"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auto"/>
            <w:vAlign w:val="bottom"/>
          </w:tcPr>
          <w:p w14:paraId="33F8C7B6" w14:textId="6630A806" w:rsidR="006A7B58" w:rsidRPr="00146FB4" w:rsidRDefault="006A7B58" w:rsidP="00146FB4">
            <w:pPr>
              <w:pStyle w:val="TableNText"/>
            </w:pPr>
            <w:r>
              <w:t>$</w:t>
            </w:r>
            <w:r w:rsidRPr="00146FB4">
              <w:t>1</w:t>
            </w:r>
            <w:r w:rsidR="00686EC2">
              <w:t>7</w:t>
            </w:r>
            <w:r>
              <w:t>m</w:t>
            </w:r>
          </w:p>
        </w:tc>
        <w:tc>
          <w:tcPr>
            <w:tcW w:w="2977"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auto"/>
            <w:vAlign w:val="bottom"/>
          </w:tcPr>
          <w:p w14:paraId="6A1267F5" w14:textId="195E7EA4" w:rsidR="006A7B58" w:rsidRPr="00146FB4" w:rsidRDefault="006A7B58" w:rsidP="00146FB4">
            <w:pPr>
              <w:pStyle w:val="TableNText"/>
            </w:pPr>
            <w:r>
              <w:t>$</w:t>
            </w:r>
            <w:r w:rsidRPr="00146FB4">
              <w:t>7</w:t>
            </w:r>
            <w:r>
              <w:t>m</w:t>
            </w:r>
          </w:p>
        </w:tc>
      </w:tr>
      <w:tr w:rsidR="006A7B58" w:rsidRPr="006B677B" w14:paraId="7E8C2534" w14:textId="77777777" w:rsidTr="005E3702">
        <w:trPr>
          <w:cnfStyle w:val="000000100000" w:firstRow="0" w:lastRow="0" w:firstColumn="0" w:lastColumn="0" w:oddVBand="0" w:evenVBand="0" w:oddHBand="1" w:evenHBand="0" w:firstRowFirstColumn="0" w:firstRowLastColumn="0" w:lastRowFirstColumn="0" w:lastRowLastColumn="0"/>
        </w:trPr>
        <w:tc>
          <w:tcPr>
            <w:tcW w:w="2976"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4264A633" w14:textId="4D94E2A5" w:rsidR="006A7B58" w:rsidRPr="00146FB4" w:rsidRDefault="006A7B58" w:rsidP="00146FB4">
            <w:pPr>
              <w:pStyle w:val="TableNText"/>
            </w:pPr>
            <w:r>
              <w:rPr>
                <w:rFonts w:asciiTheme="majorHAnsi" w:hAnsiTheme="majorHAnsi" w:cstheme="majorHAnsi"/>
              </w:rPr>
              <w:t>2024</w:t>
            </w:r>
          </w:p>
        </w:tc>
        <w:tc>
          <w:tcPr>
            <w:tcW w:w="2977"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auto"/>
            <w:vAlign w:val="bottom"/>
          </w:tcPr>
          <w:p w14:paraId="2A48C686" w14:textId="7D23B2D1" w:rsidR="006A7B58" w:rsidRPr="00146FB4" w:rsidRDefault="006A7B58" w:rsidP="00146FB4">
            <w:pPr>
              <w:pStyle w:val="TableNText"/>
            </w:pPr>
            <w:r>
              <w:t>$</w:t>
            </w:r>
            <w:r w:rsidRPr="00146FB4">
              <w:t>33</w:t>
            </w:r>
            <w:r>
              <w:t>m</w:t>
            </w:r>
          </w:p>
        </w:tc>
        <w:tc>
          <w:tcPr>
            <w:tcW w:w="2977"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auto"/>
            <w:vAlign w:val="bottom"/>
          </w:tcPr>
          <w:p w14:paraId="44F4CDE8" w14:textId="548512F8" w:rsidR="006A7B58" w:rsidRPr="00146FB4" w:rsidRDefault="006A7B58" w:rsidP="00146FB4">
            <w:pPr>
              <w:pStyle w:val="TableNText"/>
            </w:pPr>
            <w:r>
              <w:t>$</w:t>
            </w:r>
            <w:r w:rsidR="00686EC2">
              <w:t>10</w:t>
            </w:r>
            <w:r>
              <w:t>m</w:t>
            </w:r>
          </w:p>
        </w:tc>
      </w:tr>
      <w:tr w:rsidR="006A7B58" w:rsidRPr="006B677B" w14:paraId="69124EB2" w14:textId="77777777" w:rsidTr="005E3702">
        <w:trPr>
          <w:cnfStyle w:val="000000010000" w:firstRow="0" w:lastRow="0" w:firstColumn="0" w:lastColumn="0" w:oddVBand="0" w:evenVBand="0" w:oddHBand="0" w:evenHBand="1" w:firstRowFirstColumn="0" w:firstRowLastColumn="0" w:lastRowFirstColumn="0" w:lastRowLastColumn="0"/>
        </w:trPr>
        <w:tc>
          <w:tcPr>
            <w:tcW w:w="2976"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4D0CF864" w14:textId="19ADEF11" w:rsidR="006A7B58" w:rsidRPr="00146FB4" w:rsidRDefault="006A7B58" w:rsidP="00146FB4">
            <w:pPr>
              <w:pStyle w:val="TableNText"/>
            </w:pPr>
            <w:r>
              <w:rPr>
                <w:rFonts w:asciiTheme="majorHAnsi" w:hAnsiTheme="majorHAnsi" w:cstheme="majorHAnsi"/>
              </w:rPr>
              <w:t>2025</w:t>
            </w:r>
          </w:p>
        </w:tc>
        <w:tc>
          <w:tcPr>
            <w:tcW w:w="2977"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auto"/>
            <w:vAlign w:val="bottom"/>
          </w:tcPr>
          <w:p w14:paraId="05A20403" w14:textId="22689037" w:rsidR="006A7B58" w:rsidRPr="00146FB4" w:rsidRDefault="006A7B58" w:rsidP="00146FB4">
            <w:pPr>
              <w:pStyle w:val="TableNText"/>
            </w:pPr>
            <w:r>
              <w:t>$</w:t>
            </w:r>
            <w:r w:rsidRPr="00146FB4">
              <w:t>6</w:t>
            </w:r>
            <w:r w:rsidR="00686EC2">
              <w:t>7</w:t>
            </w:r>
            <w:r>
              <w:t>m</w:t>
            </w:r>
          </w:p>
        </w:tc>
        <w:tc>
          <w:tcPr>
            <w:tcW w:w="2977"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auto"/>
            <w:vAlign w:val="bottom"/>
          </w:tcPr>
          <w:p w14:paraId="3380A3A2" w14:textId="736A4649" w:rsidR="006A7B58" w:rsidRPr="00146FB4" w:rsidRDefault="006A7B58" w:rsidP="00146FB4">
            <w:pPr>
              <w:pStyle w:val="TableNText"/>
            </w:pPr>
            <w:r>
              <w:t>$</w:t>
            </w:r>
            <w:r w:rsidRPr="00146FB4">
              <w:t>13</w:t>
            </w:r>
            <w:r>
              <w:t>m</w:t>
            </w:r>
          </w:p>
        </w:tc>
      </w:tr>
      <w:tr w:rsidR="006A7B58" w:rsidRPr="006B677B" w14:paraId="61EBE391" w14:textId="77777777" w:rsidTr="005E3702">
        <w:trPr>
          <w:cnfStyle w:val="000000100000" w:firstRow="0" w:lastRow="0" w:firstColumn="0" w:lastColumn="0" w:oddVBand="0" w:evenVBand="0" w:oddHBand="1" w:evenHBand="0" w:firstRowFirstColumn="0" w:firstRowLastColumn="0" w:lastRowFirstColumn="0" w:lastRowLastColumn="0"/>
        </w:trPr>
        <w:tc>
          <w:tcPr>
            <w:tcW w:w="2976"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37756CDB" w14:textId="3B89741E" w:rsidR="006A7B58" w:rsidRPr="00146FB4" w:rsidRDefault="006A7B58" w:rsidP="00146FB4">
            <w:pPr>
              <w:pStyle w:val="TableNText"/>
            </w:pPr>
            <w:r>
              <w:rPr>
                <w:rFonts w:asciiTheme="majorHAnsi" w:hAnsiTheme="majorHAnsi" w:cstheme="majorHAnsi"/>
              </w:rPr>
              <w:t>2026</w:t>
            </w:r>
          </w:p>
        </w:tc>
        <w:tc>
          <w:tcPr>
            <w:tcW w:w="2977"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auto"/>
            <w:vAlign w:val="bottom"/>
          </w:tcPr>
          <w:p w14:paraId="2EDDE4ED" w14:textId="104D31C6" w:rsidR="006A7B58" w:rsidRPr="00146FB4" w:rsidRDefault="006A7B58" w:rsidP="00146FB4">
            <w:pPr>
              <w:pStyle w:val="TableNText"/>
            </w:pPr>
            <w:r>
              <w:t>$</w:t>
            </w:r>
            <w:r w:rsidRPr="00146FB4">
              <w:t>1</w:t>
            </w:r>
            <w:r w:rsidR="00686EC2">
              <w:t>20</w:t>
            </w:r>
            <w:r>
              <w:t>m</w:t>
            </w:r>
            <w:r>
              <w:rPr>
                <w:rStyle w:val="FootnoteReference"/>
              </w:rPr>
              <w:footnoteReference w:id="85"/>
            </w:r>
          </w:p>
        </w:tc>
        <w:tc>
          <w:tcPr>
            <w:tcW w:w="2977"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auto"/>
            <w:vAlign w:val="bottom"/>
          </w:tcPr>
          <w:p w14:paraId="11A429FF" w14:textId="4AFC1A99" w:rsidR="006A7B58" w:rsidRPr="00146FB4" w:rsidRDefault="006A7B58" w:rsidP="00146FB4">
            <w:pPr>
              <w:pStyle w:val="TableNText"/>
            </w:pPr>
            <w:r>
              <w:t>$</w:t>
            </w:r>
            <w:r w:rsidRPr="00146FB4">
              <w:t>17</w:t>
            </w:r>
            <w:r>
              <w:t>m</w:t>
            </w:r>
          </w:p>
        </w:tc>
      </w:tr>
      <w:tr w:rsidR="00146FB4" w:rsidRPr="006B677B" w14:paraId="284E67B0" w14:textId="77777777" w:rsidTr="005E3702">
        <w:trPr>
          <w:cnfStyle w:val="000000010000" w:firstRow="0" w:lastRow="0" w:firstColumn="0" w:lastColumn="0" w:oddVBand="0" w:evenVBand="0" w:oddHBand="0" w:evenHBand="1" w:firstRowFirstColumn="0" w:firstRowLastColumn="0" w:lastRowFirstColumn="0" w:lastRowLastColumn="0"/>
        </w:trPr>
        <w:tc>
          <w:tcPr>
            <w:tcW w:w="2976"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tcPr>
          <w:p w14:paraId="7FF34BFF" w14:textId="5D441CF1" w:rsidR="00146FB4" w:rsidRPr="006B677B" w:rsidRDefault="00146FB4" w:rsidP="00146FB4">
            <w:pPr>
              <w:pStyle w:val="TableNText"/>
            </w:pPr>
            <w:r>
              <w:rPr>
                <w:b/>
                <w:bCs/>
              </w:rPr>
              <w:t xml:space="preserve">Total </w:t>
            </w:r>
            <w:r w:rsidR="003E244B">
              <w:rPr>
                <w:b/>
                <w:bCs/>
              </w:rPr>
              <w:t>estimated</w:t>
            </w:r>
            <w:r>
              <w:rPr>
                <w:b/>
                <w:bCs/>
              </w:rPr>
              <w:t xml:space="preserve"> admin</w:t>
            </w:r>
            <w:r w:rsidR="006A7B58">
              <w:rPr>
                <w:b/>
                <w:bCs/>
              </w:rPr>
              <w:t>istration</w:t>
            </w:r>
            <w:r>
              <w:rPr>
                <w:b/>
                <w:bCs/>
              </w:rPr>
              <w:t xml:space="preserve"> </w:t>
            </w:r>
            <w:r w:rsidR="006A7B58">
              <w:rPr>
                <w:b/>
                <w:bCs/>
              </w:rPr>
              <w:t>cost</w:t>
            </w:r>
            <w:r>
              <w:rPr>
                <w:b/>
                <w:bCs/>
              </w:rPr>
              <w:t xml:space="preserve"> </w:t>
            </w:r>
            <w:r w:rsidR="006A7B58">
              <w:rPr>
                <w:b/>
                <w:bCs/>
              </w:rPr>
              <w:t>over</w:t>
            </w:r>
            <w:r>
              <w:rPr>
                <w:b/>
                <w:bCs/>
              </w:rPr>
              <w:t xml:space="preserve"> five years</w:t>
            </w:r>
          </w:p>
        </w:tc>
        <w:tc>
          <w:tcPr>
            <w:tcW w:w="2977"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tcPr>
          <w:p w14:paraId="33B784D3" w14:textId="4F2C8596" w:rsidR="00146FB4" w:rsidRPr="006A7B58" w:rsidRDefault="00FF7E07" w:rsidP="00146FB4">
            <w:pPr>
              <w:pStyle w:val="TableNText"/>
              <w:rPr>
                <w:b/>
                <w:bCs/>
              </w:rPr>
            </w:pPr>
            <w:r w:rsidRPr="006A7B58">
              <w:rPr>
                <w:b/>
                <w:bCs/>
              </w:rPr>
              <w:t>$</w:t>
            </w:r>
            <w:r w:rsidR="00686EC2">
              <w:rPr>
                <w:b/>
                <w:bCs/>
              </w:rPr>
              <w:t>42</w:t>
            </w:r>
            <w:r w:rsidRPr="006A7B58">
              <w:rPr>
                <w:b/>
                <w:bCs/>
              </w:rPr>
              <w:t>m</w:t>
            </w:r>
          </w:p>
        </w:tc>
        <w:tc>
          <w:tcPr>
            <w:tcW w:w="2977"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F2F2F2" w:themeFill="background1" w:themeFillShade="F2"/>
          </w:tcPr>
          <w:p w14:paraId="226F70FD" w14:textId="37A3ECE1" w:rsidR="00146FB4" w:rsidRPr="006A7B58" w:rsidRDefault="00320907" w:rsidP="00146FB4">
            <w:pPr>
              <w:pStyle w:val="TableNText"/>
              <w:rPr>
                <w:b/>
                <w:bCs/>
              </w:rPr>
            </w:pPr>
            <w:r>
              <w:rPr>
                <w:b/>
                <w:bCs/>
              </w:rPr>
              <w:t>$</w:t>
            </w:r>
            <w:r w:rsidR="00A91A74">
              <w:rPr>
                <w:b/>
                <w:bCs/>
              </w:rPr>
              <w:t>10</w:t>
            </w:r>
            <w:r>
              <w:rPr>
                <w:b/>
                <w:bCs/>
              </w:rPr>
              <w:t>m</w:t>
            </w:r>
          </w:p>
        </w:tc>
      </w:tr>
    </w:tbl>
    <w:p w14:paraId="59E95B04" w14:textId="4C446E00" w:rsidR="00DF3247" w:rsidRDefault="00DF3247">
      <w:pPr>
        <w:pStyle w:val="Heading3"/>
      </w:pPr>
      <w:bookmarkStart w:id="191" w:name="_Ref75328550"/>
      <w:r w:rsidRPr="00DF3247">
        <w:t>The BRII delivery will need to evolve to enable greater scale</w:t>
      </w:r>
      <w:bookmarkEnd w:id="191"/>
    </w:p>
    <w:p w14:paraId="632D99AD" w14:textId="4333328B" w:rsidR="00094AB9" w:rsidRPr="00094AB9" w:rsidRDefault="00094AB9" w:rsidP="00094AB9">
      <w:pPr>
        <w:rPr>
          <w:lang w:eastAsia="en-AU"/>
        </w:rPr>
      </w:pPr>
      <w:r w:rsidRPr="00094AB9">
        <w:rPr>
          <w:lang w:eastAsia="en-AU"/>
        </w:rPr>
        <w:t xml:space="preserve">Although the BRII has achieved its objectives across the first three rounds, this has been at a much smaller scale then international comparison programs. </w:t>
      </w:r>
      <w:r w:rsidR="00902705">
        <w:rPr>
          <w:lang w:eastAsia="en-AU"/>
        </w:rPr>
        <w:t>No matter what expansion pathway</w:t>
      </w:r>
      <w:r w:rsidRPr="00094AB9">
        <w:rPr>
          <w:lang w:eastAsia="en-AU"/>
        </w:rPr>
        <w:t xml:space="preserve"> the BRII </w:t>
      </w:r>
      <w:r w:rsidR="00D126AF">
        <w:rPr>
          <w:lang w:eastAsia="en-AU"/>
        </w:rPr>
        <w:t>takes</w:t>
      </w:r>
      <w:r w:rsidR="00301208">
        <w:rPr>
          <w:lang w:eastAsia="en-AU"/>
        </w:rPr>
        <w:t>,</w:t>
      </w:r>
      <w:r w:rsidRPr="00094AB9">
        <w:rPr>
          <w:lang w:eastAsia="en-AU"/>
        </w:rPr>
        <w:t xml:space="preserve"> DISER will need to consider several changes to program delivery. The main areas for consideration are outlined below.</w:t>
      </w:r>
      <w:r w:rsidR="000623B2">
        <w:rPr>
          <w:lang w:eastAsia="en-AU"/>
        </w:rPr>
        <w:fldChar w:fldCharType="begin"/>
      </w:r>
      <w:r w:rsidR="000623B2">
        <w:rPr>
          <w:lang w:eastAsia="en-AU"/>
        </w:rPr>
        <w:instrText xml:space="preserve"> NOTEREF _Ref75949167 \f \h </w:instrText>
      </w:r>
      <w:r w:rsidR="000623B2">
        <w:rPr>
          <w:lang w:eastAsia="en-AU"/>
        </w:rPr>
      </w:r>
      <w:r w:rsidR="000623B2">
        <w:rPr>
          <w:lang w:eastAsia="en-AU"/>
        </w:rPr>
        <w:fldChar w:fldCharType="separate"/>
      </w:r>
      <w:r w:rsidR="00AE607F" w:rsidRPr="00AE607F">
        <w:rPr>
          <w:rStyle w:val="FootnoteReference"/>
        </w:rPr>
        <w:t>78</w:t>
      </w:r>
      <w:r w:rsidR="000623B2">
        <w:rPr>
          <w:lang w:eastAsia="en-AU"/>
        </w:rPr>
        <w:fldChar w:fldCharType="end"/>
      </w:r>
      <w:r w:rsidR="000623B2" w:rsidRPr="00094AB9">
        <w:rPr>
          <w:lang w:eastAsia="en-AU"/>
        </w:rPr>
        <w:t xml:space="preserve"> </w:t>
      </w:r>
    </w:p>
    <w:p w14:paraId="38D187AE" w14:textId="4448CFC5" w:rsidR="00275B16" w:rsidRDefault="00AA0FD4" w:rsidP="00EA4234">
      <w:pPr>
        <w:pStyle w:val="Heading4"/>
      </w:pPr>
      <w:r w:rsidRPr="00AA0FD4">
        <w:t>Governance arrangements</w:t>
      </w:r>
      <w:r w:rsidR="00B0729D">
        <w:t xml:space="preserve"> should be </w:t>
      </w:r>
      <w:r w:rsidR="005943A4">
        <w:t>modified to allow for the assessment of more applications</w:t>
      </w:r>
      <w:r w:rsidR="000B0B31">
        <w:t xml:space="preserve"> and challenges</w:t>
      </w:r>
      <w:r>
        <w:t>.</w:t>
      </w:r>
    </w:p>
    <w:p w14:paraId="62FDE604" w14:textId="5FB57DB2" w:rsidR="005E643E" w:rsidRPr="005E643E" w:rsidRDefault="005E643E" w:rsidP="005E643E">
      <w:pPr>
        <w:rPr>
          <w:lang w:eastAsia="en-AU"/>
        </w:rPr>
      </w:pPr>
      <w:r w:rsidRPr="005E643E">
        <w:rPr>
          <w:lang w:eastAsia="en-AU"/>
        </w:rPr>
        <w:t xml:space="preserve">The role of </w:t>
      </w:r>
      <w:r w:rsidR="00DE7208">
        <w:rPr>
          <w:lang w:eastAsia="en-AU"/>
        </w:rPr>
        <w:t>I</w:t>
      </w:r>
      <w:r w:rsidRPr="005E643E">
        <w:rPr>
          <w:lang w:eastAsia="en-AU"/>
        </w:rPr>
        <w:t>ISA and the EPC will need to change considerably. Options flagged in section three include:</w:t>
      </w:r>
    </w:p>
    <w:p w14:paraId="416E0F4E" w14:textId="77777777" w:rsidR="005E643E" w:rsidRPr="00273BCD" w:rsidRDefault="005E643E">
      <w:pPr>
        <w:pStyle w:val="Bullet"/>
      </w:pPr>
      <w:r w:rsidRPr="00273BCD">
        <w:rPr>
          <w:rFonts w:eastAsiaTheme="minorEastAsia"/>
        </w:rPr>
        <w:t>Creating a new, dedicated subcommittee or forming “teams” of committee members to run expert review panels.</w:t>
      </w:r>
    </w:p>
    <w:p w14:paraId="364DF3BC" w14:textId="77777777" w:rsidR="005E643E" w:rsidRPr="00273BCD" w:rsidRDefault="005E643E">
      <w:pPr>
        <w:pStyle w:val="Bullet"/>
      </w:pPr>
      <w:r w:rsidRPr="00273BCD">
        <w:rPr>
          <w:rFonts w:eastAsiaTheme="minorEastAsia"/>
        </w:rPr>
        <w:t>De-centralising assessments to challenge agencies with support from individual EPC members.</w:t>
      </w:r>
    </w:p>
    <w:p w14:paraId="678C4950" w14:textId="77777777" w:rsidR="005E643E" w:rsidRPr="00273BCD" w:rsidRDefault="005E643E">
      <w:pPr>
        <w:pStyle w:val="Bullet"/>
      </w:pPr>
      <w:r w:rsidRPr="00273BCD">
        <w:rPr>
          <w:rFonts w:eastAsiaTheme="minorEastAsia"/>
        </w:rPr>
        <w:t>Professionalising the role through dedicated commercialisation advisers.</w:t>
      </w:r>
    </w:p>
    <w:p w14:paraId="0BE56FFC" w14:textId="77777777" w:rsidR="005E643E" w:rsidRPr="005E643E" w:rsidRDefault="005E643E" w:rsidP="005E643E">
      <w:pPr>
        <w:rPr>
          <w:lang w:eastAsia="en-AU"/>
        </w:rPr>
      </w:pPr>
      <w:r w:rsidRPr="005E643E">
        <w:rPr>
          <w:lang w:eastAsia="en-AU"/>
        </w:rPr>
        <w:t>An expanded BRII will require a centralised governance, administration and policy unit to ensure a consistent approach across portfolios. This could be a BRII delivery unit formed within DISER that effectively combines what is the current BRII policy and BRII program teams. For comparison, the US SBIR, UK SBRI and ISC all have central administrative teams. The exact role and responsibility of a BRII delivery unit will depend on the final model.</w:t>
      </w:r>
    </w:p>
    <w:p w14:paraId="0057074C" w14:textId="3B0A3078" w:rsidR="00AA0FD4" w:rsidRDefault="00BD6DEE" w:rsidP="00EA4234">
      <w:pPr>
        <w:pStyle w:val="Heading4"/>
      </w:pPr>
      <w:r w:rsidRPr="00BD6DEE">
        <w:t>The frequency and nature of challenges</w:t>
      </w:r>
      <w:r w:rsidR="000B0B31">
        <w:t xml:space="preserve"> must </w:t>
      </w:r>
      <w:r w:rsidR="00CB1EEC">
        <w:t xml:space="preserve">change </w:t>
      </w:r>
      <w:r w:rsidR="000B0B31">
        <w:t>to reach comparable scale to international programs</w:t>
      </w:r>
      <w:r>
        <w:t>.</w:t>
      </w:r>
    </w:p>
    <w:p w14:paraId="5890DAF1" w14:textId="459F47F5" w:rsidR="00BD6DEE" w:rsidRDefault="009E55F8" w:rsidP="00275B16">
      <w:pPr>
        <w:rPr>
          <w:lang w:eastAsia="en-AU"/>
        </w:rPr>
      </w:pPr>
      <w:r w:rsidRPr="009E55F8">
        <w:rPr>
          <w:lang w:eastAsia="en-AU"/>
        </w:rPr>
        <w:t xml:space="preserve">The frequency of challenges will need to increase considerably. To manage the increased frequency of challenges the comparison international programs release challenges on a rolling </w:t>
      </w:r>
      <w:r w:rsidRPr="009E55F8">
        <w:rPr>
          <w:lang w:eastAsia="en-AU"/>
        </w:rPr>
        <w:lastRenderedPageBreak/>
        <w:t xml:space="preserve">basis across the year. This is different to the current approach of four to five challenges per round on </w:t>
      </w:r>
      <w:r w:rsidR="007D5443">
        <w:rPr>
          <w:lang w:eastAsia="en-AU"/>
        </w:rPr>
        <w:t>a</w:t>
      </w:r>
      <w:r w:rsidRPr="009E55F8">
        <w:rPr>
          <w:lang w:eastAsia="en-AU"/>
        </w:rPr>
        <w:t xml:space="preserve"> </w:t>
      </w:r>
      <w:r w:rsidR="007D5443">
        <w:rPr>
          <w:lang w:eastAsia="en-AU"/>
        </w:rPr>
        <w:t>bi</w:t>
      </w:r>
      <w:r w:rsidRPr="009E55F8">
        <w:rPr>
          <w:lang w:eastAsia="en-AU"/>
        </w:rPr>
        <w:t>annual basis. DISER may also consider changes to make the amount of grant funding more flexible to the specific nature of a challenge.</w:t>
      </w:r>
      <w:r w:rsidR="00EE608D">
        <w:rPr>
          <w:lang w:eastAsia="en-AU"/>
        </w:rPr>
        <w:t xml:space="preserve"> </w:t>
      </w:r>
      <w:r w:rsidR="001E38BD">
        <w:rPr>
          <w:lang w:eastAsia="en-AU"/>
        </w:rPr>
        <w:t>To justify increased reach and scale of the BRII, c</w:t>
      </w:r>
      <w:r w:rsidR="00F667F3">
        <w:rPr>
          <w:lang w:eastAsia="en-AU"/>
        </w:rPr>
        <w:t xml:space="preserve">hallenges themselves should also continue to be carefully chosen and designed </w:t>
      </w:r>
      <w:r w:rsidR="001E38BD">
        <w:rPr>
          <w:lang w:eastAsia="en-AU"/>
        </w:rPr>
        <w:t>to</w:t>
      </w:r>
      <w:r w:rsidR="00F667F3">
        <w:rPr>
          <w:lang w:eastAsia="en-AU"/>
        </w:rPr>
        <w:t xml:space="preserve"> </w:t>
      </w:r>
      <w:r w:rsidR="001E38BD">
        <w:rPr>
          <w:lang w:eastAsia="en-AU"/>
        </w:rPr>
        <w:t xml:space="preserve">produce high quality outcomes for agencies. </w:t>
      </w:r>
    </w:p>
    <w:p w14:paraId="49A2491E" w14:textId="54E610DF" w:rsidR="002A7C24" w:rsidRPr="002A7C24" w:rsidRDefault="002A7C24" w:rsidP="00EA4234">
      <w:pPr>
        <w:pStyle w:val="Heading4"/>
      </w:pPr>
      <w:r w:rsidRPr="002A7C24">
        <w:rPr>
          <w:lang w:val="en-US"/>
        </w:rPr>
        <w:t>End-to-end workflow</w:t>
      </w:r>
      <w:r w:rsidR="00765BFF">
        <w:rPr>
          <w:lang w:val="en-US"/>
        </w:rPr>
        <w:t xml:space="preserve"> will need to be </w:t>
      </w:r>
      <w:r w:rsidR="00195547">
        <w:rPr>
          <w:lang w:val="en-US"/>
        </w:rPr>
        <w:t>efficient and fit for purpose</w:t>
      </w:r>
      <w:r>
        <w:rPr>
          <w:lang w:val="en-US"/>
        </w:rPr>
        <w:t>.</w:t>
      </w:r>
    </w:p>
    <w:p w14:paraId="73BE4A6E" w14:textId="7EFBC9D5" w:rsidR="002A7C24" w:rsidRPr="00BD6DEE" w:rsidRDefault="00E5193B" w:rsidP="00275B16">
      <w:pPr>
        <w:rPr>
          <w:lang w:eastAsia="en-AU"/>
        </w:rPr>
      </w:pPr>
      <w:r w:rsidRPr="00E5193B">
        <w:rPr>
          <w:lang w:eastAsia="en-AU"/>
        </w:rPr>
        <w:t>To support the volume of applications and the management of grant funding DISER will need to consider how it can streamline and automate current processes. Critical to this will be an online portal and end to end workflow system that simplifies and reduces any manual handling. According to DISER stakeholders, the ISC platform is best practice. The ISC platform manages the whole challenge process, including developing challenges, assessment, and managing grant agreements and reporting requirements. The ISC platform was custom built. From discussion with DISER staff, current systems, such as the DISER Business Grants Management System and the Ask the Market platform on the Australian Government Digital Marketplace, do not provide the full suite of functions to realise the benefits of a custom-built system.</w:t>
      </w:r>
    </w:p>
    <w:p w14:paraId="0C5D88F4" w14:textId="2D03FCD7" w:rsidR="00DF3247" w:rsidRDefault="00161079">
      <w:pPr>
        <w:pStyle w:val="Heading3"/>
      </w:pPr>
      <w:bookmarkStart w:id="192" w:name="_Ref75328554"/>
      <w:r>
        <w:t>Australian Public Service</w:t>
      </w:r>
      <w:r w:rsidR="00DF3247" w:rsidRPr="00DF3247">
        <w:t xml:space="preserve"> capacity and capability will need to </w:t>
      </w:r>
      <w:r w:rsidR="00DF3247">
        <w:t>im</w:t>
      </w:r>
      <w:r w:rsidR="00DF3247" w:rsidRPr="00DF3247">
        <w:t>prove to support a scaled-up BRII</w:t>
      </w:r>
      <w:bookmarkEnd w:id="192"/>
    </w:p>
    <w:p w14:paraId="40F416C6" w14:textId="114847A3" w:rsidR="00094AB9" w:rsidRPr="00094AB9" w:rsidRDefault="00094AB9" w:rsidP="00094AB9">
      <w:pPr>
        <w:rPr>
          <w:lang w:eastAsia="en-AU"/>
        </w:rPr>
      </w:pPr>
      <w:r w:rsidRPr="00094AB9">
        <w:rPr>
          <w:lang w:eastAsia="en-AU"/>
        </w:rPr>
        <w:t xml:space="preserve">Stakeholders across DISER, </w:t>
      </w:r>
      <w:r w:rsidR="00A04C93">
        <w:rPr>
          <w:lang w:eastAsia="en-AU"/>
        </w:rPr>
        <w:t>I</w:t>
      </w:r>
      <w:r w:rsidRPr="00094AB9">
        <w:rPr>
          <w:lang w:eastAsia="en-AU"/>
        </w:rPr>
        <w:t xml:space="preserve">ISA and challenge agencies identified the need to embed an innovative culture across Australian Government departments and agencies to ensure the success of a scaled-up BRII. Specifically, stakeholders identified the need to increase the capacity of agencies to deliver the program and to improve the capability of agencies to implement </w:t>
      </w:r>
      <w:r w:rsidR="00A019AE">
        <w:rPr>
          <w:lang w:eastAsia="en-AU"/>
        </w:rPr>
        <w:t>CBI</w:t>
      </w:r>
      <w:r w:rsidRPr="00094AB9">
        <w:rPr>
          <w:lang w:eastAsia="en-AU"/>
        </w:rPr>
        <w:t>. Stakeholders suggested two important approaches to achieve this. Each is explored below.</w:t>
      </w:r>
      <w:r w:rsidR="003E79EA">
        <w:rPr>
          <w:rStyle w:val="FootnoteReference"/>
          <w:lang w:eastAsia="en-AU"/>
        </w:rPr>
        <w:footnoteReference w:id="86"/>
      </w:r>
      <w:r w:rsidR="003E79EA" w:rsidRPr="00094AB9">
        <w:rPr>
          <w:lang w:eastAsia="en-AU"/>
        </w:rPr>
        <w:t xml:space="preserve"> </w:t>
      </w:r>
    </w:p>
    <w:p w14:paraId="46C73029" w14:textId="5B1FBD82" w:rsidR="005F5F7E" w:rsidRPr="005F5F7E" w:rsidRDefault="005F5F7E" w:rsidP="00EA4234">
      <w:pPr>
        <w:pStyle w:val="Heading4"/>
      </w:pPr>
      <w:r w:rsidRPr="005F5F7E">
        <w:t xml:space="preserve">Increase </w:t>
      </w:r>
      <w:r w:rsidR="00401D54">
        <w:t>Australian Public Service (APS)</w:t>
      </w:r>
      <w:r w:rsidRPr="005F5F7E">
        <w:t xml:space="preserve"> capacity through dedicated portfolio resources</w:t>
      </w:r>
      <w:r w:rsidR="00316E6A">
        <w:t>.</w:t>
      </w:r>
    </w:p>
    <w:p w14:paraId="37900F88" w14:textId="53ADA842" w:rsidR="00316E6A" w:rsidRPr="00316E6A" w:rsidRDefault="00316E6A" w:rsidP="00316E6A">
      <w:pPr>
        <w:rPr>
          <w:lang w:eastAsia="en-AU"/>
        </w:rPr>
      </w:pPr>
      <w:r w:rsidRPr="00316E6A">
        <w:rPr>
          <w:lang w:eastAsia="en-AU"/>
        </w:rPr>
        <w:t xml:space="preserve">As outlined in </w:t>
      </w:r>
      <w:r w:rsidR="000673BF">
        <w:rPr>
          <w:lang w:eastAsia="en-AU"/>
        </w:rPr>
        <w:t>Section</w:t>
      </w:r>
      <w:r w:rsidR="0090317D">
        <w:rPr>
          <w:lang w:eastAsia="en-AU"/>
        </w:rPr>
        <w:t xml:space="preserve"> </w:t>
      </w:r>
      <w:r w:rsidR="0090317D">
        <w:rPr>
          <w:lang w:eastAsia="en-AU"/>
        </w:rPr>
        <w:fldChar w:fldCharType="begin"/>
      </w:r>
      <w:r w:rsidR="0090317D">
        <w:rPr>
          <w:lang w:eastAsia="en-AU"/>
        </w:rPr>
        <w:instrText xml:space="preserve"> REF _Ref75330957 \n \h </w:instrText>
      </w:r>
      <w:r w:rsidR="0090317D">
        <w:rPr>
          <w:lang w:eastAsia="en-AU"/>
        </w:rPr>
      </w:r>
      <w:r w:rsidR="0090317D">
        <w:rPr>
          <w:lang w:eastAsia="en-AU"/>
        </w:rPr>
        <w:fldChar w:fldCharType="separate"/>
      </w:r>
      <w:r w:rsidR="00AE607F">
        <w:rPr>
          <w:lang w:eastAsia="en-AU"/>
        </w:rPr>
        <w:t>7.3.3</w:t>
      </w:r>
      <w:r w:rsidR="0090317D">
        <w:rPr>
          <w:lang w:eastAsia="en-AU"/>
        </w:rPr>
        <w:fldChar w:fldCharType="end"/>
      </w:r>
      <w:r w:rsidRPr="00316E6A">
        <w:rPr>
          <w:lang w:eastAsia="en-AU"/>
        </w:rPr>
        <w:t xml:space="preserve">, one of the key challenges for challenge agencies was the lack of allocated resources to deliver the BRII activities. A scaled-up version will need to include design features that </w:t>
      </w:r>
      <w:r w:rsidR="00D26EC0">
        <w:rPr>
          <w:lang w:eastAsia="en-AU"/>
        </w:rPr>
        <w:t xml:space="preserve">ensure challenge agencies provide </w:t>
      </w:r>
      <w:r w:rsidRPr="00316E6A">
        <w:rPr>
          <w:lang w:eastAsia="en-AU"/>
        </w:rPr>
        <w:t xml:space="preserve">the right amount of time and effort throughout the challenge period. </w:t>
      </w:r>
    </w:p>
    <w:p w14:paraId="2CB0A7F4" w14:textId="303FF555" w:rsidR="00316E6A" w:rsidRPr="00316E6A" w:rsidRDefault="00316E6A" w:rsidP="00316E6A">
      <w:pPr>
        <w:rPr>
          <w:lang w:eastAsia="en-AU"/>
        </w:rPr>
      </w:pPr>
      <w:r w:rsidRPr="00316E6A">
        <w:rPr>
          <w:lang w:eastAsia="en-AU"/>
        </w:rPr>
        <w:t xml:space="preserve">One suggestion was the use of Portfolio Liaison Officers that provide dedicated administrative support and act as a point of contact between the challenge agency </w:t>
      </w:r>
      <w:r w:rsidR="00E90AEF">
        <w:rPr>
          <w:lang w:eastAsia="en-AU"/>
        </w:rPr>
        <w:t xml:space="preserve">teams participating in a challenge </w:t>
      </w:r>
      <w:r w:rsidRPr="00316E6A">
        <w:rPr>
          <w:lang w:eastAsia="en-AU"/>
        </w:rPr>
        <w:t>and the central BRII team. This is like other international programs. The US SBIR mandates that each participating agency has an SBIR lead and a supporting team to run the program. The UK SBRI and ISC provide greater flexibility for agencies to choose the best approach, but still expect dedicated portfolio resources to implement their programs from within the respective government agencies and other agencies.</w:t>
      </w:r>
    </w:p>
    <w:p w14:paraId="388C4CC7" w14:textId="65E5EBDE" w:rsidR="005F5F7E" w:rsidRDefault="00316E6A" w:rsidP="00EA4234">
      <w:pPr>
        <w:pStyle w:val="Heading4"/>
      </w:pPr>
      <w:r w:rsidRPr="00316E6A">
        <w:lastRenderedPageBreak/>
        <w:t xml:space="preserve">Improve </w:t>
      </w:r>
      <w:r w:rsidR="00AC5FD2">
        <w:t>APS</w:t>
      </w:r>
      <w:r w:rsidRPr="00316E6A">
        <w:t xml:space="preserve"> capability through tailored support roles</w:t>
      </w:r>
      <w:r>
        <w:t>.</w:t>
      </w:r>
    </w:p>
    <w:p w14:paraId="63C1FAE5" w14:textId="0E46C4E7" w:rsidR="00094AB9" w:rsidRPr="00094AB9" w:rsidRDefault="00094AB9" w:rsidP="00094AB9">
      <w:pPr>
        <w:rPr>
          <w:lang w:eastAsia="en-AU"/>
        </w:rPr>
      </w:pPr>
      <w:r w:rsidRPr="00094AB9">
        <w:rPr>
          <w:lang w:eastAsia="en-AU"/>
        </w:rPr>
        <w:t xml:space="preserve">Challenge agencies valued the role that the </w:t>
      </w:r>
      <w:r w:rsidR="00B84DB9">
        <w:rPr>
          <w:lang w:eastAsia="en-AU"/>
        </w:rPr>
        <w:t>EPC</w:t>
      </w:r>
      <w:r w:rsidRPr="00094AB9">
        <w:rPr>
          <w:lang w:eastAsia="en-AU"/>
        </w:rPr>
        <w:t xml:space="preserve"> played to build their capability when it came to the commercialisation lens of </w:t>
      </w:r>
      <w:r w:rsidR="0052596E">
        <w:rPr>
          <w:lang w:eastAsia="en-AU"/>
        </w:rPr>
        <w:t xml:space="preserve">the </w:t>
      </w:r>
      <w:r w:rsidRPr="00094AB9">
        <w:rPr>
          <w:lang w:eastAsia="en-AU"/>
        </w:rPr>
        <w:t xml:space="preserve">BRII. A scaled-up program will need to create new roles so that this support can scale across a larger number of challenge agencies and challenge rounds. </w:t>
      </w:r>
    </w:p>
    <w:p w14:paraId="23C30101" w14:textId="77777777" w:rsidR="00094AB9" w:rsidRPr="00094AB9" w:rsidRDefault="00094AB9" w:rsidP="00094AB9">
      <w:pPr>
        <w:rPr>
          <w:lang w:eastAsia="en-AU"/>
        </w:rPr>
      </w:pPr>
      <w:r w:rsidRPr="00094AB9">
        <w:rPr>
          <w:lang w:eastAsia="en-AU"/>
        </w:rPr>
        <w:t xml:space="preserve">One approach that other international programs have used successfully is through dedicated account managers. </w:t>
      </w:r>
      <w:r w:rsidRPr="00094AB9">
        <w:rPr>
          <w:lang w:val="en-US" w:eastAsia="en-AU"/>
        </w:rPr>
        <w:t xml:space="preserve">The ISC team have ‘account managers’ who work with each portfolio on iterating the challenge statements. The SBRI team within Innovate UK also uses ‘account managers’ to work with agencies on the uptake of SBRI and CBI approaches more broadly. The type of support mirrors that of the ISC account managers with the addition of support to release and promote challenge statements and assess grant applications. </w:t>
      </w:r>
    </w:p>
    <w:p w14:paraId="4E60F549" w14:textId="3055CECC" w:rsidR="00316E6A" w:rsidRPr="00316E6A" w:rsidRDefault="00094AB9" w:rsidP="005F5F7E">
      <w:pPr>
        <w:rPr>
          <w:lang w:eastAsia="en-AU"/>
        </w:rPr>
      </w:pPr>
      <w:r w:rsidRPr="00094AB9">
        <w:rPr>
          <w:lang w:val="en-US" w:eastAsia="en-AU"/>
        </w:rPr>
        <w:t xml:space="preserve">Some stakeholders also identified the opportunity to use dedicated </w:t>
      </w:r>
      <w:r w:rsidRPr="00FB470D">
        <w:rPr>
          <w:lang w:eastAsia="en-AU"/>
        </w:rPr>
        <w:t>commercialisation</w:t>
      </w:r>
      <w:r w:rsidRPr="00094AB9">
        <w:rPr>
          <w:lang w:val="en-US" w:eastAsia="en-AU"/>
        </w:rPr>
        <w:t xml:space="preserve"> advisers (highlighted on page 44) to support capability uplift</w:t>
      </w:r>
      <w:r w:rsidR="00C56FFF">
        <w:rPr>
          <w:lang w:val="en-US" w:eastAsia="en-AU"/>
        </w:rPr>
        <w:t xml:space="preserve"> in challenge agencies</w:t>
      </w:r>
      <w:r w:rsidR="00985DDB">
        <w:rPr>
          <w:lang w:val="en-US" w:eastAsia="en-AU"/>
        </w:rPr>
        <w:t xml:space="preserve"> (and the APS more broadly)</w:t>
      </w:r>
      <w:r w:rsidRPr="00094AB9">
        <w:rPr>
          <w:lang w:val="en-US" w:eastAsia="en-AU"/>
        </w:rPr>
        <w:t xml:space="preserve">. One suggestion was to look at the </w:t>
      </w:r>
      <w:r w:rsidR="00335B9E">
        <w:rPr>
          <w:lang w:val="en-US" w:eastAsia="en-AU"/>
        </w:rPr>
        <w:t xml:space="preserve">AC </w:t>
      </w:r>
      <w:r w:rsidR="00335B9E" w:rsidRPr="00094AB9">
        <w:rPr>
          <w:lang w:val="en-US" w:eastAsia="en-AU"/>
        </w:rPr>
        <w:t>Facilitator</w:t>
      </w:r>
      <w:r w:rsidRPr="00094AB9">
        <w:rPr>
          <w:lang w:val="en-US" w:eastAsia="en-AU"/>
        </w:rPr>
        <w:t xml:space="preserve"> role as an example, but with a focus on supporting challenge agencies better understand the commercial potential of solutions across each stage of the BRII.</w:t>
      </w:r>
    </w:p>
    <w:p w14:paraId="598E2A63" w14:textId="1F2A7854" w:rsidR="00DF3247" w:rsidRDefault="00DF3247">
      <w:pPr>
        <w:pStyle w:val="Heading3"/>
      </w:pPr>
      <w:bookmarkStart w:id="193" w:name="_Ref75328557"/>
      <w:r w:rsidRPr="00DF3247">
        <w:t>New approaches to SME engagement and support will enable greater scale</w:t>
      </w:r>
      <w:bookmarkEnd w:id="193"/>
    </w:p>
    <w:p w14:paraId="0FEA45F5" w14:textId="5D06CD41" w:rsidR="00094AB9" w:rsidRDefault="00675B04" w:rsidP="00094AB9">
      <w:pPr>
        <w:rPr>
          <w:lang w:eastAsia="en-AU"/>
        </w:rPr>
      </w:pPr>
      <w:r w:rsidRPr="00675B04">
        <w:rPr>
          <w:lang w:eastAsia="en-AU"/>
        </w:rPr>
        <w:t xml:space="preserve">Attracting and then supporting high quality, innovative SMEs is central to the success of </w:t>
      </w:r>
      <w:r w:rsidR="00F73644">
        <w:rPr>
          <w:lang w:eastAsia="en-AU"/>
        </w:rPr>
        <w:t>the</w:t>
      </w:r>
      <w:r w:rsidRPr="00675B04">
        <w:rPr>
          <w:lang w:eastAsia="en-AU"/>
        </w:rPr>
        <w:t xml:space="preserve"> BRII. As outlined </w:t>
      </w:r>
      <w:r w:rsidR="004D74F8">
        <w:rPr>
          <w:lang w:eastAsia="en-AU"/>
        </w:rPr>
        <w:t xml:space="preserve">in </w:t>
      </w:r>
      <w:r w:rsidR="000673BF">
        <w:rPr>
          <w:lang w:eastAsia="en-AU"/>
        </w:rPr>
        <w:t>Section</w:t>
      </w:r>
      <w:r w:rsidR="004D74F8">
        <w:rPr>
          <w:lang w:eastAsia="en-AU"/>
        </w:rPr>
        <w:t xml:space="preserve"> </w:t>
      </w:r>
      <w:r w:rsidR="004D74F8">
        <w:rPr>
          <w:lang w:eastAsia="en-AU"/>
        </w:rPr>
        <w:fldChar w:fldCharType="begin"/>
      </w:r>
      <w:r w:rsidR="004D74F8">
        <w:rPr>
          <w:lang w:eastAsia="en-AU"/>
        </w:rPr>
        <w:instrText xml:space="preserve"> REF _Ref75900448 \r \h </w:instrText>
      </w:r>
      <w:r w:rsidR="004D74F8">
        <w:rPr>
          <w:lang w:eastAsia="en-AU"/>
        </w:rPr>
      </w:r>
      <w:r w:rsidR="004D74F8">
        <w:rPr>
          <w:lang w:eastAsia="en-AU"/>
        </w:rPr>
        <w:fldChar w:fldCharType="separate"/>
      </w:r>
      <w:r w:rsidR="00AE607F">
        <w:rPr>
          <w:lang w:eastAsia="en-AU"/>
        </w:rPr>
        <w:t>8.1.1</w:t>
      </w:r>
      <w:r w:rsidR="004D74F8">
        <w:rPr>
          <w:lang w:eastAsia="en-AU"/>
        </w:rPr>
        <w:fldChar w:fldCharType="end"/>
      </w:r>
      <w:r w:rsidRPr="00675B04">
        <w:rPr>
          <w:lang w:eastAsia="en-AU"/>
        </w:rPr>
        <w:t xml:space="preserve">, a scaled-up BRII </w:t>
      </w:r>
      <w:r w:rsidR="00963D58">
        <w:rPr>
          <w:lang w:eastAsia="en-AU"/>
        </w:rPr>
        <w:t xml:space="preserve">equivalent to the </w:t>
      </w:r>
      <w:r w:rsidR="00DF4E72">
        <w:rPr>
          <w:lang w:eastAsia="en-AU"/>
        </w:rPr>
        <w:t xml:space="preserve">current </w:t>
      </w:r>
      <w:r w:rsidR="00963D58">
        <w:rPr>
          <w:lang w:eastAsia="en-AU"/>
        </w:rPr>
        <w:t xml:space="preserve">Canadian ISC </w:t>
      </w:r>
      <w:r w:rsidR="00865127">
        <w:rPr>
          <w:lang w:eastAsia="en-AU"/>
        </w:rPr>
        <w:t xml:space="preserve">program size </w:t>
      </w:r>
      <w:r w:rsidRPr="00675B04">
        <w:rPr>
          <w:lang w:eastAsia="en-AU"/>
        </w:rPr>
        <w:t xml:space="preserve">will need to reach roughly </w:t>
      </w:r>
      <w:r w:rsidR="00DF4E72">
        <w:rPr>
          <w:lang w:eastAsia="en-AU"/>
        </w:rPr>
        <w:t>550</w:t>
      </w:r>
      <w:r w:rsidRPr="00675B04">
        <w:rPr>
          <w:lang w:eastAsia="en-AU"/>
        </w:rPr>
        <w:t xml:space="preserve"> applicant SMEs</w:t>
      </w:r>
      <w:r w:rsidR="0073604D">
        <w:rPr>
          <w:lang w:eastAsia="en-AU"/>
        </w:rPr>
        <w:t xml:space="preserve"> across 35 challenges and engage </w:t>
      </w:r>
      <w:r w:rsidRPr="00675B04">
        <w:rPr>
          <w:lang w:eastAsia="en-AU"/>
        </w:rPr>
        <w:t xml:space="preserve">over </w:t>
      </w:r>
      <w:r w:rsidR="0073604D">
        <w:rPr>
          <w:lang w:eastAsia="en-AU"/>
        </w:rPr>
        <w:t xml:space="preserve">150 </w:t>
      </w:r>
      <w:r w:rsidRPr="00675B04">
        <w:rPr>
          <w:lang w:eastAsia="en-AU"/>
        </w:rPr>
        <w:t>SME</w:t>
      </w:r>
      <w:r w:rsidR="0073604D">
        <w:rPr>
          <w:lang w:eastAsia="en-AU"/>
        </w:rPr>
        <w:t>s</w:t>
      </w:r>
      <w:r w:rsidRPr="00675B04">
        <w:rPr>
          <w:lang w:eastAsia="en-AU"/>
        </w:rPr>
        <w:t xml:space="preserve"> </w:t>
      </w:r>
      <w:r w:rsidR="0073604D">
        <w:rPr>
          <w:lang w:eastAsia="en-AU"/>
        </w:rPr>
        <w:t xml:space="preserve">through feasibility and into </w:t>
      </w:r>
      <w:r w:rsidRPr="00675B04">
        <w:rPr>
          <w:lang w:eastAsia="en-AU"/>
        </w:rPr>
        <w:t xml:space="preserve">proof of concept </w:t>
      </w:r>
      <w:r w:rsidR="00656ED1">
        <w:rPr>
          <w:lang w:eastAsia="en-AU"/>
        </w:rPr>
        <w:t xml:space="preserve">across </w:t>
      </w:r>
      <w:r w:rsidRPr="00675B04">
        <w:rPr>
          <w:lang w:eastAsia="en-AU"/>
        </w:rPr>
        <w:t>every year. DISER will need to build on the lessons learned from the first three rounds to ensure any changes will need to both meet higher demand and maintain strong program outcomes. There are three things that DISER should consider to scale-up SME engagement and enhance SME support.</w:t>
      </w:r>
      <w:r w:rsidR="00C317A6">
        <w:rPr>
          <w:lang w:eastAsia="en-AU"/>
        </w:rPr>
        <w:fldChar w:fldCharType="begin"/>
      </w:r>
      <w:r w:rsidR="00C317A6">
        <w:rPr>
          <w:lang w:eastAsia="en-AU"/>
        </w:rPr>
        <w:instrText xml:space="preserve"> NOTEREF _Ref75949167 \f \h </w:instrText>
      </w:r>
      <w:r w:rsidR="00C317A6">
        <w:rPr>
          <w:lang w:eastAsia="en-AU"/>
        </w:rPr>
      </w:r>
      <w:r w:rsidR="00C317A6">
        <w:rPr>
          <w:lang w:eastAsia="en-AU"/>
        </w:rPr>
        <w:fldChar w:fldCharType="separate"/>
      </w:r>
      <w:r w:rsidR="00AE607F" w:rsidRPr="00AE607F">
        <w:rPr>
          <w:rStyle w:val="FootnoteReference"/>
        </w:rPr>
        <w:t>78</w:t>
      </w:r>
      <w:r w:rsidR="00C317A6">
        <w:rPr>
          <w:lang w:eastAsia="en-AU"/>
        </w:rPr>
        <w:fldChar w:fldCharType="end"/>
      </w:r>
    </w:p>
    <w:p w14:paraId="1B0B8898" w14:textId="726C1C67" w:rsidR="00675B04" w:rsidRPr="00675B04" w:rsidRDefault="00675B04" w:rsidP="00EA4234">
      <w:pPr>
        <w:pStyle w:val="Heading4"/>
      </w:pPr>
      <w:r>
        <w:t>Develop</w:t>
      </w:r>
      <w:r w:rsidRPr="00675B04">
        <w:t xml:space="preserve"> streamlined and distributed SME marketing and engagement approach.</w:t>
      </w:r>
    </w:p>
    <w:p w14:paraId="747F7D9F" w14:textId="5EEC6703" w:rsidR="00675B04" w:rsidRPr="00675B04" w:rsidRDefault="00675B04" w:rsidP="00675B04">
      <w:pPr>
        <w:rPr>
          <w:lang w:eastAsia="en-AU"/>
        </w:rPr>
      </w:pPr>
      <w:r w:rsidRPr="00675B04">
        <w:rPr>
          <w:lang w:eastAsia="en-AU"/>
        </w:rPr>
        <w:t xml:space="preserve">The successful marketing and engagement approach used for round three was resource intensive, costing close to </w:t>
      </w:r>
      <w:r w:rsidRPr="00437AC3">
        <w:rPr>
          <w:lang w:eastAsia="en-AU"/>
        </w:rPr>
        <w:t>$150</w:t>
      </w:r>
      <w:r w:rsidR="00B34052">
        <w:rPr>
          <w:lang w:eastAsia="en-AU"/>
        </w:rPr>
        <w:t>,000</w:t>
      </w:r>
      <w:r w:rsidRPr="00675B04">
        <w:rPr>
          <w:lang w:eastAsia="en-AU"/>
        </w:rPr>
        <w:t xml:space="preserve"> across direct advertising costs (such as paid search and social media advertising) and professional services costs. Most of the spend related to engagement between challenge agencies and the contracted marketing firm to tailor materials. A scaled-up BRII should consider the following opportunities to streamline and distribute the marketing and engagement approach:</w:t>
      </w:r>
    </w:p>
    <w:p w14:paraId="5A032F7A" w14:textId="1C8FDCCE" w:rsidR="00675B04" w:rsidRPr="00675B04" w:rsidRDefault="00675B04">
      <w:pPr>
        <w:pStyle w:val="Bullet"/>
      </w:pPr>
      <w:r w:rsidRPr="00675B04">
        <w:t xml:space="preserve">Embed challenge communication capabilities within the participating agencies (e.g. through the Portfolio Liaison Officers) or the central BRII team (e.g. through account managers). </w:t>
      </w:r>
    </w:p>
    <w:p w14:paraId="474138C1" w14:textId="77777777" w:rsidR="00675B04" w:rsidRPr="00675B04" w:rsidRDefault="00675B04">
      <w:pPr>
        <w:pStyle w:val="Bullet"/>
      </w:pPr>
      <w:r w:rsidRPr="00675B04">
        <w:t>Develop guidance and templates to streamline and quality control the development of marketing and engagement materials.</w:t>
      </w:r>
    </w:p>
    <w:p w14:paraId="5D5A1C20" w14:textId="2C2B315C" w:rsidR="00675B04" w:rsidRDefault="00675B04">
      <w:pPr>
        <w:pStyle w:val="Bullet"/>
      </w:pPr>
      <w:r w:rsidRPr="00675B04">
        <w:t xml:space="preserve">Use a central online platform for SMEs to create a database of potential applicants and deliver direct communications for relevant challenges. For example, the ISC platform </w:t>
      </w:r>
      <w:r w:rsidRPr="00675B04">
        <w:lastRenderedPageBreak/>
        <w:t>includes a section for ‘innovators’ where SMEs can register their interest in the overall program and specific challenges.</w:t>
      </w:r>
    </w:p>
    <w:p w14:paraId="221E600F" w14:textId="652ED2AE" w:rsidR="00675B04" w:rsidRDefault="00675B04" w:rsidP="00EA4234">
      <w:pPr>
        <w:pStyle w:val="Heading4"/>
      </w:pPr>
      <w:r w:rsidRPr="00675B04">
        <w:t>Support SMEs to understand government procurement and commercialisation pathways.</w:t>
      </w:r>
    </w:p>
    <w:p w14:paraId="642D1936" w14:textId="77777777" w:rsidR="00A27291" w:rsidRPr="00A27291" w:rsidRDefault="00A27291" w:rsidP="00A27291">
      <w:pPr>
        <w:rPr>
          <w:lang w:eastAsia="en-AU"/>
        </w:rPr>
      </w:pPr>
      <w:r w:rsidRPr="00A27291">
        <w:rPr>
          <w:lang w:eastAsia="en-AU"/>
        </w:rPr>
        <w:t>Some SMEs identified that they had a knowledge gap regarding government procurement processes. For example, more than one SME highlighted that they were unaware of panel requirements until late in the proof of concept stage. One suggestion was to provide government procurement FAQs, information packages or webinars to BRII participants early in their participation.</w:t>
      </w:r>
    </w:p>
    <w:p w14:paraId="3BCDFB8D" w14:textId="1DA51C26" w:rsidR="00675B04" w:rsidRPr="00A27291" w:rsidRDefault="00A27291" w:rsidP="00A27291">
      <w:pPr>
        <w:rPr>
          <w:lang w:eastAsia="en-AU"/>
        </w:rPr>
      </w:pPr>
      <w:r w:rsidRPr="00A27291">
        <w:rPr>
          <w:lang w:eastAsia="en-AU"/>
        </w:rPr>
        <w:t>Other SMEs that had limited commercialisation experience, particularly with government clients, identified an opportunity to get dedicated support from commercialisation advisors. The BRII could leverage DISER’s broader advisor</w:t>
      </w:r>
      <w:r w:rsidR="00B54BE0">
        <w:rPr>
          <w:lang w:eastAsia="en-AU"/>
        </w:rPr>
        <w:t>y</w:t>
      </w:r>
      <w:r w:rsidRPr="00A27291">
        <w:rPr>
          <w:lang w:eastAsia="en-AU"/>
        </w:rPr>
        <w:t xml:space="preserve"> network to support BRII participants. DISER could also consider incubation style support through an external provider. For example, DAWE partnered with the Canberra Innovation Network to support the Biosecurity Industry Innovation Challenge. A scaled-up version would need to carefully consider the most efficient way to provide commercialisation support.</w:t>
      </w:r>
    </w:p>
    <w:p w14:paraId="74526FAC" w14:textId="699B4526" w:rsidR="00675B04" w:rsidRDefault="00675B04" w:rsidP="00EA4234">
      <w:pPr>
        <w:pStyle w:val="Heading4"/>
      </w:pPr>
      <w:r w:rsidRPr="00675B04">
        <w:t>Create a follow-on commercialisation stage for proof of concept SMEs</w:t>
      </w:r>
      <w:r>
        <w:t>.</w:t>
      </w:r>
    </w:p>
    <w:p w14:paraId="44709FD8" w14:textId="4F16C7B1" w:rsidR="00A2169B" w:rsidRDefault="00103C22" w:rsidP="00675B04">
      <w:pPr>
        <w:rPr>
          <w:lang w:eastAsia="en-AU"/>
        </w:rPr>
      </w:pPr>
      <w:bookmarkStart w:id="194" w:name="_Ref75900213"/>
      <w:r>
        <w:rPr>
          <w:lang w:eastAsia="en-AU"/>
        </w:rPr>
        <w:t>S</w:t>
      </w:r>
      <w:r w:rsidR="00DF0E8A">
        <w:rPr>
          <w:lang w:eastAsia="en-AU"/>
        </w:rPr>
        <w:t xml:space="preserve">ection </w:t>
      </w:r>
      <w:r w:rsidR="00DF0E8A">
        <w:rPr>
          <w:lang w:eastAsia="en-AU"/>
        </w:rPr>
        <w:fldChar w:fldCharType="begin"/>
      </w:r>
      <w:r w:rsidR="00DF0E8A">
        <w:rPr>
          <w:lang w:eastAsia="en-AU"/>
        </w:rPr>
        <w:instrText xml:space="preserve"> REF _Ref75330738 \n \h </w:instrText>
      </w:r>
      <w:r w:rsidR="00DF0E8A">
        <w:rPr>
          <w:lang w:eastAsia="en-AU"/>
        </w:rPr>
      </w:r>
      <w:r w:rsidR="00DF0E8A">
        <w:rPr>
          <w:lang w:eastAsia="en-AU"/>
        </w:rPr>
        <w:fldChar w:fldCharType="separate"/>
      </w:r>
      <w:r w:rsidR="00AE607F">
        <w:rPr>
          <w:lang w:eastAsia="en-AU"/>
        </w:rPr>
        <w:t>7.3.4</w:t>
      </w:r>
      <w:r w:rsidR="00DF0E8A">
        <w:rPr>
          <w:lang w:eastAsia="en-AU"/>
        </w:rPr>
        <w:fldChar w:fldCharType="end"/>
      </w:r>
      <w:r>
        <w:rPr>
          <w:lang w:eastAsia="en-AU"/>
        </w:rPr>
        <w:t xml:space="preserve"> highlighted that </w:t>
      </w:r>
      <w:r w:rsidR="00A27291" w:rsidRPr="00A27291">
        <w:rPr>
          <w:lang w:eastAsia="en-AU"/>
        </w:rPr>
        <w:t xml:space="preserve">SMEs and challenge agencies identified the opportunity to extend support for proof of concept SMEs into a </w:t>
      </w:r>
      <w:r w:rsidR="00B45A32">
        <w:rPr>
          <w:lang w:eastAsia="en-AU"/>
        </w:rPr>
        <w:t>post-BRII commercialisation pilot</w:t>
      </w:r>
      <w:r w:rsidR="00A27291" w:rsidRPr="00A27291">
        <w:rPr>
          <w:lang w:eastAsia="en-AU"/>
        </w:rPr>
        <w:t xml:space="preserve">. This is consistent with </w:t>
      </w:r>
      <w:r w:rsidR="00F66ED0">
        <w:rPr>
          <w:lang w:eastAsia="en-AU"/>
        </w:rPr>
        <w:t xml:space="preserve">similar but larger programs such as </w:t>
      </w:r>
      <w:r w:rsidR="00A27291" w:rsidRPr="00A27291">
        <w:rPr>
          <w:lang w:eastAsia="en-AU"/>
        </w:rPr>
        <w:t xml:space="preserve">the ISC, which includes </w:t>
      </w:r>
      <w:r w:rsidR="005C3123">
        <w:rPr>
          <w:lang w:eastAsia="en-AU"/>
        </w:rPr>
        <w:t xml:space="preserve">a testing stream that provides </w:t>
      </w:r>
      <w:r w:rsidR="00CC39FE">
        <w:rPr>
          <w:lang w:eastAsia="en-AU"/>
        </w:rPr>
        <w:t xml:space="preserve">funding </w:t>
      </w:r>
      <w:r w:rsidR="00A27291" w:rsidRPr="00A27291">
        <w:rPr>
          <w:lang w:eastAsia="en-AU"/>
        </w:rPr>
        <w:t>to support</w:t>
      </w:r>
      <w:r w:rsidR="00CC39FE">
        <w:rPr>
          <w:lang w:eastAsia="en-AU"/>
        </w:rPr>
        <w:t xml:space="preserve"> </w:t>
      </w:r>
      <w:r w:rsidR="00642F9F">
        <w:rPr>
          <w:lang w:eastAsia="en-AU"/>
        </w:rPr>
        <w:t>pre-commercial pilots</w:t>
      </w:r>
      <w:r w:rsidR="00CC39FE">
        <w:rPr>
          <w:lang w:eastAsia="en-AU"/>
        </w:rPr>
        <w:t xml:space="preserve">. The ISC has adapted its processes and reporting requirements for </w:t>
      </w:r>
      <w:r w:rsidR="00293B38">
        <w:rPr>
          <w:lang w:eastAsia="en-AU"/>
        </w:rPr>
        <w:t xml:space="preserve">the challenge stream to support </w:t>
      </w:r>
      <w:r w:rsidR="00390853">
        <w:rPr>
          <w:lang w:eastAsia="en-AU"/>
        </w:rPr>
        <w:t xml:space="preserve">relevant </w:t>
      </w:r>
      <w:r w:rsidR="00CC39FE">
        <w:rPr>
          <w:lang w:eastAsia="en-AU"/>
        </w:rPr>
        <w:t xml:space="preserve">SMEs to </w:t>
      </w:r>
      <w:r w:rsidR="00293B38">
        <w:rPr>
          <w:lang w:eastAsia="en-AU"/>
        </w:rPr>
        <w:t>access</w:t>
      </w:r>
      <w:r w:rsidR="00CC39FE">
        <w:rPr>
          <w:lang w:eastAsia="en-AU"/>
        </w:rPr>
        <w:t xml:space="preserve"> </w:t>
      </w:r>
      <w:r w:rsidR="00390853">
        <w:rPr>
          <w:lang w:eastAsia="en-AU"/>
        </w:rPr>
        <w:t>funding through</w:t>
      </w:r>
      <w:r w:rsidR="00A27291" w:rsidRPr="00A27291">
        <w:rPr>
          <w:lang w:eastAsia="en-AU"/>
        </w:rPr>
        <w:t xml:space="preserve"> the </w:t>
      </w:r>
      <w:r w:rsidR="00390853">
        <w:rPr>
          <w:lang w:eastAsia="en-AU"/>
        </w:rPr>
        <w:t>testing stream. T</w:t>
      </w:r>
      <w:r w:rsidR="00A27291" w:rsidRPr="00A27291">
        <w:rPr>
          <w:lang w:eastAsia="en-AU"/>
        </w:rPr>
        <w:t>he US SBIR</w:t>
      </w:r>
      <w:r w:rsidR="00390853">
        <w:rPr>
          <w:lang w:eastAsia="en-AU"/>
        </w:rPr>
        <w:t xml:space="preserve"> also</w:t>
      </w:r>
      <w:r w:rsidR="00A27291" w:rsidRPr="00A27291">
        <w:rPr>
          <w:lang w:eastAsia="en-AU"/>
        </w:rPr>
        <w:t xml:space="preserve"> includes optional non-SBIR funding for further development and commerciali</w:t>
      </w:r>
      <w:r w:rsidR="007B7460">
        <w:rPr>
          <w:lang w:eastAsia="en-AU"/>
        </w:rPr>
        <w:t>s</w:t>
      </w:r>
      <w:r w:rsidR="00A27291" w:rsidRPr="00A27291">
        <w:rPr>
          <w:lang w:eastAsia="en-AU"/>
        </w:rPr>
        <w:t xml:space="preserve">ation. </w:t>
      </w:r>
    </w:p>
    <w:p w14:paraId="26CF8723" w14:textId="01B3464D" w:rsidR="00A27291" w:rsidRDefault="00817CD6" w:rsidP="00675B04">
      <w:pPr>
        <w:rPr>
          <w:lang w:eastAsia="en-AU"/>
        </w:rPr>
      </w:pPr>
      <w:r>
        <w:rPr>
          <w:lang w:eastAsia="en-AU"/>
        </w:rPr>
        <w:t xml:space="preserve">Access to post-BRII commercialisation funding for eligible SMEs can help to amplify the impact of </w:t>
      </w:r>
      <w:r w:rsidR="00AA0DC8">
        <w:rPr>
          <w:lang w:eastAsia="en-AU"/>
        </w:rPr>
        <w:t xml:space="preserve">the </w:t>
      </w:r>
      <w:r>
        <w:rPr>
          <w:lang w:eastAsia="en-AU"/>
        </w:rPr>
        <w:t xml:space="preserve">BRII as it scales. </w:t>
      </w:r>
      <w:bookmarkEnd w:id="194"/>
      <w:r w:rsidR="00F66ED0">
        <w:rPr>
          <w:lang w:eastAsia="en-AU"/>
        </w:rPr>
        <w:t>Implementing recommendation 6, which identifies options to i</w:t>
      </w:r>
      <w:r w:rsidR="00F66ED0" w:rsidRPr="00F66ED0">
        <w:rPr>
          <w:lang w:eastAsia="en-AU"/>
        </w:rPr>
        <w:t>mprove support for commercialisation during and after the proof of concept</w:t>
      </w:r>
      <w:r w:rsidR="00F66ED0">
        <w:rPr>
          <w:lang w:eastAsia="en-AU"/>
        </w:rPr>
        <w:t xml:space="preserve">, is also important as </w:t>
      </w:r>
      <w:r w:rsidR="00AA0DC8">
        <w:rPr>
          <w:lang w:eastAsia="en-AU"/>
        </w:rPr>
        <w:t>the</w:t>
      </w:r>
      <w:r w:rsidR="00F66ED0">
        <w:rPr>
          <w:lang w:eastAsia="en-AU"/>
        </w:rPr>
        <w:t xml:space="preserve"> BRII scales.</w:t>
      </w:r>
    </w:p>
    <w:p w14:paraId="39404449" w14:textId="331D7BF9" w:rsidR="00A661BD" w:rsidRDefault="00B82F29">
      <w:pPr>
        <w:pStyle w:val="Heading2"/>
      </w:pPr>
      <w:bookmarkStart w:id="195" w:name="_Ref75900258"/>
      <w:bookmarkStart w:id="196" w:name="_Ref75900472"/>
      <w:bookmarkStart w:id="197" w:name="_Toc124435166"/>
      <w:r>
        <w:t xml:space="preserve">DISER </w:t>
      </w:r>
      <w:r w:rsidR="00FB0E80">
        <w:t xml:space="preserve">should </w:t>
      </w:r>
      <w:r>
        <w:t xml:space="preserve">consider </w:t>
      </w:r>
      <w:r w:rsidR="00FB0E80">
        <w:t xml:space="preserve">three </w:t>
      </w:r>
      <w:r w:rsidR="00FB0277">
        <w:t>recommendations</w:t>
      </w:r>
      <w:r w:rsidR="00FB0E80">
        <w:t xml:space="preserve"> to scale</w:t>
      </w:r>
      <w:r w:rsidR="008C404E">
        <w:t>-</w:t>
      </w:r>
      <w:r w:rsidR="00FB0E80">
        <w:t>up the BRII</w:t>
      </w:r>
      <w:bookmarkEnd w:id="195"/>
      <w:bookmarkEnd w:id="196"/>
      <w:bookmarkEnd w:id="197"/>
    </w:p>
    <w:p w14:paraId="6FEBFF38" w14:textId="05328B46" w:rsidR="006D11AB" w:rsidRDefault="006D11AB" w:rsidP="009A2DD4">
      <w:pPr>
        <w:rPr>
          <w:lang w:eastAsia="en-AU"/>
        </w:rPr>
      </w:pPr>
      <w:r>
        <w:rPr>
          <w:lang w:eastAsia="en-AU"/>
        </w:rPr>
        <w:t>The three recommendations cover funding and changes to program design and implementation.</w:t>
      </w:r>
      <w:r w:rsidR="00597B23">
        <w:rPr>
          <w:lang w:eastAsia="en-AU"/>
        </w:rPr>
        <w:t xml:space="preserve"> These recommendations are based on the proven experience of comparable international programs and the </w:t>
      </w:r>
      <w:r w:rsidR="00335B9E">
        <w:rPr>
          <w:lang w:eastAsia="en-AU"/>
        </w:rPr>
        <w:t>context</w:t>
      </w:r>
      <w:r w:rsidR="00597B23">
        <w:rPr>
          <w:lang w:eastAsia="en-AU"/>
        </w:rPr>
        <w:t xml:space="preserve"> of the BRII</w:t>
      </w:r>
      <w:r w:rsidR="00ED097F">
        <w:rPr>
          <w:lang w:eastAsia="en-AU"/>
        </w:rPr>
        <w:t xml:space="preserve"> (see overleaf).</w:t>
      </w:r>
    </w:p>
    <w:p w14:paraId="1E747E3E" w14:textId="77777777" w:rsidR="00ED097F" w:rsidRDefault="00ED097F">
      <w:pPr>
        <w:spacing w:after="165" w:line="259" w:lineRule="auto"/>
        <w:rPr>
          <w:lang w:eastAsia="en-AU"/>
        </w:rPr>
      </w:pPr>
      <w:r>
        <w:rPr>
          <w:lang w:eastAsia="en-AU"/>
        </w:rPr>
        <w:br w:type="page"/>
      </w:r>
    </w:p>
    <w:p w14:paraId="6EA778FE" w14:textId="48E66D69" w:rsidR="006D11AB" w:rsidRDefault="005E3702" w:rsidP="009A2DD4">
      <w:pPr>
        <w:rPr>
          <w:lang w:eastAsia="en-AU"/>
        </w:rPr>
      </w:pPr>
      <w:r>
        <w:rPr>
          <w:noProof/>
          <w:lang w:eastAsia="en-AU"/>
        </w:rPr>
        <w:lastRenderedPageBreak/>
        <w:drawing>
          <wp:inline distT="0" distB="0" distL="0" distR="0" wp14:anchorId="541ACC68" wp14:editId="44FCED1F">
            <wp:extent cx="5670000" cy="478800"/>
            <wp:effectExtent l="0" t="0" r="6985" b="0"/>
            <wp:docPr id="478" name="Picture 478"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Picture 478" descr="Recommendation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70000" cy="478800"/>
                    </a:xfrm>
                    <a:prstGeom prst="rect">
                      <a:avLst/>
                    </a:prstGeom>
                    <a:noFill/>
                  </pic:spPr>
                </pic:pic>
              </a:graphicData>
            </a:graphic>
          </wp:inline>
        </w:drawing>
      </w:r>
    </w:p>
    <w:tbl>
      <w:tblPr>
        <w:tblStyle w:val="NousLongformcallout"/>
        <w:tblW w:w="5000" w:type="pct"/>
        <w:tblBorders>
          <w:left w:val="none" w:sz="0" w:space="0" w:color="auto"/>
        </w:tblBorders>
        <w:tblLayout w:type="fixed"/>
        <w:tblCellMar>
          <w:top w:w="170" w:type="dxa"/>
          <w:bottom w:w="170" w:type="dxa"/>
        </w:tblCellMar>
        <w:tblLook w:val="0620" w:firstRow="1" w:lastRow="0" w:firstColumn="0" w:lastColumn="0" w:noHBand="1" w:noVBand="1"/>
      </w:tblPr>
      <w:tblGrid>
        <w:gridCol w:w="5428"/>
        <w:gridCol w:w="3502"/>
      </w:tblGrid>
      <w:tr w:rsidR="00A578EE" w14:paraId="6C0C67A9" w14:textId="77777777" w:rsidTr="00F40D93">
        <w:trPr>
          <w:cantSplit/>
          <w:trHeight w:val="20"/>
        </w:trPr>
        <w:tc>
          <w:tcPr>
            <w:tcW w:w="3039" w:type="pct"/>
            <w:tcBorders>
              <w:bottom w:val="single" w:sz="4" w:space="0" w:color="00264D" w:themeColor="background2"/>
              <w:right w:val="single" w:sz="4" w:space="0" w:color="FFFFFF" w:themeColor="background1"/>
            </w:tcBorders>
            <w:shd w:val="clear" w:color="auto" w:fill="00264D" w:themeFill="background2"/>
            <w:vAlign w:val="center"/>
          </w:tcPr>
          <w:p w14:paraId="15F2BF8C" w14:textId="2AACF88C" w:rsidR="00A578EE" w:rsidRPr="003F5567" w:rsidRDefault="00A578EE" w:rsidP="003F5567">
            <w:pPr>
              <w:pStyle w:val="TableNheader"/>
              <w:rPr>
                <w:rFonts w:cstheme="majorHAnsi"/>
                <w:noProof/>
                <w:color w:val="FFFFFF" w:themeColor="background1"/>
              </w:rPr>
            </w:pPr>
            <w:r w:rsidRPr="003F5567">
              <w:rPr>
                <w:color w:val="FFFFFF" w:themeColor="background1"/>
              </w:rPr>
              <w:t>Scale-up</w:t>
            </w:r>
          </w:p>
        </w:tc>
        <w:tc>
          <w:tcPr>
            <w:tcW w:w="1961" w:type="pct"/>
            <w:tcBorders>
              <w:left w:val="single" w:sz="4" w:space="0" w:color="FFFFFF" w:themeColor="background1"/>
              <w:bottom w:val="single" w:sz="4" w:space="0" w:color="00264D" w:themeColor="background2"/>
            </w:tcBorders>
            <w:shd w:val="clear" w:color="auto" w:fill="00264D" w:themeFill="background2"/>
            <w:vAlign w:val="center"/>
          </w:tcPr>
          <w:p w14:paraId="1CAB208C" w14:textId="77777777" w:rsidR="00A578EE" w:rsidRPr="003F5567" w:rsidRDefault="00A578EE" w:rsidP="003F5567">
            <w:pPr>
              <w:pStyle w:val="TableNheader"/>
              <w:rPr>
                <w:color w:val="FFFFFF" w:themeColor="background1"/>
              </w:rPr>
            </w:pPr>
            <w:r w:rsidRPr="003F5567">
              <w:rPr>
                <w:color w:val="FFFFFF" w:themeColor="background1"/>
              </w:rPr>
              <w:t xml:space="preserve">Supporting findings </w:t>
            </w:r>
          </w:p>
        </w:tc>
      </w:tr>
      <w:tr w:rsidR="00A578EE" w14:paraId="0341D7D2" w14:textId="77777777" w:rsidTr="00F40D93">
        <w:trPr>
          <w:cantSplit/>
          <w:trHeight w:val="2352"/>
        </w:trPr>
        <w:tc>
          <w:tcPr>
            <w:tcW w:w="3039"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auto"/>
          </w:tcPr>
          <w:p w14:paraId="32F19F34" w14:textId="2F63B5A5" w:rsidR="00A578EE" w:rsidRPr="00390669" w:rsidRDefault="00A578EE">
            <w:pPr>
              <w:pStyle w:val="TableNListnumbered"/>
              <w:spacing w:before="0" w:after="0" w:line="257" w:lineRule="auto"/>
              <w:ind w:left="601" w:hanging="601"/>
              <w:rPr>
                <w:rFonts w:asciiTheme="majorHAnsi" w:hAnsiTheme="majorHAnsi" w:cstheme="majorHAnsi"/>
              </w:rPr>
            </w:pPr>
            <w:r>
              <w:rPr>
                <w:rFonts w:asciiTheme="majorHAnsi" w:hAnsiTheme="majorHAnsi" w:cstheme="majorHAnsi"/>
              </w:rPr>
              <w:t>Consider expanding</w:t>
            </w:r>
            <w:r w:rsidRPr="0048461E">
              <w:rPr>
                <w:rFonts w:asciiTheme="majorHAnsi" w:hAnsiTheme="majorHAnsi" w:cstheme="majorHAnsi"/>
              </w:rPr>
              <w:t xml:space="preserve"> the scale of </w:t>
            </w:r>
            <w:r>
              <w:rPr>
                <w:rFonts w:asciiTheme="majorHAnsi" w:hAnsiTheme="majorHAnsi" w:cstheme="majorHAnsi"/>
              </w:rPr>
              <w:t xml:space="preserve">the </w:t>
            </w:r>
            <w:r w:rsidRPr="0048461E">
              <w:rPr>
                <w:rFonts w:asciiTheme="majorHAnsi" w:hAnsiTheme="majorHAnsi" w:cstheme="majorHAnsi"/>
              </w:rPr>
              <w:t xml:space="preserve">BRII </w:t>
            </w:r>
            <w:r>
              <w:rPr>
                <w:rFonts w:asciiTheme="majorHAnsi" w:hAnsiTheme="majorHAnsi" w:cstheme="majorHAnsi"/>
              </w:rPr>
              <w:t>and the potential impact of a larger BRII program</w:t>
            </w:r>
            <w:r w:rsidRPr="0048461E">
              <w:rPr>
                <w:rFonts w:asciiTheme="majorHAnsi" w:hAnsiTheme="majorHAnsi" w:cstheme="majorHAnsi"/>
              </w:rPr>
              <w:t>.</w:t>
            </w:r>
            <w:r>
              <w:rPr>
                <w:rFonts w:asciiTheme="majorHAnsi" w:hAnsiTheme="majorHAnsi" w:cstheme="majorHAnsi"/>
              </w:rPr>
              <w:t xml:space="preserve"> </w:t>
            </w:r>
            <w:r>
              <w:rPr>
                <w:rFonts w:asciiTheme="minorHAnsi" w:hAnsiTheme="minorHAnsi" w:cstheme="minorHAnsi"/>
              </w:rPr>
              <w:t xml:space="preserve">The Australian Government can use the ISC example to provide a yardstick </w:t>
            </w:r>
            <w:r w:rsidR="005E049C">
              <w:rPr>
                <w:rFonts w:asciiTheme="minorHAnsi" w:hAnsiTheme="minorHAnsi" w:cstheme="minorHAnsi"/>
              </w:rPr>
              <w:t>on the potential size and pace of the scale</w:t>
            </w:r>
            <w:r w:rsidR="008C404E">
              <w:rPr>
                <w:rFonts w:asciiTheme="minorHAnsi" w:hAnsiTheme="minorHAnsi" w:cstheme="minorHAnsi"/>
              </w:rPr>
              <w:t>-</w:t>
            </w:r>
            <w:r w:rsidR="005E049C">
              <w:rPr>
                <w:rFonts w:asciiTheme="minorHAnsi" w:hAnsiTheme="minorHAnsi" w:cstheme="minorHAnsi"/>
              </w:rPr>
              <w:t>up</w:t>
            </w:r>
            <w:r>
              <w:rPr>
                <w:rFonts w:asciiTheme="minorHAnsi" w:hAnsiTheme="minorHAnsi" w:cstheme="minorHAnsi"/>
              </w:rPr>
              <w:t>. If the Australian Government chooses to scale the BRII it should identify a clear target within a defined period that allows for a steady scale</w:t>
            </w:r>
            <w:r w:rsidR="008C404E">
              <w:rPr>
                <w:rFonts w:asciiTheme="minorHAnsi" w:hAnsiTheme="minorHAnsi" w:cstheme="minorHAnsi"/>
              </w:rPr>
              <w:t>-</w:t>
            </w:r>
            <w:r>
              <w:rPr>
                <w:rFonts w:asciiTheme="minorHAnsi" w:hAnsiTheme="minorHAnsi" w:cstheme="minorHAnsi"/>
              </w:rPr>
              <w:t>up of the program.</w:t>
            </w:r>
          </w:p>
        </w:tc>
        <w:tc>
          <w:tcPr>
            <w:tcW w:w="1961"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7A755B70" w14:textId="2C6B852E" w:rsidR="00A578EE" w:rsidRDefault="00A578EE" w:rsidP="00AA384D">
            <w:pPr>
              <w:pStyle w:val="TableNText"/>
            </w:pPr>
            <w:r>
              <w:t xml:space="preserve">The BRII has achieved strong outcomes that are comparable to the </w:t>
            </w:r>
            <w:r w:rsidR="00215B71">
              <w:t xml:space="preserve">larger </w:t>
            </w:r>
            <w:r>
              <w:t xml:space="preserve">US SBIR and a return on investment comparable to the </w:t>
            </w:r>
            <w:r w:rsidR="00215B71">
              <w:t xml:space="preserve">larger </w:t>
            </w:r>
            <w:r>
              <w:t>UK SBRI. This shows the potential for</w:t>
            </w:r>
            <w:r w:rsidR="00215B71">
              <w:t xml:space="preserve"> the</w:t>
            </w:r>
            <w:r>
              <w:t xml:space="preserve"> BRII to achieve the same outcomes it has so far but at a much larger scale. The ISC program should be used as </w:t>
            </w:r>
            <w:r w:rsidRPr="00850A0B">
              <w:t xml:space="preserve">a good benchmark to consider </w:t>
            </w:r>
            <w:r>
              <w:t xml:space="preserve">how much larger the BRII could become as it has reached a much larger scale than the BRII </w:t>
            </w:r>
            <w:r w:rsidR="00215B71">
              <w:t>in a short timeframe</w:t>
            </w:r>
            <w:r>
              <w:t>.</w:t>
            </w:r>
          </w:p>
        </w:tc>
      </w:tr>
      <w:tr w:rsidR="00A578EE" w14:paraId="03449B25" w14:textId="77777777" w:rsidTr="00F40D93">
        <w:trPr>
          <w:cantSplit/>
        </w:trPr>
        <w:tc>
          <w:tcPr>
            <w:tcW w:w="3039"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auto"/>
          </w:tcPr>
          <w:p w14:paraId="100137C8" w14:textId="3F3D4021" w:rsidR="00A578EE" w:rsidRPr="000D3467" w:rsidRDefault="00A578EE">
            <w:pPr>
              <w:pStyle w:val="TableNListnumbered"/>
              <w:spacing w:before="0" w:after="0" w:line="257" w:lineRule="auto"/>
              <w:ind w:left="601" w:hanging="601"/>
              <w:rPr>
                <w:rFonts w:asciiTheme="majorHAnsi" w:hAnsiTheme="majorHAnsi" w:cstheme="majorHAnsi"/>
              </w:rPr>
            </w:pPr>
            <w:r w:rsidRPr="00BC7547">
              <w:rPr>
                <w:rFonts w:asciiTheme="majorHAnsi" w:hAnsiTheme="majorHAnsi" w:cstheme="majorHAnsi"/>
              </w:rPr>
              <w:lastRenderedPageBreak/>
              <w:t>Identify</w:t>
            </w:r>
            <w:r w:rsidRPr="006D5AB9">
              <w:rPr>
                <w:rFonts w:asciiTheme="majorHAnsi" w:hAnsiTheme="majorHAnsi" w:cstheme="majorHAnsi"/>
              </w:rPr>
              <w:t xml:space="preserve"> the right funding model</w:t>
            </w:r>
            <w:r w:rsidRPr="000D3467">
              <w:rPr>
                <w:rFonts w:asciiTheme="majorHAnsi" w:hAnsiTheme="majorHAnsi" w:cstheme="majorHAnsi"/>
              </w:rPr>
              <w:t xml:space="preserve"> </w:t>
            </w:r>
            <w:r w:rsidRPr="006D5AB9">
              <w:rPr>
                <w:rFonts w:asciiTheme="majorHAnsi" w:hAnsiTheme="majorHAnsi" w:cstheme="majorHAnsi"/>
              </w:rPr>
              <w:t>to scale</w:t>
            </w:r>
            <w:r w:rsidR="008C404E">
              <w:rPr>
                <w:rFonts w:asciiTheme="majorHAnsi" w:hAnsiTheme="majorHAnsi" w:cstheme="majorHAnsi"/>
              </w:rPr>
              <w:t>-</w:t>
            </w:r>
            <w:r w:rsidRPr="006D5AB9">
              <w:rPr>
                <w:rFonts w:asciiTheme="majorHAnsi" w:hAnsiTheme="majorHAnsi" w:cstheme="majorHAnsi"/>
              </w:rPr>
              <w:t>up the BRII and support agency buy-in.</w:t>
            </w:r>
            <w:r w:rsidRPr="000D3467">
              <w:rPr>
                <w:rFonts w:asciiTheme="majorHAnsi" w:hAnsiTheme="majorHAnsi" w:cstheme="majorHAnsi"/>
              </w:rPr>
              <w:t xml:space="preserve"> </w:t>
            </w:r>
            <w:r w:rsidR="00B739F2" w:rsidRPr="00BC7547">
              <w:rPr>
                <w:rFonts w:asciiTheme="minorHAnsi" w:hAnsiTheme="minorHAnsi" w:cstheme="minorHAnsi"/>
              </w:rPr>
              <w:t>T</w:t>
            </w:r>
            <w:r w:rsidRPr="00BC7547">
              <w:rPr>
                <w:rFonts w:asciiTheme="minorHAnsi" w:hAnsiTheme="minorHAnsi" w:cstheme="minorHAnsi"/>
              </w:rPr>
              <w:t xml:space="preserve">he Australian Government </w:t>
            </w:r>
            <w:r w:rsidR="00C76620" w:rsidRPr="00BC7547">
              <w:rPr>
                <w:rFonts w:asciiTheme="minorHAnsi" w:hAnsiTheme="minorHAnsi" w:cstheme="minorHAnsi"/>
              </w:rPr>
              <w:t>should</w:t>
            </w:r>
            <w:r w:rsidRPr="00BC7547">
              <w:rPr>
                <w:rFonts w:asciiTheme="minorHAnsi" w:hAnsiTheme="minorHAnsi" w:cstheme="minorHAnsi"/>
              </w:rPr>
              <w:t xml:space="preserve"> consider several funding approaches, including but not limited to:</w:t>
            </w:r>
          </w:p>
          <w:p w14:paraId="19C5B8BF" w14:textId="642F58B5" w:rsidR="00A578EE" w:rsidRPr="00D805CE" w:rsidRDefault="00A578EE">
            <w:pPr>
              <w:pStyle w:val="TableNBullet"/>
              <w:keepLines/>
              <w:numPr>
                <w:ilvl w:val="1"/>
                <w:numId w:val="1"/>
              </w:numPr>
              <w:suppressAutoHyphens w:val="0"/>
              <w:spacing w:before="0" w:after="0"/>
              <w:ind w:left="1030" w:hanging="284"/>
            </w:pPr>
            <w:r>
              <w:t xml:space="preserve">Setting aside a small percentage </w:t>
            </w:r>
            <w:r w:rsidRPr="00102660">
              <w:t xml:space="preserve">of each portfolio’s annual operating and capital budget </w:t>
            </w:r>
            <w:r>
              <w:t xml:space="preserve">for </w:t>
            </w:r>
            <w:r w:rsidR="00A019AE">
              <w:t>CBI</w:t>
            </w:r>
            <w:r>
              <w:t xml:space="preserve">. The percentage of allocated budget could </w:t>
            </w:r>
            <w:r w:rsidRPr="00D805CE">
              <w:t xml:space="preserve">start low and </w:t>
            </w:r>
            <w:r>
              <w:t>increase over time based on an agreed process to review the scale and timing of the funding.</w:t>
            </w:r>
          </w:p>
          <w:p w14:paraId="514D2DA2" w14:textId="77777777" w:rsidR="00A578EE" w:rsidRPr="00D805CE" w:rsidRDefault="00A578EE">
            <w:pPr>
              <w:pStyle w:val="TableNBullet"/>
              <w:keepLines/>
              <w:numPr>
                <w:ilvl w:val="1"/>
                <w:numId w:val="1"/>
              </w:numPr>
              <w:suppressAutoHyphens w:val="0"/>
              <w:spacing w:before="0" w:after="0"/>
              <w:ind w:left="1030" w:hanging="284"/>
            </w:pPr>
            <w:r>
              <w:t>Setting portfolio specific targets for either expenditure or number of challenges. In both cases the targets could again start low and increase over time.</w:t>
            </w:r>
            <w:r w:rsidRPr="00241B87">
              <w:t xml:space="preserve"> </w:t>
            </w:r>
          </w:p>
          <w:p w14:paraId="128EDF67" w14:textId="77777777" w:rsidR="00B739F2" w:rsidRDefault="00A578EE">
            <w:pPr>
              <w:pStyle w:val="TableNBullet"/>
              <w:keepLines/>
              <w:numPr>
                <w:ilvl w:val="1"/>
                <w:numId w:val="1"/>
              </w:numPr>
              <w:suppressAutoHyphens w:val="0"/>
              <w:spacing w:before="0" w:after="0"/>
              <w:ind w:left="1030" w:hanging="284"/>
            </w:pPr>
            <w:r>
              <w:t>Increasing the funding currently available and administered through DISER for other agencies to access through the BRII challenge application process.</w:t>
            </w:r>
          </w:p>
          <w:p w14:paraId="75B74233" w14:textId="77777777" w:rsidR="00EC7C4B" w:rsidRDefault="006054EA" w:rsidP="006054EA">
            <w:pPr>
              <w:pStyle w:val="TableNBullet"/>
              <w:keepLines/>
              <w:numPr>
                <w:ilvl w:val="0"/>
                <w:numId w:val="0"/>
              </w:numPr>
              <w:suppressAutoHyphens w:val="0"/>
              <w:spacing w:before="0" w:after="0"/>
              <w:ind w:left="746"/>
            </w:pPr>
            <w:r>
              <w:t xml:space="preserve">The chosen funding model should support </w:t>
            </w:r>
            <w:r w:rsidR="002C4BE9">
              <w:t xml:space="preserve">a defined expansion pathway. </w:t>
            </w:r>
            <w:r w:rsidRPr="006054EA">
              <w:t xml:space="preserve">The Australian Government </w:t>
            </w:r>
            <w:r w:rsidR="006C7FA0">
              <w:t xml:space="preserve">could consider </w:t>
            </w:r>
            <w:r w:rsidRPr="006054EA">
              <w:t xml:space="preserve">three potential expansion pathways: </w:t>
            </w:r>
          </w:p>
          <w:p w14:paraId="69D9A98A" w14:textId="3B0DD52A" w:rsidR="00EC7C4B" w:rsidRDefault="00904B46">
            <w:pPr>
              <w:pStyle w:val="TableNBullet"/>
              <w:numPr>
                <w:ilvl w:val="2"/>
                <w:numId w:val="1"/>
              </w:numPr>
              <w:ind w:left="1024"/>
            </w:pPr>
            <w:r>
              <w:t>A</w:t>
            </w:r>
            <w:r w:rsidR="006054EA" w:rsidRPr="006054EA">
              <w:t>n ambitions pathway modelled off the experience and ambitions of the ISC</w:t>
            </w:r>
            <w:r>
              <w:t>.</w:t>
            </w:r>
          </w:p>
          <w:p w14:paraId="76F68C39" w14:textId="50CBF1F3" w:rsidR="00EC7C4B" w:rsidRDefault="00904B46">
            <w:pPr>
              <w:pStyle w:val="TableNBullet"/>
              <w:numPr>
                <w:ilvl w:val="2"/>
                <w:numId w:val="1"/>
              </w:numPr>
              <w:ind w:left="1024"/>
            </w:pPr>
            <w:r>
              <w:t>A</w:t>
            </w:r>
            <w:r w:rsidR="006054EA" w:rsidRPr="006054EA">
              <w:t xml:space="preserve"> moderate and steady pathway modelled off the early expansion of the US SBIR</w:t>
            </w:r>
            <w:r>
              <w:t>.</w:t>
            </w:r>
          </w:p>
          <w:p w14:paraId="18DC8D2D" w14:textId="1002A6F6" w:rsidR="00A578EE" w:rsidRPr="00390669" w:rsidRDefault="00904B46">
            <w:pPr>
              <w:pStyle w:val="TableNBullet"/>
              <w:numPr>
                <w:ilvl w:val="2"/>
                <w:numId w:val="1"/>
              </w:numPr>
              <w:ind w:left="1024"/>
            </w:pPr>
            <w:r>
              <w:t>A</w:t>
            </w:r>
            <w:r w:rsidR="006054EA" w:rsidRPr="006054EA">
              <w:t xml:space="preserve"> middle ground expansion that </w:t>
            </w:r>
            <w:r w:rsidR="00D04556">
              <w:t xml:space="preserve">sits between </w:t>
            </w:r>
            <w:r w:rsidR="006054EA" w:rsidRPr="006054EA">
              <w:t xml:space="preserve">the </w:t>
            </w:r>
            <w:r w:rsidR="00D04556">
              <w:t>moderate and</w:t>
            </w:r>
            <w:r w:rsidR="006054EA" w:rsidRPr="006054EA">
              <w:t xml:space="preserve"> ambitious </w:t>
            </w:r>
            <w:r w:rsidR="00D04556">
              <w:t>pathways</w:t>
            </w:r>
            <w:r w:rsidR="006054EA" w:rsidRPr="006054EA">
              <w:t>.</w:t>
            </w:r>
          </w:p>
        </w:tc>
        <w:tc>
          <w:tcPr>
            <w:tcW w:w="1961"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0C0CF13E" w14:textId="77777777" w:rsidR="00F45D3B" w:rsidRDefault="00F45D3B" w:rsidP="00F45D3B">
            <w:pPr>
              <w:pStyle w:val="TableNText"/>
            </w:pPr>
            <w:r>
              <w:t xml:space="preserve">There are a range of potential funding approaches for the BRII. The experience of the US SBIR ad the </w:t>
            </w:r>
            <w:r w:rsidRPr="00021DB7">
              <w:t>ISC</w:t>
            </w:r>
            <w:r>
              <w:t xml:space="preserve"> program from Canada support mandated targets. Both programs have achieved broad agency buy-in and substantial funding commitments through this funding model. However, the chosen funding model needs to support the Australian context.</w:t>
            </w:r>
          </w:p>
          <w:p w14:paraId="03F258C8" w14:textId="678F939D" w:rsidR="00A578EE" w:rsidRPr="006D5AB9" w:rsidRDefault="00F45D3B" w:rsidP="00F45D3B">
            <w:pPr>
              <w:pStyle w:val="TableNText"/>
            </w:pPr>
            <w:r>
              <w:t>The US SBIR and the ISC also offer good benchmarks for the Australian Government to consider what expansion pathway is possible for the BRII. This ranges from a moderate scale up through to a fast paced and ambitious scale up.</w:t>
            </w:r>
          </w:p>
        </w:tc>
      </w:tr>
      <w:tr w:rsidR="00A578EE" w14:paraId="7EC985ED" w14:textId="77777777" w:rsidTr="00F40D93">
        <w:trPr>
          <w:cantSplit/>
        </w:trPr>
        <w:tc>
          <w:tcPr>
            <w:tcW w:w="3039"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auto"/>
          </w:tcPr>
          <w:p w14:paraId="7A008D8A" w14:textId="60EAF541" w:rsidR="00A578EE" w:rsidRPr="00D805CE" w:rsidRDefault="00A578EE">
            <w:pPr>
              <w:pStyle w:val="TableNListnumbered"/>
              <w:keepLines/>
              <w:suppressAutoHyphens w:val="0"/>
              <w:spacing w:before="0" w:after="0" w:line="257" w:lineRule="auto"/>
              <w:ind w:left="601" w:hanging="601"/>
            </w:pPr>
            <w:r w:rsidRPr="006D1BBD">
              <w:rPr>
                <w:rFonts w:asciiTheme="majorHAnsi" w:hAnsiTheme="majorHAnsi" w:cstheme="majorHAnsi"/>
              </w:rPr>
              <w:lastRenderedPageBreak/>
              <w:t>Develop the systems, processes, capability and capacity to scale</w:t>
            </w:r>
            <w:r w:rsidR="008C404E">
              <w:rPr>
                <w:rFonts w:asciiTheme="majorHAnsi" w:hAnsiTheme="majorHAnsi" w:cstheme="majorHAnsi"/>
              </w:rPr>
              <w:t>-</w:t>
            </w:r>
            <w:r w:rsidRPr="006D1BBD">
              <w:rPr>
                <w:rFonts w:asciiTheme="majorHAnsi" w:hAnsiTheme="majorHAnsi" w:cstheme="majorHAnsi"/>
              </w:rPr>
              <w:t xml:space="preserve">up </w:t>
            </w:r>
            <w:r>
              <w:rPr>
                <w:rFonts w:asciiTheme="majorHAnsi" w:hAnsiTheme="majorHAnsi" w:cstheme="majorHAnsi"/>
              </w:rPr>
              <w:t xml:space="preserve">the </w:t>
            </w:r>
            <w:r w:rsidRPr="006D1BBD">
              <w:rPr>
                <w:rFonts w:asciiTheme="majorHAnsi" w:hAnsiTheme="majorHAnsi" w:cstheme="majorHAnsi"/>
              </w:rPr>
              <w:t>BRII.</w:t>
            </w:r>
            <w:r>
              <w:t xml:space="preserve"> This should include</w:t>
            </w:r>
            <w:r w:rsidRPr="00D805CE">
              <w:t xml:space="preserve">: </w:t>
            </w:r>
          </w:p>
          <w:p w14:paraId="0242E2B2" w14:textId="77777777" w:rsidR="00A578EE" w:rsidRPr="00962C2C" w:rsidRDefault="00A578EE">
            <w:pPr>
              <w:pStyle w:val="TableNBullet"/>
              <w:keepLines/>
              <w:numPr>
                <w:ilvl w:val="1"/>
                <w:numId w:val="1"/>
              </w:numPr>
              <w:suppressAutoHyphens w:val="0"/>
              <w:spacing w:before="0" w:after="0"/>
              <w:ind w:left="1030" w:hanging="284"/>
            </w:pPr>
            <w:r w:rsidRPr="00D805CE">
              <w:t>Using a</w:t>
            </w:r>
            <w:r>
              <w:t>n</w:t>
            </w:r>
            <w:r w:rsidRPr="00D805CE">
              <w:t xml:space="preserve"> online platform </w:t>
            </w:r>
            <w:r>
              <w:t xml:space="preserve">that can act as </w:t>
            </w:r>
            <w:r w:rsidRPr="00D805CE">
              <w:t>a database of potential applicant</w:t>
            </w:r>
            <w:r>
              <w:t xml:space="preserve">s, </w:t>
            </w:r>
            <w:r w:rsidRPr="00D805CE">
              <w:t>deliver direct communications for relevant challenges</w:t>
            </w:r>
            <w:r>
              <w:t xml:space="preserve"> and streamline and automate the end-to-end workflow from challenge application and SME application through to the delivery of the feasibility and proof of concept stages</w:t>
            </w:r>
            <w:r w:rsidRPr="00D805CE">
              <w:t>.</w:t>
            </w:r>
            <w:r>
              <w:t xml:space="preserve"> The online platform could be modelled on the ISC platform that has enabled rapid scale-up in a small amount of time.</w:t>
            </w:r>
          </w:p>
          <w:p w14:paraId="5AFF7EEF" w14:textId="77777777" w:rsidR="00A578EE" w:rsidRPr="00C73A03" w:rsidRDefault="00A578EE">
            <w:pPr>
              <w:pStyle w:val="TableNBullet"/>
              <w:keepLines/>
              <w:numPr>
                <w:ilvl w:val="1"/>
                <w:numId w:val="1"/>
              </w:numPr>
              <w:suppressAutoHyphens w:val="0"/>
              <w:spacing w:before="0" w:after="0"/>
              <w:ind w:left="1030" w:hanging="284"/>
            </w:pPr>
            <w:r>
              <w:t xml:space="preserve">Transitioning to a rolling challenge model to increase </w:t>
            </w:r>
            <w:r w:rsidRPr="00D805CE">
              <w:t>the frequency of challenge</w:t>
            </w:r>
            <w:r>
              <w:t>s and the flexibility for challenge agencies</w:t>
            </w:r>
            <w:r w:rsidRPr="00D805CE">
              <w:t>.</w:t>
            </w:r>
          </w:p>
          <w:p w14:paraId="16B5807A" w14:textId="77777777" w:rsidR="00A578EE" w:rsidRDefault="00A578EE">
            <w:pPr>
              <w:numPr>
                <w:ilvl w:val="1"/>
                <w:numId w:val="1"/>
              </w:numPr>
              <w:ind w:left="1030" w:hanging="284"/>
              <w:rPr>
                <w:rFonts w:eastAsia="Times New Roman"/>
                <w:sz w:val="17"/>
                <w:szCs w:val="19"/>
              </w:rPr>
            </w:pPr>
            <w:r>
              <w:rPr>
                <w:rFonts w:eastAsia="Times New Roman"/>
                <w:sz w:val="17"/>
                <w:szCs w:val="19"/>
              </w:rPr>
              <w:t xml:space="preserve">Creating </w:t>
            </w:r>
            <w:r w:rsidRPr="00D6650F">
              <w:rPr>
                <w:rFonts w:eastAsia="Times New Roman"/>
                <w:sz w:val="17"/>
                <w:szCs w:val="19"/>
              </w:rPr>
              <w:t xml:space="preserve">new program delivery roles </w:t>
            </w:r>
            <w:r>
              <w:rPr>
                <w:rFonts w:eastAsia="Times New Roman"/>
                <w:sz w:val="17"/>
                <w:szCs w:val="19"/>
              </w:rPr>
              <w:t>–</w:t>
            </w:r>
            <w:r w:rsidRPr="00D6650F">
              <w:rPr>
                <w:rFonts w:eastAsia="Times New Roman"/>
                <w:sz w:val="17"/>
                <w:szCs w:val="19"/>
              </w:rPr>
              <w:t xml:space="preserve"> </w:t>
            </w:r>
            <w:r>
              <w:rPr>
                <w:rFonts w:eastAsia="Times New Roman"/>
                <w:sz w:val="17"/>
                <w:szCs w:val="19"/>
              </w:rPr>
              <w:t xml:space="preserve">including </w:t>
            </w:r>
            <w:r w:rsidRPr="00D6650F">
              <w:rPr>
                <w:rFonts w:eastAsia="Times New Roman"/>
                <w:sz w:val="17"/>
                <w:szCs w:val="19"/>
              </w:rPr>
              <w:t xml:space="preserve">Portfolio Liaison Officers </w:t>
            </w:r>
            <w:r>
              <w:rPr>
                <w:rFonts w:eastAsia="Times New Roman"/>
                <w:sz w:val="17"/>
                <w:szCs w:val="19"/>
              </w:rPr>
              <w:t xml:space="preserve">embedded in challenge agencies </w:t>
            </w:r>
            <w:r w:rsidRPr="00D6650F">
              <w:rPr>
                <w:rFonts w:eastAsia="Times New Roman"/>
                <w:sz w:val="17"/>
                <w:szCs w:val="19"/>
              </w:rPr>
              <w:t xml:space="preserve">and </w:t>
            </w:r>
            <w:r>
              <w:rPr>
                <w:rFonts w:eastAsia="Times New Roman"/>
                <w:sz w:val="17"/>
                <w:szCs w:val="19"/>
              </w:rPr>
              <w:t xml:space="preserve">DISER central </w:t>
            </w:r>
            <w:r w:rsidRPr="00D6650F">
              <w:rPr>
                <w:rFonts w:eastAsia="Times New Roman"/>
                <w:sz w:val="17"/>
                <w:szCs w:val="19"/>
              </w:rPr>
              <w:t>BRII program account managers - to increase challenge agency capacity and capability.</w:t>
            </w:r>
          </w:p>
          <w:p w14:paraId="4C0E9725" w14:textId="77777777" w:rsidR="00A578EE" w:rsidRPr="00390669" w:rsidRDefault="00A578EE">
            <w:pPr>
              <w:numPr>
                <w:ilvl w:val="1"/>
                <w:numId w:val="1"/>
              </w:numPr>
              <w:ind w:left="1030" w:hanging="284"/>
              <w:rPr>
                <w:rFonts w:eastAsia="Times New Roman"/>
                <w:sz w:val="17"/>
                <w:szCs w:val="19"/>
              </w:rPr>
            </w:pPr>
            <w:r w:rsidRPr="00390669">
              <w:rPr>
                <w:rFonts w:eastAsia="Times New Roman"/>
                <w:sz w:val="17"/>
                <w:szCs w:val="19"/>
              </w:rPr>
              <w:t>Implementing a new model to engage the EPC (or equivalent) across a larger number of challenges. The new model should leverage the online platform to streamline the assessment process.</w:t>
            </w:r>
          </w:p>
        </w:tc>
        <w:tc>
          <w:tcPr>
            <w:tcW w:w="1961"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66C94393" w14:textId="2BC715E3" w:rsidR="00A578EE" w:rsidRDefault="00A578EE" w:rsidP="00AA384D">
            <w:pPr>
              <w:pStyle w:val="TableNText"/>
            </w:pPr>
            <w:r w:rsidRPr="00021DB7">
              <w:t xml:space="preserve">Critical to </w:t>
            </w:r>
            <w:r>
              <w:t>scale</w:t>
            </w:r>
            <w:r w:rsidR="008C404E">
              <w:t>-</w:t>
            </w:r>
            <w:r>
              <w:t>up</w:t>
            </w:r>
            <w:r w:rsidRPr="00021DB7">
              <w:t xml:space="preserve"> will be an online portal and end to end workflow system that simplifies and reduces any manual handling. According to </w:t>
            </w:r>
            <w:r>
              <w:t xml:space="preserve">DISER </w:t>
            </w:r>
            <w:r w:rsidRPr="00021DB7">
              <w:t xml:space="preserve">stakeholders, the ISC platform is best practice. The ISC platform manages the whole challenge process, including developing challenges, assessment, and managing grant agreements and reporting requirements. </w:t>
            </w:r>
          </w:p>
          <w:p w14:paraId="52325623" w14:textId="77777777" w:rsidR="00A578EE" w:rsidRDefault="00A578EE" w:rsidP="00AA384D">
            <w:pPr>
              <w:pStyle w:val="TableNText"/>
            </w:pPr>
            <w:r>
              <w:t>Further, t</w:t>
            </w:r>
            <w:r w:rsidRPr="00021DB7">
              <w:t>o manage the increased frequency of challenges the comparison international programs release challenges on a rolling basis across the year.</w:t>
            </w:r>
            <w:r>
              <w:t xml:space="preserve"> </w:t>
            </w:r>
          </w:p>
          <w:p w14:paraId="701F6097" w14:textId="77777777" w:rsidR="00A578EE" w:rsidRPr="006D1BBD" w:rsidRDefault="00A578EE" w:rsidP="00AA384D">
            <w:pPr>
              <w:pStyle w:val="TableNText"/>
            </w:pPr>
            <w:r>
              <w:t>Lastly, s</w:t>
            </w:r>
            <w:r w:rsidRPr="00021DB7">
              <w:t xml:space="preserve">takeholders across </w:t>
            </w:r>
            <w:r>
              <w:t>DISER</w:t>
            </w:r>
            <w:r w:rsidRPr="00021DB7">
              <w:t xml:space="preserve">, IISA and challenge agencies identified the need to embed an innovative culture across </w:t>
            </w:r>
            <w:r>
              <w:t xml:space="preserve">the APS </w:t>
            </w:r>
            <w:r w:rsidRPr="00021DB7">
              <w:t>to ensure the success of a scaled-up the BRII</w:t>
            </w:r>
            <w:r>
              <w:t>.</w:t>
            </w:r>
          </w:p>
        </w:tc>
      </w:tr>
    </w:tbl>
    <w:p w14:paraId="5EBDCABC" w14:textId="77777777" w:rsidR="0079165B" w:rsidRPr="009A2DD4" w:rsidRDefault="0079165B" w:rsidP="009A2DD4">
      <w:pPr>
        <w:rPr>
          <w:lang w:eastAsia="en-AU"/>
        </w:rPr>
      </w:pPr>
    </w:p>
    <w:p w14:paraId="760550BA" w14:textId="18D2CD1A" w:rsidR="00F263A2" w:rsidRPr="00C8629D" w:rsidRDefault="00C8629D">
      <w:pPr>
        <w:pStyle w:val="xAppendixLevel1"/>
        <w:rPr>
          <w:color w:val="00264D" w:themeColor="background2"/>
        </w:rPr>
      </w:pPr>
      <w:bookmarkStart w:id="198" w:name="_Ref75945988"/>
      <w:bookmarkStart w:id="199" w:name="_Toc124435167"/>
      <w:r>
        <w:rPr>
          <w:color w:val="00264D" w:themeColor="background2"/>
        </w:rPr>
        <w:lastRenderedPageBreak/>
        <w:drawing>
          <wp:anchor distT="0" distB="0" distL="114300" distR="114300" simplePos="0" relativeHeight="251681280" behindDoc="0" locked="0" layoutInCell="1" allowOverlap="1" wp14:anchorId="05524037" wp14:editId="78DCD9D1">
            <wp:simplePos x="0" y="0"/>
            <wp:positionH relativeFrom="page">
              <wp:align>right</wp:align>
            </wp:positionH>
            <wp:positionV relativeFrom="paragraph">
              <wp:posOffset>-785495</wp:posOffset>
            </wp:positionV>
            <wp:extent cx="7632700" cy="1530350"/>
            <wp:effectExtent l="0" t="0" r="6350" b="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632700" cy="1530350"/>
                    </a:xfrm>
                    <a:prstGeom prst="rect">
                      <a:avLst/>
                    </a:prstGeom>
                    <a:noFill/>
                  </pic:spPr>
                </pic:pic>
              </a:graphicData>
            </a:graphic>
          </wp:anchor>
        </w:drawing>
      </w:r>
      <w:r w:rsidR="0081489C" w:rsidRPr="00C8629D">
        <w:rPr>
          <w:color w:val="00264D" w:themeColor="background2"/>
        </w:rPr>
        <w:t>Program overview</w:t>
      </w:r>
      <w:bookmarkEnd w:id="198"/>
      <w:bookmarkEnd w:id="199"/>
    </w:p>
    <w:p w14:paraId="624299E3" w14:textId="4042E076" w:rsidR="0081489C" w:rsidRDefault="0081489C" w:rsidP="0081489C"/>
    <w:p w14:paraId="6FA7CC90" w14:textId="248959DA" w:rsidR="0081489C" w:rsidRDefault="00250E73">
      <w:pPr>
        <w:pStyle w:val="xAppendixLevel2"/>
      </w:pPr>
      <w:bookmarkStart w:id="200" w:name="_Toc124435168"/>
      <w:r w:rsidRPr="00250E73">
        <w:t>The intended outcomes of the BRII are expected to be realised over the next decade</w:t>
      </w:r>
      <w:bookmarkEnd w:id="200"/>
    </w:p>
    <w:p w14:paraId="3AAFE38F" w14:textId="36C6E07F" w:rsidR="00D27703" w:rsidRPr="00D27703" w:rsidRDefault="00250E73" w:rsidP="003626F5">
      <w:pPr>
        <w:ind w:right="-1"/>
        <w:rPr>
          <w:lang w:eastAsia="en-AU"/>
        </w:rPr>
      </w:pPr>
      <w:r w:rsidRPr="00250E73">
        <w:rPr>
          <w:lang w:eastAsia="en-AU"/>
        </w:rPr>
        <w:t xml:space="preserve">The BRII pilot logic outlines that the intended outcomes for SMEs and government from participating in </w:t>
      </w:r>
      <w:r w:rsidR="00837E6B">
        <w:rPr>
          <w:lang w:eastAsia="en-AU"/>
        </w:rPr>
        <w:t xml:space="preserve">the </w:t>
      </w:r>
      <w:r w:rsidRPr="00250E73">
        <w:rPr>
          <w:lang w:eastAsia="en-AU"/>
        </w:rPr>
        <w:t>BRII are expected to be realised over the next decade. This evaluation has found strong and emerging evidence that some of the long</w:t>
      </w:r>
      <w:r w:rsidR="007E497E">
        <w:rPr>
          <w:lang w:eastAsia="en-AU"/>
        </w:rPr>
        <w:t>-</w:t>
      </w:r>
      <w:r w:rsidRPr="00250E73">
        <w:rPr>
          <w:lang w:eastAsia="en-AU"/>
        </w:rPr>
        <w:t xml:space="preserve">term outcomes have already </w:t>
      </w:r>
      <w:r w:rsidR="007E497E">
        <w:rPr>
          <w:lang w:eastAsia="en-AU"/>
        </w:rPr>
        <w:t>begun</w:t>
      </w:r>
      <w:r w:rsidRPr="00250E73">
        <w:rPr>
          <w:lang w:eastAsia="en-AU"/>
        </w:rPr>
        <w:t xml:space="preserve"> to be realised, particularly for the nine SMEs that have progressed to the second stage of the BRII pilot and received proof of concept funding.</w:t>
      </w:r>
      <w:r w:rsidR="00575C77">
        <w:rPr>
          <w:lang w:eastAsia="en-AU"/>
        </w:rPr>
        <w:t xml:space="preserve"> </w:t>
      </w:r>
    </w:p>
    <w:p w14:paraId="150B9DD8" w14:textId="7B3580CE" w:rsidR="00250E73" w:rsidRDefault="00250E73" w:rsidP="00250E73">
      <w:pPr>
        <w:pStyle w:val="Caption"/>
        <w:spacing w:after="0"/>
        <w:rPr>
          <w:lang w:eastAsia="en-AU"/>
        </w:rPr>
      </w:pPr>
      <w:r>
        <w:t xml:space="preserve">Figure </w:t>
      </w:r>
      <w:r>
        <w:fldChar w:fldCharType="begin"/>
      </w:r>
      <w:r>
        <w:instrText xml:space="preserve"> SEQ Figure \* ARABIC </w:instrText>
      </w:r>
      <w:r>
        <w:fldChar w:fldCharType="separate"/>
      </w:r>
      <w:r w:rsidR="00870ADB">
        <w:rPr>
          <w:noProof/>
        </w:rPr>
        <w:t>32</w:t>
      </w:r>
      <w:r>
        <w:fldChar w:fldCharType="end"/>
      </w:r>
      <w:r>
        <w:t xml:space="preserve"> | Intended outcomes from the BRII pilot logic model</w:t>
      </w:r>
    </w:p>
    <w:p w14:paraId="30927144" w14:textId="43A6E99E" w:rsidR="00250E73" w:rsidRDefault="00B735D2" w:rsidP="00250E73">
      <w:r w:rsidRPr="003412A0">
        <w:rPr>
          <w:noProof/>
          <w:lang w:eastAsia="en-AU"/>
        </w:rPr>
        <w:drawing>
          <wp:inline distT="0" distB="0" distL="0" distR="0" wp14:anchorId="7763C626" wp14:editId="064DCF02">
            <wp:extent cx="5670550" cy="4629150"/>
            <wp:effectExtent l="0" t="0" r="6350" b="0"/>
            <wp:docPr id="27875" name="Picture 27875" descr="OUTCOMES (1 to 2 YEARS). SME awareness of &#10;opportunities to supply to government increases. This is an SME outcome. Innovation activities increase among participating SMEs and agencies. This is a dual outcome. More informed policy decisions and continuous improvement of program. This is a government outcome. Agencies’ awareness of SMEs &#10;as providers of innovative solutions to national policy and program challenges increases. This is a government outcome. OUTCOMES (2 to 3 YEARS). Tender responses from SMEs increase. This is an SME outcome. SME confidence working with agencies increases. This is an SME outcome. Collaboration among SMEs, agencies and industry partners increases. This is a dual outcome.  Potential solutions to challenges (proofs of concept) increase. This is a government outcome. &#10;Agency confidence working with SMEs increases. This is a government outcome. OUTCOMES (4 to 10 YEARS). SME capability to access national and international markets increases. This is an SME outcome. Innovative capacity of participating SMEs increases. This is an SME outcome. Commercialisation of new to market products/services among participating SMEs increases. This is an SME outcome. Government procurement of, and collaboration on, innovative solutions from SMEs increases. This is a dual outcom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75" name="Picture 27875" descr="OUTCOMES (1 to 2 YEARS). SME awareness of &#10;opportunities to supply to government increases. This is an SME outcome. Innovation activities increase among participating SMEs and agencies. This is a dual outcome. More informed policy decisions and continuous improvement of program. This is a government outcome. Agencies’ awareness of SMEs &#10;as providers of innovative solutions to national policy and program challenges increases. This is a government outcome. OUTCOMES (2 to 3 YEARS). Tender responses from SMEs increase. This is an SME outcome. SME confidence working with agencies increases. This is an SME outcome. Collaboration among SMEs, agencies and industry partners increases. This is a dual outcome.  Potential solutions to challenges (proofs of concept) increase. This is a government outcome. &#10;Agency confidence working with SMEs increases. This is a government outcome. OUTCOMES (4 to 10 YEARS). SME capability to access national and international markets increases. This is an SME outcome. Innovative capacity of participating SMEs increases. This is an SME outcome. Commercialisation of new to market products/services among participating SMEs increases. This is an SME outcome. Government procurement of, and collaboration on, innovative solutions from SMEs increases. This is a dual outcome.&#1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670550" cy="4629150"/>
                    </a:xfrm>
                    <a:prstGeom prst="rect">
                      <a:avLst/>
                    </a:prstGeom>
                    <a:noFill/>
                    <a:ln>
                      <a:noFill/>
                    </a:ln>
                  </pic:spPr>
                </pic:pic>
              </a:graphicData>
            </a:graphic>
          </wp:inline>
        </w:drawing>
      </w:r>
    </w:p>
    <w:p w14:paraId="1BE7CFA4" w14:textId="728217BB" w:rsidR="00F708F6" w:rsidRDefault="00F708F6">
      <w:pPr>
        <w:pStyle w:val="xAppendixLevel2"/>
      </w:pPr>
      <w:bookmarkStart w:id="201" w:name="_Ref75899974"/>
      <w:bookmarkStart w:id="202" w:name="_Ref75901148"/>
      <w:bookmarkStart w:id="203" w:name="_Toc124435169"/>
      <w:r w:rsidRPr="00F708F6">
        <w:lastRenderedPageBreak/>
        <w:t>The BRII has been modelled on similar programs in the UK and the US</w:t>
      </w:r>
      <w:r>
        <w:t>.</w:t>
      </w:r>
      <w:bookmarkEnd w:id="201"/>
      <w:bookmarkEnd w:id="202"/>
      <w:bookmarkEnd w:id="203"/>
    </w:p>
    <w:p w14:paraId="736A0F82" w14:textId="3DF0ECAC" w:rsidR="0018147A" w:rsidRPr="0018147A" w:rsidRDefault="0018147A" w:rsidP="00E64505">
      <w:pPr>
        <w:rPr>
          <w:lang w:eastAsia="en-AU"/>
        </w:rPr>
      </w:pPr>
      <w:r w:rsidRPr="0018147A">
        <w:rPr>
          <w:lang w:eastAsia="en-AU"/>
        </w:rPr>
        <w:t>The BRII has been modelled on the US’s SBIR program and the UK’s SBRI</w:t>
      </w:r>
      <w:r w:rsidR="00F64A98">
        <w:rPr>
          <w:lang w:eastAsia="en-AU"/>
        </w:rPr>
        <w:t xml:space="preserve"> program</w:t>
      </w:r>
      <w:r w:rsidRPr="0018147A">
        <w:rPr>
          <w:lang w:eastAsia="en-AU"/>
        </w:rPr>
        <w:t>. The BRII award</w:t>
      </w:r>
      <w:r w:rsidR="005D1FC4">
        <w:rPr>
          <w:lang w:eastAsia="en-AU"/>
        </w:rPr>
        <w:t>s</w:t>
      </w:r>
      <w:r w:rsidRPr="0018147A">
        <w:rPr>
          <w:lang w:eastAsia="en-AU"/>
        </w:rPr>
        <w:t xml:space="preserve"> grants to a smaller number of SMEs than the SBIR and SBRI. However, the monetary value of the BRII’s feasibility and proof of concept grants is similar to those awarded through both the SBIR and SBRI. The table below compares key elements across each of these programs.</w:t>
      </w:r>
    </w:p>
    <w:p w14:paraId="5EB44A0A" w14:textId="3034288D" w:rsidR="00E64505" w:rsidRPr="0018147A" w:rsidRDefault="00E64505" w:rsidP="00E64505">
      <w:pPr>
        <w:pStyle w:val="Caption"/>
        <w:rPr>
          <w:lang w:eastAsia="en-AU"/>
        </w:rPr>
      </w:pPr>
      <w:r>
        <w:t xml:space="preserve">Table </w:t>
      </w:r>
      <w:r>
        <w:fldChar w:fldCharType="begin"/>
      </w:r>
      <w:r>
        <w:instrText xml:space="preserve"> SEQ Table \* ARABIC </w:instrText>
      </w:r>
      <w:r>
        <w:fldChar w:fldCharType="separate"/>
      </w:r>
      <w:r w:rsidR="00AE607F">
        <w:rPr>
          <w:noProof/>
        </w:rPr>
        <w:t>13</w:t>
      </w:r>
      <w:r>
        <w:fldChar w:fldCharType="end"/>
      </w:r>
      <w:r>
        <w:t xml:space="preserve"> | </w:t>
      </w:r>
      <w:r w:rsidRPr="00883F69">
        <w:t>Comparison of the BRII with similar international programs</w:t>
      </w:r>
    </w:p>
    <w:tbl>
      <w:tblPr>
        <w:tblStyle w:val="NousTableTopandside"/>
        <w:tblW w:w="5000" w:type="pct"/>
        <w:tblLayout w:type="fixed"/>
        <w:tblLook w:val="0420" w:firstRow="1" w:lastRow="0" w:firstColumn="0" w:lastColumn="0" w:noHBand="0" w:noVBand="1"/>
      </w:tblPr>
      <w:tblGrid>
        <w:gridCol w:w="1701"/>
        <w:gridCol w:w="1808"/>
        <w:gridCol w:w="1807"/>
        <w:gridCol w:w="1807"/>
        <w:gridCol w:w="1807"/>
      </w:tblGrid>
      <w:tr w:rsidR="00AE3E45" w:rsidRPr="00AE3E45" w14:paraId="44305611" w14:textId="77777777" w:rsidTr="003C631D">
        <w:trPr>
          <w:cnfStyle w:val="100000000000" w:firstRow="1" w:lastRow="0" w:firstColumn="0" w:lastColumn="0" w:oddVBand="0" w:evenVBand="0" w:oddHBand="0" w:evenHBand="0" w:firstRowFirstColumn="0" w:firstRowLastColumn="0" w:lastRowFirstColumn="0" w:lastRowLastColumn="0"/>
          <w:trHeight w:val="370"/>
        </w:trPr>
        <w:tc>
          <w:tcPr>
            <w:tcW w:w="952" w:type="pct"/>
            <w:tcBorders>
              <w:top w:val="nil"/>
            </w:tcBorders>
            <w:shd w:val="clear" w:color="auto" w:fill="auto"/>
            <w:hideMark/>
          </w:tcPr>
          <w:p w14:paraId="12C45BBA" w14:textId="611A1BC5" w:rsidR="00AE3E45" w:rsidRPr="00AE3E45" w:rsidRDefault="00AE3E45" w:rsidP="00AE3E45">
            <w:pPr>
              <w:rPr>
                <w:sz w:val="17"/>
                <w:szCs w:val="17"/>
                <w:lang w:eastAsia="en-AU"/>
              </w:rPr>
            </w:pPr>
          </w:p>
        </w:tc>
        <w:tc>
          <w:tcPr>
            <w:tcW w:w="1012" w:type="pct"/>
            <w:tcBorders>
              <w:top w:val="nil"/>
              <w:bottom w:val="single" w:sz="4" w:space="0" w:color="00264D" w:themeColor="background2"/>
            </w:tcBorders>
            <w:shd w:val="clear" w:color="auto" w:fill="00264D" w:themeFill="background2"/>
            <w:hideMark/>
          </w:tcPr>
          <w:p w14:paraId="11FFA126" w14:textId="77777777" w:rsidR="00AE3E45" w:rsidRPr="003F5567" w:rsidRDefault="00AE3E45" w:rsidP="003F5567">
            <w:pPr>
              <w:pStyle w:val="TableNheader"/>
              <w:rPr>
                <w:color w:val="FFFFFF" w:themeColor="background1"/>
                <w:sz w:val="20"/>
                <w:szCs w:val="18"/>
                <w:lang w:eastAsia="en-AU"/>
              </w:rPr>
            </w:pPr>
            <w:r w:rsidRPr="003F5567">
              <w:rPr>
                <w:color w:val="FFFFFF" w:themeColor="background1"/>
                <w:sz w:val="20"/>
                <w:szCs w:val="18"/>
                <w:lang w:eastAsia="en-AU"/>
              </w:rPr>
              <w:t>BRII</w:t>
            </w:r>
          </w:p>
        </w:tc>
        <w:tc>
          <w:tcPr>
            <w:tcW w:w="1012" w:type="pct"/>
            <w:tcBorders>
              <w:top w:val="nil"/>
              <w:bottom w:val="single" w:sz="4" w:space="0" w:color="00264D" w:themeColor="background2"/>
            </w:tcBorders>
            <w:shd w:val="clear" w:color="auto" w:fill="00264D" w:themeFill="background2"/>
            <w:hideMark/>
          </w:tcPr>
          <w:p w14:paraId="16D5F996" w14:textId="77777777" w:rsidR="00AE3E45" w:rsidRPr="003F5567" w:rsidRDefault="00AE3E45" w:rsidP="003F5567">
            <w:pPr>
              <w:pStyle w:val="TableNheader"/>
              <w:rPr>
                <w:color w:val="FFFFFF" w:themeColor="background1"/>
                <w:sz w:val="20"/>
                <w:szCs w:val="18"/>
                <w:lang w:eastAsia="en-AU"/>
              </w:rPr>
            </w:pPr>
            <w:r w:rsidRPr="003F5567">
              <w:rPr>
                <w:color w:val="FFFFFF" w:themeColor="background1"/>
                <w:sz w:val="20"/>
                <w:szCs w:val="18"/>
                <w:lang w:eastAsia="en-AU"/>
              </w:rPr>
              <w:t>US SBIR</w:t>
            </w:r>
          </w:p>
        </w:tc>
        <w:tc>
          <w:tcPr>
            <w:tcW w:w="1012" w:type="pct"/>
            <w:tcBorders>
              <w:top w:val="nil"/>
              <w:bottom w:val="single" w:sz="4" w:space="0" w:color="00264D" w:themeColor="background2"/>
            </w:tcBorders>
            <w:shd w:val="clear" w:color="auto" w:fill="00264D" w:themeFill="background2"/>
            <w:hideMark/>
          </w:tcPr>
          <w:p w14:paraId="29D4AD9C" w14:textId="77777777" w:rsidR="00AE3E45" w:rsidRPr="003F5567" w:rsidRDefault="00AE3E45" w:rsidP="003F5567">
            <w:pPr>
              <w:pStyle w:val="TableNheader"/>
              <w:rPr>
                <w:color w:val="FFFFFF" w:themeColor="background1"/>
                <w:sz w:val="20"/>
                <w:szCs w:val="18"/>
                <w:lang w:eastAsia="en-AU"/>
              </w:rPr>
            </w:pPr>
            <w:r w:rsidRPr="003F5567">
              <w:rPr>
                <w:color w:val="FFFFFF" w:themeColor="background1"/>
                <w:sz w:val="20"/>
                <w:szCs w:val="18"/>
                <w:lang w:eastAsia="en-AU"/>
              </w:rPr>
              <w:t>UK SBRI</w:t>
            </w:r>
          </w:p>
        </w:tc>
        <w:tc>
          <w:tcPr>
            <w:tcW w:w="1012" w:type="pct"/>
            <w:tcBorders>
              <w:top w:val="nil"/>
              <w:bottom w:val="single" w:sz="4" w:space="0" w:color="00264D" w:themeColor="background2"/>
            </w:tcBorders>
            <w:shd w:val="clear" w:color="auto" w:fill="00264D" w:themeFill="background2"/>
            <w:hideMark/>
          </w:tcPr>
          <w:p w14:paraId="5F150366" w14:textId="77777777" w:rsidR="00AE3E45" w:rsidRPr="003F5567" w:rsidRDefault="00AE3E45" w:rsidP="003F5567">
            <w:pPr>
              <w:pStyle w:val="TableNheader"/>
              <w:rPr>
                <w:color w:val="FFFFFF" w:themeColor="background1"/>
                <w:sz w:val="20"/>
                <w:szCs w:val="18"/>
                <w:lang w:eastAsia="en-AU"/>
              </w:rPr>
            </w:pPr>
            <w:r w:rsidRPr="003F5567">
              <w:rPr>
                <w:color w:val="FFFFFF" w:themeColor="background1"/>
                <w:sz w:val="20"/>
                <w:szCs w:val="18"/>
                <w:lang w:eastAsia="en-AU"/>
              </w:rPr>
              <w:t>ISC</w:t>
            </w:r>
          </w:p>
        </w:tc>
      </w:tr>
      <w:tr w:rsidR="00F01288" w:rsidRPr="00AE3E45" w14:paraId="5A05F9AF" w14:textId="77777777" w:rsidTr="003C631D">
        <w:trPr>
          <w:trHeight w:val="592"/>
        </w:trPr>
        <w:tc>
          <w:tcPr>
            <w:tcW w:w="952" w:type="pct"/>
            <w:tcBorders>
              <w:right w:val="single" w:sz="4" w:space="0" w:color="00264D" w:themeColor="background2"/>
            </w:tcBorders>
            <w:shd w:val="clear" w:color="auto" w:fill="00264D" w:themeFill="background2"/>
            <w:hideMark/>
          </w:tcPr>
          <w:p w14:paraId="0D62A73D" w14:textId="440A3C8A" w:rsidR="00AE3E45" w:rsidRPr="003F5567" w:rsidRDefault="003F5567" w:rsidP="003F5567">
            <w:pPr>
              <w:pStyle w:val="TableNheader"/>
              <w:rPr>
                <w:color w:val="FFFFFF" w:themeColor="background1"/>
                <w:sz w:val="20"/>
                <w:szCs w:val="18"/>
                <w:lang w:eastAsia="en-AU"/>
              </w:rPr>
            </w:pPr>
            <w:r w:rsidRPr="003F5567">
              <w:rPr>
                <w:color w:val="FFFFFF" w:themeColor="background1"/>
                <w:sz w:val="20"/>
                <w:szCs w:val="18"/>
                <w:lang w:eastAsia="en-AU"/>
              </w:rPr>
              <w:t>Year established</w:t>
            </w:r>
          </w:p>
        </w:tc>
        <w:tc>
          <w:tcPr>
            <w:tcW w:w="1012"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1CB69991" w14:textId="77777777" w:rsidR="00AE3E45" w:rsidRPr="00AE3E45" w:rsidRDefault="00AE3E45" w:rsidP="003F5567">
            <w:pPr>
              <w:pStyle w:val="TableNText"/>
              <w:rPr>
                <w:lang w:eastAsia="en-AU"/>
              </w:rPr>
            </w:pPr>
            <w:r w:rsidRPr="00AE3E45">
              <w:rPr>
                <w:lang w:eastAsia="en-AU"/>
              </w:rPr>
              <w:t>2016</w:t>
            </w:r>
          </w:p>
        </w:tc>
        <w:tc>
          <w:tcPr>
            <w:tcW w:w="1012"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242E1151" w14:textId="77777777" w:rsidR="00AE3E45" w:rsidRPr="00AE3E45" w:rsidRDefault="00AE3E45" w:rsidP="003F5567">
            <w:pPr>
              <w:pStyle w:val="TableNText"/>
              <w:rPr>
                <w:lang w:eastAsia="en-AU"/>
              </w:rPr>
            </w:pPr>
            <w:r w:rsidRPr="00AE3E45">
              <w:rPr>
                <w:lang w:eastAsia="en-AU"/>
              </w:rPr>
              <w:t>1982</w:t>
            </w:r>
          </w:p>
        </w:tc>
        <w:tc>
          <w:tcPr>
            <w:tcW w:w="1012"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165B0866" w14:textId="77777777" w:rsidR="00AE3E45" w:rsidRPr="00AE3E45" w:rsidRDefault="00AE3E45" w:rsidP="003F5567">
            <w:pPr>
              <w:pStyle w:val="TableNText"/>
              <w:rPr>
                <w:lang w:eastAsia="en-AU"/>
              </w:rPr>
            </w:pPr>
            <w:r w:rsidRPr="00AE3E45">
              <w:rPr>
                <w:lang w:eastAsia="en-AU"/>
              </w:rPr>
              <w:t>2009</w:t>
            </w:r>
          </w:p>
        </w:tc>
        <w:tc>
          <w:tcPr>
            <w:tcW w:w="1012"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3D5DFED5" w14:textId="2AA32CF9" w:rsidR="00AE3E45" w:rsidRPr="00AE3E45" w:rsidRDefault="00AE3E45" w:rsidP="003F5567">
            <w:pPr>
              <w:pStyle w:val="TableNText"/>
              <w:rPr>
                <w:lang w:eastAsia="en-AU"/>
              </w:rPr>
            </w:pPr>
            <w:r w:rsidRPr="00AE3E45">
              <w:rPr>
                <w:lang w:eastAsia="en-AU"/>
              </w:rPr>
              <w:t>201</w:t>
            </w:r>
            <w:r w:rsidR="00D66ACB">
              <w:rPr>
                <w:lang w:eastAsia="en-AU"/>
              </w:rPr>
              <w:t>7</w:t>
            </w:r>
          </w:p>
        </w:tc>
      </w:tr>
      <w:tr w:rsidR="00F01288" w:rsidRPr="00AE3E45" w14:paraId="52A7FC92" w14:textId="77777777" w:rsidTr="003C631D">
        <w:trPr>
          <w:trHeight w:val="814"/>
        </w:trPr>
        <w:tc>
          <w:tcPr>
            <w:tcW w:w="952" w:type="pct"/>
            <w:tcBorders>
              <w:right w:val="single" w:sz="4" w:space="0" w:color="00264D" w:themeColor="background2"/>
            </w:tcBorders>
            <w:shd w:val="clear" w:color="auto" w:fill="00264D" w:themeFill="background2"/>
            <w:hideMark/>
          </w:tcPr>
          <w:p w14:paraId="32489347" w14:textId="2DF6122F" w:rsidR="00AE3E45" w:rsidRPr="003F5567" w:rsidRDefault="003F5567" w:rsidP="003F5567">
            <w:pPr>
              <w:pStyle w:val="TableNheader"/>
              <w:rPr>
                <w:color w:val="FFFFFF" w:themeColor="background1"/>
                <w:sz w:val="20"/>
                <w:szCs w:val="18"/>
                <w:lang w:eastAsia="en-AU"/>
              </w:rPr>
            </w:pPr>
            <w:r w:rsidRPr="003F5567">
              <w:rPr>
                <w:color w:val="FFFFFF" w:themeColor="background1"/>
                <w:sz w:val="20"/>
                <w:szCs w:val="18"/>
                <w:lang w:eastAsia="en-AU"/>
              </w:rPr>
              <w:t>Administration</w:t>
            </w:r>
          </w:p>
        </w:tc>
        <w:tc>
          <w:tcPr>
            <w:tcW w:w="1012"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2546E96E" w14:textId="77777777" w:rsidR="00AE3E45" w:rsidRPr="00AE3E45" w:rsidRDefault="00AE3E45" w:rsidP="003F5567">
            <w:pPr>
              <w:pStyle w:val="TableNText"/>
              <w:rPr>
                <w:lang w:eastAsia="en-AU"/>
              </w:rPr>
            </w:pPr>
            <w:r w:rsidRPr="00AE3E45">
              <w:rPr>
                <w:lang w:eastAsia="en-AU"/>
              </w:rPr>
              <w:t>Centralised</w:t>
            </w:r>
          </w:p>
        </w:tc>
        <w:tc>
          <w:tcPr>
            <w:tcW w:w="1012"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2C75E440" w14:textId="77777777" w:rsidR="00AE3E45" w:rsidRPr="00AE3E45" w:rsidRDefault="00AE3E45" w:rsidP="003F5567">
            <w:pPr>
              <w:pStyle w:val="TableNText"/>
              <w:rPr>
                <w:lang w:eastAsia="en-AU"/>
              </w:rPr>
            </w:pPr>
            <w:r w:rsidRPr="00AE3E45">
              <w:rPr>
                <w:lang w:eastAsia="en-AU"/>
              </w:rPr>
              <w:t>Decentralised</w:t>
            </w:r>
          </w:p>
        </w:tc>
        <w:tc>
          <w:tcPr>
            <w:tcW w:w="1012"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41C22312" w14:textId="77777777" w:rsidR="00AE3E45" w:rsidRPr="00AE3E45" w:rsidRDefault="00AE3E45" w:rsidP="003F5567">
            <w:pPr>
              <w:pStyle w:val="TableNText"/>
              <w:rPr>
                <w:lang w:eastAsia="en-AU"/>
              </w:rPr>
            </w:pPr>
            <w:r w:rsidRPr="00AE3E45">
              <w:rPr>
                <w:lang w:eastAsia="en-AU"/>
              </w:rPr>
              <w:t>Innovate UK partners with agencies to help them set up their own competitions</w:t>
            </w:r>
          </w:p>
        </w:tc>
        <w:tc>
          <w:tcPr>
            <w:tcW w:w="1012"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4FC84FBE" w14:textId="77777777" w:rsidR="00AE3E45" w:rsidRPr="00AE3E45" w:rsidRDefault="00AE3E45" w:rsidP="003F5567">
            <w:pPr>
              <w:pStyle w:val="TableNText"/>
              <w:rPr>
                <w:lang w:eastAsia="en-AU"/>
              </w:rPr>
            </w:pPr>
            <w:r w:rsidRPr="00AE3E45">
              <w:rPr>
                <w:lang w:eastAsia="en-AU"/>
              </w:rPr>
              <w:t>Managed centrally by Innovate Canada</w:t>
            </w:r>
          </w:p>
        </w:tc>
      </w:tr>
      <w:tr w:rsidR="00F01288" w:rsidRPr="00AE3E45" w14:paraId="4CC317AD" w14:textId="77777777" w:rsidTr="003C631D">
        <w:trPr>
          <w:trHeight w:val="395"/>
        </w:trPr>
        <w:tc>
          <w:tcPr>
            <w:tcW w:w="952" w:type="pct"/>
            <w:tcBorders>
              <w:right w:val="single" w:sz="4" w:space="0" w:color="00264D" w:themeColor="background2"/>
            </w:tcBorders>
            <w:shd w:val="clear" w:color="auto" w:fill="00264D" w:themeFill="background2"/>
            <w:hideMark/>
          </w:tcPr>
          <w:p w14:paraId="119150FF" w14:textId="15494314" w:rsidR="00AE3E45" w:rsidRPr="003F5567" w:rsidRDefault="003F5567" w:rsidP="003F5567">
            <w:pPr>
              <w:pStyle w:val="TableNheader"/>
              <w:rPr>
                <w:color w:val="FFFFFF" w:themeColor="background1"/>
                <w:sz w:val="20"/>
                <w:szCs w:val="18"/>
                <w:lang w:eastAsia="en-AU"/>
              </w:rPr>
            </w:pPr>
            <w:r w:rsidRPr="003F5567">
              <w:rPr>
                <w:color w:val="FFFFFF" w:themeColor="background1"/>
                <w:sz w:val="20"/>
                <w:szCs w:val="18"/>
                <w:lang w:eastAsia="en-AU"/>
              </w:rPr>
              <w:t>Funding source</w:t>
            </w:r>
          </w:p>
        </w:tc>
        <w:tc>
          <w:tcPr>
            <w:tcW w:w="1012"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0EDD05F4" w14:textId="77777777" w:rsidR="00AE3E45" w:rsidRPr="00AE3E45" w:rsidRDefault="00AE3E45" w:rsidP="003F5567">
            <w:pPr>
              <w:pStyle w:val="TableNText"/>
              <w:rPr>
                <w:lang w:eastAsia="en-AU"/>
              </w:rPr>
            </w:pPr>
            <w:r w:rsidRPr="00AE3E45">
              <w:rPr>
                <w:lang w:eastAsia="en-AU"/>
              </w:rPr>
              <w:t>DISER administered funds</w:t>
            </w:r>
          </w:p>
        </w:tc>
        <w:tc>
          <w:tcPr>
            <w:tcW w:w="1012"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503A27C6" w14:textId="2F332B5A" w:rsidR="00AE3E45" w:rsidRPr="00AE3E45" w:rsidRDefault="00AE3E45" w:rsidP="003F5567">
            <w:pPr>
              <w:pStyle w:val="TableNText"/>
              <w:rPr>
                <w:lang w:eastAsia="en-AU"/>
              </w:rPr>
            </w:pPr>
            <w:r w:rsidRPr="00AE3E45">
              <w:rPr>
                <w:lang w:eastAsia="en-AU"/>
              </w:rPr>
              <w:t>3.2</w:t>
            </w:r>
            <w:r w:rsidR="00F04833">
              <w:rPr>
                <w:lang w:eastAsia="en-AU"/>
              </w:rPr>
              <w:t xml:space="preserve"> per cent</w:t>
            </w:r>
            <w:r w:rsidRPr="00AE3E45">
              <w:rPr>
                <w:lang w:eastAsia="en-AU"/>
              </w:rPr>
              <w:t xml:space="preserve"> of agencies’ extramural budgets over $100</w:t>
            </w:r>
            <w:r w:rsidR="00F04833">
              <w:rPr>
                <w:lang w:eastAsia="en-AU"/>
              </w:rPr>
              <w:t xml:space="preserve"> million</w:t>
            </w:r>
          </w:p>
        </w:tc>
        <w:tc>
          <w:tcPr>
            <w:tcW w:w="1012"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6214B15E" w14:textId="09BAC3C0" w:rsidR="00AE3E45" w:rsidRPr="00AE3E45" w:rsidRDefault="00AE3E45" w:rsidP="003F5567">
            <w:pPr>
              <w:pStyle w:val="TableNText"/>
              <w:rPr>
                <w:lang w:eastAsia="en-AU"/>
              </w:rPr>
            </w:pPr>
            <w:r w:rsidRPr="00AE3E45">
              <w:rPr>
                <w:lang w:eastAsia="en-AU"/>
              </w:rPr>
              <w:t>Agencies’ procurement budgets, with co-funding from Innovate UK</w:t>
            </w:r>
          </w:p>
        </w:tc>
        <w:tc>
          <w:tcPr>
            <w:tcW w:w="1012"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4EE54634" w14:textId="7CA3AC68" w:rsidR="00AE3E45" w:rsidRPr="00AE3E45" w:rsidRDefault="00AE3E45" w:rsidP="003F5567">
            <w:pPr>
              <w:pStyle w:val="TableNText"/>
              <w:rPr>
                <w:lang w:eastAsia="en-AU"/>
              </w:rPr>
            </w:pPr>
            <w:r w:rsidRPr="00AE3E45">
              <w:rPr>
                <w:lang w:eastAsia="en-AU"/>
              </w:rPr>
              <w:t>Minimum 1</w:t>
            </w:r>
            <w:r w:rsidR="00F04833">
              <w:rPr>
                <w:lang w:eastAsia="en-AU"/>
              </w:rPr>
              <w:t xml:space="preserve"> per cent</w:t>
            </w:r>
            <w:r w:rsidRPr="00AE3E45">
              <w:rPr>
                <w:lang w:eastAsia="en-AU"/>
              </w:rPr>
              <w:t xml:space="preserve"> of procurement and intramural R&amp;D spend of participating agencies</w:t>
            </w:r>
          </w:p>
        </w:tc>
      </w:tr>
      <w:tr w:rsidR="00F01288" w:rsidRPr="00AE3E45" w14:paraId="27E4A6E8" w14:textId="77777777" w:rsidTr="003C631D">
        <w:trPr>
          <w:trHeight w:val="914"/>
        </w:trPr>
        <w:tc>
          <w:tcPr>
            <w:tcW w:w="952" w:type="pct"/>
            <w:tcBorders>
              <w:right w:val="single" w:sz="4" w:space="0" w:color="00264D" w:themeColor="background2"/>
            </w:tcBorders>
            <w:shd w:val="clear" w:color="auto" w:fill="00264D" w:themeFill="background2"/>
            <w:hideMark/>
          </w:tcPr>
          <w:p w14:paraId="73701911" w14:textId="0CEC9F38" w:rsidR="00AE3E45" w:rsidRPr="003F5567" w:rsidRDefault="003F5567" w:rsidP="003F5567">
            <w:pPr>
              <w:pStyle w:val="TableNheader"/>
              <w:rPr>
                <w:color w:val="FFFFFF" w:themeColor="background1"/>
                <w:sz w:val="20"/>
                <w:szCs w:val="18"/>
                <w:lang w:eastAsia="en-AU"/>
              </w:rPr>
            </w:pPr>
            <w:r w:rsidRPr="003F5567">
              <w:rPr>
                <w:color w:val="FFFFFF" w:themeColor="background1"/>
                <w:sz w:val="20"/>
                <w:szCs w:val="18"/>
                <w:lang w:eastAsia="en-AU"/>
              </w:rPr>
              <w:t>Targets</w:t>
            </w:r>
          </w:p>
        </w:tc>
        <w:tc>
          <w:tcPr>
            <w:tcW w:w="1012"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2E7E9D7C" w14:textId="77777777" w:rsidR="00AE3E45" w:rsidRPr="00AE3E45" w:rsidRDefault="00AE3E45" w:rsidP="003F5567">
            <w:pPr>
              <w:pStyle w:val="TableNText"/>
              <w:rPr>
                <w:lang w:eastAsia="en-AU"/>
              </w:rPr>
            </w:pPr>
            <w:r w:rsidRPr="00AE3E45">
              <w:rPr>
                <w:lang w:eastAsia="en-AU"/>
              </w:rPr>
              <w:t>No</w:t>
            </w:r>
          </w:p>
        </w:tc>
        <w:tc>
          <w:tcPr>
            <w:tcW w:w="1012"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4A6C5EB6" w14:textId="77777777" w:rsidR="00AE3E45" w:rsidRPr="00AE3E45" w:rsidRDefault="00AE3E45" w:rsidP="003F5567">
            <w:pPr>
              <w:pStyle w:val="TableNText"/>
              <w:rPr>
                <w:lang w:eastAsia="en-AU"/>
              </w:rPr>
            </w:pPr>
            <w:r w:rsidRPr="00AE3E45">
              <w:rPr>
                <w:lang w:eastAsia="en-AU"/>
              </w:rPr>
              <w:t>Yes – percentage of agencies’ procurement spend</w:t>
            </w:r>
          </w:p>
        </w:tc>
        <w:tc>
          <w:tcPr>
            <w:tcW w:w="1012"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3A7A3C97" w14:textId="77777777" w:rsidR="00AE3E45" w:rsidRPr="00AE3E45" w:rsidRDefault="00AE3E45" w:rsidP="003F5567">
            <w:pPr>
              <w:pStyle w:val="TableNText"/>
              <w:rPr>
                <w:lang w:eastAsia="en-AU"/>
              </w:rPr>
            </w:pPr>
            <w:r w:rsidRPr="00AE3E45">
              <w:rPr>
                <w:lang w:eastAsia="en-AU"/>
              </w:rPr>
              <w:t>Yes – £200m across government for FY14-15, with individual targets set for six departments</w:t>
            </w:r>
          </w:p>
        </w:tc>
        <w:tc>
          <w:tcPr>
            <w:tcW w:w="1012"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7E7349D7" w14:textId="6506B53D" w:rsidR="00AE3E45" w:rsidRPr="00AE3E45" w:rsidRDefault="00AE3E45" w:rsidP="003F5567">
            <w:pPr>
              <w:pStyle w:val="TableNText"/>
              <w:rPr>
                <w:lang w:eastAsia="en-AU"/>
              </w:rPr>
            </w:pPr>
            <w:r w:rsidRPr="00AE3E45">
              <w:rPr>
                <w:lang w:eastAsia="en-AU"/>
              </w:rPr>
              <w:t>Yes - $100</w:t>
            </w:r>
            <w:r w:rsidR="00F04833">
              <w:rPr>
                <w:lang w:eastAsia="en-AU"/>
              </w:rPr>
              <w:t xml:space="preserve"> million</w:t>
            </w:r>
            <w:r w:rsidRPr="00AE3E45">
              <w:rPr>
                <w:lang w:eastAsia="en-AU"/>
              </w:rPr>
              <w:t xml:space="preserve"> per annum, made up by a percentage of agencies’ procurement spend</w:t>
            </w:r>
          </w:p>
        </w:tc>
      </w:tr>
      <w:tr w:rsidR="00F01288" w:rsidRPr="00AE3E45" w14:paraId="5CC460C4" w14:textId="77777777" w:rsidTr="003C631D">
        <w:trPr>
          <w:trHeight w:val="1828"/>
        </w:trPr>
        <w:tc>
          <w:tcPr>
            <w:tcW w:w="952" w:type="pct"/>
            <w:tcBorders>
              <w:right w:val="single" w:sz="4" w:space="0" w:color="00264D" w:themeColor="background2"/>
            </w:tcBorders>
            <w:shd w:val="clear" w:color="auto" w:fill="00264D" w:themeFill="background2"/>
            <w:hideMark/>
          </w:tcPr>
          <w:p w14:paraId="09E3D80B" w14:textId="26F42522" w:rsidR="00AE3E45" w:rsidRPr="003F5567" w:rsidRDefault="003F5567" w:rsidP="003F5567">
            <w:pPr>
              <w:pStyle w:val="TableNheader"/>
              <w:rPr>
                <w:color w:val="FFFFFF" w:themeColor="background1"/>
                <w:sz w:val="20"/>
                <w:szCs w:val="18"/>
                <w:lang w:eastAsia="en-AU"/>
              </w:rPr>
            </w:pPr>
            <w:r w:rsidRPr="003F5567">
              <w:rPr>
                <w:color w:val="FFFFFF" w:themeColor="background1"/>
                <w:sz w:val="20"/>
                <w:szCs w:val="18"/>
                <w:lang w:eastAsia="en-AU"/>
              </w:rPr>
              <w:t>Funding per grant phases</w:t>
            </w:r>
          </w:p>
        </w:tc>
        <w:tc>
          <w:tcPr>
            <w:tcW w:w="1012"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04E3D599" w14:textId="22264663" w:rsidR="00AE3E45" w:rsidRPr="006B3D74" w:rsidRDefault="00AE3E45" w:rsidP="003F5567">
            <w:pPr>
              <w:pStyle w:val="TableNBullet"/>
            </w:pPr>
            <w:r w:rsidRPr="006B3D74">
              <w:rPr>
                <w:rFonts w:eastAsiaTheme="minorEastAsia"/>
              </w:rPr>
              <w:t>$100</w:t>
            </w:r>
            <w:r w:rsidR="00F04833">
              <w:rPr>
                <w:rFonts w:eastAsiaTheme="minorEastAsia"/>
              </w:rPr>
              <w:t>,000</w:t>
            </w:r>
            <w:r w:rsidRPr="006B3D74">
              <w:rPr>
                <w:rFonts w:eastAsiaTheme="minorEastAsia"/>
              </w:rPr>
              <w:t xml:space="preserve"> </w:t>
            </w:r>
            <w:r w:rsidR="00716B65">
              <w:rPr>
                <w:rFonts w:eastAsiaTheme="minorEastAsia"/>
              </w:rPr>
              <w:t xml:space="preserve">AUD </w:t>
            </w:r>
            <w:r w:rsidRPr="006B3D74">
              <w:rPr>
                <w:rFonts w:eastAsiaTheme="minorEastAsia"/>
              </w:rPr>
              <w:t>feasibility study (</w:t>
            </w:r>
            <w:r w:rsidR="00F04833">
              <w:rPr>
                <w:rFonts w:eastAsiaTheme="minorEastAsia"/>
              </w:rPr>
              <w:t>three</w:t>
            </w:r>
            <w:r w:rsidRPr="006B3D74">
              <w:rPr>
                <w:rFonts w:eastAsiaTheme="minorEastAsia"/>
              </w:rPr>
              <w:t xml:space="preserve"> months)</w:t>
            </w:r>
          </w:p>
          <w:p w14:paraId="3385F984" w14:textId="63756D10" w:rsidR="00AE3E45" w:rsidRPr="006B3D74" w:rsidRDefault="00AE3E45" w:rsidP="003F5567">
            <w:pPr>
              <w:pStyle w:val="TableNBullet"/>
            </w:pPr>
            <w:r w:rsidRPr="006B3D74">
              <w:rPr>
                <w:rFonts w:eastAsiaTheme="minorEastAsia"/>
              </w:rPr>
              <w:t>$1</w:t>
            </w:r>
            <w:r w:rsidR="00F04833">
              <w:rPr>
                <w:rFonts w:eastAsiaTheme="minorEastAsia"/>
              </w:rPr>
              <w:t xml:space="preserve"> million</w:t>
            </w:r>
            <w:r w:rsidR="00716B65">
              <w:rPr>
                <w:rFonts w:eastAsiaTheme="minorEastAsia"/>
              </w:rPr>
              <w:t xml:space="preserve"> AUD</w:t>
            </w:r>
            <w:r w:rsidRPr="006B3D74">
              <w:rPr>
                <w:rFonts w:eastAsiaTheme="minorEastAsia"/>
              </w:rPr>
              <w:t xml:space="preserve"> proof of </w:t>
            </w:r>
            <w:r w:rsidRPr="006B3D74">
              <w:rPr>
                <w:rFonts w:eastAsiaTheme="minorEastAsia"/>
              </w:rPr>
              <w:lastRenderedPageBreak/>
              <w:t>concept (18 months)</w:t>
            </w:r>
          </w:p>
        </w:tc>
        <w:tc>
          <w:tcPr>
            <w:tcW w:w="1012"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35C219DD" w14:textId="555F3140" w:rsidR="00AE3E45" w:rsidRPr="006B3D74" w:rsidRDefault="00AE3E45" w:rsidP="003F5567">
            <w:pPr>
              <w:pStyle w:val="TableNBullet"/>
            </w:pPr>
            <w:r w:rsidRPr="006B3D74">
              <w:lastRenderedPageBreak/>
              <w:t>$150</w:t>
            </w:r>
            <w:r w:rsidR="00F04833">
              <w:t>,000</w:t>
            </w:r>
            <w:r w:rsidRPr="006B3D74">
              <w:t xml:space="preserve"> </w:t>
            </w:r>
            <w:r w:rsidR="00223E93">
              <w:t xml:space="preserve">USD </w:t>
            </w:r>
            <w:r w:rsidRPr="006B3D74">
              <w:t>feasibility study (</w:t>
            </w:r>
            <w:r w:rsidR="00F04833">
              <w:t>six</w:t>
            </w:r>
            <w:r w:rsidRPr="006B3D74">
              <w:t xml:space="preserve"> months)</w:t>
            </w:r>
          </w:p>
          <w:p w14:paraId="7267161D" w14:textId="604F2E7A" w:rsidR="00AE3E45" w:rsidRPr="006B3D74" w:rsidRDefault="00AE3E45" w:rsidP="003F5567">
            <w:pPr>
              <w:pStyle w:val="TableNBullet"/>
            </w:pPr>
            <w:r w:rsidRPr="006B3D74">
              <w:t>$1</w:t>
            </w:r>
            <w:r w:rsidR="00F04833">
              <w:t xml:space="preserve"> million</w:t>
            </w:r>
            <w:r w:rsidRPr="006B3D74">
              <w:t xml:space="preserve"> </w:t>
            </w:r>
            <w:r w:rsidR="00223E93">
              <w:t xml:space="preserve">USD </w:t>
            </w:r>
            <w:r w:rsidRPr="006B3D74">
              <w:t>R&amp;D work (</w:t>
            </w:r>
            <w:r w:rsidR="00F04833">
              <w:t>two</w:t>
            </w:r>
            <w:r w:rsidRPr="006B3D74">
              <w:t xml:space="preserve"> years)</w:t>
            </w:r>
          </w:p>
          <w:p w14:paraId="77C846C6" w14:textId="5CF465BB" w:rsidR="00AE3E45" w:rsidRPr="006B3D74" w:rsidRDefault="00AE3E45" w:rsidP="003F5567">
            <w:pPr>
              <w:pStyle w:val="TableNBullet"/>
            </w:pPr>
            <w:r w:rsidRPr="006B3D74">
              <w:lastRenderedPageBreak/>
              <w:t>Optional non-SBIR funding for further development and commercialisation</w:t>
            </w:r>
          </w:p>
        </w:tc>
        <w:tc>
          <w:tcPr>
            <w:tcW w:w="1012"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59501E07" w14:textId="39C809CB" w:rsidR="00AE3E45" w:rsidRPr="006B3D74" w:rsidRDefault="00AE3E45" w:rsidP="003F5567">
            <w:pPr>
              <w:pStyle w:val="TableNBullet"/>
            </w:pPr>
            <w:r w:rsidRPr="006B3D74">
              <w:rPr>
                <w:rFonts w:eastAsia="Segoe UI Black"/>
              </w:rPr>
              <w:lastRenderedPageBreak/>
              <w:t>£</w:t>
            </w:r>
            <w:r w:rsidRPr="006B3D74">
              <w:rPr>
                <w:rFonts w:eastAsiaTheme="minorEastAsia"/>
              </w:rPr>
              <w:t xml:space="preserve">50 </w:t>
            </w:r>
            <w:r w:rsidR="00E61F51">
              <w:rPr>
                <w:rFonts w:eastAsiaTheme="minorEastAsia"/>
              </w:rPr>
              <w:t>–</w:t>
            </w:r>
            <w:r w:rsidRPr="006B3D74">
              <w:rPr>
                <w:rFonts w:eastAsiaTheme="minorEastAsia"/>
              </w:rPr>
              <w:t xml:space="preserve"> 100</w:t>
            </w:r>
            <w:r w:rsidR="00E61F51">
              <w:rPr>
                <w:rFonts w:eastAsiaTheme="minorEastAsia"/>
              </w:rPr>
              <w:t>,000</w:t>
            </w:r>
            <w:r w:rsidRPr="006B3D74">
              <w:rPr>
                <w:rFonts w:eastAsiaTheme="minorEastAsia"/>
              </w:rPr>
              <w:t>feasibility study (</w:t>
            </w:r>
            <w:r w:rsidR="004329A4">
              <w:rPr>
                <w:rFonts w:eastAsiaTheme="minorEastAsia"/>
              </w:rPr>
              <w:t xml:space="preserve">two </w:t>
            </w:r>
            <w:r w:rsidRPr="006B3D74">
              <w:rPr>
                <w:rFonts w:eastAsiaTheme="minorEastAsia"/>
              </w:rPr>
              <w:t>-</w:t>
            </w:r>
            <w:r w:rsidR="004329A4">
              <w:rPr>
                <w:rFonts w:eastAsiaTheme="minorEastAsia"/>
              </w:rPr>
              <w:t xml:space="preserve"> six</w:t>
            </w:r>
            <w:r w:rsidRPr="006B3D74">
              <w:rPr>
                <w:rFonts w:eastAsiaTheme="minorEastAsia"/>
              </w:rPr>
              <w:t xml:space="preserve"> months)</w:t>
            </w:r>
          </w:p>
          <w:p w14:paraId="719CD55F" w14:textId="1F7B69C4" w:rsidR="00AE3E45" w:rsidRPr="006B3D74" w:rsidRDefault="00AE3E45" w:rsidP="003F5567">
            <w:pPr>
              <w:pStyle w:val="TableNBullet"/>
            </w:pPr>
            <w:r w:rsidRPr="006B3D74">
              <w:rPr>
                <w:rFonts w:eastAsia="Segoe UI Black"/>
              </w:rPr>
              <w:t>£250</w:t>
            </w:r>
            <w:r w:rsidR="004329A4">
              <w:rPr>
                <w:rFonts w:eastAsia="Segoe UI Black"/>
              </w:rPr>
              <w:t>,000</w:t>
            </w:r>
            <w:r w:rsidRPr="006B3D74">
              <w:rPr>
                <w:rFonts w:eastAsia="Segoe UI Black"/>
              </w:rPr>
              <w:t xml:space="preserve"> - £</w:t>
            </w:r>
            <w:r w:rsidRPr="006B3D74">
              <w:rPr>
                <w:rFonts w:eastAsiaTheme="minorEastAsia"/>
              </w:rPr>
              <w:t>1</w:t>
            </w:r>
            <w:r w:rsidR="004329A4">
              <w:rPr>
                <w:rFonts w:eastAsiaTheme="minorEastAsia"/>
              </w:rPr>
              <w:t xml:space="preserve"> million</w:t>
            </w:r>
            <w:r w:rsidRPr="006B3D74">
              <w:rPr>
                <w:rFonts w:eastAsiaTheme="minorEastAsia"/>
              </w:rPr>
              <w:t xml:space="preserve"> proof </w:t>
            </w:r>
            <w:r w:rsidRPr="006B3D74">
              <w:rPr>
                <w:rFonts w:eastAsiaTheme="minorEastAsia"/>
              </w:rPr>
              <w:lastRenderedPageBreak/>
              <w:t>of concept (18 – 24 months)</w:t>
            </w:r>
          </w:p>
        </w:tc>
        <w:tc>
          <w:tcPr>
            <w:tcW w:w="1012"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28B28DC2" w14:textId="74ADCB62" w:rsidR="00AE3E45" w:rsidRPr="006B3D74" w:rsidRDefault="00AE3E45" w:rsidP="003F5567">
            <w:pPr>
              <w:pStyle w:val="TableNBullet"/>
            </w:pPr>
            <w:r w:rsidRPr="006B3D74">
              <w:lastRenderedPageBreak/>
              <w:t>Feasibility ($150</w:t>
            </w:r>
            <w:r w:rsidR="004329A4">
              <w:t>,000</w:t>
            </w:r>
            <w:r w:rsidR="00223E93">
              <w:t xml:space="preserve"> CAD</w:t>
            </w:r>
            <w:r w:rsidRPr="006B3D74">
              <w:t xml:space="preserve">, </w:t>
            </w:r>
            <w:r w:rsidR="004329A4">
              <w:t>six</w:t>
            </w:r>
            <w:r w:rsidRPr="006B3D74">
              <w:t xml:space="preserve"> months)</w:t>
            </w:r>
          </w:p>
          <w:p w14:paraId="64F502D9" w14:textId="22BD9A2C" w:rsidR="00AE3E45" w:rsidRPr="006B3D74" w:rsidRDefault="00AE3E45" w:rsidP="003F5567">
            <w:pPr>
              <w:pStyle w:val="TableNBullet"/>
            </w:pPr>
            <w:r w:rsidRPr="006B3D74">
              <w:t>Prototyping ($1</w:t>
            </w:r>
            <w:r w:rsidR="004329A4">
              <w:t xml:space="preserve"> million</w:t>
            </w:r>
            <w:r w:rsidR="00223E93">
              <w:t xml:space="preserve"> </w:t>
            </w:r>
            <w:r w:rsidR="00223E93">
              <w:lastRenderedPageBreak/>
              <w:t>CAD</w:t>
            </w:r>
            <w:r w:rsidRPr="006B3D74">
              <w:t xml:space="preserve">, </w:t>
            </w:r>
            <w:r w:rsidR="004329A4">
              <w:t>two</w:t>
            </w:r>
            <w:r w:rsidRPr="006B3D74">
              <w:t xml:space="preserve"> years)</w:t>
            </w:r>
          </w:p>
          <w:p w14:paraId="267B2197" w14:textId="77777777" w:rsidR="00AE3E45" w:rsidRPr="006B3D74" w:rsidRDefault="00AE3E45" w:rsidP="003F5567">
            <w:pPr>
              <w:pStyle w:val="TableNBullet"/>
            </w:pPr>
            <w:r w:rsidRPr="006B3D74">
              <w:t>Pathway to commercialisation support</w:t>
            </w:r>
          </w:p>
        </w:tc>
      </w:tr>
      <w:tr w:rsidR="00F01288" w:rsidRPr="00AE3E45" w14:paraId="483BF9A4" w14:textId="77777777" w:rsidTr="003C631D">
        <w:trPr>
          <w:trHeight w:val="592"/>
        </w:trPr>
        <w:tc>
          <w:tcPr>
            <w:tcW w:w="952" w:type="pct"/>
            <w:tcBorders>
              <w:right w:val="single" w:sz="4" w:space="0" w:color="00264D" w:themeColor="background2"/>
            </w:tcBorders>
            <w:shd w:val="clear" w:color="auto" w:fill="00264D" w:themeFill="background2"/>
            <w:hideMark/>
          </w:tcPr>
          <w:p w14:paraId="74C120E8" w14:textId="01531F3B" w:rsidR="00AE3E45" w:rsidRPr="003F5567" w:rsidRDefault="003F5567" w:rsidP="003F5567">
            <w:pPr>
              <w:pStyle w:val="TableNheader"/>
              <w:rPr>
                <w:color w:val="FFFFFF" w:themeColor="background1"/>
                <w:sz w:val="20"/>
                <w:szCs w:val="18"/>
                <w:lang w:eastAsia="en-AU"/>
              </w:rPr>
            </w:pPr>
            <w:r w:rsidRPr="003F5567">
              <w:rPr>
                <w:color w:val="FFFFFF" w:themeColor="background1"/>
                <w:sz w:val="20"/>
                <w:szCs w:val="18"/>
                <w:lang w:eastAsia="en-AU"/>
              </w:rPr>
              <w:lastRenderedPageBreak/>
              <w:t>Total grant funding/yr</w:t>
            </w:r>
          </w:p>
        </w:tc>
        <w:tc>
          <w:tcPr>
            <w:tcW w:w="1012"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30185F17" w14:textId="3DB3649F" w:rsidR="00AE3E45" w:rsidRPr="00AE3E45" w:rsidRDefault="00AE3E45" w:rsidP="003F5567">
            <w:pPr>
              <w:pStyle w:val="TableNText"/>
              <w:rPr>
                <w:lang w:eastAsia="en-AU"/>
              </w:rPr>
            </w:pPr>
            <w:r w:rsidRPr="00AE3E45">
              <w:rPr>
                <w:lang w:eastAsia="en-AU"/>
              </w:rPr>
              <w:t>$</w:t>
            </w:r>
            <w:r w:rsidR="00710F3E">
              <w:rPr>
                <w:lang w:eastAsia="en-AU"/>
              </w:rPr>
              <w:t>6</w:t>
            </w:r>
            <w:r w:rsidR="00F04833">
              <w:rPr>
                <w:lang w:eastAsia="en-AU"/>
              </w:rPr>
              <w:t xml:space="preserve"> million</w:t>
            </w:r>
            <w:r w:rsidR="00716B65">
              <w:rPr>
                <w:lang w:eastAsia="en-AU"/>
              </w:rPr>
              <w:t xml:space="preserve"> AUD</w:t>
            </w:r>
            <w:r w:rsidR="00710F3E">
              <w:rPr>
                <w:lang w:eastAsia="en-AU"/>
              </w:rPr>
              <w:fldChar w:fldCharType="begin"/>
            </w:r>
            <w:r w:rsidR="00710F3E">
              <w:rPr>
                <w:lang w:eastAsia="en-AU"/>
              </w:rPr>
              <w:instrText xml:space="preserve"> NOTEREF _Ref75991104 \f \h </w:instrText>
            </w:r>
            <w:r w:rsidR="003F5567">
              <w:rPr>
                <w:lang w:eastAsia="en-AU"/>
              </w:rPr>
              <w:instrText xml:space="preserve"> \* MERGEFORMAT </w:instrText>
            </w:r>
            <w:r w:rsidR="00710F3E">
              <w:rPr>
                <w:lang w:eastAsia="en-AU"/>
              </w:rPr>
            </w:r>
            <w:r w:rsidR="00710F3E">
              <w:rPr>
                <w:lang w:eastAsia="en-AU"/>
              </w:rPr>
              <w:fldChar w:fldCharType="separate"/>
            </w:r>
            <w:r w:rsidR="00AE607F" w:rsidRPr="00AE607F">
              <w:rPr>
                <w:rStyle w:val="FootnoteReference"/>
              </w:rPr>
              <w:t>75</w:t>
            </w:r>
            <w:r w:rsidR="00710F3E">
              <w:rPr>
                <w:lang w:eastAsia="en-AU"/>
              </w:rPr>
              <w:fldChar w:fldCharType="end"/>
            </w:r>
          </w:p>
        </w:tc>
        <w:tc>
          <w:tcPr>
            <w:tcW w:w="1012"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3204C41B" w14:textId="2C2A00F0" w:rsidR="00AE3E45" w:rsidRPr="00AE3E45" w:rsidRDefault="00AE3E45" w:rsidP="003F5567">
            <w:pPr>
              <w:pStyle w:val="TableNText"/>
              <w:rPr>
                <w:lang w:eastAsia="en-AU"/>
              </w:rPr>
            </w:pPr>
            <w:r w:rsidRPr="00AE3E45">
              <w:rPr>
                <w:lang w:eastAsia="en-AU"/>
              </w:rPr>
              <w:t>$3.28</w:t>
            </w:r>
            <w:r w:rsidR="00F04833">
              <w:rPr>
                <w:lang w:eastAsia="en-AU"/>
              </w:rPr>
              <w:t xml:space="preserve"> billion</w:t>
            </w:r>
            <w:r w:rsidR="00223E93">
              <w:rPr>
                <w:lang w:eastAsia="en-AU"/>
              </w:rPr>
              <w:t xml:space="preserve"> USD</w:t>
            </w:r>
            <w:r w:rsidRPr="00AE3E45">
              <w:rPr>
                <w:lang w:eastAsia="en-AU"/>
              </w:rPr>
              <w:t xml:space="preserve"> (2019)</w:t>
            </w:r>
            <w:r w:rsidR="00291810">
              <w:rPr>
                <w:lang w:eastAsia="en-AU"/>
              </w:rPr>
              <w:fldChar w:fldCharType="begin"/>
            </w:r>
            <w:r w:rsidR="00291810">
              <w:rPr>
                <w:lang w:eastAsia="en-AU"/>
              </w:rPr>
              <w:instrText xml:space="preserve"> NOTEREF _Ref75991130 \f \h </w:instrText>
            </w:r>
            <w:r w:rsidR="003F5567">
              <w:rPr>
                <w:lang w:eastAsia="en-AU"/>
              </w:rPr>
              <w:instrText xml:space="preserve"> \* MERGEFORMAT </w:instrText>
            </w:r>
            <w:r w:rsidR="00291810">
              <w:rPr>
                <w:lang w:eastAsia="en-AU"/>
              </w:rPr>
            </w:r>
            <w:r w:rsidR="00291810">
              <w:rPr>
                <w:lang w:eastAsia="en-AU"/>
              </w:rPr>
              <w:fldChar w:fldCharType="separate"/>
            </w:r>
            <w:r w:rsidR="00AE607F" w:rsidRPr="00AE607F">
              <w:rPr>
                <w:rStyle w:val="FootnoteReference"/>
              </w:rPr>
              <w:t>72</w:t>
            </w:r>
            <w:r w:rsidR="00291810">
              <w:rPr>
                <w:lang w:eastAsia="en-AU"/>
              </w:rPr>
              <w:fldChar w:fldCharType="end"/>
            </w:r>
          </w:p>
        </w:tc>
        <w:tc>
          <w:tcPr>
            <w:tcW w:w="1012"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7BE415F9" w14:textId="6272B753" w:rsidR="00AE3E45" w:rsidRPr="00AE3E45" w:rsidRDefault="00AE3E45" w:rsidP="003F5567">
            <w:pPr>
              <w:pStyle w:val="TableNText"/>
              <w:rPr>
                <w:lang w:eastAsia="en-AU"/>
              </w:rPr>
            </w:pPr>
            <w:r w:rsidRPr="00AE3E45">
              <w:rPr>
                <w:lang w:eastAsia="en-AU"/>
              </w:rPr>
              <w:t>~£81m</w:t>
            </w:r>
            <w:r w:rsidR="00223E93">
              <w:rPr>
                <w:lang w:eastAsia="en-AU"/>
              </w:rPr>
              <w:t xml:space="preserve"> </w:t>
            </w:r>
            <w:r w:rsidRPr="00AE3E45">
              <w:rPr>
                <w:lang w:eastAsia="en-AU"/>
              </w:rPr>
              <w:t>(2015)</w:t>
            </w:r>
            <w:r w:rsidR="00291810">
              <w:rPr>
                <w:lang w:eastAsia="en-AU"/>
              </w:rPr>
              <w:fldChar w:fldCharType="begin"/>
            </w:r>
            <w:r w:rsidR="00291810">
              <w:rPr>
                <w:lang w:eastAsia="en-AU"/>
              </w:rPr>
              <w:instrText xml:space="preserve"> NOTEREF _Ref75991139 \f \h </w:instrText>
            </w:r>
            <w:r w:rsidR="003F5567">
              <w:rPr>
                <w:lang w:eastAsia="en-AU"/>
              </w:rPr>
              <w:instrText xml:space="preserve"> \* MERGEFORMAT </w:instrText>
            </w:r>
            <w:r w:rsidR="00291810">
              <w:rPr>
                <w:lang w:eastAsia="en-AU"/>
              </w:rPr>
            </w:r>
            <w:r w:rsidR="00291810">
              <w:rPr>
                <w:lang w:eastAsia="en-AU"/>
              </w:rPr>
              <w:fldChar w:fldCharType="separate"/>
            </w:r>
            <w:r w:rsidR="00AE607F" w:rsidRPr="00AE607F">
              <w:rPr>
                <w:rStyle w:val="FootnoteReference"/>
              </w:rPr>
              <w:t>73</w:t>
            </w:r>
            <w:r w:rsidR="00291810">
              <w:rPr>
                <w:lang w:eastAsia="en-AU"/>
              </w:rPr>
              <w:fldChar w:fldCharType="end"/>
            </w:r>
          </w:p>
        </w:tc>
        <w:tc>
          <w:tcPr>
            <w:tcW w:w="1012"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782BED4F" w14:textId="65EFD792" w:rsidR="00AE3E45" w:rsidRPr="00AE3E45" w:rsidRDefault="00AE3E45" w:rsidP="003F5567">
            <w:pPr>
              <w:pStyle w:val="TableNText"/>
              <w:rPr>
                <w:lang w:eastAsia="en-AU"/>
              </w:rPr>
            </w:pPr>
            <w:r w:rsidRPr="00AE3E45">
              <w:rPr>
                <w:lang w:eastAsia="en-AU"/>
              </w:rPr>
              <w:t>$1</w:t>
            </w:r>
            <w:r w:rsidR="00223E93">
              <w:rPr>
                <w:lang w:eastAsia="en-AU"/>
              </w:rPr>
              <w:t>13</w:t>
            </w:r>
            <w:r w:rsidR="004329A4">
              <w:rPr>
                <w:lang w:eastAsia="en-AU"/>
              </w:rPr>
              <w:t xml:space="preserve"> million</w:t>
            </w:r>
            <w:r w:rsidRPr="00AE3E45">
              <w:rPr>
                <w:lang w:eastAsia="en-AU"/>
              </w:rPr>
              <w:t xml:space="preserve"> </w:t>
            </w:r>
            <w:r w:rsidR="00223E93">
              <w:rPr>
                <w:lang w:eastAsia="en-AU"/>
              </w:rPr>
              <w:t xml:space="preserve">CAD </w:t>
            </w:r>
            <w:r w:rsidRPr="00AE3E45">
              <w:rPr>
                <w:lang w:eastAsia="en-AU"/>
              </w:rPr>
              <w:t>(FY20)</w:t>
            </w:r>
            <w:r w:rsidR="00291810">
              <w:rPr>
                <w:lang w:eastAsia="en-AU"/>
              </w:rPr>
              <w:fldChar w:fldCharType="begin"/>
            </w:r>
            <w:r w:rsidR="00291810">
              <w:rPr>
                <w:lang w:eastAsia="en-AU"/>
              </w:rPr>
              <w:instrText xml:space="preserve"> NOTEREF _Ref75991143 \f \h </w:instrText>
            </w:r>
            <w:r w:rsidR="003F5567">
              <w:rPr>
                <w:lang w:eastAsia="en-AU"/>
              </w:rPr>
              <w:instrText xml:space="preserve"> \* MERGEFORMAT </w:instrText>
            </w:r>
            <w:r w:rsidR="00291810">
              <w:rPr>
                <w:lang w:eastAsia="en-AU"/>
              </w:rPr>
            </w:r>
            <w:r w:rsidR="00291810">
              <w:rPr>
                <w:lang w:eastAsia="en-AU"/>
              </w:rPr>
              <w:fldChar w:fldCharType="separate"/>
            </w:r>
            <w:r w:rsidR="00AE607F" w:rsidRPr="00AE607F">
              <w:rPr>
                <w:rStyle w:val="FootnoteReference"/>
              </w:rPr>
              <w:t>74</w:t>
            </w:r>
            <w:r w:rsidR="00291810">
              <w:rPr>
                <w:lang w:eastAsia="en-AU"/>
              </w:rPr>
              <w:fldChar w:fldCharType="end"/>
            </w:r>
          </w:p>
        </w:tc>
      </w:tr>
      <w:tr w:rsidR="00F01288" w:rsidRPr="00AE3E45" w14:paraId="78B2EB6A" w14:textId="77777777" w:rsidTr="003C631D">
        <w:trPr>
          <w:trHeight w:val="914"/>
        </w:trPr>
        <w:tc>
          <w:tcPr>
            <w:tcW w:w="952" w:type="pct"/>
            <w:tcBorders>
              <w:right w:val="single" w:sz="4" w:space="0" w:color="00264D" w:themeColor="background2"/>
            </w:tcBorders>
            <w:shd w:val="clear" w:color="auto" w:fill="00264D" w:themeFill="background2"/>
            <w:hideMark/>
          </w:tcPr>
          <w:p w14:paraId="3FE4F1DA" w14:textId="2C94219B" w:rsidR="00AE3E45" w:rsidRPr="003F5567" w:rsidRDefault="003F5567" w:rsidP="003F5567">
            <w:pPr>
              <w:pStyle w:val="TableNheader"/>
              <w:rPr>
                <w:color w:val="FFFFFF" w:themeColor="background1"/>
                <w:sz w:val="20"/>
                <w:szCs w:val="18"/>
                <w:lang w:eastAsia="en-AU"/>
              </w:rPr>
            </w:pPr>
            <w:r w:rsidRPr="003F5567">
              <w:rPr>
                <w:color w:val="FFFFFF" w:themeColor="background1"/>
                <w:sz w:val="20"/>
                <w:szCs w:val="18"/>
                <w:lang w:eastAsia="en-AU"/>
              </w:rPr>
              <w:t xml:space="preserve">Number of grants </w:t>
            </w:r>
          </w:p>
        </w:tc>
        <w:tc>
          <w:tcPr>
            <w:tcW w:w="1012"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4D1F19E7" w14:textId="77777777" w:rsidR="00AE3E45" w:rsidRPr="00AE3E45" w:rsidRDefault="00AE3E45" w:rsidP="003F5567">
            <w:pPr>
              <w:pStyle w:val="TableNText"/>
              <w:rPr>
                <w:szCs w:val="17"/>
                <w:lang w:eastAsia="en-AU"/>
              </w:rPr>
            </w:pPr>
            <w:r w:rsidRPr="00AE3E45">
              <w:rPr>
                <w:lang w:eastAsia="en-AU"/>
              </w:rPr>
              <w:t>20 feasibility study grants</w:t>
            </w:r>
          </w:p>
          <w:p w14:paraId="3D31875D" w14:textId="77777777" w:rsidR="00AE3E45" w:rsidRPr="00AE3E45" w:rsidRDefault="00AE3E45" w:rsidP="003F5567">
            <w:pPr>
              <w:pStyle w:val="TableNText"/>
              <w:rPr>
                <w:lang w:eastAsia="en-AU"/>
              </w:rPr>
            </w:pPr>
            <w:r w:rsidRPr="00AE3E45">
              <w:rPr>
                <w:lang w:eastAsia="en-AU"/>
              </w:rPr>
              <w:t>10 proof of concept grants</w:t>
            </w:r>
          </w:p>
        </w:tc>
        <w:tc>
          <w:tcPr>
            <w:tcW w:w="1012"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3022C976" w14:textId="4F191308" w:rsidR="00AE3E45" w:rsidRPr="00AE3E45" w:rsidRDefault="00AE3E45" w:rsidP="003F5567">
            <w:pPr>
              <w:pStyle w:val="TableNText"/>
              <w:rPr>
                <w:szCs w:val="17"/>
                <w:lang w:eastAsia="en-AU"/>
              </w:rPr>
            </w:pPr>
            <w:r w:rsidRPr="00AE3E45">
              <w:rPr>
                <w:lang w:eastAsia="en-AU"/>
              </w:rPr>
              <w:t>2,500 – 4,500 feasibility study awards p.a.</w:t>
            </w:r>
          </w:p>
          <w:p w14:paraId="41978311" w14:textId="77777777" w:rsidR="00AE3E45" w:rsidRPr="00AE3E45" w:rsidRDefault="00AE3E45" w:rsidP="003F5567">
            <w:pPr>
              <w:pStyle w:val="TableNText"/>
              <w:rPr>
                <w:lang w:eastAsia="en-AU"/>
              </w:rPr>
            </w:pPr>
            <w:r w:rsidRPr="00AE3E45">
              <w:rPr>
                <w:lang w:eastAsia="en-AU"/>
              </w:rPr>
              <w:t>1,000 – 2,000 R&amp;D awards p.a.</w:t>
            </w:r>
          </w:p>
        </w:tc>
        <w:tc>
          <w:tcPr>
            <w:tcW w:w="1012"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6C8BFCCA" w14:textId="77777777" w:rsidR="00AE3E45" w:rsidRPr="00AE3E45" w:rsidRDefault="00AE3E45" w:rsidP="003F5567">
            <w:pPr>
              <w:pStyle w:val="TableNText"/>
              <w:rPr>
                <w:lang w:eastAsia="en-AU"/>
              </w:rPr>
            </w:pPr>
            <w:r w:rsidRPr="00AE3E45">
              <w:rPr>
                <w:lang w:eastAsia="en-AU"/>
              </w:rPr>
              <w:t>2,164 projects (as of 2016)</w:t>
            </w:r>
          </w:p>
        </w:tc>
        <w:tc>
          <w:tcPr>
            <w:tcW w:w="1012"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516DB483" w14:textId="735FFAAD" w:rsidR="00AE3E45" w:rsidRPr="00AE3E45" w:rsidRDefault="009F4413" w:rsidP="003F5567">
            <w:pPr>
              <w:pStyle w:val="TableNText"/>
              <w:rPr>
                <w:lang w:eastAsia="en-AU"/>
              </w:rPr>
            </w:pPr>
            <w:r>
              <w:rPr>
                <w:lang w:eastAsia="en-AU"/>
              </w:rPr>
              <w:t>70 projects</w:t>
            </w:r>
          </w:p>
        </w:tc>
      </w:tr>
      <w:tr w:rsidR="00F01288" w:rsidRPr="00AE3E45" w14:paraId="2DEB67C4" w14:textId="77777777" w:rsidTr="003C631D">
        <w:trPr>
          <w:trHeight w:val="592"/>
        </w:trPr>
        <w:tc>
          <w:tcPr>
            <w:tcW w:w="952" w:type="pct"/>
            <w:tcBorders>
              <w:right w:val="single" w:sz="4" w:space="0" w:color="00264D" w:themeColor="background2"/>
            </w:tcBorders>
            <w:shd w:val="clear" w:color="auto" w:fill="00264D" w:themeFill="background2"/>
            <w:hideMark/>
          </w:tcPr>
          <w:p w14:paraId="02FE3BF2" w14:textId="4AEB11D8" w:rsidR="00AE3E45" w:rsidRPr="003F5567" w:rsidRDefault="003F5567" w:rsidP="003F5567">
            <w:pPr>
              <w:pStyle w:val="TableNheader"/>
              <w:rPr>
                <w:color w:val="FFFFFF" w:themeColor="background1"/>
                <w:sz w:val="20"/>
                <w:szCs w:val="18"/>
                <w:lang w:eastAsia="en-AU"/>
              </w:rPr>
            </w:pPr>
            <w:r w:rsidRPr="003F5567">
              <w:rPr>
                <w:color w:val="FFFFFF" w:themeColor="background1"/>
                <w:sz w:val="20"/>
                <w:szCs w:val="18"/>
                <w:lang w:eastAsia="en-AU"/>
              </w:rPr>
              <w:t>Number of agencies</w:t>
            </w:r>
          </w:p>
        </w:tc>
        <w:tc>
          <w:tcPr>
            <w:tcW w:w="1012"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6E4E5EE5" w14:textId="77777777" w:rsidR="00AE3E45" w:rsidRPr="00AE3E45" w:rsidRDefault="00AE3E45" w:rsidP="003F5567">
            <w:pPr>
              <w:pStyle w:val="TableNText"/>
              <w:rPr>
                <w:lang w:eastAsia="en-AU"/>
              </w:rPr>
            </w:pPr>
            <w:r w:rsidRPr="00AE3E45">
              <w:rPr>
                <w:lang w:eastAsia="en-AU"/>
              </w:rPr>
              <w:t>7</w:t>
            </w:r>
          </w:p>
        </w:tc>
        <w:tc>
          <w:tcPr>
            <w:tcW w:w="1012"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4F9B68EF" w14:textId="77777777" w:rsidR="00AE3E45" w:rsidRPr="00AE3E45" w:rsidRDefault="00AE3E45" w:rsidP="003F5567">
            <w:pPr>
              <w:pStyle w:val="TableNText"/>
              <w:rPr>
                <w:lang w:eastAsia="en-AU"/>
              </w:rPr>
            </w:pPr>
            <w:r w:rsidRPr="00AE3E45">
              <w:rPr>
                <w:lang w:eastAsia="en-AU"/>
              </w:rPr>
              <w:t>11</w:t>
            </w:r>
          </w:p>
        </w:tc>
        <w:tc>
          <w:tcPr>
            <w:tcW w:w="1012"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18157F67" w14:textId="77777777" w:rsidR="00AE3E45" w:rsidRPr="00AE3E45" w:rsidRDefault="00AE3E45" w:rsidP="003F5567">
            <w:pPr>
              <w:pStyle w:val="TableNText"/>
              <w:rPr>
                <w:lang w:eastAsia="en-AU"/>
              </w:rPr>
            </w:pPr>
            <w:r w:rsidRPr="00AE3E45">
              <w:rPr>
                <w:lang w:eastAsia="en-AU"/>
              </w:rPr>
              <w:t>22</w:t>
            </w:r>
          </w:p>
        </w:tc>
        <w:tc>
          <w:tcPr>
            <w:tcW w:w="1012"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0BC55F73" w14:textId="77777777" w:rsidR="00AE3E45" w:rsidRPr="00AE3E45" w:rsidRDefault="00AE3E45" w:rsidP="003F5567">
            <w:pPr>
              <w:pStyle w:val="TableNText"/>
              <w:rPr>
                <w:lang w:eastAsia="en-AU"/>
              </w:rPr>
            </w:pPr>
            <w:r w:rsidRPr="00AE3E45">
              <w:rPr>
                <w:lang w:eastAsia="en-AU"/>
              </w:rPr>
              <w:t>20</w:t>
            </w:r>
          </w:p>
        </w:tc>
      </w:tr>
      <w:tr w:rsidR="00F01288" w:rsidRPr="00AE3E45" w14:paraId="4D11EAF8" w14:textId="77777777" w:rsidTr="003C631D">
        <w:trPr>
          <w:trHeight w:val="686"/>
        </w:trPr>
        <w:tc>
          <w:tcPr>
            <w:tcW w:w="952" w:type="pct"/>
            <w:tcBorders>
              <w:right w:val="single" w:sz="4" w:space="0" w:color="00264D" w:themeColor="background2"/>
            </w:tcBorders>
            <w:shd w:val="clear" w:color="auto" w:fill="00264D" w:themeFill="background2"/>
            <w:hideMark/>
          </w:tcPr>
          <w:p w14:paraId="3AF88B64" w14:textId="3C3E6D07" w:rsidR="00AE3E45" w:rsidRPr="003F5567" w:rsidRDefault="003F5567" w:rsidP="003F5567">
            <w:pPr>
              <w:pStyle w:val="TableNheader"/>
              <w:rPr>
                <w:color w:val="FFFFFF" w:themeColor="background1"/>
                <w:sz w:val="20"/>
                <w:szCs w:val="18"/>
                <w:lang w:eastAsia="en-AU"/>
              </w:rPr>
            </w:pPr>
            <w:r w:rsidRPr="003F5567">
              <w:rPr>
                <w:color w:val="FFFFFF" w:themeColor="background1"/>
                <w:sz w:val="20"/>
                <w:szCs w:val="18"/>
                <w:lang w:eastAsia="en-AU"/>
              </w:rPr>
              <w:t>Business eligibility</w:t>
            </w:r>
          </w:p>
        </w:tc>
        <w:tc>
          <w:tcPr>
            <w:tcW w:w="1012"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6C085637" w14:textId="77777777" w:rsidR="00AE3E45" w:rsidRPr="00AE3E45" w:rsidRDefault="00AE3E45" w:rsidP="003F5567">
            <w:pPr>
              <w:pStyle w:val="TableNText"/>
              <w:rPr>
                <w:lang w:eastAsia="en-AU"/>
              </w:rPr>
            </w:pPr>
            <w:r w:rsidRPr="00AE3E45">
              <w:rPr>
                <w:lang w:eastAsia="en-AU"/>
              </w:rPr>
              <w:t>SMEs</w:t>
            </w:r>
          </w:p>
        </w:tc>
        <w:tc>
          <w:tcPr>
            <w:tcW w:w="1012"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16E0627C" w14:textId="77777777" w:rsidR="00AE3E45" w:rsidRPr="00AE3E45" w:rsidRDefault="00AE3E45" w:rsidP="003F5567">
            <w:pPr>
              <w:pStyle w:val="TableNText"/>
              <w:rPr>
                <w:lang w:eastAsia="en-AU"/>
              </w:rPr>
            </w:pPr>
            <w:r w:rsidRPr="00AE3E45">
              <w:rPr>
                <w:lang w:eastAsia="en-AU"/>
              </w:rPr>
              <w:t>&lt;500 employees</w:t>
            </w:r>
          </w:p>
        </w:tc>
        <w:tc>
          <w:tcPr>
            <w:tcW w:w="1012"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392EF51B" w14:textId="77777777" w:rsidR="00AE3E45" w:rsidRPr="00AE3E45" w:rsidRDefault="00AE3E45" w:rsidP="003F5567">
            <w:pPr>
              <w:pStyle w:val="TableNText"/>
              <w:rPr>
                <w:lang w:eastAsia="en-AU"/>
              </w:rPr>
            </w:pPr>
            <w:r w:rsidRPr="00AE3E45">
              <w:rPr>
                <w:lang w:eastAsia="en-AU"/>
              </w:rPr>
              <w:t xml:space="preserve">Business or research </w:t>
            </w:r>
            <w:r w:rsidRPr="00AE3E45">
              <w:rPr>
                <w:lang w:eastAsia="en-AU"/>
              </w:rPr>
              <w:br/>
              <w:t>organisation of any size</w:t>
            </w:r>
          </w:p>
        </w:tc>
        <w:tc>
          <w:tcPr>
            <w:tcW w:w="1012"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597DE047" w14:textId="77777777" w:rsidR="00AE3E45" w:rsidRPr="00AE3E45" w:rsidRDefault="00AE3E45" w:rsidP="003F5567">
            <w:pPr>
              <w:pStyle w:val="TableNText"/>
              <w:rPr>
                <w:lang w:eastAsia="en-AU"/>
              </w:rPr>
            </w:pPr>
            <w:r w:rsidRPr="00AE3E45">
              <w:rPr>
                <w:lang w:eastAsia="en-AU"/>
              </w:rPr>
              <w:t>&lt;500 FTE, majority of business operations in Canada</w:t>
            </w:r>
          </w:p>
        </w:tc>
      </w:tr>
    </w:tbl>
    <w:p w14:paraId="332F7F5A" w14:textId="77777777" w:rsidR="00E35BE6" w:rsidRDefault="00E35BE6" w:rsidP="00E35BE6"/>
    <w:p w14:paraId="5929A11B" w14:textId="77777777" w:rsidR="00E60C88" w:rsidRDefault="00E60C88" w:rsidP="00E35BE6">
      <w:pPr>
        <w:sectPr w:rsidR="00E60C88" w:rsidSect="00004A29">
          <w:headerReference w:type="first" r:id="rId76"/>
          <w:footerReference w:type="first" r:id="rId77"/>
          <w:pgSz w:w="11907" w:h="16839" w:code="9"/>
          <w:pgMar w:top="1418" w:right="1418" w:bottom="1418" w:left="1559" w:header="720" w:footer="720" w:gutter="0"/>
          <w:cols w:space="720"/>
          <w:titlePg/>
          <w:docGrid w:linePitch="360"/>
        </w:sectPr>
      </w:pPr>
    </w:p>
    <w:p w14:paraId="4CF937A9" w14:textId="2C7D9CCF" w:rsidR="00E35BE6" w:rsidRDefault="00A60DD4" w:rsidP="00EA4234">
      <w:pPr>
        <w:pStyle w:val="xAppendixLevel2"/>
        <w:ind w:left="851"/>
      </w:pPr>
      <w:bookmarkStart w:id="204" w:name="_Toc124435170"/>
      <w:r>
        <w:lastRenderedPageBreak/>
        <w:t xml:space="preserve">There were five challenges in round </w:t>
      </w:r>
      <w:r w:rsidR="002638EE">
        <w:t>one</w:t>
      </w:r>
      <w:bookmarkEnd w:id="204"/>
    </w:p>
    <w:p w14:paraId="5773454C" w14:textId="0EFE85C8" w:rsidR="00E35BE6" w:rsidRDefault="00884907" w:rsidP="00D26954">
      <w:pPr>
        <w:rPr>
          <w:lang w:eastAsia="en-AU"/>
        </w:rPr>
      </w:pPr>
      <w:r w:rsidRPr="00884907">
        <w:rPr>
          <w:lang w:eastAsia="en-AU"/>
        </w:rPr>
        <w:t>The average grant value at the feasibility study stage was $92,446. The average grant value at the proof of concept stage was $971,977</w:t>
      </w:r>
      <w:r>
        <w:rPr>
          <w:lang w:eastAsia="en-AU"/>
        </w:rPr>
        <w:t>.</w:t>
      </w:r>
    </w:p>
    <w:p w14:paraId="3B778C9D" w14:textId="54BADEFB" w:rsidR="00884907" w:rsidRDefault="00884907" w:rsidP="00D26954">
      <w:pPr>
        <w:pStyle w:val="Caption"/>
        <w:rPr>
          <w:lang w:eastAsia="en-AU"/>
        </w:rPr>
      </w:pPr>
      <w:r>
        <w:t xml:space="preserve">Table </w:t>
      </w:r>
      <w:r>
        <w:fldChar w:fldCharType="begin"/>
      </w:r>
      <w:r>
        <w:instrText xml:space="preserve"> SEQ Table \* ARABIC </w:instrText>
      </w:r>
      <w:r>
        <w:fldChar w:fldCharType="separate"/>
      </w:r>
      <w:r w:rsidR="00AE607F">
        <w:rPr>
          <w:noProof/>
        </w:rPr>
        <w:t>14</w:t>
      </w:r>
      <w:r>
        <w:fldChar w:fldCharType="end"/>
      </w:r>
      <w:r>
        <w:t xml:space="preserve"> | Summary of </w:t>
      </w:r>
      <w:r w:rsidR="00326353">
        <w:t xml:space="preserve">the </w:t>
      </w:r>
      <w:r>
        <w:t>BRII challenges in round one</w:t>
      </w:r>
    </w:p>
    <w:tbl>
      <w:tblPr>
        <w:tblStyle w:val="NOUSSideHeader1"/>
        <w:tblW w:w="5000" w:type="pct"/>
        <w:tblLook w:val="0420" w:firstRow="1" w:lastRow="0" w:firstColumn="0" w:lastColumn="0" w:noHBand="0" w:noVBand="1"/>
      </w:tblPr>
      <w:tblGrid>
        <w:gridCol w:w="1316"/>
        <w:gridCol w:w="1659"/>
        <w:gridCol w:w="3262"/>
        <w:gridCol w:w="1776"/>
        <w:gridCol w:w="2153"/>
        <w:gridCol w:w="1363"/>
        <w:gridCol w:w="2153"/>
        <w:gridCol w:w="1333"/>
      </w:tblGrid>
      <w:tr w:rsidR="003C631D" w:rsidRPr="00E35BE6" w14:paraId="23BBDAD2" w14:textId="77777777" w:rsidTr="003C631D">
        <w:trPr>
          <w:cnfStyle w:val="100000000000" w:firstRow="1" w:lastRow="0" w:firstColumn="0" w:lastColumn="0" w:oddVBand="0" w:evenVBand="0" w:oddHBand="0" w:evenHBand="0" w:firstRowFirstColumn="0" w:firstRowLastColumn="0" w:lastRowFirstColumn="0" w:lastRowLastColumn="0"/>
          <w:trHeight w:val="722"/>
        </w:trPr>
        <w:tc>
          <w:tcPr>
            <w:tcW w:w="438" w:type="pct"/>
            <w:tcBorders>
              <w:top w:val="single" w:sz="4" w:space="0" w:color="00264D" w:themeColor="background2"/>
              <w:left w:val="single" w:sz="4" w:space="0" w:color="00264D" w:themeColor="background2"/>
              <w:bottom w:val="single" w:sz="4" w:space="0" w:color="00264D" w:themeColor="background2"/>
            </w:tcBorders>
            <w:shd w:val="clear" w:color="auto" w:fill="00264D" w:themeFill="background2"/>
            <w:hideMark/>
          </w:tcPr>
          <w:p w14:paraId="087DEFE0" w14:textId="77777777" w:rsidR="00E35BE6" w:rsidRPr="00E35BE6" w:rsidRDefault="00E35BE6" w:rsidP="00E35BE6">
            <w:pPr>
              <w:rPr>
                <w:color w:val="FFFFFF" w:themeColor="background1"/>
                <w:lang w:eastAsia="en-AU"/>
              </w:rPr>
            </w:pPr>
          </w:p>
        </w:tc>
        <w:tc>
          <w:tcPr>
            <w:tcW w:w="552" w:type="pct"/>
            <w:tcBorders>
              <w:top w:val="single" w:sz="4" w:space="0" w:color="00264D" w:themeColor="background2"/>
              <w:bottom w:val="single" w:sz="4" w:space="0" w:color="00264D" w:themeColor="background2"/>
            </w:tcBorders>
            <w:shd w:val="clear" w:color="auto" w:fill="00264D" w:themeFill="background2"/>
            <w:vAlign w:val="bottom"/>
            <w:hideMark/>
          </w:tcPr>
          <w:p w14:paraId="626807D0" w14:textId="77777777" w:rsidR="00E35BE6" w:rsidRPr="003F5567" w:rsidRDefault="00E35BE6" w:rsidP="003C631D">
            <w:pPr>
              <w:pStyle w:val="TableNheader"/>
              <w:rPr>
                <w:color w:val="FFFFFF" w:themeColor="background1"/>
                <w:lang w:eastAsia="en-AU"/>
              </w:rPr>
            </w:pPr>
            <w:r w:rsidRPr="003F5567">
              <w:rPr>
                <w:color w:val="FFFFFF" w:themeColor="background1"/>
                <w:lang w:val="en-US" w:eastAsia="en-AU"/>
              </w:rPr>
              <w:t>Challenge</w:t>
            </w:r>
          </w:p>
        </w:tc>
        <w:tc>
          <w:tcPr>
            <w:tcW w:w="1086" w:type="pct"/>
            <w:tcBorders>
              <w:top w:val="single" w:sz="4" w:space="0" w:color="00264D" w:themeColor="background2"/>
              <w:bottom w:val="single" w:sz="4" w:space="0" w:color="00264D" w:themeColor="background2"/>
            </w:tcBorders>
            <w:shd w:val="clear" w:color="auto" w:fill="00264D" w:themeFill="background2"/>
            <w:vAlign w:val="bottom"/>
            <w:hideMark/>
          </w:tcPr>
          <w:p w14:paraId="4C00B38B" w14:textId="77777777" w:rsidR="00E35BE6" w:rsidRPr="003F5567" w:rsidRDefault="00E35BE6" w:rsidP="003C631D">
            <w:pPr>
              <w:pStyle w:val="TableNheader"/>
              <w:rPr>
                <w:color w:val="FFFFFF" w:themeColor="background1"/>
                <w:lang w:eastAsia="en-AU"/>
              </w:rPr>
            </w:pPr>
            <w:r w:rsidRPr="003F5567">
              <w:rPr>
                <w:color w:val="FFFFFF" w:themeColor="background1"/>
                <w:lang w:eastAsia="en-AU"/>
              </w:rPr>
              <w:t>Brief Description</w:t>
            </w:r>
          </w:p>
        </w:tc>
        <w:tc>
          <w:tcPr>
            <w:tcW w:w="591" w:type="pct"/>
            <w:tcBorders>
              <w:top w:val="single" w:sz="4" w:space="0" w:color="00264D" w:themeColor="background2"/>
              <w:bottom w:val="single" w:sz="4" w:space="0" w:color="00264D" w:themeColor="background2"/>
            </w:tcBorders>
            <w:shd w:val="clear" w:color="auto" w:fill="00264D" w:themeFill="background2"/>
            <w:vAlign w:val="bottom"/>
            <w:hideMark/>
          </w:tcPr>
          <w:p w14:paraId="51F4B46F" w14:textId="77777777" w:rsidR="00E35BE6" w:rsidRPr="003F5567" w:rsidRDefault="00E35BE6" w:rsidP="003C631D">
            <w:pPr>
              <w:pStyle w:val="TableNheader"/>
              <w:rPr>
                <w:color w:val="FFFFFF" w:themeColor="background1"/>
                <w:lang w:eastAsia="en-AU"/>
              </w:rPr>
            </w:pPr>
            <w:r w:rsidRPr="003F5567">
              <w:rPr>
                <w:color w:val="FFFFFF" w:themeColor="background1"/>
                <w:lang w:val="en-US" w:eastAsia="en-AU"/>
              </w:rPr>
              <w:t>Challenge Agency</w:t>
            </w:r>
          </w:p>
        </w:tc>
        <w:tc>
          <w:tcPr>
            <w:tcW w:w="717" w:type="pct"/>
            <w:tcBorders>
              <w:top w:val="single" w:sz="4" w:space="0" w:color="00264D" w:themeColor="background2"/>
              <w:bottom w:val="single" w:sz="4" w:space="0" w:color="00264D" w:themeColor="background2"/>
            </w:tcBorders>
            <w:shd w:val="clear" w:color="auto" w:fill="00264D" w:themeFill="background2"/>
            <w:vAlign w:val="bottom"/>
            <w:hideMark/>
          </w:tcPr>
          <w:p w14:paraId="33BAF778" w14:textId="77777777" w:rsidR="00E35BE6" w:rsidRPr="003F5567" w:rsidRDefault="00E35BE6" w:rsidP="003C631D">
            <w:pPr>
              <w:pStyle w:val="TableNheader"/>
              <w:rPr>
                <w:color w:val="FFFFFF" w:themeColor="background1"/>
                <w:lang w:eastAsia="en-AU"/>
              </w:rPr>
            </w:pPr>
            <w:r w:rsidRPr="003F5567">
              <w:rPr>
                <w:color w:val="FFFFFF" w:themeColor="background1"/>
                <w:lang w:eastAsia="en-AU"/>
              </w:rPr>
              <w:t>Feasibility study SMEs</w:t>
            </w:r>
          </w:p>
        </w:tc>
        <w:tc>
          <w:tcPr>
            <w:tcW w:w="454" w:type="pct"/>
            <w:tcBorders>
              <w:top w:val="single" w:sz="4" w:space="0" w:color="00264D" w:themeColor="background2"/>
              <w:bottom w:val="single" w:sz="4" w:space="0" w:color="00264D" w:themeColor="background2"/>
            </w:tcBorders>
            <w:shd w:val="clear" w:color="auto" w:fill="00264D" w:themeFill="background2"/>
            <w:vAlign w:val="bottom"/>
            <w:hideMark/>
          </w:tcPr>
          <w:p w14:paraId="26B474B6" w14:textId="77777777" w:rsidR="00E35BE6" w:rsidRPr="003F5567" w:rsidRDefault="00E35BE6" w:rsidP="003C631D">
            <w:pPr>
              <w:pStyle w:val="TableNheader"/>
              <w:rPr>
                <w:color w:val="FFFFFF" w:themeColor="background1"/>
                <w:lang w:eastAsia="en-AU"/>
              </w:rPr>
            </w:pPr>
            <w:r w:rsidRPr="003F5567">
              <w:rPr>
                <w:color w:val="FFFFFF" w:themeColor="background1"/>
                <w:lang w:eastAsia="en-AU"/>
              </w:rPr>
              <w:t>Average Feasibility Grant Value</w:t>
            </w:r>
          </w:p>
        </w:tc>
        <w:tc>
          <w:tcPr>
            <w:tcW w:w="717" w:type="pct"/>
            <w:tcBorders>
              <w:top w:val="single" w:sz="4" w:space="0" w:color="00264D" w:themeColor="background2"/>
              <w:bottom w:val="single" w:sz="4" w:space="0" w:color="00264D" w:themeColor="background2"/>
            </w:tcBorders>
            <w:shd w:val="clear" w:color="auto" w:fill="00264D" w:themeFill="background2"/>
            <w:vAlign w:val="bottom"/>
            <w:hideMark/>
          </w:tcPr>
          <w:p w14:paraId="73EE33D8" w14:textId="77777777" w:rsidR="00E35BE6" w:rsidRPr="003F5567" w:rsidRDefault="00E35BE6" w:rsidP="003C631D">
            <w:pPr>
              <w:pStyle w:val="TableNheader"/>
              <w:rPr>
                <w:color w:val="FFFFFF" w:themeColor="background1"/>
                <w:lang w:eastAsia="en-AU"/>
              </w:rPr>
            </w:pPr>
            <w:r w:rsidRPr="003F5567">
              <w:rPr>
                <w:color w:val="FFFFFF" w:themeColor="background1"/>
                <w:lang w:eastAsia="en-AU"/>
              </w:rPr>
              <w:t>Proof of concept SMEs</w:t>
            </w:r>
          </w:p>
        </w:tc>
        <w:tc>
          <w:tcPr>
            <w:tcW w:w="444" w:type="pct"/>
            <w:tcBorders>
              <w:top w:val="single" w:sz="4" w:space="0" w:color="00264D" w:themeColor="background2"/>
              <w:bottom w:val="single" w:sz="4" w:space="0" w:color="00264D" w:themeColor="background2"/>
              <w:right w:val="single" w:sz="4" w:space="0" w:color="00264D" w:themeColor="background2"/>
            </w:tcBorders>
            <w:shd w:val="clear" w:color="auto" w:fill="00264D" w:themeFill="background2"/>
            <w:vAlign w:val="bottom"/>
            <w:hideMark/>
          </w:tcPr>
          <w:p w14:paraId="1447DB7C" w14:textId="77777777" w:rsidR="00E35BE6" w:rsidRPr="003F5567" w:rsidRDefault="00E35BE6" w:rsidP="003C631D">
            <w:pPr>
              <w:pStyle w:val="TableNheader"/>
              <w:rPr>
                <w:color w:val="FFFFFF" w:themeColor="background1"/>
                <w:lang w:eastAsia="en-AU"/>
              </w:rPr>
            </w:pPr>
            <w:r w:rsidRPr="003F5567">
              <w:rPr>
                <w:color w:val="FFFFFF" w:themeColor="background1"/>
                <w:lang w:eastAsia="en-AU"/>
              </w:rPr>
              <w:t>Average proof of concept grant value</w:t>
            </w:r>
          </w:p>
        </w:tc>
      </w:tr>
      <w:tr w:rsidR="003C631D" w:rsidRPr="00E35BE6" w14:paraId="60BA9217" w14:textId="77777777" w:rsidTr="003C631D">
        <w:trPr>
          <w:cnfStyle w:val="000000100000" w:firstRow="0" w:lastRow="0" w:firstColumn="0" w:lastColumn="0" w:oddVBand="0" w:evenVBand="0" w:oddHBand="1" w:evenHBand="0" w:firstRowFirstColumn="0" w:firstRowLastColumn="0" w:lastRowFirstColumn="0" w:lastRowLastColumn="0"/>
          <w:trHeight w:val="1221"/>
        </w:trPr>
        <w:tc>
          <w:tcPr>
            <w:tcW w:w="438"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hideMark/>
          </w:tcPr>
          <w:p w14:paraId="78C67BA8" w14:textId="42B97229" w:rsidR="00E35BE6" w:rsidRPr="003F5567" w:rsidRDefault="003F5567" w:rsidP="003C631D">
            <w:pPr>
              <w:rPr>
                <w:color w:val="00264D" w:themeColor="background2"/>
                <w:lang w:eastAsia="en-AU"/>
              </w:rPr>
            </w:pPr>
            <w:r>
              <w:rPr>
                <w:noProof/>
                <w:color w:val="00264D" w:themeColor="background2"/>
                <w:lang w:eastAsia="en-AU"/>
              </w:rPr>
              <w:drawing>
                <wp:inline distT="0" distB="0" distL="0" distR="0" wp14:anchorId="4FF59054" wp14:editId="4681218D">
                  <wp:extent cx="396240" cy="359410"/>
                  <wp:effectExtent l="0" t="0" r="3810" b="2540"/>
                  <wp:docPr id="480" name="Picture 480" descr="Communic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Picture 480" descr="Communication icon"/>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6240" cy="359410"/>
                          </a:xfrm>
                          <a:prstGeom prst="rect">
                            <a:avLst/>
                          </a:prstGeom>
                          <a:noFill/>
                        </pic:spPr>
                      </pic:pic>
                    </a:graphicData>
                  </a:graphic>
                </wp:inline>
              </w:drawing>
            </w:r>
          </w:p>
        </w:tc>
        <w:tc>
          <w:tcPr>
            <w:tcW w:w="552"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hideMark/>
          </w:tcPr>
          <w:p w14:paraId="7182E645" w14:textId="77777777" w:rsidR="00E35BE6" w:rsidRPr="003F5567" w:rsidRDefault="00E35BE6" w:rsidP="003C631D">
            <w:pPr>
              <w:pStyle w:val="TableNText"/>
              <w:rPr>
                <w:rFonts w:asciiTheme="majorHAnsi" w:hAnsiTheme="majorHAnsi" w:cstheme="majorHAnsi"/>
                <w:color w:val="00264D" w:themeColor="background2"/>
                <w:lang w:eastAsia="en-AU"/>
              </w:rPr>
            </w:pPr>
            <w:r w:rsidRPr="003F5567">
              <w:rPr>
                <w:rFonts w:asciiTheme="majorHAnsi" w:hAnsiTheme="majorHAnsi" w:cstheme="majorHAnsi"/>
                <w:color w:val="00264D" w:themeColor="background2"/>
                <w:lang w:eastAsia="en-AU"/>
              </w:rPr>
              <w:t xml:space="preserve">Digitally enabled community engagement in policy and program design </w:t>
            </w:r>
          </w:p>
        </w:tc>
        <w:tc>
          <w:tcPr>
            <w:tcW w:w="1086"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hideMark/>
          </w:tcPr>
          <w:p w14:paraId="45C8EA37" w14:textId="77777777" w:rsidR="00E35BE6" w:rsidRPr="00E35BE6" w:rsidRDefault="00E35BE6" w:rsidP="003C631D">
            <w:pPr>
              <w:pStyle w:val="TableNText"/>
              <w:rPr>
                <w:lang w:eastAsia="en-AU"/>
              </w:rPr>
            </w:pPr>
            <w:r w:rsidRPr="00E35BE6">
              <w:rPr>
                <w:lang w:eastAsia="en-AU"/>
              </w:rPr>
              <w:t>Digitally enabled process to provide a faster, lower cost and broader based consultation and co-design processes to enable business and community organisations to participate in the design of policies and programs by Australian Government agencies.</w:t>
            </w:r>
          </w:p>
        </w:tc>
        <w:tc>
          <w:tcPr>
            <w:tcW w:w="591"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hideMark/>
          </w:tcPr>
          <w:p w14:paraId="47CE1147" w14:textId="77777777" w:rsidR="00E35BE6" w:rsidRPr="00E35BE6" w:rsidRDefault="00E35BE6" w:rsidP="003C631D">
            <w:pPr>
              <w:pStyle w:val="TableNText"/>
              <w:rPr>
                <w:lang w:eastAsia="en-AU"/>
              </w:rPr>
            </w:pPr>
            <w:r w:rsidRPr="00E35BE6">
              <w:rPr>
                <w:lang w:eastAsia="en-AU"/>
              </w:rPr>
              <w:t>Department of Industry, Innovation and Science and Department of Social Services</w:t>
            </w:r>
          </w:p>
        </w:tc>
        <w:tc>
          <w:tcPr>
            <w:tcW w:w="717"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hideMark/>
          </w:tcPr>
          <w:p w14:paraId="4779ADB4" w14:textId="77777777" w:rsidR="00E35BE6" w:rsidRPr="00E35BE6" w:rsidRDefault="00E35BE6" w:rsidP="003C631D">
            <w:pPr>
              <w:pStyle w:val="TableNBullet"/>
            </w:pPr>
            <w:r w:rsidRPr="00E35BE6">
              <w:rPr>
                <w:rFonts w:eastAsia="Segoe UI"/>
              </w:rPr>
              <w:t>Crawford Kaye</w:t>
            </w:r>
          </w:p>
          <w:p w14:paraId="2209B539" w14:textId="77777777" w:rsidR="00E35BE6" w:rsidRPr="00E35BE6" w:rsidRDefault="00E35BE6" w:rsidP="003C631D">
            <w:pPr>
              <w:pStyle w:val="TableNBullet"/>
            </w:pPr>
            <w:r w:rsidRPr="00E35BE6">
              <w:rPr>
                <w:rFonts w:eastAsia="Segoe UI"/>
              </w:rPr>
              <w:t>Likely Theory</w:t>
            </w:r>
          </w:p>
          <w:p w14:paraId="697A1596" w14:textId="77777777" w:rsidR="00E35BE6" w:rsidRPr="00E35BE6" w:rsidRDefault="00E35BE6" w:rsidP="003C631D">
            <w:pPr>
              <w:pStyle w:val="TableNBullet"/>
            </w:pPr>
            <w:r w:rsidRPr="00E35BE6">
              <w:rPr>
                <w:rFonts w:eastAsia="Segoe UI"/>
              </w:rPr>
              <w:t>Futuregov</w:t>
            </w:r>
          </w:p>
          <w:p w14:paraId="0B9AF915" w14:textId="77777777" w:rsidR="00E35BE6" w:rsidRPr="00E35BE6" w:rsidRDefault="00E35BE6" w:rsidP="003C631D">
            <w:pPr>
              <w:pStyle w:val="TableNBullet"/>
            </w:pPr>
            <w:r w:rsidRPr="00E35BE6">
              <w:rPr>
                <w:rFonts w:eastAsia="Segoe UI"/>
              </w:rPr>
              <w:t>Collabforge</w:t>
            </w:r>
          </w:p>
        </w:tc>
        <w:tc>
          <w:tcPr>
            <w:tcW w:w="454"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hideMark/>
          </w:tcPr>
          <w:p w14:paraId="53524915" w14:textId="77777777" w:rsidR="00E35BE6" w:rsidRPr="00E35BE6" w:rsidRDefault="00E35BE6" w:rsidP="003C631D">
            <w:pPr>
              <w:pStyle w:val="TableNText"/>
              <w:rPr>
                <w:lang w:eastAsia="en-AU"/>
              </w:rPr>
            </w:pPr>
            <w:r w:rsidRPr="00E35BE6">
              <w:rPr>
                <w:lang w:eastAsia="en-AU"/>
              </w:rPr>
              <w:t>$89,117</w:t>
            </w:r>
          </w:p>
        </w:tc>
        <w:tc>
          <w:tcPr>
            <w:tcW w:w="717"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hideMark/>
          </w:tcPr>
          <w:p w14:paraId="16CA9C26" w14:textId="77777777" w:rsidR="00E35BE6" w:rsidRPr="00E35BE6" w:rsidRDefault="00E35BE6" w:rsidP="003C631D">
            <w:pPr>
              <w:pStyle w:val="TableNBullet"/>
            </w:pPr>
            <w:r w:rsidRPr="00E35BE6">
              <w:rPr>
                <w:rFonts w:eastAsia="Segoe UI"/>
              </w:rPr>
              <w:t>Collabforge</w:t>
            </w:r>
          </w:p>
          <w:p w14:paraId="75D51865" w14:textId="77777777" w:rsidR="00E35BE6" w:rsidRPr="00E35BE6" w:rsidRDefault="00E35BE6" w:rsidP="003C631D">
            <w:pPr>
              <w:pStyle w:val="TableNBullet"/>
            </w:pPr>
            <w:r w:rsidRPr="00E35BE6">
              <w:rPr>
                <w:rFonts w:eastAsia="Segoe UI"/>
              </w:rPr>
              <w:t>Likely Theory</w:t>
            </w:r>
          </w:p>
        </w:tc>
        <w:tc>
          <w:tcPr>
            <w:tcW w:w="444"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hideMark/>
          </w:tcPr>
          <w:p w14:paraId="0B15DC8C" w14:textId="77777777" w:rsidR="00E35BE6" w:rsidRPr="00E35BE6" w:rsidRDefault="00E35BE6" w:rsidP="003C631D">
            <w:pPr>
              <w:pStyle w:val="TableNText"/>
              <w:rPr>
                <w:lang w:eastAsia="en-AU"/>
              </w:rPr>
            </w:pPr>
            <w:r w:rsidRPr="00E35BE6">
              <w:rPr>
                <w:lang w:eastAsia="en-AU"/>
              </w:rPr>
              <w:t>$998,675</w:t>
            </w:r>
          </w:p>
        </w:tc>
      </w:tr>
      <w:tr w:rsidR="00B3261F" w:rsidRPr="00E35BE6" w14:paraId="40E58210" w14:textId="77777777" w:rsidTr="003C631D">
        <w:trPr>
          <w:cnfStyle w:val="000000010000" w:firstRow="0" w:lastRow="0" w:firstColumn="0" w:lastColumn="0" w:oddVBand="0" w:evenVBand="0" w:oddHBand="0" w:evenHBand="1" w:firstRowFirstColumn="0" w:firstRowLastColumn="0" w:lastRowFirstColumn="0" w:lastRowLastColumn="0"/>
          <w:trHeight w:val="1221"/>
        </w:trPr>
        <w:tc>
          <w:tcPr>
            <w:tcW w:w="438"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hideMark/>
          </w:tcPr>
          <w:p w14:paraId="70837523" w14:textId="3E577323" w:rsidR="00E35BE6" w:rsidRPr="003F5567" w:rsidRDefault="003F5567" w:rsidP="003C631D">
            <w:pPr>
              <w:rPr>
                <w:color w:val="00264D" w:themeColor="background2"/>
                <w:lang w:eastAsia="en-AU"/>
              </w:rPr>
            </w:pPr>
            <w:r>
              <w:rPr>
                <w:noProof/>
                <w:color w:val="00264D" w:themeColor="background2"/>
                <w:lang w:eastAsia="en-AU"/>
              </w:rPr>
              <w:drawing>
                <wp:inline distT="0" distB="0" distL="0" distR="0" wp14:anchorId="6FA967C8" wp14:editId="0FE5959B">
                  <wp:extent cx="372110" cy="359410"/>
                  <wp:effectExtent l="0" t="0" r="8890" b="2540"/>
                  <wp:docPr id="481" name="Picture 481" descr="Mobile 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481" descr="Mobile phone icon"/>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72110" cy="359410"/>
                          </a:xfrm>
                          <a:prstGeom prst="rect">
                            <a:avLst/>
                          </a:prstGeom>
                          <a:noFill/>
                        </pic:spPr>
                      </pic:pic>
                    </a:graphicData>
                  </a:graphic>
                </wp:inline>
              </w:drawing>
            </w:r>
          </w:p>
        </w:tc>
        <w:tc>
          <w:tcPr>
            <w:tcW w:w="552"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hideMark/>
          </w:tcPr>
          <w:p w14:paraId="7E31B86C" w14:textId="77777777" w:rsidR="00E35BE6" w:rsidRPr="003F5567" w:rsidRDefault="00E35BE6" w:rsidP="003C631D">
            <w:pPr>
              <w:pStyle w:val="TableNText"/>
              <w:rPr>
                <w:rFonts w:asciiTheme="majorHAnsi" w:hAnsiTheme="majorHAnsi" w:cstheme="majorHAnsi"/>
                <w:color w:val="00264D" w:themeColor="background2"/>
                <w:lang w:eastAsia="en-AU"/>
              </w:rPr>
            </w:pPr>
            <w:r w:rsidRPr="003F5567">
              <w:rPr>
                <w:rFonts w:asciiTheme="majorHAnsi" w:hAnsiTheme="majorHAnsi" w:cstheme="majorHAnsi"/>
                <w:color w:val="00264D" w:themeColor="background2"/>
                <w:lang w:eastAsia="en-AU"/>
              </w:rPr>
              <w:t xml:space="preserve">Improving transparency and reliability of water market information </w:t>
            </w:r>
          </w:p>
        </w:tc>
        <w:tc>
          <w:tcPr>
            <w:tcW w:w="1086"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hideMark/>
          </w:tcPr>
          <w:p w14:paraId="547CF90D" w14:textId="77777777" w:rsidR="00E35BE6" w:rsidRPr="00E35BE6" w:rsidRDefault="00E35BE6" w:rsidP="003C631D">
            <w:pPr>
              <w:pStyle w:val="TableNText"/>
              <w:rPr>
                <w:lang w:eastAsia="en-AU"/>
              </w:rPr>
            </w:pPr>
            <w:r w:rsidRPr="00E35BE6">
              <w:rPr>
                <w:lang w:eastAsia="en-AU"/>
              </w:rPr>
              <w:t xml:space="preserve">Improve transparency and reliability of water market information to increase market participation by water licence holders and enhance consumer confidence in Australia’s water markets. </w:t>
            </w:r>
          </w:p>
        </w:tc>
        <w:tc>
          <w:tcPr>
            <w:tcW w:w="591"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hideMark/>
          </w:tcPr>
          <w:p w14:paraId="596B3E43" w14:textId="77777777" w:rsidR="00E35BE6" w:rsidRPr="00E35BE6" w:rsidRDefault="00E35BE6" w:rsidP="003C631D">
            <w:pPr>
              <w:pStyle w:val="TableNText"/>
              <w:rPr>
                <w:lang w:eastAsia="en-AU"/>
              </w:rPr>
            </w:pPr>
            <w:r w:rsidRPr="00E35BE6">
              <w:rPr>
                <w:lang w:eastAsia="en-AU"/>
              </w:rPr>
              <w:t>Department of Agriculture and Water Resources</w:t>
            </w:r>
          </w:p>
        </w:tc>
        <w:tc>
          <w:tcPr>
            <w:tcW w:w="717"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hideMark/>
          </w:tcPr>
          <w:p w14:paraId="024088AE" w14:textId="77777777" w:rsidR="00E35BE6" w:rsidRPr="00E35BE6" w:rsidRDefault="00E35BE6" w:rsidP="003C631D">
            <w:pPr>
              <w:pStyle w:val="TableNBullet"/>
            </w:pPr>
            <w:r w:rsidRPr="00E35BE6">
              <w:rPr>
                <w:rFonts w:eastAsia="Segoe UI"/>
              </w:rPr>
              <w:t>Civic Ledger</w:t>
            </w:r>
          </w:p>
          <w:p w14:paraId="00C823C0" w14:textId="77777777" w:rsidR="00E35BE6" w:rsidRPr="00E35BE6" w:rsidRDefault="00E35BE6" w:rsidP="003C631D">
            <w:pPr>
              <w:pStyle w:val="TableNBullet"/>
            </w:pPr>
            <w:r w:rsidRPr="00E35BE6">
              <w:rPr>
                <w:rFonts w:eastAsia="Segoe UI"/>
              </w:rPr>
              <w:t>Aither</w:t>
            </w:r>
          </w:p>
          <w:p w14:paraId="19103A7F" w14:textId="77777777" w:rsidR="00E35BE6" w:rsidRPr="00E35BE6" w:rsidRDefault="00E35BE6" w:rsidP="003C631D">
            <w:pPr>
              <w:pStyle w:val="TableNBullet"/>
            </w:pPr>
            <w:r w:rsidRPr="00E35BE6">
              <w:rPr>
                <w:rFonts w:eastAsia="Segoe UI"/>
              </w:rPr>
              <w:t>NGIS</w:t>
            </w:r>
          </w:p>
          <w:p w14:paraId="1EA0D806" w14:textId="77777777" w:rsidR="00E35BE6" w:rsidRPr="00E35BE6" w:rsidRDefault="00E35BE6" w:rsidP="003C631D">
            <w:pPr>
              <w:pStyle w:val="TableNBullet"/>
            </w:pPr>
            <w:r w:rsidRPr="00E35BE6">
              <w:rPr>
                <w:rFonts w:eastAsia="Segoe UI"/>
              </w:rPr>
              <w:t>Marsden Jacob Unit Trust</w:t>
            </w:r>
          </w:p>
        </w:tc>
        <w:tc>
          <w:tcPr>
            <w:tcW w:w="454"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hideMark/>
          </w:tcPr>
          <w:p w14:paraId="1B8C263F" w14:textId="77777777" w:rsidR="00E35BE6" w:rsidRPr="00E35BE6" w:rsidRDefault="00E35BE6" w:rsidP="003C631D">
            <w:pPr>
              <w:pStyle w:val="TableNText"/>
              <w:rPr>
                <w:lang w:eastAsia="en-AU"/>
              </w:rPr>
            </w:pPr>
            <w:r w:rsidRPr="00E35BE6">
              <w:rPr>
                <w:lang w:eastAsia="en-AU"/>
              </w:rPr>
              <w:t>$94,456</w:t>
            </w:r>
          </w:p>
        </w:tc>
        <w:tc>
          <w:tcPr>
            <w:tcW w:w="717"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hideMark/>
          </w:tcPr>
          <w:p w14:paraId="6AA3F030" w14:textId="77777777" w:rsidR="00E35BE6" w:rsidRPr="00E35BE6" w:rsidRDefault="00E35BE6" w:rsidP="003C631D">
            <w:pPr>
              <w:pStyle w:val="TableNBullet"/>
            </w:pPr>
            <w:r w:rsidRPr="00E35BE6">
              <w:rPr>
                <w:rFonts w:eastAsia="Segoe UI"/>
              </w:rPr>
              <w:t>Marsden Jacob</w:t>
            </w:r>
          </w:p>
        </w:tc>
        <w:tc>
          <w:tcPr>
            <w:tcW w:w="444"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hideMark/>
          </w:tcPr>
          <w:p w14:paraId="2E424F35" w14:textId="77777777" w:rsidR="00E35BE6" w:rsidRPr="00E35BE6" w:rsidRDefault="00E35BE6" w:rsidP="003C631D">
            <w:pPr>
              <w:pStyle w:val="TableNText"/>
              <w:rPr>
                <w:lang w:eastAsia="en-AU"/>
              </w:rPr>
            </w:pPr>
            <w:r w:rsidRPr="00E35BE6">
              <w:rPr>
                <w:lang w:eastAsia="en-AU"/>
              </w:rPr>
              <w:t>$1,000,000</w:t>
            </w:r>
          </w:p>
        </w:tc>
      </w:tr>
      <w:tr w:rsidR="00B3261F" w:rsidRPr="00E35BE6" w14:paraId="35FA1063" w14:textId="77777777" w:rsidTr="003C631D">
        <w:trPr>
          <w:cnfStyle w:val="000000100000" w:firstRow="0" w:lastRow="0" w:firstColumn="0" w:lastColumn="0" w:oddVBand="0" w:evenVBand="0" w:oddHBand="1" w:evenHBand="0" w:firstRowFirstColumn="0" w:firstRowLastColumn="0" w:lastRowFirstColumn="0" w:lastRowLastColumn="0"/>
          <w:trHeight w:val="1221"/>
        </w:trPr>
        <w:tc>
          <w:tcPr>
            <w:tcW w:w="438"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hideMark/>
          </w:tcPr>
          <w:p w14:paraId="3FBB8989" w14:textId="1BE4C550" w:rsidR="00E35BE6" w:rsidRPr="003F5567" w:rsidRDefault="003F5567" w:rsidP="003C631D">
            <w:pPr>
              <w:rPr>
                <w:color w:val="00264D" w:themeColor="background2"/>
                <w:lang w:eastAsia="en-AU"/>
              </w:rPr>
            </w:pPr>
            <w:r>
              <w:rPr>
                <w:noProof/>
                <w:color w:val="00264D" w:themeColor="background2"/>
                <w:lang w:eastAsia="en-AU"/>
              </w:rPr>
              <w:lastRenderedPageBreak/>
              <w:drawing>
                <wp:inline distT="0" distB="0" distL="0" distR="0" wp14:anchorId="58221944" wp14:editId="1AC028D6">
                  <wp:extent cx="359410" cy="359410"/>
                  <wp:effectExtent l="0" t="0" r="2540" b="2540"/>
                  <wp:docPr id="482" name="Picture 482" descr="Aeropla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descr="Aeroplane icon"/>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pic:spPr>
                      </pic:pic>
                    </a:graphicData>
                  </a:graphic>
                </wp:inline>
              </w:drawing>
            </w:r>
          </w:p>
        </w:tc>
        <w:tc>
          <w:tcPr>
            <w:tcW w:w="552"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hideMark/>
          </w:tcPr>
          <w:p w14:paraId="189831ED" w14:textId="77777777" w:rsidR="00E35BE6" w:rsidRPr="003F5567" w:rsidRDefault="00E35BE6" w:rsidP="003C631D">
            <w:pPr>
              <w:pStyle w:val="TableNText"/>
              <w:rPr>
                <w:rFonts w:asciiTheme="majorHAnsi" w:hAnsiTheme="majorHAnsi" w:cstheme="majorHAnsi"/>
                <w:color w:val="00264D" w:themeColor="background2"/>
                <w:lang w:eastAsia="en-AU"/>
              </w:rPr>
            </w:pPr>
            <w:r w:rsidRPr="003F5567">
              <w:rPr>
                <w:rFonts w:asciiTheme="majorHAnsi" w:hAnsiTheme="majorHAnsi" w:cstheme="majorHAnsi"/>
                <w:color w:val="00264D" w:themeColor="background2"/>
                <w:lang w:eastAsia="en-AU"/>
              </w:rPr>
              <w:t xml:space="preserve">On-the-spot technology for measuring pyrethroid surface residue </w:t>
            </w:r>
          </w:p>
        </w:tc>
        <w:tc>
          <w:tcPr>
            <w:tcW w:w="1086"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hideMark/>
          </w:tcPr>
          <w:p w14:paraId="49FBABB2" w14:textId="77777777" w:rsidR="00E35BE6" w:rsidRDefault="00E35BE6" w:rsidP="003C631D">
            <w:pPr>
              <w:pStyle w:val="TableNText"/>
              <w:rPr>
                <w:lang w:eastAsia="en-AU"/>
              </w:rPr>
            </w:pPr>
            <w:r w:rsidRPr="00E35BE6">
              <w:rPr>
                <w:lang w:eastAsia="en-AU"/>
              </w:rPr>
              <w:t>On-the-spot measurement technology to determine whether pyrethroid residues on interior aircraft surfaces are high enough to kill mosquitoes and other insects.</w:t>
            </w:r>
          </w:p>
          <w:p w14:paraId="50996126" w14:textId="77777777" w:rsidR="00E60C88" w:rsidRPr="00E60C88" w:rsidRDefault="00E60C88" w:rsidP="003C631D">
            <w:pPr>
              <w:rPr>
                <w:lang w:eastAsia="en-AU"/>
              </w:rPr>
            </w:pPr>
          </w:p>
          <w:p w14:paraId="13EA867F" w14:textId="77777777" w:rsidR="00E60C88" w:rsidRPr="00E60C88" w:rsidRDefault="00E60C88" w:rsidP="003C631D">
            <w:pPr>
              <w:rPr>
                <w:lang w:eastAsia="en-AU"/>
              </w:rPr>
            </w:pPr>
          </w:p>
          <w:p w14:paraId="715B5137" w14:textId="77777777" w:rsidR="00E60C88" w:rsidRPr="00E60C88" w:rsidRDefault="00E60C88" w:rsidP="003C631D">
            <w:pPr>
              <w:rPr>
                <w:lang w:eastAsia="en-AU"/>
              </w:rPr>
            </w:pPr>
          </w:p>
          <w:p w14:paraId="21C00CD1" w14:textId="27368364" w:rsidR="00E60C88" w:rsidRPr="00E60C88" w:rsidRDefault="00E60C88" w:rsidP="003C631D">
            <w:pPr>
              <w:rPr>
                <w:lang w:eastAsia="en-AU"/>
              </w:rPr>
            </w:pPr>
          </w:p>
        </w:tc>
        <w:tc>
          <w:tcPr>
            <w:tcW w:w="591"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hideMark/>
          </w:tcPr>
          <w:p w14:paraId="5FB87ED9" w14:textId="77777777" w:rsidR="00E35BE6" w:rsidRPr="00E35BE6" w:rsidRDefault="00E35BE6" w:rsidP="003C631D">
            <w:pPr>
              <w:pStyle w:val="TableNText"/>
              <w:rPr>
                <w:lang w:eastAsia="en-AU"/>
              </w:rPr>
            </w:pPr>
            <w:r w:rsidRPr="00E35BE6">
              <w:rPr>
                <w:lang w:eastAsia="en-AU"/>
              </w:rPr>
              <w:t>Department of Agriculture and Water Resources</w:t>
            </w:r>
          </w:p>
        </w:tc>
        <w:tc>
          <w:tcPr>
            <w:tcW w:w="717"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hideMark/>
          </w:tcPr>
          <w:p w14:paraId="43E72B44" w14:textId="77777777" w:rsidR="00E35BE6" w:rsidRPr="00E35BE6" w:rsidRDefault="00E35BE6" w:rsidP="003C631D">
            <w:pPr>
              <w:pStyle w:val="TableNBullet"/>
            </w:pPr>
            <w:r w:rsidRPr="00E35BE6">
              <w:rPr>
                <w:rFonts w:eastAsia="Segoe UI"/>
              </w:rPr>
              <w:t>Atamo</w:t>
            </w:r>
          </w:p>
          <w:p w14:paraId="1673A0C7" w14:textId="77777777" w:rsidR="00E35BE6" w:rsidRPr="00E35BE6" w:rsidRDefault="00E35BE6" w:rsidP="003C631D">
            <w:pPr>
              <w:pStyle w:val="TableNBullet"/>
            </w:pPr>
            <w:r w:rsidRPr="00E35BE6">
              <w:rPr>
                <w:rFonts w:eastAsia="Segoe UI"/>
              </w:rPr>
              <w:t>AUSSI Systems</w:t>
            </w:r>
          </w:p>
          <w:p w14:paraId="6CEBBA4C" w14:textId="77777777" w:rsidR="00E35BE6" w:rsidRPr="00E35BE6" w:rsidRDefault="00E35BE6" w:rsidP="003C631D">
            <w:pPr>
              <w:pStyle w:val="TableNBullet"/>
            </w:pPr>
            <w:r w:rsidRPr="00E35BE6">
              <w:rPr>
                <w:rFonts w:eastAsia="Segoe UI"/>
              </w:rPr>
              <w:t>Panorama Synergy</w:t>
            </w:r>
          </w:p>
          <w:p w14:paraId="2A56E4CE" w14:textId="77777777" w:rsidR="00E35BE6" w:rsidRPr="00E35BE6" w:rsidRDefault="00E35BE6" w:rsidP="003C631D">
            <w:pPr>
              <w:pStyle w:val="TableNBullet"/>
            </w:pPr>
            <w:r w:rsidRPr="00E35BE6">
              <w:rPr>
                <w:rFonts w:eastAsia="Segoe UI"/>
              </w:rPr>
              <w:t>Micropace</w:t>
            </w:r>
          </w:p>
          <w:p w14:paraId="62947B97" w14:textId="77777777" w:rsidR="00E35BE6" w:rsidRPr="00E35BE6" w:rsidRDefault="00E35BE6" w:rsidP="003C631D">
            <w:pPr>
              <w:pStyle w:val="TableNBullet"/>
            </w:pPr>
            <w:r w:rsidRPr="00E35BE6">
              <w:rPr>
                <w:rFonts w:eastAsia="Segoe UI"/>
              </w:rPr>
              <w:t>Iugotec</w:t>
            </w:r>
          </w:p>
        </w:tc>
        <w:tc>
          <w:tcPr>
            <w:tcW w:w="454"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hideMark/>
          </w:tcPr>
          <w:p w14:paraId="75563801" w14:textId="77777777" w:rsidR="00E35BE6" w:rsidRPr="00E35BE6" w:rsidRDefault="00E35BE6" w:rsidP="003C631D">
            <w:pPr>
              <w:pStyle w:val="TableNText"/>
              <w:rPr>
                <w:lang w:eastAsia="en-AU"/>
              </w:rPr>
            </w:pPr>
            <w:r w:rsidRPr="00E35BE6">
              <w:rPr>
                <w:lang w:eastAsia="en-AU"/>
              </w:rPr>
              <w:t>$91,542</w:t>
            </w:r>
          </w:p>
        </w:tc>
        <w:tc>
          <w:tcPr>
            <w:tcW w:w="717"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hideMark/>
          </w:tcPr>
          <w:p w14:paraId="07AF6AA3" w14:textId="77777777" w:rsidR="00E35BE6" w:rsidRPr="00E35BE6" w:rsidRDefault="00E35BE6" w:rsidP="003C631D">
            <w:pPr>
              <w:pStyle w:val="TableNBullet"/>
            </w:pPr>
            <w:r w:rsidRPr="00E35BE6">
              <w:rPr>
                <w:rFonts w:eastAsia="Segoe UI"/>
              </w:rPr>
              <w:t>Atamo</w:t>
            </w:r>
          </w:p>
          <w:p w14:paraId="6F9AB4D2" w14:textId="77777777" w:rsidR="00E35BE6" w:rsidRPr="00E35BE6" w:rsidRDefault="00E35BE6" w:rsidP="003C631D">
            <w:pPr>
              <w:pStyle w:val="TableNBullet"/>
            </w:pPr>
            <w:r w:rsidRPr="00E35BE6">
              <w:rPr>
                <w:rFonts w:eastAsia="Segoe UI"/>
              </w:rPr>
              <w:t>Iugotec</w:t>
            </w:r>
          </w:p>
        </w:tc>
        <w:tc>
          <w:tcPr>
            <w:tcW w:w="444"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hideMark/>
          </w:tcPr>
          <w:p w14:paraId="1D17D2AE" w14:textId="77777777" w:rsidR="00E35BE6" w:rsidRPr="00E35BE6" w:rsidRDefault="00E35BE6" w:rsidP="003C631D">
            <w:pPr>
              <w:pStyle w:val="TableNText"/>
              <w:rPr>
                <w:lang w:eastAsia="en-AU"/>
              </w:rPr>
            </w:pPr>
            <w:r w:rsidRPr="00E35BE6">
              <w:rPr>
                <w:lang w:eastAsia="en-AU"/>
              </w:rPr>
              <w:t>$998,893</w:t>
            </w:r>
          </w:p>
        </w:tc>
      </w:tr>
      <w:tr w:rsidR="00B3261F" w:rsidRPr="00E35BE6" w14:paraId="7F1C4EF5" w14:textId="77777777" w:rsidTr="003C631D">
        <w:trPr>
          <w:cnfStyle w:val="000000010000" w:firstRow="0" w:lastRow="0" w:firstColumn="0" w:lastColumn="0" w:oddVBand="0" w:evenVBand="0" w:oddHBand="0" w:evenHBand="1" w:firstRowFirstColumn="0" w:firstRowLastColumn="0" w:lastRowFirstColumn="0" w:lastRowLastColumn="0"/>
          <w:trHeight w:val="1221"/>
        </w:trPr>
        <w:tc>
          <w:tcPr>
            <w:tcW w:w="438"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hideMark/>
          </w:tcPr>
          <w:p w14:paraId="55538220" w14:textId="7AD0E57A" w:rsidR="00E35BE6" w:rsidRPr="003F5567" w:rsidRDefault="003F5567" w:rsidP="003C631D">
            <w:pPr>
              <w:rPr>
                <w:color w:val="00264D" w:themeColor="background2"/>
                <w:lang w:eastAsia="en-AU"/>
              </w:rPr>
            </w:pPr>
            <w:r>
              <w:rPr>
                <w:noProof/>
                <w:color w:val="00264D" w:themeColor="background2"/>
                <w:lang w:eastAsia="en-AU"/>
              </w:rPr>
              <w:drawing>
                <wp:inline distT="0" distB="0" distL="0" distR="0" wp14:anchorId="7D42BCFB" wp14:editId="26CFA090">
                  <wp:extent cx="438785" cy="359410"/>
                  <wp:effectExtent l="0" t="0" r="0" b="2540"/>
                  <wp:docPr id="483" name="Picture 483" descr="Sharing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483" descr="Sharing information icon"/>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38785" cy="359410"/>
                          </a:xfrm>
                          <a:prstGeom prst="rect">
                            <a:avLst/>
                          </a:prstGeom>
                          <a:noFill/>
                        </pic:spPr>
                      </pic:pic>
                    </a:graphicData>
                  </a:graphic>
                </wp:inline>
              </w:drawing>
            </w:r>
          </w:p>
        </w:tc>
        <w:tc>
          <w:tcPr>
            <w:tcW w:w="552"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hideMark/>
          </w:tcPr>
          <w:p w14:paraId="7FB3EF7F" w14:textId="77777777" w:rsidR="00E35BE6" w:rsidRPr="003F5567" w:rsidRDefault="00E35BE6" w:rsidP="003C631D">
            <w:pPr>
              <w:pStyle w:val="TableNText"/>
              <w:rPr>
                <w:rFonts w:asciiTheme="majorHAnsi" w:hAnsiTheme="majorHAnsi" w:cstheme="majorHAnsi"/>
                <w:color w:val="00264D" w:themeColor="background2"/>
                <w:lang w:eastAsia="en-AU"/>
              </w:rPr>
            </w:pPr>
            <w:r w:rsidRPr="003F5567">
              <w:rPr>
                <w:rFonts w:asciiTheme="majorHAnsi" w:hAnsiTheme="majorHAnsi" w:cstheme="majorHAnsi"/>
                <w:color w:val="00264D" w:themeColor="background2"/>
                <w:lang w:val="en-US" w:eastAsia="en-AU"/>
              </w:rPr>
              <w:t xml:space="preserve">Sharing of information nationally to ensure child safety </w:t>
            </w:r>
          </w:p>
        </w:tc>
        <w:tc>
          <w:tcPr>
            <w:tcW w:w="1086"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hideMark/>
          </w:tcPr>
          <w:p w14:paraId="34F7CE3A" w14:textId="77777777" w:rsidR="00E35BE6" w:rsidRPr="00E35BE6" w:rsidRDefault="00E35BE6" w:rsidP="003C631D">
            <w:pPr>
              <w:pStyle w:val="TableNText"/>
              <w:rPr>
                <w:lang w:eastAsia="en-AU"/>
              </w:rPr>
            </w:pPr>
            <w:r w:rsidRPr="00E35BE6">
              <w:rPr>
                <w:lang w:eastAsia="en-AU"/>
              </w:rPr>
              <w:t>Innovative technology that allows child protection authorities to identify when a child at risk, or an adult of interest, is known to child protection authorities in other jurisdictions.</w:t>
            </w:r>
          </w:p>
        </w:tc>
        <w:tc>
          <w:tcPr>
            <w:tcW w:w="591"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hideMark/>
          </w:tcPr>
          <w:p w14:paraId="21AF60E9" w14:textId="77777777" w:rsidR="00E35BE6" w:rsidRPr="00E35BE6" w:rsidRDefault="00E35BE6" w:rsidP="003C631D">
            <w:pPr>
              <w:pStyle w:val="TableNText"/>
              <w:rPr>
                <w:lang w:eastAsia="en-AU"/>
              </w:rPr>
            </w:pPr>
            <w:r w:rsidRPr="00E35BE6">
              <w:rPr>
                <w:lang w:eastAsia="en-AU"/>
              </w:rPr>
              <w:t>Department of Social Services</w:t>
            </w:r>
          </w:p>
        </w:tc>
        <w:tc>
          <w:tcPr>
            <w:tcW w:w="717"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hideMark/>
          </w:tcPr>
          <w:p w14:paraId="60259C51" w14:textId="77777777" w:rsidR="00E35BE6" w:rsidRPr="00E35BE6" w:rsidRDefault="00E35BE6" w:rsidP="003C631D">
            <w:pPr>
              <w:pStyle w:val="TableNBullet"/>
            </w:pPr>
            <w:r w:rsidRPr="00E35BE6">
              <w:rPr>
                <w:rFonts w:eastAsia="Segoe UI"/>
              </w:rPr>
              <w:t>Factil</w:t>
            </w:r>
          </w:p>
          <w:p w14:paraId="1DEAA8D1" w14:textId="77777777" w:rsidR="00E35BE6" w:rsidRPr="00E35BE6" w:rsidRDefault="00E35BE6" w:rsidP="003C631D">
            <w:pPr>
              <w:pStyle w:val="TableNBullet"/>
            </w:pPr>
            <w:r w:rsidRPr="00E35BE6">
              <w:rPr>
                <w:rFonts w:eastAsia="Segoe UI"/>
              </w:rPr>
              <w:t>Itree</w:t>
            </w:r>
          </w:p>
          <w:p w14:paraId="4E5B2826" w14:textId="77777777" w:rsidR="00E35BE6" w:rsidRPr="00E35BE6" w:rsidRDefault="00E35BE6" w:rsidP="003C631D">
            <w:pPr>
              <w:pStyle w:val="TableNBullet"/>
            </w:pPr>
            <w:r w:rsidRPr="00E35BE6">
              <w:rPr>
                <w:rFonts w:eastAsia="Segoe UI"/>
              </w:rPr>
              <w:t>Leading Directions</w:t>
            </w:r>
          </w:p>
        </w:tc>
        <w:tc>
          <w:tcPr>
            <w:tcW w:w="454"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hideMark/>
          </w:tcPr>
          <w:p w14:paraId="1A202BEC" w14:textId="77777777" w:rsidR="00E35BE6" w:rsidRPr="00E35BE6" w:rsidRDefault="00E35BE6" w:rsidP="003C631D">
            <w:pPr>
              <w:pStyle w:val="TableNText"/>
              <w:rPr>
                <w:lang w:eastAsia="en-AU"/>
              </w:rPr>
            </w:pPr>
            <w:r w:rsidRPr="00E35BE6">
              <w:rPr>
                <w:lang w:eastAsia="en-AU"/>
              </w:rPr>
              <w:t>$99,730</w:t>
            </w:r>
          </w:p>
        </w:tc>
        <w:tc>
          <w:tcPr>
            <w:tcW w:w="717"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hideMark/>
          </w:tcPr>
          <w:p w14:paraId="5F41C8B6" w14:textId="77777777" w:rsidR="00E35BE6" w:rsidRPr="00E35BE6" w:rsidRDefault="00E35BE6" w:rsidP="003C631D">
            <w:pPr>
              <w:pStyle w:val="TableNBullet"/>
            </w:pPr>
            <w:r w:rsidRPr="00E35BE6">
              <w:rPr>
                <w:rFonts w:eastAsia="Segoe UI"/>
              </w:rPr>
              <w:t>Factil</w:t>
            </w:r>
          </w:p>
          <w:p w14:paraId="79BDCEFF" w14:textId="77777777" w:rsidR="00E35BE6" w:rsidRPr="00E35BE6" w:rsidRDefault="00E35BE6" w:rsidP="003C631D">
            <w:pPr>
              <w:pStyle w:val="TableNBullet"/>
            </w:pPr>
            <w:r w:rsidRPr="00E35BE6">
              <w:rPr>
                <w:rFonts w:eastAsia="Segoe UI"/>
              </w:rPr>
              <w:t>Itree</w:t>
            </w:r>
          </w:p>
        </w:tc>
        <w:tc>
          <w:tcPr>
            <w:tcW w:w="444"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hideMark/>
          </w:tcPr>
          <w:p w14:paraId="01BB0786" w14:textId="77777777" w:rsidR="00E35BE6" w:rsidRPr="00E35BE6" w:rsidRDefault="00E35BE6" w:rsidP="003C631D">
            <w:pPr>
              <w:pStyle w:val="TableNText"/>
              <w:rPr>
                <w:lang w:eastAsia="en-AU"/>
              </w:rPr>
            </w:pPr>
            <w:r w:rsidRPr="00E35BE6">
              <w:rPr>
                <w:lang w:eastAsia="en-AU"/>
              </w:rPr>
              <w:t>$895, 831</w:t>
            </w:r>
          </w:p>
        </w:tc>
      </w:tr>
      <w:tr w:rsidR="003C631D" w:rsidRPr="00E35BE6" w14:paraId="7A389A1A" w14:textId="77777777" w:rsidTr="003C631D">
        <w:trPr>
          <w:cnfStyle w:val="000000100000" w:firstRow="0" w:lastRow="0" w:firstColumn="0" w:lastColumn="0" w:oddVBand="0" w:evenVBand="0" w:oddHBand="1" w:evenHBand="0" w:firstRowFirstColumn="0" w:firstRowLastColumn="0" w:lastRowFirstColumn="0" w:lastRowLastColumn="0"/>
          <w:trHeight w:val="1062"/>
        </w:trPr>
        <w:tc>
          <w:tcPr>
            <w:tcW w:w="438"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hideMark/>
          </w:tcPr>
          <w:p w14:paraId="7C0DFE72" w14:textId="3904D51E" w:rsidR="00E35BE6" w:rsidRPr="003F5567" w:rsidRDefault="003F5567" w:rsidP="003C631D">
            <w:pPr>
              <w:rPr>
                <w:color w:val="00264D" w:themeColor="background2"/>
                <w:lang w:eastAsia="en-AU"/>
              </w:rPr>
            </w:pPr>
            <w:r>
              <w:rPr>
                <w:noProof/>
                <w:color w:val="00264D" w:themeColor="background2"/>
                <w:lang w:eastAsia="en-AU"/>
              </w:rPr>
              <w:drawing>
                <wp:inline distT="0" distB="0" distL="0" distR="0" wp14:anchorId="37B489D1" wp14:editId="7A83D57B">
                  <wp:extent cx="292735" cy="359410"/>
                  <wp:effectExtent l="0" t="0" r="0" b="2540"/>
                  <wp:docPr id="484" name="Picture 484" descr="Docu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484" descr="Document icon"/>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2735" cy="359410"/>
                          </a:xfrm>
                          <a:prstGeom prst="rect">
                            <a:avLst/>
                          </a:prstGeom>
                          <a:noFill/>
                        </pic:spPr>
                      </pic:pic>
                    </a:graphicData>
                  </a:graphic>
                </wp:inline>
              </w:drawing>
            </w:r>
          </w:p>
        </w:tc>
        <w:tc>
          <w:tcPr>
            <w:tcW w:w="552"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hideMark/>
          </w:tcPr>
          <w:p w14:paraId="3FE74C7B" w14:textId="77777777" w:rsidR="00E35BE6" w:rsidRPr="003F5567" w:rsidRDefault="00E35BE6" w:rsidP="003C631D">
            <w:pPr>
              <w:pStyle w:val="TableNText"/>
              <w:rPr>
                <w:rFonts w:asciiTheme="majorHAnsi" w:hAnsiTheme="majorHAnsi" w:cstheme="majorHAnsi"/>
                <w:color w:val="00264D" w:themeColor="background2"/>
                <w:lang w:eastAsia="en-AU"/>
              </w:rPr>
            </w:pPr>
            <w:r w:rsidRPr="003F5567">
              <w:rPr>
                <w:rFonts w:asciiTheme="majorHAnsi" w:hAnsiTheme="majorHAnsi" w:cstheme="majorHAnsi"/>
                <w:color w:val="00264D" w:themeColor="background2"/>
                <w:lang w:eastAsia="en-AU"/>
              </w:rPr>
              <w:t xml:space="preserve">Tracking the effect and value of </w:t>
            </w:r>
            <w:r w:rsidRPr="003F5567">
              <w:rPr>
                <w:rFonts w:asciiTheme="majorHAnsi" w:hAnsiTheme="majorHAnsi" w:cstheme="majorHAnsi"/>
                <w:color w:val="00264D" w:themeColor="background2"/>
                <w:lang w:eastAsia="en-AU"/>
              </w:rPr>
              <w:lastRenderedPageBreak/>
              <w:t xml:space="preserve">information products </w:t>
            </w:r>
          </w:p>
        </w:tc>
        <w:tc>
          <w:tcPr>
            <w:tcW w:w="1086"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hideMark/>
          </w:tcPr>
          <w:p w14:paraId="276DE845" w14:textId="77777777" w:rsidR="00E35BE6" w:rsidRPr="00E35BE6" w:rsidRDefault="00E35BE6" w:rsidP="003C631D">
            <w:pPr>
              <w:pStyle w:val="TableNText"/>
              <w:rPr>
                <w:lang w:eastAsia="en-AU"/>
              </w:rPr>
            </w:pPr>
            <w:r w:rsidRPr="00E35BE6">
              <w:rPr>
                <w:lang w:eastAsia="en-AU"/>
              </w:rPr>
              <w:lastRenderedPageBreak/>
              <w:t xml:space="preserve">Using “smart information products” to track the effect and value of information products </w:t>
            </w:r>
            <w:r w:rsidRPr="00E35BE6">
              <w:rPr>
                <w:lang w:eastAsia="en-AU"/>
              </w:rPr>
              <w:lastRenderedPageBreak/>
              <w:t>through the life of the information.</w:t>
            </w:r>
          </w:p>
        </w:tc>
        <w:tc>
          <w:tcPr>
            <w:tcW w:w="591"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hideMark/>
          </w:tcPr>
          <w:p w14:paraId="3E7473E3" w14:textId="77777777" w:rsidR="00E35BE6" w:rsidRPr="00E35BE6" w:rsidRDefault="00E35BE6" w:rsidP="003C631D">
            <w:pPr>
              <w:pStyle w:val="TableNText"/>
              <w:rPr>
                <w:lang w:eastAsia="en-AU"/>
              </w:rPr>
            </w:pPr>
            <w:r w:rsidRPr="00E35BE6">
              <w:rPr>
                <w:lang w:eastAsia="en-AU"/>
              </w:rPr>
              <w:lastRenderedPageBreak/>
              <w:t>Austrac</w:t>
            </w:r>
          </w:p>
        </w:tc>
        <w:tc>
          <w:tcPr>
            <w:tcW w:w="717"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hideMark/>
          </w:tcPr>
          <w:p w14:paraId="148E969F" w14:textId="77777777" w:rsidR="00E35BE6" w:rsidRPr="00E35BE6" w:rsidRDefault="00E35BE6" w:rsidP="003C631D">
            <w:pPr>
              <w:pStyle w:val="TableNBullet"/>
            </w:pPr>
            <w:r w:rsidRPr="00E35BE6">
              <w:rPr>
                <w:rFonts w:eastAsia="Segoe UI"/>
              </w:rPr>
              <w:t>Avinium</w:t>
            </w:r>
          </w:p>
          <w:p w14:paraId="3D350C5B" w14:textId="77777777" w:rsidR="00E35BE6" w:rsidRPr="00E35BE6" w:rsidRDefault="00E35BE6" w:rsidP="003C631D">
            <w:pPr>
              <w:pStyle w:val="TableNBullet"/>
            </w:pPr>
            <w:r w:rsidRPr="00E35BE6">
              <w:rPr>
                <w:rFonts w:eastAsia="Segoe UI"/>
              </w:rPr>
              <w:t>Gosource</w:t>
            </w:r>
          </w:p>
          <w:p w14:paraId="3727DA8C" w14:textId="77777777" w:rsidR="00E35BE6" w:rsidRPr="00E35BE6" w:rsidRDefault="00E35BE6" w:rsidP="003C631D">
            <w:pPr>
              <w:pStyle w:val="TableNBullet"/>
            </w:pPr>
            <w:r w:rsidRPr="00E35BE6">
              <w:rPr>
                <w:rFonts w:eastAsia="Segoe UI"/>
              </w:rPr>
              <w:t>Houston Kemp</w:t>
            </w:r>
          </w:p>
          <w:p w14:paraId="0EF7FE62" w14:textId="77777777" w:rsidR="00E35BE6" w:rsidRPr="00E35BE6" w:rsidRDefault="00E35BE6" w:rsidP="003C631D">
            <w:pPr>
              <w:pStyle w:val="TableNBullet"/>
            </w:pPr>
            <w:r w:rsidRPr="00E35BE6">
              <w:rPr>
                <w:rFonts w:eastAsia="Segoe UI"/>
              </w:rPr>
              <w:lastRenderedPageBreak/>
              <w:t>Atraxium</w:t>
            </w:r>
          </w:p>
        </w:tc>
        <w:tc>
          <w:tcPr>
            <w:tcW w:w="454"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hideMark/>
          </w:tcPr>
          <w:p w14:paraId="5AE6C10E" w14:textId="77777777" w:rsidR="00E35BE6" w:rsidRPr="00E35BE6" w:rsidRDefault="00E35BE6" w:rsidP="003C631D">
            <w:pPr>
              <w:pStyle w:val="TableNText"/>
              <w:rPr>
                <w:lang w:eastAsia="en-AU"/>
              </w:rPr>
            </w:pPr>
            <w:r w:rsidRPr="00E35BE6">
              <w:rPr>
                <w:lang w:eastAsia="en-AU"/>
              </w:rPr>
              <w:lastRenderedPageBreak/>
              <w:t>$90,419</w:t>
            </w:r>
          </w:p>
        </w:tc>
        <w:tc>
          <w:tcPr>
            <w:tcW w:w="717"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hideMark/>
          </w:tcPr>
          <w:p w14:paraId="61890C8D" w14:textId="77777777" w:rsidR="00E35BE6" w:rsidRPr="00E35BE6" w:rsidRDefault="00E35BE6" w:rsidP="003C631D">
            <w:pPr>
              <w:pStyle w:val="TableNBullet"/>
            </w:pPr>
            <w:r w:rsidRPr="00E35BE6">
              <w:rPr>
                <w:rFonts w:eastAsia="Segoe UI"/>
              </w:rPr>
              <w:t>Atraxium</w:t>
            </w:r>
          </w:p>
          <w:p w14:paraId="61B36E96" w14:textId="77777777" w:rsidR="00E35BE6" w:rsidRPr="00E35BE6" w:rsidRDefault="00E35BE6" w:rsidP="003C631D">
            <w:pPr>
              <w:pStyle w:val="TableNBullet"/>
            </w:pPr>
            <w:r w:rsidRPr="00E35BE6">
              <w:rPr>
                <w:rFonts w:eastAsia="Segoe UI"/>
              </w:rPr>
              <w:t>Houston Kemp</w:t>
            </w:r>
          </w:p>
        </w:tc>
        <w:tc>
          <w:tcPr>
            <w:tcW w:w="444"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hideMark/>
          </w:tcPr>
          <w:p w14:paraId="3BA669E0" w14:textId="77777777" w:rsidR="00E35BE6" w:rsidRPr="00E35BE6" w:rsidRDefault="00E35BE6" w:rsidP="003C631D">
            <w:pPr>
              <w:pStyle w:val="TableNText"/>
              <w:rPr>
                <w:lang w:eastAsia="en-AU"/>
              </w:rPr>
            </w:pPr>
            <w:r w:rsidRPr="00E35BE6">
              <w:rPr>
                <w:lang w:eastAsia="en-AU"/>
              </w:rPr>
              <w:t>$980,500</w:t>
            </w:r>
          </w:p>
        </w:tc>
      </w:tr>
    </w:tbl>
    <w:p w14:paraId="4FD9A91A" w14:textId="250B863B" w:rsidR="00B3261F" w:rsidRDefault="00C94779" w:rsidP="00EA4234">
      <w:pPr>
        <w:pStyle w:val="xAppendixLevel2"/>
        <w:ind w:left="851"/>
      </w:pPr>
      <w:bookmarkStart w:id="205" w:name="_Toc124435171"/>
      <w:r>
        <w:t>There were five challenges in round two</w:t>
      </w:r>
      <w:r w:rsidR="004E6260">
        <w:t>.</w:t>
      </w:r>
      <w:bookmarkEnd w:id="205"/>
    </w:p>
    <w:p w14:paraId="6F8358FC" w14:textId="0EF03055" w:rsidR="004E6260" w:rsidRDefault="004E6260" w:rsidP="004E6260">
      <w:pPr>
        <w:rPr>
          <w:lang w:eastAsia="en-AU"/>
        </w:rPr>
      </w:pPr>
      <w:r w:rsidRPr="004E6260">
        <w:rPr>
          <w:lang w:eastAsia="en-AU"/>
        </w:rPr>
        <w:t>The average grant value at the feasibility study stage was $97,4</w:t>
      </w:r>
      <w:r w:rsidR="00472D50">
        <w:rPr>
          <w:lang w:eastAsia="en-AU"/>
        </w:rPr>
        <w:t>04</w:t>
      </w:r>
      <w:r w:rsidR="00DD667F">
        <w:rPr>
          <w:lang w:eastAsia="en-AU"/>
        </w:rPr>
        <w:t>.</w:t>
      </w:r>
      <w:r w:rsidRPr="004E6260">
        <w:rPr>
          <w:lang w:eastAsia="en-AU"/>
        </w:rPr>
        <w:t xml:space="preserve"> The average grant value at the proof of concept stage was $1</w:t>
      </w:r>
      <w:r w:rsidR="0089283D">
        <w:rPr>
          <w:lang w:eastAsia="en-AU"/>
        </w:rPr>
        <w:t xml:space="preserve"> million</w:t>
      </w:r>
      <w:r w:rsidRPr="004E6260">
        <w:rPr>
          <w:lang w:eastAsia="en-AU"/>
        </w:rPr>
        <w:t>.</w:t>
      </w:r>
    </w:p>
    <w:p w14:paraId="733EA065" w14:textId="5534144B" w:rsidR="004E6260" w:rsidRPr="004E6260" w:rsidRDefault="004E6260" w:rsidP="004E6260">
      <w:pPr>
        <w:pStyle w:val="Caption"/>
        <w:rPr>
          <w:lang w:eastAsia="en-AU"/>
        </w:rPr>
      </w:pPr>
      <w:r>
        <w:t xml:space="preserve">Table </w:t>
      </w:r>
      <w:r>
        <w:fldChar w:fldCharType="begin"/>
      </w:r>
      <w:r>
        <w:instrText xml:space="preserve"> SEQ Table \* ARABIC </w:instrText>
      </w:r>
      <w:r>
        <w:fldChar w:fldCharType="separate"/>
      </w:r>
      <w:r w:rsidR="00AE607F">
        <w:rPr>
          <w:noProof/>
        </w:rPr>
        <w:t>15</w:t>
      </w:r>
      <w:r>
        <w:fldChar w:fldCharType="end"/>
      </w:r>
      <w:r>
        <w:t xml:space="preserve"> | Summary of </w:t>
      </w:r>
      <w:r w:rsidR="00CB13ED">
        <w:t>the</w:t>
      </w:r>
      <w:r>
        <w:t xml:space="preserve"> BRII challenges in round two</w:t>
      </w:r>
    </w:p>
    <w:tbl>
      <w:tblPr>
        <w:tblStyle w:val="NousTableTopandside"/>
        <w:tblW w:w="5000" w:type="pct"/>
        <w:tblBorders>
          <w:top w:val="single" w:sz="4" w:space="0" w:color="00264D" w:themeColor="background2"/>
          <w:left w:val="single" w:sz="4" w:space="0" w:color="00264D" w:themeColor="background2"/>
          <w:bottom w:val="single" w:sz="4" w:space="0" w:color="00264D" w:themeColor="background2"/>
          <w:right w:val="single" w:sz="4" w:space="0" w:color="00264D" w:themeColor="background2"/>
          <w:insideH w:val="single" w:sz="4" w:space="0" w:color="00264D" w:themeColor="background2"/>
          <w:insideV w:val="single" w:sz="4" w:space="0" w:color="00264D" w:themeColor="background2"/>
        </w:tblBorders>
        <w:tblLook w:val="0420" w:firstRow="1" w:lastRow="0" w:firstColumn="0" w:lastColumn="0" w:noHBand="0" w:noVBand="1"/>
      </w:tblPr>
      <w:tblGrid>
        <w:gridCol w:w="1382"/>
        <w:gridCol w:w="2575"/>
        <w:gridCol w:w="3157"/>
        <w:gridCol w:w="1605"/>
        <w:gridCol w:w="2145"/>
        <w:gridCol w:w="1251"/>
        <w:gridCol w:w="1560"/>
        <w:gridCol w:w="1340"/>
      </w:tblGrid>
      <w:tr w:rsidR="003C631D" w:rsidRPr="00C94779" w14:paraId="4F30EA42" w14:textId="77777777" w:rsidTr="003C631D">
        <w:trPr>
          <w:cnfStyle w:val="100000000000" w:firstRow="1" w:lastRow="0" w:firstColumn="0" w:lastColumn="0" w:oddVBand="0" w:evenVBand="0" w:oddHBand="0" w:evenHBand="0" w:firstRowFirstColumn="0" w:firstRowLastColumn="0" w:lastRowFirstColumn="0" w:lastRowLastColumn="0"/>
          <w:trHeight w:val="722"/>
        </w:trPr>
        <w:tc>
          <w:tcPr>
            <w:tcW w:w="461" w:type="pct"/>
            <w:tcBorders>
              <w:top w:val="nil"/>
            </w:tcBorders>
            <w:shd w:val="clear" w:color="auto" w:fill="00264D" w:themeFill="background2"/>
            <w:hideMark/>
          </w:tcPr>
          <w:p w14:paraId="7539B904" w14:textId="77777777" w:rsidR="00C94779" w:rsidRPr="00C94779" w:rsidRDefault="00C94779" w:rsidP="003C631D">
            <w:pPr>
              <w:pStyle w:val="TableNheader"/>
              <w:rPr>
                <w:lang w:eastAsia="en-AU"/>
              </w:rPr>
            </w:pPr>
          </w:p>
        </w:tc>
        <w:tc>
          <w:tcPr>
            <w:tcW w:w="858" w:type="pct"/>
            <w:tcBorders>
              <w:top w:val="nil"/>
            </w:tcBorders>
            <w:shd w:val="clear" w:color="auto" w:fill="00264D" w:themeFill="background2"/>
            <w:hideMark/>
          </w:tcPr>
          <w:p w14:paraId="427BC165" w14:textId="77777777" w:rsidR="00C94779" w:rsidRPr="00EF2D2C" w:rsidRDefault="00C94779" w:rsidP="003C631D">
            <w:pPr>
              <w:pStyle w:val="TableNheader"/>
              <w:rPr>
                <w:color w:val="FFFFFF" w:themeColor="background1"/>
                <w:lang w:eastAsia="en-AU"/>
              </w:rPr>
            </w:pPr>
            <w:r w:rsidRPr="00EF2D2C">
              <w:rPr>
                <w:color w:val="FFFFFF" w:themeColor="background1"/>
                <w:lang w:val="en-US" w:eastAsia="en-AU"/>
              </w:rPr>
              <w:t>Challenge</w:t>
            </w:r>
          </w:p>
        </w:tc>
        <w:tc>
          <w:tcPr>
            <w:tcW w:w="1052" w:type="pct"/>
            <w:tcBorders>
              <w:top w:val="nil"/>
            </w:tcBorders>
            <w:shd w:val="clear" w:color="auto" w:fill="00264D" w:themeFill="background2"/>
            <w:hideMark/>
          </w:tcPr>
          <w:p w14:paraId="20B70BBF" w14:textId="77777777" w:rsidR="00C94779" w:rsidRPr="00EF2D2C" w:rsidRDefault="00C94779" w:rsidP="003C631D">
            <w:pPr>
              <w:pStyle w:val="TableNheader"/>
              <w:rPr>
                <w:color w:val="FFFFFF" w:themeColor="background1"/>
                <w:lang w:eastAsia="en-AU"/>
              </w:rPr>
            </w:pPr>
            <w:r w:rsidRPr="00EF2D2C">
              <w:rPr>
                <w:color w:val="FFFFFF" w:themeColor="background1"/>
                <w:lang w:eastAsia="en-AU"/>
              </w:rPr>
              <w:t>Brief Description</w:t>
            </w:r>
          </w:p>
        </w:tc>
        <w:tc>
          <w:tcPr>
            <w:tcW w:w="535" w:type="pct"/>
            <w:tcBorders>
              <w:top w:val="nil"/>
            </w:tcBorders>
            <w:shd w:val="clear" w:color="auto" w:fill="00264D" w:themeFill="background2"/>
            <w:hideMark/>
          </w:tcPr>
          <w:p w14:paraId="294A5FE0" w14:textId="77777777" w:rsidR="00C94779" w:rsidRPr="00EF2D2C" w:rsidRDefault="00C94779" w:rsidP="003C631D">
            <w:pPr>
              <w:pStyle w:val="TableNheader"/>
              <w:rPr>
                <w:color w:val="FFFFFF" w:themeColor="background1"/>
                <w:lang w:eastAsia="en-AU"/>
              </w:rPr>
            </w:pPr>
            <w:r w:rsidRPr="00EF2D2C">
              <w:rPr>
                <w:color w:val="FFFFFF" w:themeColor="background1"/>
                <w:lang w:val="en-US" w:eastAsia="en-AU"/>
              </w:rPr>
              <w:t>Challenge Agency</w:t>
            </w:r>
          </w:p>
        </w:tc>
        <w:tc>
          <w:tcPr>
            <w:tcW w:w="715" w:type="pct"/>
            <w:tcBorders>
              <w:top w:val="nil"/>
            </w:tcBorders>
            <w:shd w:val="clear" w:color="auto" w:fill="00264D" w:themeFill="background2"/>
            <w:hideMark/>
          </w:tcPr>
          <w:p w14:paraId="254CE4C6" w14:textId="77777777" w:rsidR="00C94779" w:rsidRPr="00EF2D2C" w:rsidRDefault="00C94779" w:rsidP="003C631D">
            <w:pPr>
              <w:pStyle w:val="TableNheader"/>
              <w:rPr>
                <w:color w:val="FFFFFF" w:themeColor="background1"/>
                <w:lang w:eastAsia="en-AU"/>
              </w:rPr>
            </w:pPr>
            <w:r w:rsidRPr="00EF2D2C">
              <w:rPr>
                <w:color w:val="FFFFFF" w:themeColor="background1"/>
                <w:lang w:eastAsia="en-AU"/>
              </w:rPr>
              <w:t>Feasibility study SMEs</w:t>
            </w:r>
          </w:p>
        </w:tc>
        <w:tc>
          <w:tcPr>
            <w:tcW w:w="412" w:type="pct"/>
            <w:tcBorders>
              <w:top w:val="nil"/>
            </w:tcBorders>
            <w:shd w:val="clear" w:color="auto" w:fill="00264D" w:themeFill="background2"/>
            <w:hideMark/>
          </w:tcPr>
          <w:p w14:paraId="11F155F3" w14:textId="77777777" w:rsidR="00C94779" w:rsidRPr="00EF2D2C" w:rsidRDefault="00C94779" w:rsidP="003C631D">
            <w:pPr>
              <w:pStyle w:val="TableNheader"/>
              <w:rPr>
                <w:color w:val="FFFFFF" w:themeColor="background1"/>
                <w:lang w:eastAsia="en-AU"/>
              </w:rPr>
            </w:pPr>
            <w:r w:rsidRPr="00EF2D2C">
              <w:rPr>
                <w:color w:val="FFFFFF" w:themeColor="background1"/>
                <w:lang w:eastAsia="en-AU"/>
              </w:rPr>
              <w:t>Average Feasibility Grant Value</w:t>
            </w:r>
          </w:p>
        </w:tc>
        <w:tc>
          <w:tcPr>
            <w:tcW w:w="520" w:type="pct"/>
            <w:tcBorders>
              <w:top w:val="nil"/>
            </w:tcBorders>
            <w:shd w:val="clear" w:color="auto" w:fill="00264D" w:themeFill="background2"/>
            <w:hideMark/>
          </w:tcPr>
          <w:p w14:paraId="727B12D5" w14:textId="77777777" w:rsidR="00C94779" w:rsidRPr="00EF2D2C" w:rsidRDefault="00C94779" w:rsidP="003C631D">
            <w:pPr>
              <w:pStyle w:val="TableNheader"/>
              <w:rPr>
                <w:color w:val="FFFFFF" w:themeColor="background1"/>
                <w:lang w:eastAsia="en-AU"/>
              </w:rPr>
            </w:pPr>
            <w:r w:rsidRPr="00EF2D2C">
              <w:rPr>
                <w:color w:val="FFFFFF" w:themeColor="background1"/>
                <w:lang w:eastAsia="en-AU"/>
              </w:rPr>
              <w:t>Proof of concept SMEs</w:t>
            </w:r>
          </w:p>
        </w:tc>
        <w:tc>
          <w:tcPr>
            <w:tcW w:w="448" w:type="pct"/>
            <w:tcBorders>
              <w:top w:val="nil"/>
            </w:tcBorders>
            <w:shd w:val="clear" w:color="auto" w:fill="00264D" w:themeFill="background2"/>
            <w:hideMark/>
          </w:tcPr>
          <w:p w14:paraId="768E611F" w14:textId="77777777" w:rsidR="00C94779" w:rsidRPr="00EF2D2C" w:rsidRDefault="00C94779" w:rsidP="003C631D">
            <w:pPr>
              <w:pStyle w:val="TableNheader"/>
              <w:rPr>
                <w:color w:val="FFFFFF" w:themeColor="background1"/>
                <w:lang w:eastAsia="en-AU"/>
              </w:rPr>
            </w:pPr>
            <w:r w:rsidRPr="00EF2D2C">
              <w:rPr>
                <w:color w:val="FFFFFF" w:themeColor="background1"/>
                <w:lang w:eastAsia="en-AU"/>
              </w:rPr>
              <w:t>Average proof of concept grant value</w:t>
            </w:r>
          </w:p>
        </w:tc>
      </w:tr>
      <w:tr w:rsidR="009E436D" w:rsidRPr="00C94779" w14:paraId="6E09E786" w14:textId="77777777" w:rsidTr="003C631D">
        <w:trPr>
          <w:trHeight w:val="1221"/>
        </w:trPr>
        <w:tc>
          <w:tcPr>
            <w:tcW w:w="461" w:type="pct"/>
            <w:hideMark/>
          </w:tcPr>
          <w:p w14:paraId="2297B388" w14:textId="0814570D" w:rsidR="00C94779" w:rsidRPr="00C94779" w:rsidRDefault="00EF2D2C" w:rsidP="003F5567">
            <w:pPr>
              <w:pStyle w:val="TableNText"/>
              <w:rPr>
                <w:lang w:eastAsia="en-AU"/>
              </w:rPr>
            </w:pPr>
            <w:r>
              <w:rPr>
                <w:noProof/>
                <w:lang w:eastAsia="en-AU"/>
              </w:rPr>
              <w:drawing>
                <wp:inline distT="0" distB="0" distL="0" distR="0" wp14:anchorId="78F28A36" wp14:editId="6186B839">
                  <wp:extent cx="518160" cy="445135"/>
                  <wp:effectExtent l="0" t="0" r="0" b="0"/>
                  <wp:docPr id="489" name="Picture 489" descr="Govern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Picture 489" descr="Government icon"/>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18160" cy="445135"/>
                          </a:xfrm>
                          <a:prstGeom prst="rect">
                            <a:avLst/>
                          </a:prstGeom>
                          <a:noFill/>
                        </pic:spPr>
                      </pic:pic>
                    </a:graphicData>
                  </a:graphic>
                </wp:inline>
              </w:drawing>
            </w:r>
          </w:p>
        </w:tc>
        <w:tc>
          <w:tcPr>
            <w:tcW w:w="858" w:type="pct"/>
            <w:hideMark/>
          </w:tcPr>
          <w:p w14:paraId="30CF1BCF" w14:textId="77777777" w:rsidR="00C94779" w:rsidRPr="00F40D93" w:rsidRDefault="00C94779" w:rsidP="003F5567">
            <w:pPr>
              <w:pStyle w:val="TableNText"/>
              <w:rPr>
                <w:rFonts w:asciiTheme="majorHAnsi" w:hAnsiTheme="majorHAnsi" w:cstheme="majorHAnsi"/>
                <w:color w:val="00264D" w:themeColor="background2"/>
                <w:lang w:eastAsia="en-AU"/>
              </w:rPr>
            </w:pPr>
            <w:r w:rsidRPr="00F40D93">
              <w:rPr>
                <w:rFonts w:asciiTheme="majorHAnsi" w:hAnsiTheme="majorHAnsi" w:cstheme="majorHAnsi"/>
                <w:color w:val="00264D" w:themeColor="background2"/>
                <w:lang w:eastAsia="en-AU"/>
              </w:rPr>
              <w:t>Automating complex determinations for Australian Government Information</w:t>
            </w:r>
          </w:p>
        </w:tc>
        <w:tc>
          <w:tcPr>
            <w:tcW w:w="1052" w:type="pct"/>
            <w:hideMark/>
          </w:tcPr>
          <w:p w14:paraId="146A9EE8" w14:textId="77777777" w:rsidR="00C94779" w:rsidRPr="00C94779" w:rsidRDefault="00C94779" w:rsidP="003F5567">
            <w:pPr>
              <w:pStyle w:val="TableNText"/>
              <w:rPr>
                <w:lang w:eastAsia="en-AU"/>
              </w:rPr>
            </w:pPr>
            <w:r w:rsidRPr="00C94779">
              <w:rPr>
                <w:lang w:val="en-US" w:eastAsia="en-AU"/>
              </w:rPr>
              <w:t>Develop an accurate and scalable way to decide the value of government digital information and data and to determine whether it should be preserved or destroyed.</w:t>
            </w:r>
          </w:p>
        </w:tc>
        <w:tc>
          <w:tcPr>
            <w:tcW w:w="535" w:type="pct"/>
            <w:hideMark/>
          </w:tcPr>
          <w:p w14:paraId="595EE16D" w14:textId="77777777" w:rsidR="00C94779" w:rsidRPr="00C94779" w:rsidRDefault="00C94779" w:rsidP="003F5567">
            <w:pPr>
              <w:pStyle w:val="TableNText"/>
              <w:rPr>
                <w:lang w:eastAsia="en-AU"/>
              </w:rPr>
            </w:pPr>
            <w:r w:rsidRPr="00C94779">
              <w:rPr>
                <w:lang w:eastAsia="en-AU"/>
              </w:rPr>
              <w:t>National Archives of Australia</w:t>
            </w:r>
          </w:p>
        </w:tc>
        <w:tc>
          <w:tcPr>
            <w:tcW w:w="715" w:type="pct"/>
            <w:hideMark/>
          </w:tcPr>
          <w:p w14:paraId="27FB06D0" w14:textId="77777777" w:rsidR="00C94779" w:rsidRPr="00C94779" w:rsidRDefault="00C94779" w:rsidP="003F5567">
            <w:pPr>
              <w:pStyle w:val="TableNBullet"/>
            </w:pPr>
            <w:r w:rsidRPr="00C94779">
              <w:rPr>
                <w:rFonts w:eastAsiaTheme="minorEastAsia"/>
              </w:rPr>
              <w:t>Automated Reasoning Alliance</w:t>
            </w:r>
          </w:p>
          <w:p w14:paraId="644128D6" w14:textId="77777777" w:rsidR="00C94779" w:rsidRPr="00C94779" w:rsidRDefault="00C94779" w:rsidP="003F5567">
            <w:pPr>
              <w:pStyle w:val="TableNBullet"/>
            </w:pPr>
            <w:r w:rsidRPr="00C94779">
              <w:rPr>
                <w:rFonts w:eastAsiaTheme="minorEastAsia"/>
              </w:rPr>
              <w:t>Surround Australia</w:t>
            </w:r>
          </w:p>
          <w:p w14:paraId="32C87A53" w14:textId="77777777" w:rsidR="00C94779" w:rsidRPr="00C94779" w:rsidRDefault="00C94779" w:rsidP="003F5567">
            <w:pPr>
              <w:pStyle w:val="TableNBullet"/>
            </w:pPr>
            <w:r w:rsidRPr="00C94779">
              <w:rPr>
                <w:rFonts w:eastAsiaTheme="minorEastAsia"/>
              </w:rPr>
              <w:t>Lenticular PWC Indigenous Consulting</w:t>
            </w:r>
          </w:p>
        </w:tc>
        <w:tc>
          <w:tcPr>
            <w:tcW w:w="412" w:type="pct"/>
            <w:hideMark/>
          </w:tcPr>
          <w:p w14:paraId="5009A129" w14:textId="77777777" w:rsidR="00C94779" w:rsidRPr="00C94779" w:rsidRDefault="00C94779" w:rsidP="003F5567">
            <w:pPr>
              <w:pStyle w:val="TableNText"/>
              <w:rPr>
                <w:lang w:eastAsia="en-AU"/>
              </w:rPr>
            </w:pPr>
            <w:r w:rsidRPr="00C94779">
              <w:rPr>
                <w:lang w:eastAsia="en-AU"/>
              </w:rPr>
              <w:t>$99,353</w:t>
            </w:r>
          </w:p>
        </w:tc>
        <w:tc>
          <w:tcPr>
            <w:tcW w:w="520" w:type="pct"/>
            <w:hideMark/>
          </w:tcPr>
          <w:p w14:paraId="1C788806" w14:textId="77777777" w:rsidR="00C94779" w:rsidRPr="00C94779" w:rsidRDefault="00C94779" w:rsidP="003F5567">
            <w:pPr>
              <w:pStyle w:val="TableNBullet"/>
            </w:pPr>
            <w:r w:rsidRPr="00C94779">
              <w:rPr>
                <w:rFonts w:eastAsiaTheme="minorEastAsia"/>
              </w:rPr>
              <w:t>Surround Australia</w:t>
            </w:r>
          </w:p>
          <w:p w14:paraId="570717C2" w14:textId="77777777" w:rsidR="00C94779" w:rsidRPr="00C94779" w:rsidRDefault="00C94779" w:rsidP="003F5567">
            <w:pPr>
              <w:pStyle w:val="TableNBullet"/>
            </w:pPr>
            <w:r w:rsidRPr="00C94779">
              <w:rPr>
                <w:rFonts w:eastAsiaTheme="minorEastAsia"/>
              </w:rPr>
              <w:t>Lenticular</w:t>
            </w:r>
          </w:p>
        </w:tc>
        <w:tc>
          <w:tcPr>
            <w:tcW w:w="448" w:type="pct"/>
            <w:hideMark/>
          </w:tcPr>
          <w:p w14:paraId="4627558D" w14:textId="3236D2E2" w:rsidR="00C94779" w:rsidRPr="00C94779" w:rsidRDefault="00C94779" w:rsidP="003F5567">
            <w:pPr>
              <w:pStyle w:val="TableNText"/>
              <w:rPr>
                <w:lang w:eastAsia="en-AU"/>
              </w:rPr>
            </w:pPr>
            <w:r w:rsidRPr="00C94779">
              <w:rPr>
                <w:lang w:eastAsia="en-AU"/>
              </w:rPr>
              <w:t>$1</w:t>
            </w:r>
            <w:r w:rsidR="0089283D">
              <w:rPr>
                <w:lang w:eastAsia="en-AU"/>
              </w:rPr>
              <w:t xml:space="preserve"> million</w:t>
            </w:r>
          </w:p>
        </w:tc>
      </w:tr>
      <w:tr w:rsidR="009E436D" w:rsidRPr="00C94779" w14:paraId="22089145" w14:textId="77777777" w:rsidTr="003C631D">
        <w:trPr>
          <w:trHeight w:val="1221"/>
        </w:trPr>
        <w:tc>
          <w:tcPr>
            <w:tcW w:w="461" w:type="pct"/>
            <w:hideMark/>
          </w:tcPr>
          <w:p w14:paraId="0D03EFB3" w14:textId="77E144D2" w:rsidR="00C94779" w:rsidRPr="00C94779" w:rsidRDefault="00EF2D2C" w:rsidP="003F5567">
            <w:pPr>
              <w:pStyle w:val="TableNText"/>
              <w:rPr>
                <w:lang w:eastAsia="en-AU"/>
              </w:rPr>
            </w:pPr>
            <w:r>
              <w:rPr>
                <w:noProof/>
                <w:lang w:eastAsia="en-AU"/>
              </w:rPr>
              <w:lastRenderedPageBreak/>
              <w:drawing>
                <wp:inline distT="0" distB="0" distL="0" distR="0" wp14:anchorId="4B7ECF2D" wp14:editId="3E6F9DD9">
                  <wp:extent cx="372110" cy="359410"/>
                  <wp:effectExtent l="0" t="0" r="8890" b="2540"/>
                  <wp:docPr id="488" name="Picture 488" descr="Mobile 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Picture 488" descr="Mobile phone icon"/>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72110" cy="359410"/>
                          </a:xfrm>
                          <a:prstGeom prst="rect">
                            <a:avLst/>
                          </a:prstGeom>
                          <a:noFill/>
                        </pic:spPr>
                      </pic:pic>
                    </a:graphicData>
                  </a:graphic>
                </wp:inline>
              </w:drawing>
            </w:r>
          </w:p>
        </w:tc>
        <w:tc>
          <w:tcPr>
            <w:tcW w:w="858" w:type="pct"/>
            <w:hideMark/>
          </w:tcPr>
          <w:p w14:paraId="4A19D6CE" w14:textId="6EC36854" w:rsidR="00C94779" w:rsidRPr="00F40D93" w:rsidRDefault="00C94779" w:rsidP="003F5567">
            <w:pPr>
              <w:pStyle w:val="TableNText"/>
              <w:rPr>
                <w:rFonts w:asciiTheme="majorHAnsi" w:hAnsiTheme="majorHAnsi" w:cstheme="majorHAnsi"/>
                <w:color w:val="00264D" w:themeColor="background2"/>
                <w:lang w:eastAsia="en-AU"/>
              </w:rPr>
            </w:pPr>
            <w:r w:rsidRPr="00F40D93">
              <w:rPr>
                <w:rFonts w:asciiTheme="majorHAnsi" w:hAnsiTheme="majorHAnsi" w:cstheme="majorHAnsi"/>
                <w:color w:val="00264D" w:themeColor="background2"/>
                <w:lang w:val="en-US" w:eastAsia="en-AU"/>
              </w:rPr>
              <w:t>Fast and secure</w:t>
            </w:r>
            <w:r w:rsidR="009E436D" w:rsidRPr="00F40D93">
              <w:rPr>
                <w:rFonts w:asciiTheme="majorHAnsi" w:hAnsiTheme="majorHAnsi" w:cstheme="majorHAnsi"/>
                <w:color w:val="00264D" w:themeColor="background2"/>
                <w:lang w:val="en-US" w:eastAsia="en-AU"/>
              </w:rPr>
              <w:t xml:space="preserve"> </w:t>
            </w:r>
            <w:r w:rsidRPr="00F40D93">
              <w:rPr>
                <w:rFonts w:asciiTheme="majorHAnsi" w:hAnsiTheme="majorHAnsi" w:cstheme="majorHAnsi"/>
                <w:color w:val="00264D" w:themeColor="background2"/>
                <w:lang w:val="en-US" w:eastAsia="en-AU"/>
              </w:rPr>
              <w:t>digital identity verification for people experiencing family and domestic violence</w:t>
            </w:r>
          </w:p>
        </w:tc>
        <w:tc>
          <w:tcPr>
            <w:tcW w:w="1052" w:type="pct"/>
            <w:hideMark/>
          </w:tcPr>
          <w:p w14:paraId="5C528941" w14:textId="77777777" w:rsidR="00C94779" w:rsidRPr="00C94779" w:rsidRDefault="00C94779" w:rsidP="003F5567">
            <w:pPr>
              <w:pStyle w:val="TableNText"/>
              <w:rPr>
                <w:lang w:eastAsia="en-AU"/>
              </w:rPr>
            </w:pPr>
            <w:r w:rsidRPr="00C94779">
              <w:rPr>
                <w:lang w:val="en-US" w:eastAsia="en-AU"/>
              </w:rPr>
              <w:t xml:space="preserve">Develop a secure and scalable technological solution that will enable people experiencing family and domestic violence to access support quickly. </w:t>
            </w:r>
          </w:p>
        </w:tc>
        <w:tc>
          <w:tcPr>
            <w:tcW w:w="535" w:type="pct"/>
            <w:hideMark/>
          </w:tcPr>
          <w:p w14:paraId="65687C72" w14:textId="77777777" w:rsidR="00C94779" w:rsidRPr="00C94779" w:rsidRDefault="00C94779" w:rsidP="003F5567">
            <w:pPr>
              <w:pStyle w:val="TableNText"/>
              <w:rPr>
                <w:lang w:eastAsia="en-AU"/>
              </w:rPr>
            </w:pPr>
            <w:r w:rsidRPr="00C94779">
              <w:rPr>
                <w:lang w:eastAsia="en-AU"/>
              </w:rPr>
              <w:t>Department of Human Services</w:t>
            </w:r>
          </w:p>
        </w:tc>
        <w:tc>
          <w:tcPr>
            <w:tcW w:w="715" w:type="pct"/>
            <w:hideMark/>
          </w:tcPr>
          <w:p w14:paraId="747B0896" w14:textId="77777777" w:rsidR="00C94779" w:rsidRPr="00C94779" w:rsidRDefault="00C94779" w:rsidP="003F5567">
            <w:pPr>
              <w:pStyle w:val="TableNBullet"/>
            </w:pPr>
            <w:r w:rsidRPr="00C94779">
              <w:rPr>
                <w:rFonts w:eastAsiaTheme="minorEastAsia"/>
              </w:rPr>
              <w:t>Factil</w:t>
            </w:r>
          </w:p>
          <w:p w14:paraId="2F056744" w14:textId="77777777" w:rsidR="00C94779" w:rsidRPr="00C94779" w:rsidRDefault="00C94779" w:rsidP="003F5567">
            <w:pPr>
              <w:pStyle w:val="TableNBullet"/>
            </w:pPr>
            <w:r w:rsidRPr="00C94779">
              <w:rPr>
                <w:rFonts w:eastAsia="Segoe UI"/>
                <w:lang w:val="en-US"/>
              </w:rPr>
              <w:t>Avatas Consulting (Mawson ACT) Development</w:t>
            </w:r>
          </w:p>
        </w:tc>
        <w:tc>
          <w:tcPr>
            <w:tcW w:w="412" w:type="pct"/>
            <w:hideMark/>
          </w:tcPr>
          <w:p w14:paraId="7D577072" w14:textId="77777777" w:rsidR="00C94779" w:rsidRPr="00C94779" w:rsidRDefault="00C94779" w:rsidP="003F5567">
            <w:pPr>
              <w:pStyle w:val="TableNText"/>
              <w:rPr>
                <w:lang w:eastAsia="en-AU"/>
              </w:rPr>
            </w:pPr>
            <w:r w:rsidRPr="00C94779">
              <w:rPr>
                <w:lang w:eastAsia="en-AU"/>
              </w:rPr>
              <w:t>$100,000</w:t>
            </w:r>
          </w:p>
        </w:tc>
        <w:tc>
          <w:tcPr>
            <w:tcW w:w="520" w:type="pct"/>
            <w:hideMark/>
          </w:tcPr>
          <w:p w14:paraId="1E81AFF7" w14:textId="77777777" w:rsidR="00C94779" w:rsidRPr="00C94779" w:rsidRDefault="00C94779" w:rsidP="003F5567">
            <w:pPr>
              <w:pStyle w:val="TableNBullet"/>
            </w:pPr>
            <w:r w:rsidRPr="00C94779">
              <w:rPr>
                <w:rFonts w:eastAsiaTheme="minorEastAsia"/>
              </w:rPr>
              <w:t>None</w:t>
            </w:r>
          </w:p>
        </w:tc>
        <w:tc>
          <w:tcPr>
            <w:tcW w:w="448" w:type="pct"/>
            <w:hideMark/>
          </w:tcPr>
          <w:p w14:paraId="70485598" w14:textId="77777777" w:rsidR="00C94779" w:rsidRPr="00C94779" w:rsidRDefault="00C94779" w:rsidP="003F5567">
            <w:pPr>
              <w:pStyle w:val="TableNText"/>
              <w:rPr>
                <w:lang w:eastAsia="en-AU"/>
              </w:rPr>
            </w:pPr>
            <w:r w:rsidRPr="00C94779">
              <w:rPr>
                <w:lang w:eastAsia="en-AU"/>
              </w:rPr>
              <w:t>N/A</w:t>
            </w:r>
          </w:p>
        </w:tc>
      </w:tr>
      <w:tr w:rsidR="009E436D" w:rsidRPr="00C94779" w14:paraId="5B3FB8CD" w14:textId="77777777" w:rsidTr="003C631D">
        <w:trPr>
          <w:trHeight w:val="1221"/>
        </w:trPr>
        <w:tc>
          <w:tcPr>
            <w:tcW w:w="461" w:type="pct"/>
            <w:hideMark/>
          </w:tcPr>
          <w:p w14:paraId="3DB9D105" w14:textId="65C2B039" w:rsidR="00C94779" w:rsidRPr="00C94779" w:rsidRDefault="00EF2D2C" w:rsidP="003F5567">
            <w:pPr>
              <w:pStyle w:val="TableNText"/>
              <w:rPr>
                <w:lang w:eastAsia="en-AU"/>
              </w:rPr>
            </w:pPr>
            <w:r>
              <w:rPr>
                <w:noProof/>
                <w:lang w:eastAsia="en-AU"/>
              </w:rPr>
              <w:drawing>
                <wp:inline distT="0" distB="0" distL="0" distR="0" wp14:anchorId="24045304" wp14:editId="6AF73BEE">
                  <wp:extent cx="359410" cy="359410"/>
                  <wp:effectExtent l="0" t="0" r="2540" b="2540"/>
                  <wp:docPr id="487" name="Picture 487" descr="Aeropla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Picture 487" descr="Aeroplane icon"/>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pic:spPr>
                      </pic:pic>
                    </a:graphicData>
                  </a:graphic>
                </wp:inline>
              </w:drawing>
            </w:r>
          </w:p>
        </w:tc>
        <w:tc>
          <w:tcPr>
            <w:tcW w:w="858" w:type="pct"/>
            <w:hideMark/>
          </w:tcPr>
          <w:p w14:paraId="1C947533" w14:textId="77777777" w:rsidR="00C94779" w:rsidRPr="00F40D93" w:rsidRDefault="00C94779" w:rsidP="003F5567">
            <w:pPr>
              <w:pStyle w:val="TableNText"/>
              <w:rPr>
                <w:rFonts w:asciiTheme="majorHAnsi" w:hAnsiTheme="majorHAnsi" w:cstheme="majorHAnsi"/>
                <w:color w:val="00264D" w:themeColor="background2"/>
                <w:lang w:eastAsia="en-AU"/>
              </w:rPr>
            </w:pPr>
            <w:r w:rsidRPr="00F40D93">
              <w:rPr>
                <w:rFonts w:asciiTheme="majorHAnsi" w:hAnsiTheme="majorHAnsi" w:cstheme="majorHAnsi"/>
                <w:color w:val="00264D" w:themeColor="background2"/>
                <w:lang w:eastAsia="en-AU"/>
              </w:rPr>
              <w:t>Intelligent data to transform tourism service delivery</w:t>
            </w:r>
          </w:p>
        </w:tc>
        <w:tc>
          <w:tcPr>
            <w:tcW w:w="1052" w:type="pct"/>
            <w:hideMark/>
          </w:tcPr>
          <w:p w14:paraId="0660EAD7" w14:textId="77777777" w:rsidR="00C94779" w:rsidRPr="00C94779" w:rsidRDefault="00C94779" w:rsidP="003F5567">
            <w:pPr>
              <w:pStyle w:val="TableNText"/>
              <w:rPr>
                <w:lang w:eastAsia="en-AU"/>
              </w:rPr>
            </w:pPr>
            <w:r w:rsidRPr="00C94779">
              <w:rPr>
                <w:lang w:val="en-US" w:eastAsia="en-AU"/>
              </w:rPr>
              <w:t>Unlock and integrate new data sources to better measure tourism and better inform decisionmakers.</w:t>
            </w:r>
          </w:p>
        </w:tc>
        <w:tc>
          <w:tcPr>
            <w:tcW w:w="535" w:type="pct"/>
            <w:hideMark/>
          </w:tcPr>
          <w:p w14:paraId="4F1DEE41" w14:textId="77777777" w:rsidR="00C94779" w:rsidRPr="00C94779" w:rsidRDefault="00C94779" w:rsidP="003F5567">
            <w:pPr>
              <w:pStyle w:val="TableNText"/>
              <w:rPr>
                <w:lang w:eastAsia="en-AU"/>
              </w:rPr>
            </w:pPr>
            <w:r w:rsidRPr="00C94779">
              <w:rPr>
                <w:lang w:eastAsia="en-AU"/>
              </w:rPr>
              <w:t>Austrade</w:t>
            </w:r>
          </w:p>
        </w:tc>
        <w:tc>
          <w:tcPr>
            <w:tcW w:w="715" w:type="pct"/>
            <w:hideMark/>
          </w:tcPr>
          <w:p w14:paraId="4A4A1DA3" w14:textId="77777777" w:rsidR="00C94779" w:rsidRPr="00C94779" w:rsidRDefault="00C94779" w:rsidP="003F5567">
            <w:pPr>
              <w:pStyle w:val="TableNBullet"/>
            </w:pPr>
            <w:r w:rsidRPr="00C94779">
              <w:rPr>
                <w:rFonts w:eastAsiaTheme="minorEastAsia"/>
              </w:rPr>
              <w:t>Wejugo</w:t>
            </w:r>
          </w:p>
          <w:p w14:paraId="185FD0E1" w14:textId="77777777" w:rsidR="00C94779" w:rsidRPr="00C94779" w:rsidRDefault="00C94779" w:rsidP="003F5567">
            <w:pPr>
              <w:pStyle w:val="TableNBullet"/>
            </w:pPr>
            <w:r w:rsidRPr="00C94779">
              <w:rPr>
                <w:rFonts w:eastAsiaTheme="minorEastAsia"/>
              </w:rPr>
              <w:t>NEM Australasia</w:t>
            </w:r>
          </w:p>
          <w:p w14:paraId="2EDD1956" w14:textId="77777777" w:rsidR="00C94779" w:rsidRPr="00C94779" w:rsidRDefault="00C94779" w:rsidP="003F5567">
            <w:pPr>
              <w:pStyle w:val="TableNBullet"/>
            </w:pPr>
            <w:r w:rsidRPr="00C94779">
              <w:rPr>
                <w:rFonts w:eastAsiaTheme="minorEastAsia"/>
              </w:rPr>
              <w:t>Geografia</w:t>
            </w:r>
          </w:p>
          <w:p w14:paraId="7321CAA9" w14:textId="77777777" w:rsidR="00C94779" w:rsidRPr="00C94779" w:rsidRDefault="00C94779" w:rsidP="003F5567">
            <w:pPr>
              <w:pStyle w:val="TableNBullet"/>
            </w:pPr>
            <w:r w:rsidRPr="00C94779">
              <w:rPr>
                <w:rFonts w:eastAsiaTheme="minorEastAsia"/>
              </w:rPr>
              <w:t>Metrix Consulting</w:t>
            </w:r>
          </w:p>
        </w:tc>
        <w:tc>
          <w:tcPr>
            <w:tcW w:w="412" w:type="pct"/>
            <w:hideMark/>
          </w:tcPr>
          <w:p w14:paraId="7268AE1A" w14:textId="77777777" w:rsidR="00C94779" w:rsidRPr="00C94779" w:rsidRDefault="00C94779" w:rsidP="003F5567">
            <w:pPr>
              <w:pStyle w:val="TableNText"/>
              <w:rPr>
                <w:lang w:eastAsia="en-AU"/>
              </w:rPr>
            </w:pPr>
            <w:r w:rsidRPr="00C94779">
              <w:rPr>
                <w:lang w:eastAsia="en-AU"/>
              </w:rPr>
              <w:t>$92,500</w:t>
            </w:r>
          </w:p>
        </w:tc>
        <w:tc>
          <w:tcPr>
            <w:tcW w:w="520" w:type="pct"/>
            <w:hideMark/>
          </w:tcPr>
          <w:p w14:paraId="34EC0D43" w14:textId="77777777" w:rsidR="00C94779" w:rsidRPr="00C94779" w:rsidRDefault="00C94779" w:rsidP="003F5567">
            <w:pPr>
              <w:pStyle w:val="TableNBullet"/>
            </w:pPr>
            <w:r w:rsidRPr="00C94779">
              <w:rPr>
                <w:rFonts w:eastAsiaTheme="minorEastAsia"/>
              </w:rPr>
              <w:t>Wejugo</w:t>
            </w:r>
          </w:p>
          <w:p w14:paraId="5EC599E1" w14:textId="77777777" w:rsidR="00C94779" w:rsidRPr="00C94779" w:rsidRDefault="00C94779" w:rsidP="003F5567">
            <w:pPr>
              <w:pStyle w:val="TableNBullet"/>
            </w:pPr>
            <w:r w:rsidRPr="00C94779">
              <w:rPr>
                <w:rFonts w:eastAsiaTheme="minorEastAsia"/>
              </w:rPr>
              <w:t>NEM Australasia</w:t>
            </w:r>
          </w:p>
        </w:tc>
        <w:tc>
          <w:tcPr>
            <w:tcW w:w="448" w:type="pct"/>
            <w:hideMark/>
          </w:tcPr>
          <w:p w14:paraId="5DAD4512" w14:textId="291D533A" w:rsidR="00C94779" w:rsidRPr="00C94779" w:rsidRDefault="00C94779" w:rsidP="003F5567">
            <w:pPr>
              <w:pStyle w:val="TableNText"/>
              <w:rPr>
                <w:lang w:eastAsia="en-AU"/>
              </w:rPr>
            </w:pPr>
            <w:r w:rsidRPr="00C94779">
              <w:rPr>
                <w:lang w:eastAsia="en-AU"/>
              </w:rPr>
              <w:t>$1</w:t>
            </w:r>
            <w:r w:rsidR="0089283D">
              <w:rPr>
                <w:lang w:eastAsia="en-AU"/>
              </w:rPr>
              <w:t xml:space="preserve"> million</w:t>
            </w:r>
          </w:p>
        </w:tc>
      </w:tr>
      <w:tr w:rsidR="009E436D" w:rsidRPr="00C94779" w14:paraId="092EA675" w14:textId="77777777" w:rsidTr="003C631D">
        <w:trPr>
          <w:trHeight w:val="1221"/>
        </w:trPr>
        <w:tc>
          <w:tcPr>
            <w:tcW w:w="461" w:type="pct"/>
            <w:hideMark/>
          </w:tcPr>
          <w:p w14:paraId="36A17494" w14:textId="40A71476" w:rsidR="00C94779" w:rsidRPr="00C94779" w:rsidRDefault="00EF2D2C" w:rsidP="003F5567">
            <w:pPr>
              <w:pStyle w:val="TableNText"/>
              <w:rPr>
                <w:lang w:eastAsia="en-AU"/>
              </w:rPr>
            </w:pPr>
            <w:r>
              <w:rPr>
                <w:noProof/>
                <w:lang w:eastAsia="en-AU"/>
              </w:rPr>
              <w:drawing>
                <wp:inline distT="0" distB="0" distL="0" distR="0" wp14:anchorId="2E155F98" wp14:editId="3CE1C1C7">
                  <wp:extent cx="518160" cy="359410"/>
                  <wp:effectExtent l="0" t="0" r="0" b="2540"/>
                  <wp:docPr id="486" name="Picture 486" descr="Sh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Picture 486" descr="Ship icon"/>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18160" cy="359410"/>
                          </a:xfrm>
                          <a:prstGeom prst="rect">
                            <a:avLst/>
                          </a:prstGeom>
                          <a:noFill/>
                        </pic:spPr>
                      </pic:pic>
                    </a:graphicData>
                  </a:graphic>
                </wp:inline>
              </w:drawing>
            </w:r>
          </w:p>
        </w:tc>
        <w:tc>
          <w:tcPr>
            <w:tcW w:w="858" w:type="pct"/>
            <w:hideMark/>
          </w:tcPr>
          <w:p w14:paraId="4B6CC0B5" w14:textId="07E2A28B" w:rsidR="00C94779" w:rsidRPr="00F40D93" w:rsidRDefault="00C94779" w:rsidP="003F5567">
            <w:pPr>
              <w:pStyle w:val="TableNText"/>
              <w:rPr>
                <w:rFonts w:asciiTheme="majorHAnsi" w:hAnsiTheme="majorHAnsi" w:cstheme="majorHAnsi"/>
                <w:color w:val="00264D" w:themeColor="background2"/>
                <w:lang w:eastAsia="en-AU"/>
              </w:rPr>
            </w:pPr>
            <w:r w:rsidRPr="00F40D93">
              <w:rPr>
                <w:rFonts w:asciiTheme="majorHAnsi" w:hAnsiTheme="majorHAnsi" w:cstheme="majorHAnsi"/>
                <w:color w:val="00264D" w:themeColor="background2"/>
                <w:lang w:val="en-US" w:eastAsia="en-AU"/>
              </w:rPr>
              <w:t>Managing the</w:t>
            </w:r>
            <w:r w:rsidR="009E436D" w:rsidRPr="00F40D93">
              <w:rPr>
                <w:rFonts w:asciiTheme="majorHAnsi" w:hAnsiTheme="majorHAnsi" w:cstheme="majorHAnsi"/>
                <w:color w:val="00264D" w:themeColor="background2"/>
                <w:lang w:val="en-US" w:eastAsia="en-AU"/>
              </w:rPr>
              <w:t xml:space="preserve"> </w:t>
            </w:r>
            <w:r w:rsidRPr="00F40D93">
              <w:rPr>
                <w:rFonts w:asciiTheme="majorHAnsi" w:hAnsiTheme="majorHAnsi" w:cstheme="majorHAnsi"/>
                <w:color w:val="00264D" w:themeColor="background2"/>
                <w:lang w:val="en-US" w:eastAsia="en-AU"/>
              </w:rPr>
              <w:t>biosecurity of hitchhiking pests and contaminants on shipping containers</w:t>
            </w:r>
          </w:p>
        </w:tc>
        <w:tc>
          <w:tcPr>
            <w:tcW w:w="1052" w:type="pct"/>
            <w:hideMark/>
          </w:tcPr>
          <w:p w14:paraId="2629BB18" w14:textId="77777777" w:rsidR="00C94779" w:rsidRPr="00C94779" w:rsidRDefault="00C94779" w:rsidP="003F5567">
            <w:pPr>
              <w:pStyle w:val="TableNText"/>
              <w:rPr>
                <w:lang w:eastAsia="en-AU"/>
              </w:rPr>
            </w:pPr>
            <w:r w:rsidRPr="00C94779">
              <w:rPr>
                <w:lang w:val="en-US" w:eastAsia="en-AU"/>
              </w:rPr>
              <w:t>Develop new innovative and technical solutions to detect and manage hitchhiking pests, organisms, diseases, weeds and other contaminants on or in shipping containers.</w:t>
            </w:r>
          </w:p>
        </w:tc>
        <w:tc>
          <w:tcPr>
            <w:tcW w:w="535" w:type="pct"/>
            <w:hideMark/>
          </w:tcPr>
          <w:p w14:paraId="29FB4B4E" w14:textId="77777777" w:rsidR="00C94779" w:rsidRPr="00C94779" w:rsidRDefault="00C94779" w:rsidP="003F5567">
            <w:pPr>
              <w:pStyle w:val="TableNText"/>
              <w:rPr>
                <w:lang w:eastAsia="en-AU"/>
              </w:rPr>
            </w:pPr>
            <w:r w:rsidRPr="00C94779">
              <w:rPr>
                <w:lang w:eastAsia="en-AU"/>
              </w:rPr>
              <w:t>Department of Agriculture and Water Resources</w:t>
            </w:r>
          </w:p>
        </w:tc>
        <w:tc>
          <w:tcPr>
            <w:tcW w:w="715" w:type="pct"/>
            <w:hideMark/>
          </w:tcPr>
          <w:p w14:paraId="2884C308" w14:textId="77777777" w:rsidR="00C94779" w:rsidRPr="00C94779" w:rsidRDefault="00C94779" w:rsidP="003F5567">
            <w:pPr>
              <w:pStyle w:val="TableNBullet"/>
            </w:pPr>
            <w:r w:rsidRPr="00C94779">
              <w:rPr>
                <w:rFonts w:eastAsiaTheme="minorEastAsia"/>
              </w:rPr>
              <w:t>Trellis Data</w:t>
            </w:r>
          </w:p>
          <w:p w14:paraId="083ADFA1" w14:textId="77777777" w:rsidR="00C94779" w:rsidRPr="00C94779" w:rsidRDefault="00C94779" w:rsidP="003F5567">
            <w:pPr>
              <w:pStyle w:val="TableNBullet"/>
            </w:pPr>
            <w:r w:rsidRPr="00C94779">
              <w:rPr>
                <w:rFonts w:eastAsiaTheme="minorEastAsia"/>
              </w:rPr>
              <w:t>Silverpond</w:t>
            </w:r>
          </w:p>
          <w:p w14:paraId="55A1CF2C" w14:textId="77777777" w:rsidR="00C94779" w:rsidRPr="00C94779" w:rsidRDefault="00C94779" w:rsidP="003F5567">
            <w:pPr>
              <w:pStyle w:val="TableNBullet"/>
            </w:pPr>
            <w:r w:rsidRPr="00C94779">
              <w:rPr>
                <w:rFonts w:eastAsiaTheme="minorEastAsia"/>
              </w:rPr>
              <w:t>Iugotec</w:t>
            </w:r>
          </w:p>
          <w:p w14:paraId="3B95A0DA" w14:textId="77777777" w:rsidR="00C94779" w:rsidRPr="00C94779" w:rsidRDefault="00C94779" w:rsidP="003F5567">
            <w:pPr>
              <w:pStyle w:val="TableNBullet"/>
            </w:pPr>
            <w:r w:rsidRPr="00C94779">
              <w:rPr>
                <w:rFonts w:eastAsiaTheme="minorEastAsia"/>
              </w:rPr>
              <w:t>Industry Spec Drones</w:t>
            </w:r>
          </w:p>
        </w:tc>
        <w:tc>
          <w:tcPr>
            <w:tcW w:w="412" w:type="pct"/>
            <w:hideMark/>
          </w:tcPr>
          <w:p w14:paraId="7648AB2D" w14:textId="77777777" w:rsidR="00C94779" w:rsidRPr="00C94779" w:rsidRDefault="00C94779" w:rsidP="003F5567">
            <w:pPr>
              <w:pStyle w:val="TableNText"/>
              <w:rPr>
                <w:lang w:eastAsia="en-AU"/>
              </w:rPr>
            </w:pPr>
            <w:r w:rsidRPr="00C94779">
              <w:rPr>
                <w:lang w:eastAsia="en-AU"/>
              </w:rPr>
              <w:t>$99,547</w:t>
            </w:r>
          </w:p>
        </w:tc>
        <w:tc>
          <w:tcPr>
            <w:tcW w:w="520" w:type="pct"/>
            <w:hideMark/>
          </w:tcPr>
          <w:p w14:paraId="5CDBD156" w14:textId="77777777" w:rsidR="00C94779" w:rsidRPr="00C94779" w:rsidRDefault="00C94779" w:rsidP="003F5567">
            <w:pPr>
              <w:pStyle w:val="TableNBullet"/>
            </w:pPr>
            <w:r w:rsidRPr="00C94779">
              <w:rPr>
                <w:rFonts w:eastAsiaTheme="minorEastAsia"/>
              </w:rPr>
              <w:t>Trellis Data</w:t>
            </w:r>
          </w:p>
          <w:p w14:paraId="77FAB0F9" w14:textId="77777777" w:rsidR="00C94779" w:rsidRPr="00C94779" w:rsidRDefault="00C94779" w:rsidP="003F5567">
            <w:pPr>
              <w:pStyle w:val="TableNBullet"/>
            </w:pPr>
            <w:r w:rsidRPr="00C94779">
              <w:rPr>
                <w:rFonts w:eastAsiaTheme="minorEastAsia"/>
              </w:rPr>
              <w:t>Industry Spec Drones</w:t>
            </w:r>
          </w:p>
        </w:tc>
        <w:tc>
          <w:tcPr>
            <w:tcW w:w="448" w:type="pct"/>
            <w:hideMark/>
          </w:tcPr>
          <w:p w14:paraId="67642D67" w14:textId="24892907" w:rsidR="00C94779" w:rsidRPr="00C94779" w:rsidRDefault="00C94779" w:rsidP="003F5567">
            <w:pPr>
              <w:pStyle w:val="TableNText"/>
              <w:rPr>
                <w:lang w:eastAsia="en-AU"/>
              </w:rPr>
            </w:pPr>
            <w:r w:rsidRPr="00C94779">
              <w:rPr>
                <w:lang w:eastAsia="en-AU"/>
              </w:rPr>
              <w:t>$1</w:t>
            </w:r>
            <w:r w:rsidR="0089283D">
              <w:rPr>
                <w:lang w:eastAsia="en-AU"/>
              </w:rPr>
              <w:t xml:space="preserve"> million</w:t>
            </w:r>
          </w:p>
        </w:tc>
      </w:tr>
      <w:tr w:rsidR="009E436D" w:rsidRPr="00C94779" w14:paraId="06D90AFE" w14:textId="77777777" w:rsidTr="003C631D">
        <w:trPr>
          <w:trHeight w:val="23"/>
        </w:trPr>
        <w:tc>
          <w:tcPr>
            <w:tcW w:w="461" w:type="pct"/>
            <w:hideMark/>
          </w:tcPr>
          <w:p w14:paraId="5DB48868" w14:textId="5F1B4830" w:rsidR="00C94779" w:rsidRPr="00C94779" w:rsidRDefault="00EF2D2C" w:rsidP="003F5567">
            <w:pPr>
              <w:pStyle w:val="TableNText"/>
              <w:rPr>
                <w:lang w:eastAsia="en-AU"/>
              </w:rPr>
            </w:pPr>
            <w:r>
              <w:rPr>
                <w:noProof/>
                <w:lang w:eastAsia="en-AU"/>
              </w:rPr>
              <w:drawing>
                <wp:inline distT="0" distB="0" distL="0" distR="0" wp14:anchorId="2062B23C" wp14:editId="31EAE4B8">
                  <wp:extent cx="323215" cy="475615"/>
                  <wp:effectExtent l="0" t="0" r="635" b="635"/>
                  <wp:docPr id="485" name="Picture 485" descr="Staff lanya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Picture 485" descr="Staff lanyard icon"/>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23215" cy="475615"/>
                          </a:xfrm>
                          <a:prstGeom prst="rect">
                            <a:avLst/>
                          </a:prstGeom>
                          <a:noFill/>
                        </pic:spPr>
                      </pic:pic>
                    </a:graphicData>
                  </a:graphic>
                </wp:inline>
              </w:drawing>
            </w:r>
          </w:p>
        </w:tc>
        <w:tc>
          <w:tcPr>
            <w:tcW w:w="858" w:type="pct"/>
            <w:hideMark/>
          </w:tcPr>
          <w:p w14:paraId="71E1D692" w14:textId="77777777" w:rsidR="00C94779" w:rsidRPr="00F40D93" w:rsidRDefault="00C94779" w:rsidP="003F5567">
            <w:pPr>
              <w:pStyle w:val="TableNText"/>
              <w:rPr>
                <w:rFonts w:asciiTheme="majorHAnsi" w:hAnsiTheme="majorHAnsi" w:cstheme="majorHAnsi"/>
                <w:color w:val="00264D" w:themeColor="background2"/>
                <w:lang w:eastAsia="en-AU"/>
              </w:rPr>
            </w:pPr>
            <w:r w:rsidRPr="00F40D93">
              <w:rPr>
                <w:rFonts w:asciiTheme="majorHAnsi" w:hAnsiTheme="majorHAnsi" w:cstheme="majorHAnsi"/>
                <w:color w:val="00264D" w:themeColor="background2"/>
                <w:lang w:val="en-US" w:eastAsia="en-AU"/>
              </w:rPr>
              <w:t>Uplifting government capability to help deliver world-leading digital services</w:t>
            </w:r>
          </w:p>
        </w:tc>
        <w:tc>
          <w:tcPr>
            <w:tcW w:w="1052" w:type="pct"/>
            <w:hideMark/>
          </w:tcPr>
          <w:p w14:paraId="7FF1823E" w14:textId="77777777" w:rsidR="00C94779" w:rsidRPr="00C94779" w:rsidRDefault="00C94779" w:rsidP="003F5567">
            <w:pPr>
              <w:pStyle w:val="TableNText"/>
              <w:rPr>
                <w:lang w:eastAsia="en-AU"/>
              </w:rPr>
            </w:pPr>
            <w:r w:rsidRPr="00C94779">
              <w:rPr>
                <w:lang w:val="en-US" w:eastAsia="en-AU"/>
              </w:rPr>
              <w:t>Develop new innovative and technical solutions to uplift capability for digital transformation in service delivery, digital sourcing, technology and governance across government agencies.</w:t>
            </w:r>
          </w:p>
        </w:tc>
        <w:tc>
          <w:tcPr>
            <w:tcW w:w="535" w:type="pct"/>
            <w:hideMark/>
          </w:tcPr>
          <w:p w14:paraId="6F1E713E" w14:textId="77777777" w:rsidR="00C94779" w:rsidRPr="00C94779" w:rsidRDefault="00C94779" w:rsidP="003F5567">
            <w:pPr>
              <w:pStyle w:val="TableNText"/>
              <w:rPr>
                <w:lang w:eastAsia="en-AU"/>
              </w:rPr>
            </w:pPr>
            <w:r w:rsidRPr="00C94779">
              <w:rPr>
                <w:lang w:eastAsia="en-AU"/>
              </w:rPr>
              <w:t>Digital Transformation Agency</w:t>
            </w:r>
          </w:p>
        </w:tc>
        <w:tc>
          <w:tcPr>
            <w:tcW w:w="715" w:type="pct"/>
            <w:hideMark/>
          </w:tcPr>
          <w:p w14:paraId="7DEB46F0" w14:textId="77777777" w:rsidR="00C94779" w:rsidRPr="00C94779" w:rsidRDefault="00C94779" w:rsidP="003F5567">
            <w:pPr>
              <w:pStyle w:val="TableNBullet"/>
            </w:pPr>
            <w:r w:rsidRPr="00C94779">
              <w:rPr>
                <w:rFonts w:eastAsiaTheme="minorEastAsia"/>
              </w:rPr>
              <w:t>Tezet (Next Paradigm)</w:t>
            </w:r>
          </w:p>
        </w:tc>
        <w:tc>
          <w:tcPr>
            <w:tcW w:w="412" w:type="pct"/>
            <w:hideMark/>
          </w:tcPr>
          <w:p w14:paraId="460D6949" w14:textId="77777777" w:rsidR="00C94779" w:rsidRPr="00C94779" w:rsidRDefault="00C94779" w:rsidP="003F5567">
            <w:pPr>
              <w:pStyle w:val="TableNText"/>
              <w:rPr>
                <w:lang w:eastAsia="en-AU"/>
              </w:rPr>
            </w:pPr>
            <w:r w:rsidRPr="00C94779">
              <w:rPr>
                <w:lang w:eastAsia="en-AU"/>
              </w:rPr>
              <w:t>$100,000</w:t>
            </w:r>
          </w:p>
        </w:tc>
        <w:tc>
          <w:tcPr>
            <w:tcW w:w="520" w:type="pct"/>
            <w:hideMark/>
          </w:tcPr>
          <w:p w14:paraId="0B8CF85A" w14:textId="77777777" w:rsidR="00C94779" w:rsidRPr="00C94779" w:rsidRDefault="00C94779" w:rsidP="003F5567">
            <w:pPr>
              <w:pStyle w:val="TableNBullet"/>
            </w:pPr>
            <w:r w:rsidRPr="00C94779">
              <w:rPr>
                <w:rFonts w:eastAsiaTheme="minorEastAsia"/>
              </w:rPr>
              <w:t>None</w:t>
            </w:r>
          </w:p>
        </w:tc>
        <w:tc>
          <w:tcPr>
            <w:tcW w:w="448" w:type="pct"/>
            <w:hideMark/>
          </w:tcPr>
          <w:p w14:paraId="3A205E93" w14:textId="77777777" w:rsidR="00C94779" w:rsidRPr="00C94779" w:rsidRDefault="00C94779" w:rsidP="003F5567">
            <w:pPr>
              <w:pStyle w:val="TableNText"/>
              <w:rPr>
                <w:lang w:eastAsia="en-AU"/>
              </w:rPr>
            </w:pPr>
            <w:r w:rsidRPr="00C94779">
              <w:rPr>
                <w:lang w:eastAsia="en-AU"/>
              </w:rPr>
              <w:t>N/A</w:t>
            </w:r>
          </w:p>
        </w:tc>
      </w:tr>
    </w:tbl>
    <w:p w14:paraId="4CE8EFDC" w14:textId="378C8614" w:rsidR="009E436D" w:rsidRDefault="00C5046F" w:rsidP="00EA4234">
      <w:pPr>
        <w:pStyle w:val="xAppendixLevel2"/>
        <w:ind w:left="851"/>
      </w:pPr>
      <w:bookmarkStart w:id="206" w:name="_Toc124435172"/>
      <w:r>
        <w:t xml:space="preserve">There </w:t>
      </w:r>
      <w:r w:rsidR="005F7797">
        <w:t>are</w:t>
      </w:r>
      <w:r>
        <w:t xml:space="preserve"> five challenges in round </w:t>
      </w:r>
      <w:r w:rsidR="002638EE">
        <w:t>three</w:t>
      </w:r>
      <w:r>
        <w:t xml:space="preserve"> (priority sectors round)</w:t>
      </w:r>
      <w:r w:rsidR="004E6260">
        <w:t>.</w:t>
      </w:r>
      <w:bookmarkEnd w:id="206"/>
    </w:p>
    <w:p w14:paraId="77E27CF3" w14:textId="6FC6F083" w:rsidR="004E6260" w:rsidRDefault="00AC68C4" w:rsidP="004E6260">
      <w:pPr>
        <w:rPr>
          <w:lang w:eastAsia="en-AU"/>
        </w:rPr>
      </w:pPr>
      <w:r w:rsidRPr="00AC68C4">
        <w:rPr>
          <w:lang w:eastAsia="en-AU"/>
        </w:rPr>
        <w:t>The average grant value at the feasibility study stage was $98,893. This round has not yet reached the proof of concept stage.</w:t>
      </w:r>
    </w:p>
    <w:p w14:paraId="3C4203C4" w14:textId="4441DAC1" w:rsidR="00AC68C4" w:rsidRPr="004E6260" w:rsidRDefault="00AC68C4" w:rsidP="00AC68C4">
      <w:pPr>
        <w:pStyle w:val="Caption"/>
        <w:rPr>
          <w:lang w:eastAsia="en-AU"/>
        </w:rPr>
      </w:pPr>
      <w:r>
        <w:lastRenderedPageBreak/>
        <w:t xml:space="preserve">Table </w:t>
      </w:r>
      <w:r>
        <w:fldChar w:fldCharType="begin"/>
      </w:r>
      <w:r>
        <w:instrText xml:space="preserve"> SEQ Table \* ARABIC </w:instrText>
      </w:r>
      <w:r>
        <w:fldChar w:fldCharType="separate"/>
      </w:r>
      <w:r w:rsidR="00AE607F">
        <w:rPr>
          <w:noProof/>
        </w:rPr>
        <w:t>16</w:t>
      </w:r>
      <w:r>
        <w:fldChar w:fldCharType="end"/>
      </w:r>
      <w:r>
        <w:t xml:space="preserve"> | Summary of </w:t>
      </w:r>
      <w:r w:rsidR="00CB13ED">
        <w:t xml:space="preserve">the </w:t>
      </w:r>
      <w:r>
        <w:t>BRII challenges in round three</w:t>
      </w:r>
    </w:p>
    <w:tbl>
      <w:tblPr>
        <w:tblStyle w:val="NousTableTopandside"/>
        <w:tblW w:w="5000" w:type="pct"/>
        <w:tblBorders>
          <w:top w:val="single" w:sz="4" w:space="0" w:color="00264D" w:themeColor="background2"/>
          <w:left w:val="single" w:sz="4" w:space="0" w:color="00264D" w:themeColor="background2"/>
          <w:bottom w:val="single" w:sz="4" w:space="0" w:color="00264D" w:themeColor="background2"/>
          <w:right w:val="single" w:sz="4" w:space="0" w:color="00264D" w:themeColor="background2"/>
          <w:insideH w:val="single" w:sz="4" w:space="0" w:color="00264D" w:themeColor="background2"/>
          <w:insideV w:val="single" w:sz="4" w:space="0" w:color="00264D" w:themeColor="background2"/>
        </w:tblBorders>
        <w:tblLook w:val="0420" w:firstRow="1" w:lastRow="0" w:firstColumn="0" w:lastColumn="0" w:noHBand="0" w:noVBand="1"/>
      </w:tblPr>
      <w:tblGrid>
        <w:gridCol w:w="1713"/>
        <w:gridCol w:w="1950"/>
        <w:gridCol w:w="5351"/>
        <w:gridCol w:w="1862"/>
        <w:gridCol w:w="2601"/>
        <w:gridCol w:w="1538"/>
      </w:tblGrid>
      <w:tr w:rsidR="003C631D" w:rsidRPr="00C5046F" w14:paraId="119C99EB" w14:textId="77777777" w:rsidTr="003C631D">
        <w:trPr>
          <w:cnfStyle w:val="100000000000" w:firstRow="1" w:lastRow="0" w:firstColumn="0" w:lastColumn="0" w:oddVBand="0" w:evenVBand="0" w:oddHBand="0" w:evenHBand="0" w:firstRowFirstColumn="0" w:firstRowLastColumn="0" w:lastRowFirstColumn="0" w:lastRowLastColumn="0"/>
          <w:trHeight w:val="733"/>
        </w:trPr>
        <w:tc>
          <w:tcPr>
            <w:tcW w:w="5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hideMark/>
          </w:tcPr>
          <w:p w14:paraId="7B776BB0" w14:textId="77777777" w:rsidR="00C5046F" w:rsidRPr="00C5046F" w:rsidRDefault="00C5046F" w:rsidP="00C5046F">
            <w:pPr>
              <w:rPr>
                <w:lang w:eastAsia="en-AU"/>
              </w:rPr>
            </w:pPr>
          </w:p>
        </w:tc>
        <w:tc>
          <w:tcPr>
            <w:tcW w:w="6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hideMark/>
          </w:tcPr>
          <w:p w14:paraId="2F6B315B" w14:textId="77777777" w:rsidR="00C5046F" w:rsidRPr="00EF2D2C" w:rsidRDefault="00C5046F" w:rsidP="00EF2D2C">
            <w:pPr>
              <w:pStyle w:val="TableNheader"/>
              <w:rPr>
                <w:color w:val="FFFFFF" w:themeColor="background1"/>
                <w:lang w:eastAsia="en-AU"/>
              </w:rPr>
            </w:pPr>
            <w:r w:rsidRPr="00EF2D2C">
              <w:rPr>
                <w:color w:val="FFFFFF" w:themeColor="background1"/>
                <w:lang w:val="en-US" w:eastAsia="en-AU"/>
              </w:rPr>
              <w:t>Challenge</w:t>
            </w:r>
          </w:p>
        </w:tc>
        <w:tc>
          <w:tcPr>
            <w:tcW w:w="17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hideMark/>
          </w:tcPr>
          <w:p w14:paraId="3E51319F" w14:textId="77777777" w:rsidR="00C5046F" w:rsidRPr="00EF2D2C" w:rsidRDefault="00C5046F" w:rsidP="00EF2D2C">
            <w:pPr>
              <w:pStyle w:val="TableNheader"/>
              <w:rPr>
                <w:color w:val="FFFFFF" w:themeColor="background1"/>
                <w:lang w:eastAsia="en-AU"/>
              </w:rPr>
            </w:pPr>
            <w:r w:rsidRPr="00EF2D2C">
              <w:rPr>
                <w:color w:val="FFFFFF" w:themeColor="background1"/>
                <w:lang w:eastAsia="en-AU"/>
              </w:rPr>
              <w:t>Brief Description</w:t>
            </w:r>
          </w:p>
        </w:tc>
        <w:tc>
          <w:tcPr>
            <w:tcW w:w="6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hideMark/>
          </w:tcPr>
          <w:p w14:paraId="4BE97821" w14:textId="77777777" w:rsidR="00C5046F" w:rsidRPr="00EF2D2C" w:rsidRDefault="00C5046F" w:rsidP="00EF2D2C">
            <w:pPr>
              <w:pStyle w:val="TableNheader"/>
              <w:rPr>
                <w:color w:val="FFFFFF" w:themeColor="background1"/>
                <w:lang w:eastAsia="en-AU"/>
              </w:rPr>
            </w:pPr>
            <w:r w:rsidRPr="00EF2D2C">
              <w:rPr>
                <w:color w:val="FFFFFF" w:themeColor="background1"/>
                <w:lang w:val="en-US" w:eastAsia="en-AU"/>
              </w:rPr>
              <w:t>Challenge Agency</w:t>
            </w:r>
          </w:p>
        </w:tc>
        <w:tc>
          <w:tcPr>
            <w:tcW w:w="8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hideMark/>
          </w:tcPr>
          <w:p w14:paraId="56B25BE2" w14:textId="77777777" w:rsidR="00C5046F" w:rsidRPr="00EF2D2C" w:rsidRDefault="00C5046F" w:rsidP="00EF2D2C">
            <w:pPr>
              <w:pStyle w:val="TableNheader"/>
              <w:rPr>
                <w:color w:val="FFFFFF" w:themeColor="background1"/>
                <w:lang w:eastAsia="en-AU"/>
              </w:rPr>
            </w:pPr>
            <w:r w:rsidRPr="00EF2D2C">
              <w:rPr>
                <w:color w:val="FFFFFF" w:themeColor="background1"/>
                <w:lang w:eastAsia="en-AU"/>
              </w:rPr>
              <w:t>Feasibility study SMEs</w:t>
            </w:r>
          </w:p>
        </w:tc>
        <w:tc>
          <w:tcPr>
            <w:tcW w:w="5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hideMark/>
          </w:tcPr>
          <w:p w14:paraId="137BDB66" w14:textId="77777777" w:rsidR="00C5046F" w:rsidRPr="00EF2D2C" w:rsidRDefault="00C5046F" w:rsidP="00EF2D2C">
            <w:pPr>
              <w:pStyle w:val="TableNheader"/>
              <w:rPr>
                <w:color w:val="FFFFFF" w:themeColor="background1"/>
                <w:lang w:eastAsia="en-AU"/>
              </w:rPr>
            </w:pPr>
            <w:r w:rsidRPr="00EF2D2C">
              <w:rPr>
                <w:color w:val="FFFFFF" w:themeColor="background1"/>
                <w:lang w:eastAsia="en-AU"/>
              </w:rPr>
              <w:t>Average Feasibility Grant Value</w:t>
            </w:r>
          </w:p>
        </w:tc>
      </w:tr>
      <w:tr w:rsidR="00C5046F" w:rsidRPr="00C5046F" w14:paraId="32D1ED68" w14:textId="77777777" w:rsidTr="003C631D">
        <w:trPr>
          <w:trHeight w:val="23"/>
        </w:trPr>
        <w:tc>
          <w:tcPr>
            <w:tcW w:w="570" w:type="pct"/>
            <w:tcBorders>
              <w:top w:val="single" w:sz="4" w:space="0" w:color="FFFFFF" w:themeColor="background1"/>
            </w:tcBorders>
            <w:hideMark/>
          </w:tcPr>
          <w:p w14:paraId="3FC9993F" w14:textId="03C5EC3A" w:rsidR="00C5046F" w:rsidRPr="00C5046F" w:rsidRDefault="00EF2D2C" w:rsidP="00EF2D2C">
            <w:pPr>
              <w:pStyle w:val="TableNText"/>
              <w:rPr>
                <w:lang w:eastAsia="en-AU"/>
              </w:rPr>
            </w:pPr>
            <w:r>
              <w:rPr>
                <w:noProof/>
                <w:lang w:eastAsia="en-AU"/>
              </w:rPr>
              <w:drawing>
                <wp:inline distT="0" distB="0" distL="0" distR="0" wp14:anchorId="6D6B79D4" wp14:editId="724CA96C">
                  <wp:extent cx="457200" cy="377825"/>
                  <wp:effectExtent l="0" t="0" r="0" b="3175"/>
                  <wp:docPr id="490" name="Picture 490" descr="Grap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90" descr="Graph icon"/>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57200" cy="377825"/>
                          </a:xfrm>
                          <a:prstGeom prst="rect">
                            <a:avLst/>
                          </a:prstGeom>
                          <a:noFill/>
                        </pic:spPr>
                      </pic:pic>
                    </a:graphicData>
                  </a:graphic>
                </wp:inline>
              </w:drawing>
            </w:r>
          </w:p>
        </w:tc>
        <w:tc>
          <w:tcPr>
            <w:tcW w:w="649" w:type="pct"/>
            <w:tcBorders>
              <w:top w:val="single" w:sz="4" w:space="0" w:color="FFFFFF" w:themeColor="background1"/>
            </w:tcBorders>
            <w:hideMark/>
          </w:tcPr>
          <w:p w14:paraId="3408EDAA" w14:textId="2FAB12DF" w:rsidR="00C5046F" w:rsidRPr="00F40D93" w:rsidRDefault="00C5046F" w:rsidP="00EF2D2C">
            <w:pPr>
              <w:pStyle w:val="TableNText"/>
              <w:rPr>
                <w:rFonts w:asciiTheme="majorHAnsi" w:hAnsiTheme="majorHAnsi" w:cstheme="majorHAnsi"/>
                <w:color w:val="00264D" w:themeColor="background2"/>
                <w:lang w:eastAsia="en-AU"/>
              </w:rPr>
            </w:pPr>
            <w:r w:rsidRPr="00F40D93">
              <w:rPr>
                <w:rFonts w:asciiTheme="majorHAnsi" w:hAnsiTheme="majorHAnsi" w:cstheme="majorHAnsi"/>
                <w:color w:val="00264D" w:themeColor="background2"/>
                <w:lang w:val="en-US" w:eastAsia="en-AU"/>
              </w:rPr>
              <w:t>Counting fish using advanced</w:t>
            </w:r>
            <w:r w:rsidR="00A45794" w:rsidRPr="00F40D93">
              <w:rPr>
                <w:rFonts w:asciiTheme="majorHAnsi" w:hAnsiTheme="majorHAnsi" w:cstheme="majorHAnsi"/>
                <w:color w:val="00264D" w:themeColor="background2"/>
                <w:lang w:val="en-US" w:eastAsia="en-AU"/>
              </w:rPr>
              <w:t xml:space="preserve"> t</w:t>
            </w:r>
            <w:r w:rsidRPr="00F40D93">
              <w:rPr>
                <w:rFonts w:asciiTheme="majorHAnsi" w:hAnsiTheme="majorHAnsi" w:cstheme="majorHAnsi"/>
                <w:color w:val="00264D" w:themeColor="background2"/>
                <w:lang w:val="en-US" w:eastAsia="en-AU"/>
              </w:rPr>
              <w:t>echnologies</w:t>
            </w:r>
          </w:p>
        </w:tc>
        <w:tc>
          <w:tcPr>
            <w:tcW w:w="1782" w:type="pct"/>
            <w:tcBorders>
              <w:top w:val="single" w:sz="4" w:space="0" w:color="FFFFFF" w:themeColor="background1"/>
            </w:tcBorders>
            <w:hideMark/>
          </w:tcPr>
          <w:p w14:paraId="55925C30" w14:textId="77777777" w:rsidR="00C5046F" w:rsidRPr="00C5046F" w:rsidRDefault="00C5046F" w:rsidP="00EF2D2C">
            <w:pPr>
              <w:pStyle w:val="TableNText"/>
              <w:rPr>
                <w:lang w:eastAsia="en-AU"/>
              </w:rPr>
            </w:pPr>
            <w:r w:rsidRPr="00C5046F">
              <w:rPr>
                <w:lang w:val="en-US" w:eastAsia="en-AU"/>
              </w:rPr>
              <w:t>Create an innovative and flexible fish survey (video) data processing solution. This would harness advanced technologies, such as the power of machine learning and artificial intelligence techniques.</w:t>
            </w:r>
          </w:p>
        </w:tc>
        <w:tc>
          <w:tcPr>
            <w:tcW w:w="620" w:type="pct"/>
            <w:tcBorders>
              <w:top w:val="single" w:sz="4" w:space="0" w:color="FFFFFF" w:themeColor="background1"/>
            </w:tcBorders>
            <w:hideMark/>
          </w:tcPr>
          <w:p w14:paraId="6AE77793" w14:textId="77777777" w:rsidR="00C5046F" w:rsidRPr="00C5046F" w:rsidRDefault="00C5046F" w:rsidP="00EF2D2C">
            <w:pPr>
              <w:pStyle w:val="TableNText"/>
              <w:rPr>
                <w:lang w:eastAsia="en-AU"/>
              </w:rPr>
            </w:pPr>
            <w:r w:rsidRPr="00C5046F">
              <w:rPr>
                <w:lang w:eastAsia="en-AU"/>
              </w:rPr>
              <w:t>Australian Institute of Marine Science</w:t>
            </w:r>
          </w:p>
        </w:tc>
        <w:tc>
          <w:tcPr>
            <w:tcW w:w="866" w:type="pct"/>
            <w:tcBorders>
              <w:top w:val="single" w:sz="4" w:space="0" w:color="FFFFFF" w:themeColor="background1"/>
            </w:tcBorders>
            <w:hideMark/>
          </w:tcPr>
          <w:p w14:paraId="4CE32FF2" w14:textId="77777777" w:rsidR="00C5046F" w:rsidRPr="00C5046F" w:rsidRDefault="00C5046F" w:rsidP="00EF2D2C">
            <w:pPr>
              <w:pStyle w:val="TableNBullet"/>
            </w:pPr>
            <w:r w:rsidRPr="00C5046F">
              <w:rPr>
                <w:rFonts w:eastAsiaTheme="minorEastAsia"/>
              </w:rPr>
              <w:t>Harrier Project Management</w:t>
            </w:r>
          </w:p>
          <w:p w14:paraId="42B34655" w14:textId="77777777" w:rsidR="00C5046F" w:rsidRPr="00C5046F" w:rsidRDefault="00C5046F" w:rsidP="00EF2D2C">
            <w:pPr>
              <w:pStyle w:val="TableNBullet"/>
            </w:pPr>
            <w:r w:rsidRPr="00C5046F">
              <w:rPr>
                <w:rFonts w:eastAsiaTheme="minorEastAsia"/>
              </w:rPr>
              <w:t>Mapizy</w:t>
            </w:r>
          </w:p>
          <w:p w14:paraId="729E0889" w14:textId="77777777" w:rsidR="00C5046F" w:rsidRPr="00C5046F" w:rsidRDefault="00C5046F" w:rsidP="00EF2D2C">
            <w:pPr>
              <w:pStyle w:val="TableNBullet"/>
            </w:pPr>
            <w:r w:rsidRPr="00C5046F">
              <w:rPr>
                <w:rFonts w:eastAsiaTheme="minorEastAsia"/>
              </w:rPr>
              <w:t>Silverpond</w:t>
            </w:r>
          </w:p>
          <w:p w14:paraId="33BA71EC" w14:textId="77777777" w:rsidR="00C5046F" w:rsidRPr="00C5046F" w:rsidRDefault="00C5046F" w:rsidP="00EF2D2C">
            <w:pPr>
              <w:pStyle w:val="TableNBullet"/>
            </w:pPr>
            <w:r w:rsidRPr="00C5046F">
              <w:rPr>
                <w:rFonts w:eastAsiaTheme="minorEastAsia"/>
              </w:rPr>
              <w:t>Tekno</w:t>
            </w:r>
          </w:p>
        </w:tc>
        <w:tc>
          <w:tcPr>
            <w:tcW w:w="512" w:type="pct"/>
            <w:tcBorders>
              <w:top w:val="single" w:sz="4" w:space="0" w:color="FFFFFF" w:themeColor="background1"/>
            </w:tcBorders>
            <w:hideMark/>
          </w:tcPr>
          <w:p w14:paraId="12B131D8" w14:textId="77777777" w:rsidR="00C5046F" w:rsidRPr="00C5046F" w:rsidRDefault="00C5046F" w:rsidP="00EF2D2C">
            <w:pPr>
              <w:pStyle w:val="TableNText"/>
              <w:rPr>
                <w:lang w:eastAsia="en-AU"/>
              </w:rPr>
            </w:pPr>
            <w:r w:rsidRPr="00C5046F">
              <w:rPr>
                <w:lang w:eastAsia="en-AU"/>
              </w:rPr>
              <w:t>$99,898</w:t>
            </w:r>
          </w:p>
        </w:tc>
      </w:tr>
      <w:tr w:rsidR="00C5046F" w:rsidRPr="00C5046F" w14:paraId="40BB708F" w14:textId="77777777" w:rsidTr="003C631D">
        <w:trPr>
          <w:trHeight w:val="1221"/>
        </w:trPr>
        <w:tc>
          <w:tcPr>
            <w:tcW w:w="570" w:type="pct"/>
            <w:hideMark/>
          </w:tcPr>
          <w:p w14:paraId="3A8D82A0" w14:textId="229AF330" w:rsidR="00C5046F" w:rsidRPr="00C5046F" w:rsidRDefault="00EF2D2C" w:rsidP="00EF2D2C">
            <w:pPr>
              <w:pStyle w:val="TableNText"/>
              <w:rPr>
                <w:lang w:eastAsia="en-AU"/>
              </w:rPr>
            </w:pPr>
            <w:r>
              <w:rPr>
                <w:noProof/>
                <w:lang w:eastAsia="en-AU"/>
              </w:rPr>
              <w:drawing>
                <wp:inline distT="0" distB="0" distL="0" distR="0" wp14:anchorId="28BDDCA8" wp14:editId="52D92B89">
                  <wp:extent cx="372110" cy="506095"/>
                  <wp:effectExtent l="0" t="0" r="8890" b="8255"/>
                  <wp:docPr id="491" name="Picture 491" descr="Powerli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Picture 491" descr="Powerline icon"/>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72110" cy="506095"/>
                          </a:xfrm>
                          <a:prstGeom prst="rect">
                            <a:avLst/>
                          </a:prstGeom>
                          <a:noFill/>
                        </pic:spPr>
                      </pic:pic>
                    </a:graphicData>
                  </a:graphic>
                </wp:inline>
              </w:drawing>
            </w:r>
          </w:p>
        </w:tc>
        <w:tc>
          <w:tcPr>
            <w:tcW w:w="649" w:type="pct"/>
            <w:hideMark/>
          </w:tcPr>
          <w:p w14:paraId="61D917C7" w14:textId="77777777" w:rsidR="00C5046F" w:rsidRPr="00F40D93" w:rsidRDefault="00C5046F" w:rsidP="00EF2D2C">
            <w:pPr>
              <w:pStyle w:val="TableNText"/>
              <w:rPr>
                <w:rFonts w:asciiTheme="majorHAnsi" w:hAnsiTheme="majorHAnsi" w:cstheme="majorHAnsi"/>
                <w:color w:val="00264D" w:themeColor="background2"/>
                <w:lang w:eastAsia="en-AU"/>
              </w:rPr>
            </w:pPr>
            <w:r w:rsidRPr="00F40D93">
              <w:rPr>
                <w:rFonts w:asciiTheme="majorHAnsi" w:hAnsiTheme="majorHAnsi" w:cstheme="majorHAnsi"/>
                <w:color w:val="00264D" w:themeColor="background2"/>
                <w:lang w:val="en-US" w:eastAsia="en-AU"/>
              </w:rPr>
              <w:t>Turning office trash into energy treasure</w:t>
            </w:r>
          </w:p>
        </w:tc>
        <w:tc>
          <w:tcPr>
            <w:tcW w:w="1782" w:type="pct"/>
            <w:hideMark/>
          </w:tcPr>
          <w:p w14:paraId="60721D75" w14:textId="77777777" w:rsidR="00C5046F" w:rsidRPr="00C5046F" w:rsidRDefault="00C5046F" w:rsidP="00EF2D2C">
            <w:pPr>
              <w:pStyle w:val="TableNText"/>
              <w:rPr>
                <w:lang w:eastAsia="en-AU"/>
              </w:rPr>
            </w:pPr>
            <w:r w:rsidRPr="00C5046F">
              <w:rPr>
                <w:lang w:val="en-US" w:eastAsia="en-AU"/>
              </w:rPr>
              <w:t xml:space="preserve">Develop a way to conduct an analysis of waste streams from an office building in order to design and build an energy recovery pilot facility. The critical innovation is to demonstrate a step-change in resource recovery rates by combining innovations in technology and onsite waste management. </w:t>
            </w:r>
          </w:p>
        </w:tc>
        <w:tc>
          <w:tcPr>
            <w:tcW w:w="620" w:type="pct"/>
            <w:hideMark/>
          </w:tcPr>
          <w:p w14:paraId="14E10E7D" w14:textId="77777777" w:rsidR="00C5046F" w:rsidRPr="00C5046F" w:rsidRDefault="00C5046F" w:rsidP="00EF2D2C">
            <w:pPr>
              <w:pStyle w:val="TableNText"/>
              <w:rPr>
                <w:lang w:eastAsia="en-AU"/>
              </w:rPr>
            </w:pPr>
            <w:r w:rsidRPr="00C5046F">
              <w:rPr>
                <w:lang w:eastAsia="en-AU"/>
              </w:rPr>
              <w:t>Australian Renewable Energy Agency</w:t>
            </w:r>
          </w:p>
        </w:tc>
        <w:tc>
          <w:tcPr>
            <w:tcW w:w="866" w:type="pct"/>
            <w:hideMark/>
          </w:tcPr>
          <w:p w14:paraId="18F583FD" w14:textId="77777777" w:rsidR="00C5046F" w:rsidRPr="00C5046F" w:rsidRDefault="00C5046F" w:rsidP="00EF2D2C">
            <w:pPr>
              <w:pStyle w:val="TableNBullet"/>
            </w:pPr>
            <w:r w:rsidRPr="00C5046F">
              <w:rPr>
                <w:rFonts w:eastAsiaTheme="minorEastAsia"/>
              </w:rPr>
              <w:t>Finn Biogas</w:t>
            </w:r>
          </w:p>
          <w:p w14:paraId="1DD54BB1" w14:textId="77777777" w:rsidR="00C5046F" w:rsidRPr="00C5046F" w:rsidRDefault="00C5046F" w:rsidP="00EF2D2C">
            <w:pPr>
              <w:pStyle w:val="TableNBullet"/>
            </w:pPr>
            <w:r w:rsidRPr="00C5046F">
              <w:rPr>
                <w:rFonts w:eastAsiaTheme="minorEastAsia"/>
              </w:rPr>
              <w:t>Jet Technology Corporation</w:t>
            </w:r>
          </w:p>
          <w:p w14:paraId="1AC5836B" w14:textId="77777777" w:rsidR="00C5046F" w:rsidRPr="00C5046F" w:rsidRDefault="00C5046F" w:rsidP="00EF2D2C">
            <w:pPr>
              <w:pStyle w:val="TableNBullet"/>
            </w:pPr>
            <w:r w:rsidRPr="00C5046F">
              <w:rPr>
                <w:rFonts w:eastAsiaTheme="minorEastAsia"/>
              </w:rPr>
              <w:t>Nilwaste Energy</w:t>
            </w:r>
          </w:p>
          <w:p w14:paraId="264F699A" w14:textId="77777777" w:rsidR="00C5046F" w:rsidRPr="00C5046F" w:rsidRDefault="00C5046F" w:rsidP="00EF2D2C">
            <w:pPr>
              <w:pStyle w:val="TableNBullet"/>
            </w:pPr>
            <w:r w:rsidRPr="00C5046F">
              <w:rPr>
                <w:rFonts w:eastAsiaTheme="minorEastAsia"/>
              </w:rPr>
              <w:t>Pyrocal</w:t>
            </w:r>
          </w:p>
          <w:p w14:paraId="4F930898" w14:textId="77777777" w:rsidR="00C5046F" w:rsidRPr="00C5046F" w:rsidRDefault="00C5046F" w:rsidP="00EF2D2C">
            <w:pPr>
              <w:pStyle w:val="TableNBullet"/>
            </w:pPr>
            <w:r w:rsidRPr="00C5046F">
              <w:rPr>
                <w:rFonts w:eastAsiaTheme="minorEastAsia"/>
              </w:rPr>
              <w:t>ReGround</w:t>
            </w:r>
          </w:p>
        </w:tc>
        <w:tc>
          <w:tcPr>
            <w:tcW w:w="512" w:type="pct"/>
            <w:hideMark/>
          </w:tcPr>
          <w:p w14:paraId="56BD8C47" w14:textId="77777777" w:rsidR="00C5046F" w:rsidRPr="00C5046F" w:rsidRDefault="00C5046F" w:rsidP="00EF2D2C">
            <w:pPr>
              <w:pStyle w:val="TableNText"/>
              <w:rPr>
                <w:lang w:eastAsia="en-AU"/>
              </w:rPr>
            </w:pPr>
            <w:r w:rsidRPr="00C5046F">
              <w:rPr>
                <w:lang w:eastAsia="en-AU"/>
              </w:rPr>
              <w:t>$98,657</w:t>
            </w:r>
          </w:p>
        </w:tc>
      </w:tr>
      <w:tr w:rsidR="00C5046F" w:rsidRPr="00C5046F" w14:paraId="6EBA3613" w14:textId="77777777" w:rsidTr="003C631D">
        <w:trPr>
          <w:trHeight w:val="1221"/>
        </w:trPr>
        <w:tc>
          <w:tcPr>
            <w:tcW w:w="570" w:type="pct"/>
            <w:hideMark/>
          </w:tcPr>
          <w:p w14:paraId="71DA05F2" w14:textId="0986FFA5" w:rsidR="00C5046F" w:rsidRPr="00C5046F" w:rsidRDefault="00EF2D2C" w:rsidP="00EF2D2C">
            <w:pPr>
              <w:pStyle w:val="TableNText"/>
              <w:rPr>
                <w:lang w:eastAsia="en-AU"/>
              </w:rPr>
            </w:pPr>
            <w:r>
              <w:rPr>
                <w:noProof/>
                <w:lang w:eastAsia="en-AU"/>
              </w:rPr>
              <w:drawing>
                <wp:inline distT="0" distB="0" distL="0" distR="0" wp14:anchorId="148EF5EC" wp14:editId="0E05C186">
                  <wp:extent cx="445135" cy="372110"/>
                  <wp:effectExtent l="0" t="0" r="0" b="8890"/>
                  <wp:docPr id="492" name="Picture 492" descr="tract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Picture 492" descr="tractor icon"/>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45135" cy="372110"/>
                          </a:xfrm>
                          <a:prstGeom prst="rect">
                            <a:avLst/>
                          </a:prstGeom>
                          <a:noFill/>
                        </pic:spPr>
                      </pic:pic>
                    </a:graphicData>
                  </a:graphic>
                </wp:inline>
              </w:drawing>
            </w:r>
          </w:p>
        </w:tc>
        <w:tc>
          <w:tcPr>
            <w:tcW w:w="649" w:type="pct"/>
            <w:hideMark/>
          </w:tcPr>
          <w:p w14:paraId="619A69E2" w14:textId="62D0ADDE" w:rsidR="00C5046F" w:rsidRPr="00F40D93" w:rsidRDefault="00C5046F" w:rsidP="00EF2D2C">
            <w:pPr>
              <w:pStyle w:val="TableNText"/>
              <w:rPr>
                <w:rFonts w:asciiTheme="majorHAnsi" w:hAnsiTheme="majorHAnsi" w:cstheme="majorHAnsi"/>
                <w:color w:val="00264D" w:themeColor="background2"/>
                <w:lang w:eastAsia="en-AU"/>
              </w:rPr>
            </w:pPr>
            <w:r w:rsidRPr="00F40D93">
              <w:rPr>
                <w:rFonts w:asciiTheme="majorHAnsi" w:hAnsiTheme="majorHAnsi" w:cstheme="majorHAnsi"/>
                <w:color w:val="00264D" w:themeColor="background2"/>
                <w:lang w:eastAsia="en-AU"/>
              </w:rPr>
              <w:t>Revolutionising agricultural</w:t>
            </w:r>
            <w:r w:rsidR="00A45794" w:rsidRPr="00F40D93">
              <w:rPr>
                <w:rFonts w:asciiTheme="majorHAnsi" w:hAnsiTheme="majorHAnsi" w:cstheme="majorHAnsi"/>
                <w:color w:val="00264D" w:themeColor="background2"/>
                <w:lang w:eastAsia="en-AU"/>
              </w:rPr>
              <w:t xml:space="preserve"> </w:t>
            </w:r>
            <w:r w:rsidRPr="00F40D93">
              <w:rPr>
                <w:rFonts w:asciiTheme="majorHAnsi" w:hAnsiTheme="majorHAnsi" w:cstheme="majorHAnsi"/>
                <w:color w:val="00264D" w:themeColor="background2"/>
                <w:lang w:eastAsia="en-AU"/>
              </w:rPr>
              <w:t>spray application</w:t>
            </w:r>
          </w:p>
        </w:tc>
        <w:tc>
          <w:tcPr>
            <w:tcW w:w="1782" w:type="pct"/>
            <w:hideMark/>
          </w:tcPr>
          <w:p w14:paraId="7BDCF8BC" w14:textId="77777777" w:rsidR="00C5046F" w:rsidRPr="00C5046F" w:rsidRDefault="00C5046F" w:rsidP="00EF2D2C">
            <w:pPr>
              <w:pStyle w:val="TableNText"/>
              <w:rPr>
                <w:lang w:eastAsia="en-AU"/>
              </w:rPr>
            </w:pPr>
            <w:r w:rsidRPr="00C5046F">
              <w:rPr>
                <w:lang w:val="en-US" w:eastAsia="en-AU"/>
              </w:rPr>
              <w:t>Develop innovative technology solutions to reduce spray drift - the off-target movement of agricultural chemicals such as</w:t>
            </w:r>
          </w:p>
          <w:p w14:paraId="673F4B3E" w14:textId="77777777" w:rsidR="00C5046F" w:rsidRPr="00C5046F" w:rsidRDefault="00C5046F" w:rsidP="00EF2D2C">
            <w:pPr>
              <w:pStyle w:val="TableNText"/>
              <w:rPr>
                <w:lang w:eastAsia="en-AU"/>
              </w:rPr>
            </w:pPr>
            <w:r w:rsidRPr="00C5046F">
              <w:rPr>
                <w:lang w:val="en-US" w:eastAsia="en-AU"/>
              </w:rPr>
              <w:t>pesticides.</w:t>
            </w:r>
          </w:p>
        </w:tc>
        <w:tc>
          <w:tcPr>
            <w:tcW w:w="620" w:type="pct"/>
            <w:hideMark/>
          </w:tcPr>
          <w:p w14:paraId="0236689D" w14:textId="77777777" w:rsidR="00C5046F" w:rsidRPr="00C5046F" w:rsidRDefault="00C5046F" w:rsidP="00EF2D2C">
            <w:pPr>
              <w:pStyle w:val="TableNText"/>
              <w:rPr>
                <w:lang w:eastAsia="en-AU"/>
              </w:rPr>
            </w:pPr>
            <w:r w:rsidRPr="00C5046F">
              <w:rPr>
                <w:lang w:eastAsia="en-AU"/>
              </w:rPr>
              <w:t>Cotton Research and Development Corporation</w:t>
            </w:r>
          </w:p>
        </w:tc>
        <w:tc>
          <w:tcPr>
            <w:tcW w:w="866" w:type="pct"/>
            <w:hideMark/>
          </w:tcPr>
          <w:p w14:paraId="7C57EF67" w14:textId="77777777" w:rsidR="00C5046F" w:rsidRPr="00C5046F" w:rsidRDefault="00C5046F" w:rsidP="00EF2D2C">
            <w:pPr>
              <w:pStyle w:val="TableNBullet"/>
            </w:pPr>
            <w:r w:rsidRPr="00C5046F">
              <w:rPr>
                <w:rFonts w:eastAsiaTheme="minorEastAsia"/>
              </w:rPr>
              <w:t>Advanced Agricultural Systems</w:t>
            </w:r>
          </w:p>
          <w:p w14:paraId="54882E3E" w14:textId="77777777" w:rsidR="00C5046F" w:rsidRPr="00C5046F" w:rsidRDefault="00C5046F" w:rsidP="00EF2D2C">
            <w:pPr>
              <w:pStyle w:val="TableNBullet"/>
            </w:pPr>
            <w:r w:rsidRPr="00C5046F">
              <w:rPr>
                <w:rFonts w:eastAsiaTheme="minorEastAsia"/>
              </w:rPr>
              <w:t>Bard AI</w:t>
            </w:r>
          </w:p>
          <w:p w14:paraId="0762D99E" w14:textId="77777777" w:rsidR="00C5046F" w:rsidRPr="00C5046F" w:rsidRDefault="00C5046F" w:rsidP="00EF2D2C">
            <w:pPr>
              <w:pStyle w:val="TableNBullet"/>
            </w:pPr>
            <w:r w:rsidRPr="00C5046F">
              <w:rPr>
                <w:rFonts w:eastAsiaTheme="minorEastAsia"/>
              </w:rPr>
              <w:t>Interlate Management Services</w:t>
            </w:r>
          </w:p>
          <w:p w14:paraId="764334BF" w14:textId="77777777" w:rsidR="00C5046F" w:rsidRPr="00C5046F" w:rsidRDefault="00C5046F" w:rsidP="00EF2D2C">
            <w:pPr>
              <w:pStyle w:val="TableNBullet"/>
            </w:pPr>
            <w:r w:rsidRPr="00C5046F">
              <w:rPr>
                <w:rFonts w:eastAsiaTheme="minorEastAsia"/>
              </w:rPr>
              <w:t>LX Design House</w:t>
            </w:r>
          </w:p>
          <w:p w14:paraId="0B4B85FE" w14:textId="77777777" w:rsidR="00C5046F" w:rsidRPr="00C5046F" w:rsidRDefault="00C5046F" w:rsidP="00EF2D2C">
            <w:pPr>
              <w:pStyle w:val="TableNBullet"/>
            </w:pPr>
            <w:r w:rsidRPr="00C5046F">
              <w:rPr>
                <w:rFonts w:eastAsiaTheme="minorEastAsia"/>
              </w:rPr>
              <w:t>Spray Safe and Save</w:t>
            </w:r>
          </w:p>
          <w:p w14:paraId="6B600576" w14:textId="77777777" w:rsidR="00C5046F" w:rsidRPr="00C5046F" w:rsidRDefault="00C5046F" w:rsidP="00EF2D2C">
            <w:pPr>
              <w:pStyle w:val="TableNBullet"/>
            </w:pPr>
            <w:r w:rsidRPr="00C5046F">
              <w:rPr>
                <w:rFonts w:eastAsiaTheme="minorEastAsia"/>
              </w:rPr>
              <w:t>Teknomika</w:t>
            </w:r>
          </w:p>
        </w:tc>
        <w:tc>
          <w:tcPr>
            <w:tcW w:w="512" w:type="pct"/>
            <w:hideMark/>
          </w:tcPr>
          <w:p w14:paraId="5DBE75CE" w14:textId="77777777" w:rsidR="00C5046F" w:rsidRPr="00C5046F" w:rsidRDefault="00C5046F" w:rsidP="00EF2D2C">
            <w:pPr>
              <w:pStyle w:val="TableNText"/>
              <w:rPr>
                <w:lang w:eastAsia="en-AU"/>
              </w:rPr>
            </w:pPr>
            <w:r w:rsidRPr="00C5046F">
              <w:rPr>
                <w:lang w:eastAsia="en-AU"/>
              </w:rPr>
              <w:t>$97,882</w:t>
            </w:r>
          </w:p>
        </w:tc>
      </w:tr>
      <w:tr w:rsidR="00C5046F" w:rsidRPr="00C5046F" w14:paraId="12BC920C" w14:textId="77777777" w:rsidTr="003C631D">
        <w:trPr>
          <w:trHeight w:val="1221"/>
        </w:trPr>
        <w:tc>
          <w:tcPr>
            <w:tcW w:w="570" w:type="pct"/>
            <w:hideMark/>
          </w:tcPr>
          <w:p w14:paraId="78B979B9" w14:textId="68D6773C" w:rsidR="00C5046F" w:rsidRPr="00C5046F" w:rsidRDefault="00EF2D2C" w:rsidP="00EF2D2C">
            <w:pPr>
              <w:pStyle w:val="TableNText"/>
              <w:rPr>
                <w:lang w:eastAsia="en-AU"/>
              </w:rPr>
            </w:pPr>
            <w:r>
              <w:rPr>
                <w:noProof/>
                <w:lang w:eastAsia="en-AU"/>
              </w:rPr>
              <w:lastRenderedPageBreak/>
              <w:drawing>
                <wp:inline distT="0" distB="0" distL="0" distR="0" wp14:anchorId="4B9AD2D5" wp14:editId="17973C33">
                  <wp:extent cx="304800" cy="372110"/>
                  <wp:effectExtent l="0" t="0" r="0" b="8890"/>
                  <wp:docPr id="493" name="Picture 493" descr="Test 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Picture 493" descr="Test tube icon"/>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04800" cy="372110"/>
                          </a:xfrm>
                          <a:prstGeom prst="rect">
                            <a:avLst/>
                          </a:prstGeom>
                          <a:noFill/>
                        </pic:spPr>
                      </pic:pic>
                    </a:graphicData>
                  </a:graphic>
                </wp:inline>
              </w:drawing>
            </w:r>
          </w:p>
        </w:tc>
        <w:tc>
          <w:tcPr>
            <w:tcW w:w="649" w:type="pct"/>
            <w:hideMark/>
          </w:tcPr>
          <w:p w14:paraId="7E7FB41A" w14:textId="77777777" w:rsidR="00C5046F" w:rsidRPr="00F40D93" w:rsidRDefault="00C5046F" w:rsidP="00EF2D2C">
            <w:pPr>
              <w:pStyle w:val="TableNText"/>
              <w:rPr>
                <w:rFonts w:asciiTheme="majorHAnsi" w:hAnsiTheme="majorHAnsi" w:cstheme="majorHAnsi"/>
                <w:color w:val="00264D" w:themeColor="background2"/>
                <w:lang w:eastAsia="en-AU"/>
              </w:rPr>
            </w:pPr>
            <w:r w:rsidRPr="00F40D93">
              <w:rPr>
                <w:rFonts w:asciiTheme="majorHAnsi" w:hAnsiTheme="majorHAnsi" w:cstheme="majorHAnsi"/>
                <w:color w:val="00264D" w:themeColor="background2"/>
                <w:lang w:val="en-US" w:eastAsia="en-AU"/>
              </w:rPr>
              <w:t>Turning farm crops into a renewable hydrogen source</w:t>
            </w:r>
          </w:p>
        </w:tc>
        <w:tc>
          <w:tcPr>
            <w:tcW w:w="1782" w:type="pct"/>
            <w:hideMark/>
          </w:tcPr>
          <w:p w14:paraId="042D3A11" w14:textId="77777777" w:rsidR="00C5046F" w:rsidRPr="00C5046F" w:rsidRDefault="00C5046F" w:rsidP="00EF2D2C">
            <w:pPr>
              <w:pStyle w:val="TableNText"/>
              <w:rPr>
                <w:lang w:eastAsia="en-AU"/>
              </w:rPr>
            </w:pPr>
            <w:r w:rsidRPr="00C5046F">
              <w:rPr>
                <w:lang w:val="en-US" w:eastAsia="en-AU"/>
              </w:rPr>
              <w:t xml:space="preserve">Create an environmentally-friendly way to produce fertilisers that are critical to the success of Australia’s grains industry. This will require an innovative solution that will enable Australia to recycle biomass to generate hydrogen for renewable fertiliser production. </w:t>
            </w:r>
          </w:p>
        </w:tc>
        <w:tc>
          <w:tcPr>
            <w:tcW w:w="620" w:type="pct"/>
            <w:hideMark/>
          </w:tcPr>
          <w:p w14:paraId="561951F3" w14:textId="77777777" w:rsidR="00C5046F" w:rsidRPr="00C5046F" w:rsidRDefault="00C5046F" w:rsidP="00EF2D2C">
            <w:pPr>
              <w:pStyle w:val="TableNText"/>
              <w:rPr>
                <w:lang w:eastAsia="en-AU"/>
              </w:rPr>
            </w:pPr>
            <w:r w:rsidRPr="00C5046F">
              <w:rPr>
                <w:lang w:eastAsia="en-AU"/>
              </w:rPr>
              <w:t>Grain Research and Development Corporation</w:t>
            </w:r>
          </w:p>
        </w:tc>
        <w:tc>
          <w:tcPr>
            <w:tcW w:w="866" w:type="pct"/>
            <w:hideMark/>
          </w:tcPr>
          <w:p w14:paraId="2469C4D3" w14:textId="77777777" w:rsidR="00C5046F" w:rsidRPr="00C5046F" w:rsidRDefault="00C5046F" w:rsidP="00EF2D2C">
            <w:pPr>
              <w:pStyle w:val="TableNBullet"/>
            </w:pPr>
            <w:r w:rsidRPr="00C5046F">
              <w:rPr>
                <w:rFonts w:eastAsia="Segoe UI"/>
              </w:rPr>
              <w:t>HydGene Renewables</w:t>
            </w:r>
          </w:p>
          <w:p w14:paraId="08B09B90" w14:textId="77777777" w:rsidR="00C5046F" w:rsidRPr="00C5046F" w:rsidRDefault="00C5046F" w:rsidP="00EF2D2C">
            <w:pPr>
              <w:pStyle w:val="TableNBullet"/>
            </w:pPr>
            <w:r w:rsidRPr="00C5046F">
              <w:rPr>
                <w:rFonts w:eastAsia="Segoe UI"/>
              </w:rPr>
              <w:t>ITP Thermal</w:t>
            </w:r>
          </w:p>
          <w:p w14:paraId="7A4C8CAB" w14:textId="77777777" w:rsidR="00C5046F" w:rsidRPr="00C5046F" w:rsidRDefault="00C5046F" w:rsidP="00EF2D2C">
            <w:pPr>
              <w:pStyle w:val="TableNBullet"/>
            </w:pPr>
            <w:r w:rsidRPr="00C5046F">
              <w:rPr>
                <w:rFonts w:eastAsia="Segoe UI"/>
              </w:rPr>
              <w:t>Mollongghip &amp; District Enterprises</w:t>
            </w:r>
          </w:p>
          <w:p w14:paraId="65BD8683" w14:textId="77777777" w:rsidR="00C5046F" w:rsidRPr="00C5046F" w:rsidRDefault="00C5046F" w:rsidP="00EF2D2C">
            <w:pPr>
              <w:pStyle w:val="TableNBullet"/>
            </w:pPr>
            <w:r w:rsidRPr="00C5046F">
              <w:rPr>
                <w:rFonts w:eastAsia="Segoe UI"/>
              </w:rPr>
              <w:t>Wildfire Energy</w:t>
            </w:r>
          </w:p>
        </w:tc>
        <w:tc>
          <w:tcPr>
            <w:tcW w:w="512" w:type="pct"/>
            <w:hideMark/>
          </w:tcPr>
          <w:p w14:paraId="32DE3C50" w14:textId="77777777" w:rsidR="00C5046F" w:rsidRPr="00C5046F" w:rsidRDefault="00C5046F" w:rsidP="00EF2D2C">
            <w:pPr>
              <w:pStyle w:val="TableNText"/>
              <w:rPr>
                <w:lang w:eastAsia="en-AU"/>
              </w:rPr>
            </w:pPr>
            <w:r w:rsidRPr="00C5046F">
              <w:rPr>
                <w:lang w:eastAsia="en-AU"/>
              </w:rPr>
              <w:t>$99,928</w:t>
            </w:r>
          </w:p>
        </w:tc>
      </w:tr>
      <w:tr w:rsidR="00C5046F" w:rsidRPr="00C5046F" w14:paraId="0C4CE560" w14:textId="77777777" w:rsidTr="003C631D">
        <w:trPr>
          <w:trHeight w:val="1062"/>
        </w:trPr>
        <w:tc>
          <w:tcPr>
            <w:tcW w:w="570" w:type="pct"/>
            <w:hideMark/>
          </w:tcPr>
          <w:p w14:paraId="673B86B0" w14:textId="744D0426" w:rsidR="00C5046F" w:rsidRPr="00C5046F" w:rsidRDefault="00EF2D2C" w:rsidP="00EF2D2C">
            <w:pPr>
              <w:pStyle w:val="TableNText"/>
              <w:rPr>
                <w:lang w:eastAsia="en-AU"/>
              </w:rPr>
            </w:pPr>
            <w:r>
              <w:rPr>
                <w:noProof/>
                <w:lang w:eastAsia="en-AU"/>
              </w:rPr>
              <w:drawing>
                <wp:inline distT="0" distB="0" distL="0" distR="0" wp14:anchorId="4E134176" wp14:editId="60E7C53F">
                  <wp:extent cx="286385" cy="359410"/>
                  <wp:effectExtent l="0" t="0" r="0" b="2540"/>
                  <wp:docPr id="494" name="Picture 494" descr="Docu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Picture 494" descr="Document icon"/>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6385" cy="359410"/>
                          </a:xfrm>
                          <a:prstGeom prst="rect">
                            <a:avLst/>
                          </a:prstGeom>
                          <a:noFill/>
                        </pic:spPr>
                      </pic:pic>
                    </a:graphicData>
                  </a:graphic>
                </wp:inline>
              </w:drawing>
            </w:r>
          </w:p>
        </w:tc>
        <w:tc>
          <w:tcPr>
            <w:tcW w:w="649" w:type="pct"/>
            <w:hideMark/>
          </w:tcPr>
          <w:p w14:paraId="71AAEDD8" w14:textId="77777777" w:rsidR="00C5046F" w:rsidRPr="00F40D93" w:rsidRDefault="00C5046F" w:rsidP="00EF2D2C">
            <w:pPr>
              <w:pStyle w:val="TableNText"/>
              <w:rPr>
                <w:rFonts w:asciiTheme="majorHAnsi" w:hAnsiTheme="majorHAnsi" w:cstheme="majorHAnsi"/>
                <w:color w:val="00264D" w:themeColor="background2"/>
                <w:lang w:eastAsia="en-AU"/>
              </w:rPr>
            </w:pPr>
            <w:r w:rsidRPr="00F40D93">
              <w:rPr>
                <w:rFonts w:asciiTheme="majorHAnsi" w:hAnsiTheme="majorHAnsi" w:cstheme="majorHAnsi"/>
                <w:color w:val="00264D" w:themeColor="background2"/>
                <w:lang w:val="en-US" w:eastAsia="en-AU"/>
              </w:rPr>
              <w:t>Automating the detection of whales at sea</w:t>
            </w:r>
          </w:p>
        </w:tc>
        <w:tc>
          <w:tcPr>
            <w:tcW w:w="1782" w:type="pct"/>
            <w:hideMark/>
          </w:tcPr>
          <w:p w14:paraId="4573647D" w14:textId="77777777" w:rsidR="00C5046F" w:rsidRPr="00C5046F" w:rsidRDefault="00C5046F" w:rsidP="00EF2D2C">
            <w:pPr>
              <w:pStyle w:val="TableNText"/>
              <w:rPr>
                <w:lang w:eastAsia="en-AU"/>
              </w:rPr>
            </w:pPr>
            <w:r w:rsidRPr="00C5046F">
              <w:rPr>
                <w:lang w:val="en-US" w:eastAsia="en-AU"/>
              </w:rPr>
              <w:t xml:space="preserve">Develop new and innovative technologies that could be deployed to improve the efficiency and effectiveness of marine fauna detection. The challenge also involves finding ways to effectively collate and report automated marine fauna data and associated vessel responses. </w:t>
            </w:r>
          </w:p>
        </w:tc>
        <w:tc>
          <w:tcPr>
            <w:tcW w:w="620" w:type="pct"/>
            <w:hideMark/>
          </w:tcPr>
          <w:p w14:paraId="76E2F456" w14:textId="77777777" w:rsidR="00C5046F" w:rsidRPr="00C5046F" w:rsidRDefault="00C5046F" w:rsidP="00EF2D2C">
            <w:pPr>
              <w:pStyle w:val="TableNText"/>
              <w:rPr>
                <w:lang w:eastAsia="en-AU"/>
              </w:rPr>
            </w:pPr>
            <w:r w:rsidRPr="00C5046F">
              <w:rPr>
                <w:lang w:eastAsia="en-AU"/>
              </w:rPr>
              <w:t>National Offshore Petroleum Safety and Environmental Management Authority</w:t>
            </w:r>
          </w:p>
        </w:tc>
        <w:tc>
          <w:tcPr>
            <w:tcW w:w="866" w:type="pct"/>
            <w:hideMark/>
          </w:tcPr>
          <w:p w14:paraId="7BC47AC7" w14:textId="77777777" w:rsidR="00C5046F" w:rsidRPr="00C5046F" w:rsidRDefault="00C5046F" w:rsidP="00EF2D2C">
            <w:pPr>
              <w:pStyle w:val="TableNBullet"/>
            </w:pPr>
            <w:r w:rsidRPr="00C5046F">
              <w:rPr>
                <w:rFonts w:eastAsiaTheme="minorEastAsia"/>
              </w:rPr>
              <w:t>Earth Ocean and Space</w:t>
            </w:r>
          </w:p>
          <w:p w14:paraId="3BA72818" w14:textId="77777777" w:rsidR="00C5046F" w:rsidRPr="00C5046F" w:rsidRDefault="00C5046F" w:rsidP="00EF2D2C">
            <w:pPr>
              <w:pStyle w:val="TableNBullet"/>
            </w:pPr>
            <w:r w:rsidRPr="00C5046F">
              <w:rPr>
                <w:rFonts w:eastAsiaTheme="minorEastAsia"/>
              </w:rPr>
              <w:t>Industrial Monitoring and Control</w:t>
            </w:r>
          </w:p>
          <w:p w14:paraId="16B9E7AE" w14:textId="77777777" w:rsidR="00C5046F" w:rsidRPr="00C5046F" w:rsidRDefault="00C5046F" w:rsidP="00EF2D2C">
            <w:pPr>
              <w:pStyle w:val="TableNBullet"/>
            </w:pPr>
            <w:r w:rsidRPr="00C5046F">
              <w:rPr>
                <w:rFonts w:eastAsiaTheme="minorEastAsia"/>
              </w:rPr>
              <w:t>Thaum</w:t>
            </w:r>
          </w:p>
          <w:p w14:paraId="74F9B235" w14:textId="77777777" w:rsidR="00C5046F" w:rsidRPr="00C5046F" w:rsidRDefault="00C5046F" w:rsidP="00EF2D2C">
            <w:pPr>
              <w:pStyle w:val="TableNBullet"/>
            </w:pPr>
            <w:r w:rsidRPr="00C5046F">
              <w:rPr>
                <w:rFonts w:eastAsiaTheme="minorEastAsia"/>
              </w:rPr>
              <w:t>Vimana Tech</w:t>
            </w:r>
          </w:p>
        </w:tc>
        <w:tc>
          <w:tcPr>
            <w:tcW w:w="512" w:type="pct"/>
            <w:hideMark/>
          </w:tcPr>
          <w:p w14:paraId="2A369DB5" w14:textId="77777777" w:rsidR="00C5046F" w:rsidRPr="00C5046F" w:rsidRDefault="00C5046F" w:rsidP="00EF2D2C">
            <w:pPr>
              <w:pStyle w:val="TableNText"/>
              <w:rPr>
                <w:lang w:eastAsia="en-AU"/>
              </w:rPr>
            </w:pPr>
            <w:r w:rsidRPr="00C5046F">
              <w:rPr>
                <w:lang w:eastAsia="en-AU"/>
              </w:rPr>
              <w:t>$98,664</w:t>
            </w:r>
          </w:p>
        </w:tc>
      </w:tr>
    </w:tbl>
    <w:p w14:paraId="08C2AA56" w14:textId="1E110B11" w:rsidR="006D0625" w:rsidRPr="006D0625" w:rsidRDefault="006D0625" w:rsidP="006D0625">
      <w:pPr>
        <w:rPr>
          <w:lang w:eastAsia="en-AU"/>
        </w:rPr>
      </w:pPr>
    </w:p>
    <w:p w14:paraId="4FAD50ED" w14:textId="77777777" w:rsidR="00906B44" w:rsidRDefault="00906B44" w:rsidP="00C65557">
      <w:pPr>
        <w:rPr>
          <w:lang w:eastAsia="en-AU"/>
        </w:rPr>
        <w:sectPr w:rsidR="00906B44" w:rsidSect="00C71C34">
          <w:headerReference w:type="first" r:id="rId91"/>
          <w:pgSz w:w="16839" w:h="11907" w:orient="landscape" w:code="9"/>
          <w:pgMar w:top="1134" w:right="907" w:bottom="907" w:left="907" w:header="720" w:footer="720" w:gutter="0"/>
          <w:cols w:space="720"/>
          <w:titlePg/>
          <w:docGrid w:linePitch="360"/>
        </w:sectPr>
      </w:pPr>
    </w:p>
    <w:p w14:paraId="70B84B70" w14:textId="07A925CD" w:rsidR="00F96486" w:rsidRPr="007B0AF9" w:rsidRDefault="007B0AF9">
      <w:pPr>
        <w:pStyle w:val="xAppendixLevel1"/>
        <w:rPr>
          <w:color w:val="00264D" w:themeColor="background2"/>
        </w:rPr>
      </w:pPr>
      <w:bookmarkStart w:id="207" w:name="_Toc124435173"/>
      <w:r>
        <w:rPr>
          <w:color w:val="00264D" w:themeColor="background2"/>
        </w:rPr>
        <w:lastRenderedPageBreak/>
        <w:drawing>
          <wp:anchor distT="0" distB="0" distL="114300" distR="114300" simplePos="0" relativeHeight="251682304" behindDoc="0" locked="0" layoutInCell="1" allowOverlap="1" wp14:anchorId="462672CC" wp14:editId="32C09F2D">
            <wp:simplePos x="0" y="0"/>
            <wp:positionH relativeFrom="page">
              <wp:posOffset>0</wp:posOffset>
            </wp:positionH>
            <wp:positionV relativeFrom="paragraph">
              <wp:posOffset>-605790</wp:posOffset>
            </wp:positionV>
            <wp:extent cx="10693400" cy="1256030"/>
            <wp:effectExtent l="0" t="0" r="0" b="1270"/>
            <wp:wrapNone/>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693400" cy="1256030"/>
                    </a:xfrm>
                    <a:prstGeom prst="rect">
                      <a:avLst/>
                    </a:prstGeom>
                    <a:noFill/>
                  </pic:spPr>
                </pic:pic>
              </a:graphicData>
            </a:graphic>
          </wp:anchor>
        </w:drawing>
      </w:r>
      <w:r w:rsidR="00B735D2" w:rsidRPr="007B0AF9">
        <w:rPr>
          <w:color w:val="00264D" w:themeColor="background2"/>
        </w:rPr>
        <w:t>BRII Program Log</w:t>
      </w:r>
      <w:r w:rsidR="0036752A" w:rsidRPr="007B0AF9">
        <w:rPr>
          <w:color w:val="00264D" w:themeColor="background2"/>
        </w:rPr>
        <w:t>i</w:t>
      </w:r>
      <w:r w:rsidR="00B735D2" w:rsidRPr="007B0AF9">
        <w:rPr>
          <w:color w:val="00264D" w:themeColor="background2"/>
        </w:rPr>
        <w:t>c (2018)</w:t>
      </w:r>
      <w:bookmarkEnd w:id="207"/>
    </w:p>
    <w:p w14:paraId="16C6EA33" w14:textId="481E7A99" w:rsidR="006D0625" w:rsidRPr="006D0625" w:rsidRDefault="00B735D2" w:rsidP="006D0625">
      <w:pPr>
        <w:rPr>
          <w:lang w:eastAsia="en-AU"/>
        </w:rPr>
      </w:pPr>
      <w:r w:rsidRPr="00B735D2">
        <w:rPr>
          <w:noProof/>
          <w:lang w:eastAsia="en-AU"/>
        </w:rPr>
        <w:drawing>
          <wp:inline distT="0" distB="0" distL="0" distR="0" wp14:anchorId="7FBA9780" wp14:editId="3D93BF4C">
            <wp:extent cx="9205561" cy="5188528"/>
            <wp:effectExtent l="0" t="0" r="0" b="0"/>
            <wp:docPr id="39" name="Picture 39" descr="Situation. Australian Government procurement does not sufficiently foster innovation or small and medium enterprise participation. Objectives.  Drive innovation and commercialisation within Australian SMEs and start-ups. Change the nature of government procurement through sourcing innovative solutions.&#10;Inputs. What we invest. Departmental funds: 4.2 million dollars, 2016-17 to 2019-20.&#10;Administered funding grants:&#10;24.4 million dollars, 2016-17 to 2019-20.&#10;DISER and ISA. Activities &amp; Outputs. With participating agencies, workshop, select and announce challenges. Solicit and select applications from SMEs to undertake feasibility studies. Monitor progress of feasibility studies and review final reports. Solicit and select applications from feasibility study SMEs to undertake proof of concept. &#10;Monitor progress of proof of concept activities and review final reports.&#10;Challenge Agencies. Activities &amp; Outputs. Note, five challenge agencies are expected to participate in each BRII round. Identify, refine and submit challenges. Work collaboratively with SMEs during feasibility study and proof of concept stages. Assess feasibility study and proof of concept applications. SMEs. Activities &amp; Outputs. Submit applications for feasibility studies. Submit applications for proof of concept grants. Conduct feasibility studies and report. Conduct proof of concept activities. Outcomes&#10;1 to 2 years, SME awareness of opportunities to supply to government increases. Agencies’ awareness of SMEs as providers of innovative solutions to national policy and program challenges increases. &#10;Innovation activities increase among  participating SMEs and agencies. &#10;More informed policy decisions and continuous improvement of program.&#10;Outcomes, 2 to 3 years. Tender responses from SMEs increase. Collaboration among SMEs, agencies and industry partners increases. Agency confidence working with SMEs increases. SME confidence working with agencies increases. Innovation activities increase among  participating SMEs and agencies. Potential solutions to challenges (proofs of concept) increase. More informed policy decisions and continuous improvement of program. Outcomes, 4 to ten years. SME capability to access national and international markets increases. Innovative capacity of participating SMEs increases. Commercialisation of new to market products and services  among participating SMEs increases. Government procurement of, and collaboration on, innovative solutions from SMEs increases.&#10;Assumptions include.&#10;There are no existing solutions for government challenges.&#10;The barrier to SME supply is due to lack of agencies’ awareness of SMEs as suppliers of existing or potential innovative solutions and risk aversion in agencies’  procurement culture.&#10;Openness to SMEs as suppliers of innovative solutions will increase the range of solutions to national policy and program issues.&#10;The program will reduce the risk to agencies of adopting innovative solutions through the work completed on feasibility studies and proofs of concept.&#10;Grant assistance delivered through the program will reduce the financial risk to SMEs of developing innovative solutions.&#10;Supplying to government will increase the profile of participating SMEs, improving their ability to access national and international markets.&#10;External Factors include.&#10;The pace of innovation and range of innovative solutions offered by other or larger companies.&#10;The nature of government policy and program issues to solve.&#10;Government procurement rules and proc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ituation. Australian Government procurement does not sufficiently foster innovation or small and medium enterprise participation. Objectives.  Drive innovation and commercialisation within Australian SMEs and start-ups. Change the nature of government procurement through sourcing innovative solutions.&#10;Inputs. What we invest. Departmental funds: 4.2 million dollars, 2016-17 to 2019-20.&#10;Administered funding grants:&#10;24.4 million dollars, 2016-17 to 2019-20.&#10;DISER and ISA. Activities &amp; Outputs. With participating agencies, workshop, select and announce challenges. Solicit and select applications from SMEs to undertake feasibility studies. Monitor progress of feasibility studies and review final reports. Solicit and select applications from feasibility study SMEs to undertake proof of concept. &#10;Monitor progress of proof of concept activities and review final reports.&#10;Challenge Agencies. Activities &amp; Outputs. Note, five challenge agencies are expected to participate in each BRII round. Identify, refine and submit challenges. Work collaboratively with SMEs during feasibility study and proof of concept stages. Assess feasibility study and proof of concept applications. SMEs. Activities &amp; Outputs. Submit applications for feasibility studies. Submit applications for proof of concept grants. Conduct feasibility studies and report. Conduct proof of concept activities. Outcomes&#10;1 to 2 years, SME awareness of opportunities to supply to government increases. Agencies’ awareness of SMEs as providers of innovative solutions to national policy and program challenges increases. &#10;Innovation activities increase among  participating SMEs and agencies. &#10;More informed policy decisions and continuous improvement of program.&#10;Outcomes, 2 to 3 years. Tender responses from SMEs increase. Collaboration among SMEs, agencies and industry partners increases. Agency confidence working with SMEs increases. SME confidence working with agencies increases. Innovation activities increase among  participating SMEs and agencies. Potential solutions to challenges (proofs of concept) increase. More informed policy decisions and continuous improvement of program. Outcomes, 4 to ten years. SME capability to access national and international markets increases. Innovative capacity of participating SMEs increases. Commercialisation of new to market products and services  among participating SMEs increases. Government procurement of, and collaboration on, innovative solutions from SMEs increases.&#10;Assumptions include.&#10;There are no existing solutions for government challenges.&#10;The barrier to SME supply is due to lack of agencies’ awareness of SMEs as suppliers of existing or potential innovative solutions and risk aversion in agencies’  procurement culture.&#10;Openness to SMEs as suppliers of innovative solutions will increase the range of solutions to national policy and program issues.&#10;The program will reduce the risk to agencies of adopting innovative solutions through the work completed on feasibility studies and proofs of concept.&#10;Grant assistance delivered through the program will reduce the financial risk to SMEs of developing innovative solutions.&#10;Supplying to government will increase the profile of participating SMEs, improving their ability to access national and international markets.&#10;External Factors include.&#10;The pace of innovation and range of innovative solutions offered by other or larger companies.&#10;The nature of government policy and program issues to solve.&#10;Government procurement rules and processes."/>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9213386" cy="5192938"/>
                    </a:xfrm>
                    <a:prstGeom prst="rect">
                      <a:avLst/>
                    </a:prstGeom>
                    <a:noFill/>
                    <a:ln>
                      <a:noFill/>
                    </a:ln>
                  </pic:spPr>
                </pic:pic>
              </a:graphicData>
            </a:graphic>
          </wp:inline>
        </w:drawing>
      </w:r>
    </w:p>
    <w:p w14:paraId="178F16B0" w14:textId="77777777" w:rsidR="00906B44" w:rsidRDefault="00906B44" w:rsidP="00E35BE6">
      <w:pPr>
        <w:rPr>
          <w:lang w:eastAsia="en-AU"/>
        </w:rPr>
        <w:sectPr w:rsidR="00906B44" w:rsidSect="0036752A">
          <w:pgSz w:w="16839" w:h="11907" w:orient="landscape" w:code="9"/>
          <w:pgMar w:top="1134" w:right="1134" w:bottom="1134" w:left="1134" w:header="720" w:footer="720" w:gutter="0"/>
          <w:cols w:space="720"/>
          <w:titlePg/>
          <w:docGrid w:linePitch="360"/>
        </w:sectPr>
      </w:pPr>
      <w:bookmarkStart w:id="208" w:name="_Ref75900045"/>
    </w:p>
    <w:p w14:paraId="7A418380" w14:textId="07F8F5A5" w:rsidR="009D076B" w:rsidRPr="007B0AF9" w:rsidRDefault="007B0AF9">
      <w:pPr>
        <w:pStyle w:val="xAppendixLevel1"/>
        <w:rPr>
          <w:b w:val="0"/>
          <w:bCs w:val="0"/>
          <w:color w:val="00264D" w:themeColor="background2"/>
        </w:rPr>
      </w:pPr>
      <w:bookmarkStart w:id="209" w:name="_Ref75963517"/>
      <w:bookmarkStart w:id="210" w:name="_Toc124435174"/>
      <w:r>
        <w:rPr>
          <w:b w:val="0"/>
          <w:bCs w:val="0"/>
          <w:color w:val="00264D" w:themeColor="background2"/>
        </w:rPr>
        <w:lastRenderedPageBreak/>
        <w:drawing>
          <wp:anchor distT="0" distB="0" distL="114300" distR="114300" simplePos="0" relativeHeight="251683328" behindDoc="0" locked="0" layoutInCell="1" allowOverlap="1" wp14:anchorId="1FA5E698" wp14:editId="5A4C2A7D">
            <wp:simplePos x="0" y="0"/>
            <wp:positionH relativeFrom="margin">
              <wp:posOffset>-984250</wp:posOffset>
            </wp:positionH>
            <wp:positionV relativeFrom="paragraph">
              <wp:posOffset>-955040</wp:posOffset>
            </wp:positionV>
            <wp:extent cx="7632700" cy="1524000"/>
            <wp:effectExtent l="0" t="0" r="6350" b="0"/>
            <wp:wrapNone/>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632700" cy="1524000"/>
                    </a:xfrm>
                    <a:prstGeom prst="rect">
                      <a:avLst/>
                    </a:prstGeom>
                    <a:noFill/>
                  </pic:spPr>
                </pic:pic>
              </a:graphicData>
            </a:graphic>
          </wp:anchor>
        </w:drawing>
      </w:r>
      <w:r w:rsidR="0036752A" w:rsidRPr="007B0AF9">
        <w:rPr>
          <w:color w:val="00264D" w:themeColor="background2"/>
        </w:rPr>
        <w:t>Evaluation methodology</w:t>
      </w:r>
      <w:r>
        <w:rPr>
          <w:color w:val="00264D" w:themeColor="background2"/>
        </w:rPr>
        <w:t xml:space="preserve"> </w:t>
      </w:r>
      <w:r w:rsidR="0036752A" w:rsidRPr="007B0AF9">
        <w:rPr>
          <w:b w:val="0"/>
          <w:bCs w:val="0"/>
          <w:color w:val="00264D" w:themeColor="background2"/>
          <w:sz w:val="12"/>
          <w:szCs w:val="2"/>
        </w:rPr>
        <w:t>(excluding CBA)</w:t>
      </w:r>
      <w:bookmarkEnd w:id="209"/>
      <w:bookmarkEnd w:id="210"/>
    </w:p>
    <w:p w14:paraId="58767EF1" w14:textId="5C2A3902" w:rsidR="009D0ADD" w:rsidRDefault="009D0ADD">
      <w:pPr>
        <w:pStyle w:val="xAppendixLevel2"/>
      </w:pPr>
      <w:bookmarkStart w:id="211" w:name="_Ref78965336"/>
      <w:bookmarkStart w:id="212" w:name="_Toc124435175"/>
      <w:r>
        <w:t>Key Evaluation Questions (KEQs)</w:t>
      </w:r>
      <w:bookmarkEnd w:id="211"/>
      <w:bookmarkEnd w:id="212"/>
    </w:p>
    <w:p w14:paraId="75B75997" w14:textId="5BD47836" w:rsidR="009D0ADD" w:rsidRDefault="009D0ADD" w:rsidP="009D0ADD">
      <w:pPr>
        <w:pStyle w:val="Caption"/>
        <w:rPr>
          <w:lang w:eastAsia="en-AU"/>
        </w:rPr>
      </w:pPr>
      <w:bookmarkStart w:id="213" w:name="_Ref75944265"/>
      <w:r>
        <w:t xml:space="preserve">Table </w:t>
      </w:r>
      <w:r>
        <w:fldChar w:fldCharType="begin"/>
      </w:r>
      <w:r>
        <w:instrText xml:space="preserve"> SEQ Table \* ARABIC </w:instrText>
      </w:r>
      <w:r>
        <w:fldChar w:fldCharType="separate"/>
      </w:r>
      <w:r w:rsidR="00AE607F">
        <w:rPr>
          <w:noProof/>
        </w:rPr>
        <w:t>17</w:t>
      </w:r>
      <w:r>
        <w:fldChar w:fldCharType="end"/>
      </w:r>
      <w:bookmarkEnd w:id="213"/>
      <w:r>
        <w:t xml:space="preserve"> | Key evaluation questions mapped to the relevant report section</w:t>
      </w:r>
    </w:p>
    <w:tbl>
      <w:tblPr>
        <w:tblStyle w:val="NOUSSideHeader1"/>
        <w:tblW w:w="5000" w:type="pct"/>
        <w:tblLook w:val="04A0" w:firstRow="1" w:lastRow="0" w:firstColumn="1" w:lastColumn="0" w:noHBand="0" w:noVBand="1"/>
      </w:tblPr>
      <w:tblGrid>
        <w:gridCol w:w="7230"/>
        <w:gridCol w:w="1700"/>
      </w:tblGrid>
      <w:tr w:rsidR="00682DB6" w:rsidRPr="003F1CC7" w14:paraId="08293A21" w14:textId="77777777" w:rsidTr="00EF2D2C">
        <w:trPr>
          <w:cnfStyle w:val="100000000000" w:firstRow="1" w:lastRow="0" w:firstColumn="0" w:lastColumn="0" w:oddVBand="0" w:evenVBand="0" w:oddHBand="0" w:evenHBand="0" w:firstRowFirstColumn="0" w:firstRowLastColumn="0" w:lastRowFirstColumn="0" w:lastRowLastColumn="0"/>
        </w:trPr>
        <w:tc>
          <w:tcPr>
            <w:tcW w:w="4048" w:type="pct"/>
            <w:tcBorders>
              <w:top w:val="nil"/>
              <w:bottom w:val="single" w:sz="4" w:space="0" w:color="00264D" w:themeColor="background2"/>
              <w:right w:val="single" w:sz="4" w:space="0" w:color="FFFFFF" w:themeColor="background1"/>
            </w:tcBorders>
            <w:shd w:val="clear" w:color="auto" w:fill="00264D" w:themeFill="background2"/>
          </w:tcPr>
          <w:p w14:paraId="15F4F430" w14:textId="77777777" w:rsidR="009D0ADD" w:rsidRPr="003F1CC7" w:rsidRDefault="009D0ADD" w:rsidP="00F41CDE">
            <w:pPr>
              <w:pStyle w:val="TableNheader"/>
            </w:pPr>
            <w:r w:rsidRPr="001D795A">
              <w:rPr>
                <w:color w:val="FFFFFF" w:themeColor="background1"/>
              </w:rPr>
              <w:t>Evaluation question</w:t>
            </w:r>
          </w:p>
        </w:tc>
        <w:tc>
          <w:tcPr>
            <w:tcW w:w="952" w:type="pct"/>
            <w:tcBorders>
              <w:top w:val="nil"/>
              <w:left w:val="single" w:sz="4" w:space="0" w:color="FFFFFF" w:themeColor="background1"/>
              <w:bottom w:val="single" w:sz="4" w:space="0" w:color="00264D" w:themeColor="background2"/>
            </w:tcBorders>
            <w:shd w:val="clear" w:color="auto" w:fill="00264D" w:themeFill="background2"/>
          </w:tcPr>
          <w:p w14:paraId="71489280" w14:textId="77777777" w:rsidR="009D0ADD" w:rsidRPr="003F1CC7" w:rsidRDefault="009D0ADD" w:rsidP="00F41CDE">
            <w:pPr>
              <w:pStyle w:val="TableNheader"/>
            </w:pPr>
            <w:r w:rsidRPr="00A852DA">
              <w:rPr>
                <w:color w:val="FFFFFF" w:themeColor="background1"/>
              </w:rPr>
              <w:t>Relevant report secti</w:t>
            </w:r>
            <w:r>
              <w:rPr>
                <w:color w:val="FFFFFF" w:themeColor="background1"/>
              </w:rPr>
              <w:t>on</w:t>
            </w:r>
          </w:p>
        </w:tc>
      </w:tr>
      <w:tr w:rsidR="009D0ADD" w:rsidRPr="003F1CC7" w14:paraId="7ADABEBF" w14:textId="77777777" w:rsidTr="00EF2D2C">
        <w:trPr>
          <w:cnfStyle w:val="000000100000" w:firstRow="0" w:lastRow="0" w:firstColumn="0" w:lastColumn="0" w:oddVBand="0" w:evenVBand="0" w:oddHBand="1" w:evenHBand="0" w:firstRowFirstColumn="0" w:firstRowLastColumn="0" w:lastRowFirstColumn="0" w:lastRowLastColumn="0"/>
          <w:cantSplit/>
        </w:trPr>
        <w:tc>
          <w:tcPr>
            <w:tcW w:w="4048"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E6E6E1" w:themeFill="accent5"/>
          </w:tcPr>
          <w:p w14:paraId="30A7C0C2" w14:textId="77777777" w:rsidR="009D0ADD" w:rsidRPr="003F1CC7" w:rsidRDefault="009D0ADD" w:rsidP="00F41CDE">
            <w:pPr>
              <w:spacing w:before="60" w:after="60"/>
              <w:rPr>
                <w:rFonts w:ascii="Segoe UI Semibold" w:hAnsi="Segoe UI Semibold" w:cs="Segoe UI Semibold"/>
                <w:bCs/>
                <w:color w:val="00264D" w:themeColor="background2"/>
                <w:sz w:val="17"/>
              </w:rPr>
            </w:pPr>
            <w:r w:rsidRPr="003F1CC7">
              <w:rPr>
                <w:rFonts w:ascii="Segoe UI Semibold" w:hAnsi="Segoe UI Semibold" w:cs="Segoe UI Semibold"/>
                <w:bCs/>
                <w:color w:val="00264D" w:themeColor="background2"/>
                <w:sz w:val="17"/>
              </w:rPr>
              <w:t>1. Design</w:t>
            </w:r>
          </w:p>
        </w:tc>
        <w:tc>
          <w:tcPr>
            <w:tcW w:w="952"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E6E6E1" w:themeFill="accent5"/>
          </w:tcPr>
          <w:p w14:paraId="2E9A91DE" w14:textId="77777777" w:rsidR="009D0ADD" w:rsidRPr="003F1CC7" w:rsidRDefault="009D0ADD" w:rsidP="00F41CDE">
            <w:pPr>
              <w:spacing w:before="60" w:after="60"/>
              <w:jc w:val="center"/>
              <w:rPr>
                <w:b/>
                <w:sz w:val="22"/>
                <w:szCs w:val="26"/>
              </w:rPr>
            </w:pPr>
          </w:p>
        </w:tc>
      </w:tr>
      <w:tr w:rsidR="009D0ADD" w:rsidRPr="003F1CC7" w14:paraId="7424B604" w14:textId="77777777" w:rsidTr="00EF2D2C">
        <w:trPr>
          <w:cnfStyle w:val="000000010000" w:firstRow="0" w:lastRow="0" w:firstColumn="0" w:lastColumn="0" w:oddVBand="0" w:evenVBand="0" w:oddHBand="0" w:evenHBand="1" w:firstRowFirstColumn="0" w:firstRowLastColumn="0" w:lastRowFirstColumn="0" w:lastRowLastColumn="0"/>
          <w:cantSplit/>
        </w:trPr>
        <w:tc>
          <w:tcPr>
            <w:tcW w:w="4048"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tcPr>
          <w:p w14:paraId="34D4A212" w14:textId="77777777" w:rsidR="009D0ADD" w:rsidRPr="009C6C96" w:rsidRDefault="009D0ADD">
            <w:pPr>
              <w:numPr>
                <w:ilvl w:val="1"/>
                <w:numId w:val="24"/>
              </w:numPr>
              <w:contextualSpacing/>
              <w:rPr>
                <w:rFonts w:cstheme="minorHAnsi"/>
                <w:sz w:val="17"/>
                <w:szCs w:val="17"/>
                <w:lang w:eastAsia="zh-CN" w:bidi="th-TH"/>
              </w:rPr>
            </w:pPr>
            <w:r w:rsidRPr="009C6C96">
              <w:rPr>
                <w:rFonts w:cstheme="minorHAnsi"/>
                <w:sz w:val="17"/>
                <w:szCs w:val="17"/>
                <w:lang w:eastAsia="zh-CN" w:bidi="th-TH"/>
              </w:rPr>
              <w:t>How does the current BRII model compare to international best practice for similar programs, such as the Small Business Innovation Research (SBIR) program (United States), the Small Business Research Initiative (SBRI) (United Kingdom) and the Innovative Solutions program (Canada)?</w:t>
            </w:r>
          </w:p>
        </w:tc>
        <w:tc>
          <w:tcPr>
            <w:tcW w:w="952"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5C5A499B" w14:textId="0FD5520B" w:rsidR="009D0ADD" w:rsidRPr="009C6C96" w:rsidRDefault="009D0ADD" w:rsidP="00F41CDE">
            <w:pPr>
              <w:spacing w:before="60" w:after="60"/>
              <w:rPr>
                <w:rFonts w:ascii="Segoe UI Symbol" w:hAnsi="Segoe UI Symbol"/>
                <w:sz w:val="17"/>
                <w:szCs w:val="17"/>
              </w:rPr>
            </w:pPr>
            <w:r w:rsidRPr="009C6C96">
              <w:rPr>
                <w:rFonts w:ascii="Segoe UI Symbol" w:hAnsi="Segoe UI Symbol"/>
                <w:sz w:val="17"/>
                <w:szCs w:val="17"/>
              </w:rPr>
              <w:t xml:space="preserve">Section </w:t>
            </w:r>
            <w:r w:rsidRPr="009C6C96">
              <w:rPr>
                <w:rFonts w:ascii="Segoe UI Symbol" w:hAnsi="Segoe UI Symbol"/>
                <w:sz w:val="17"/>
                <w:szCs w:val="17"/>
              </w:rPr>
              <w:fldChar w:fldCharType="begin"/>
            </w:r>
            <w:r w:rsidRPr="009C6C96">
              <w:rPr>
                <w:rFonts w:ascii="Segoe UI Symbol" w:hAnsi="Segoe UI Symbol"/>
                <w:sz w:val="17"/>
                <w:szCs w:val="17"/>
              </w:rPr>
              <w:instrText xml:space="preserve"> REF _Ref75900448 \r \h </w:instrText>
            </w:r>
            <w:r w:rsidR="009C6C96">
              <w:rPr>
                <w:rFonts w:ascii="Segoe UI Symbol" w:hAnsi="Segoe UI Symbol"/>
                <w:sz w:val="17"/>
                <w:szCs w:val="17"/>
              </w:rPr>
              <w:instrText xml:space="preserve"> \* MERGEFORMAT </w:instrText>
            </w:r>
            <w:r w:rsidRPr="009C6C96">
              <w:rPr>
                <w:rFonts w:ascii="Segoe UI Symbol" w:hAnsi="Segoe UI Symbol"/>
                <w:sz w:val="17"/>
                <w:szCs w:val="17"/>
              </w:rPr>
            </w:r>
            <w:r w:rsidRPr="009C6C96">
              <w:rPr>
                <w:rFonts w:ascii="Segoe UI Symbol" w:hAnsi="Segoe UI Symbol"/>
                <w:sz w:val="17"/>
                <w:szCs w:val="17"/>
              </w:rPr>
              <w:fldChar w:fldCharType="separate"/>
            </w:r>
            <w:r w:rsidR="00AE607F">
              <w:rPr>
                <w:rFonts w:ascii="Segoe UI Symbol" w:hAnsi="Segoe UI Symbol"/>
                <w:sz w:val="17"/>
                <w:szCs w:val="17"/>
              </w:rPr>
              <w:t>8.1.1</w:t>
            </w:r>
            <w:r w:rsidRPr="009C6C96">
              <w:rPr>
                <w:rFonts w:ascii="Segoe UI Symbol" w:hAnsi="Segoe UI Symbol"/>
                <w:sz w:val="17"/>
                <w:szCs w:val="17"/>
              </w:rPr>
              <w:fldChar w:fldCharType="end"/>
            </w:r>
          </w:p>
          <w:p w14:paraId="0EC69A93" w14:textId="2D6FB527" w:rsidR="009D0ADD" w:rsidRPr="009C6C96" w:rsidRDefault="009D0ADD" w:rsidP="00F41CDE">
            <w:pPr>
              <w:spacing w:before="60" w:after="60"/>
              <w:rPr>
                <w:rFonts w:ascii="Segoe UI Symbol" w:hAnsi="Segoe UI Symbol"/>
                <w:sz w:val="17"/>
                <w:szCs w:val="17"/>
              </w:rPr>
            </w:pPr>
            <w:r w:rsidRPr="009C6C96">
              <w:rPr>
                <w:rFonts w:ascii="Segoe UI Symbol" w:hAnsi="Segoe UI Symbol"/>
                <w:sz w:val="17"/>
                <w:szCs w:val="17"/>
              </w:rPr>
              <w:t xml:space="preserve">Appendix </w:t>
            </w:r>
            <w:r w:rsidRPr="009C6C96">
              <w:rPr>
                <w:rFonts w:ascii="Segoe UI Symbol" w:hAnsi="Segoe UI Symbol"/>
                <w:sz w:val="17"/>
                <w:szCs w:val="17"/>
              </w:rPr>
              <w:fldChar w:fldCharType="begin"/>
            </w:r>
            <w:r w:rsidRPr="009C6C96">
              <w:rPr>
                <w:rFonts w:ascii="Segoe UI Symbol" w:hAnsi="Segoe UI Symbol"/>
                <w:sz w:val="17"/>
                <w:szCs w:val="17"/>
              </w:rPr>
              <w:instrText xml:space="preserve"> REF _Ref75899974 \r \h </w:instrText>
            </w:r>
            <w:r w:rsidR="009C6C96">
              <w:rPr>
                <w:rFonts w:ascii="Segoe UI Symbol" w:hAnsi="Segoe UI Symbol"/>
                <w:sz w:val="17"/>
                <w:szCs w:val="17"/>
              </w:rPr>
              <w:instrText xml:space="preserve"> \* MERGEFORMAT </w:instrText>
            </w:r>
            <w:r w:rsidRPr="009C6C96">
              <w:rPr>
                <w:rFonts w:ascii="Segoe UI Symbol" w:hAnsi="Segoe UI Symbol"/>
                <w:sz w:val="17"/>
                <w:szCs w:val="17"/>
              </w:rPr>
            </w:r>
            <w:r w:rsidRPr="009C6C96">
              <w:rPr>
                <w:rFonts w:ascii="Segoe UI Symbol" w:hAnsi="Segoe UI Symbol"/>
                <w:sz w:val="17"/>
                <w:szCs w:val="17"/>
              </w:rPr>
              <w:fldChar w:fldCharType="separate"/>
            </w:r>
            <w:r w:rsidR="00AE607F">
              <w:rPr>
                <w:rFonts w:ascii="Segoe UI Symbol" w:hAnsi="Segoe UI Symbol"/>
                <w:sz w:val="17"/>
                <w:szCs w:val="17"/>
              </w:rPr>
              <w:t>A.2</w:t>
            </w:r>
            <w:r w:rsidRPr="009C6C96">
              <w:rPr>
                <w:rFonts w:ascii="Segoe UI Symbol" w:hAnsi="Segoe UI Symbol"/>
                <w:sz w:val="17"/>
                <w:szCs w:val="17"/>
              </w:rPr>
              <w:fldChar w:fldCharType="end"/>
            </w:r>
          </w:p>
        </w:tc>
      </w:tr>
      <w:tr w:rsidR="009D0ADD" w:rsidRPr="003F1CC7" w14:paraId="011A9C69" w14:textId="77777777" w:rsidTr="00EF2D2C">
        <w:trPr>
          <w:cnfStyle w:val="000000100000" w:firstRow="0" w:lastRow="0" w:firstColumn="0" w:lastColumn="0" w:oddVBand="0" w:evenVBand="0" w:oddHBand="1" w:evenHBand="0" w:firstRowFirstColumn="0" w:firstRowLastColumn="0" w:lastRowFirstColumn="0" w:lastRowLastColumn="0"/>
          <w:cantSplit/>
        </w:trPr>
        <w:tc>
          <w:tcPr>
            <w:tcW w:w="4048"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tcPr>
          <w:p w14:paraId="3F67B5A2" w14:textId="77777777" w:rsidR="009D0ADD" w:rsidRPr="009C6C96" w:rsidRDefault="009D0ADD">
            <w:pPr>
              <w:numPr>
                <w:ilvl w:val="1"/>
                <w:numId w:val="24"/>
              </w:numPr>
              <w:contextualSpacing/>
              <w:rPr>
                <w:rFonts w:cstheme="minorHAnsi"/>
                <w:sz w:val="17"/>
                <w:szCs w:val="17"/>
                <w:lang w:eastAsia="zh-CN" w:bidi="th-TH"/>
              </w:rPr>
            </w:pPr>
            <w:r w:rsidRPr="009C6C96">
              <w:rPr>
                <w:rFonts w:cstheme="minorHAnsi"/>
                <w:sz w:val="17"/>
                <w:szCs w:val="17"/>
                <w:lang w:eastAsia="zh-CN" w:bidi="th-TH"/>
              </w:rPr>
              <w:t>How has the design of the BRII enabled or inhibited its ability to achieve its intended outcomes?</w:t>
            </w:r>
          </w:p>
        </w:tc>
        <w:tc>
          <w:tcPr>
            <w:tcW w:w="952"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5DC59CBB" w14:textId="6778D6E2" w:rsidR="009D0ADD" w:rsidRPr="009C6C96" w:rsidRDefault="009D0ADD" w:rsidP="00F41CDE">
            <w:pPr>
              <w:spacing w:before="60" w:after="60"/>
              <w:rPr>
                <w:rFonts w:ascii="Segoe UI Symbol" w:hAnsi="Segoe UI Symbol"/>
                <w:sz w:val="17"/>
                <w:szCs w:val="17"/>
              </w:rPr>
            </w:pPr>
            <w:r w:rsidRPr="009C6C96">
              <w:rPr>
                <w:rFonts w:ascii="Segoe UI Symbol" w:hAnsi="Segoe UI Symbol"/>
                <w:sz w:val="17"/>
                <w:szCs w:val="17"/>
              </w:rPr>
              <w:t xml:space="preserve">Section </w:t>
            </w:r>
            <w:r w:rsidRPr="009C6C96">
              <w:rPr>
                <w:rFonts w:ascii="Segoe UI Symbol" w:hAnsi="Segoe UI Symbol"/>
                <w:sz w:val="17"/>
                <w:szCs w:val="17"/>
              </w:rPr>
              <w:fldChar w:fldCharType="begin"/>
            </w:r>
            <w:r w:rsidRPr="009C6C96">
              <w:rPr>
                <w:rFonts w:ascii="Segoe UI Symbol" w:hAnsi="Segoe UI Symbol"/>
                <w:sz w:val="17"/>
                <w:szCs w:val="17"/>
              </w:rPr>
              <w:instrText xml:space="preserve"> REF _Ref75899999 \r \h </w:instrText>
            </w:r>
            <w:r w:rsidR="009C6C96">
              <w:rPr>
                <w:rFonts w:ascii="Segoe UI Symbol" w:hAnsi="Segoe UI Symbol"/>
                <w:sz w:val="17"/>
                <w:szCs w:val="17"/>
              </w:rPr>
              <w:instrText xml:space="preserve"> \* MERGEFORMAT </w:instrText>
            </w:r>
            <w:r w:rsidRPr="009C6C96">
              <w:rPr>
                <w:rFonts w:ascii="Segoe UI Symbol" w:hAnsi="Segoe UI Symbol"/>
                <w:sz w:val="17"/>
                <w:szCs w:val="17"/>
              </w:rPr>
            </w:r>
            <w:r w:rsidRPr="009C6C96">
              <w:rPr>
                <w:rFonts w:ascii="Segoe UI Symbol" w:hAnsi="Segoe UI Symbol"/>
                <w:sz w:val="17"/>
                <w:szCs w:val="17"/>
              </w:rPr>
              <w:fldChar w:fldCharType="separate"/>
            </w:r>
            <w:r w:rsidR="00AE607F">
              <w:rPr>
                <w:rFonts w:ascii="Segoe UI Symbol" w:hAnsi="Segoe UI Symbol"/>
                <w:sz w:val="17"/>
                <w:szCs w:val="17"/>
              </w:rPr>
              <w:t>7</w:t>
            </w:r>
            <w:r w:rsidRPr="009C6C96">
              <w:rPr>
                <w:rFonts w:ascii="Segoe UI Symbol" w:hAnsi="Segoe UI Symbol"/>
                <w:sz w:val="17"/>
                <w:szCs w:val="17"/>
              </w:rPr>
              <w:fldChar w:fldCharType="end"/>
            </w:r>
          </w:p>
        </w:tc>
      </w:tr>
      <w:tr w:rsidR="009D0ADD" w:rsidRPr="003F1CC7" w14:paraId="563A19C5" w14:textId="77777777" w:rsidTr="00EF2D2C">
        <w:trPr>
          <w:cnfStyle w:val="000000010000" w:firstRow="0" w:lastRow="0" w:firstColumn="0" w:lastColumn="0" w:oddVBand="0" w:evenVBand="0" w:oddHBand="0" w:evenHBand="1" w:firstRowFirstColumn="0" w:firstRowLastColumn="0" w:lastRowFirstColumn="0" w:lastRowLastColumn="0"/>
          <w:cantSplit/>
        </w:trPr>
        <w:tc>
          <w:tcPr>
            <w:tcW w:w="4048"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tcPr>
          <w:p w14:paraId="74EF1FE3" w14:textId="77777777" w:rsidR="009D0ADD" w:rsidRPr="009C6C96" w:rsidRDefault="009D0ADD">
            <w:pPr>
              <w:numPr>
                <w:ilvl w:val="1"/>
                <w:numId w:val="24"/>
              </w:numPr>
              <w:contextualSpacing/>
              <w:rPr>
                <w:rFonts w:cstheme="minorHAnsi"/>
                <w:sz w:val="17"/>
                <w:szCs w:val="17"/>
                <w:lang w:eastAsia="zh-CN" w:bidi="th-TH"/>
              </w:rPr>
            </w:pPr>
            <w:r w:rsidRPr="009C6C96">
              <w:rPr>
                <w:rFonts w:cstheme="minorHAnsi"/>
                <w:sz w:val="17"/>
                <w:szCs w:val="17"/>
                <w:lang w:eastAsia="zh-CN" w:bidi="th-TH"/>
              </w:rPr>
              <w:t>How would program design and implementation need to change if it was scaled-up?</w:t>
            </w:r>
          </w:p>
          <w:p w14:paraId="14A74D11" w14:textId="77777777" w:rsidR="009D0ADD" w:rsidRPr="009C6C96" w:rsidRDefault="009D0ADD">
            <w:pPr>
              <w:numPr>
                <w:ilvl w:val="2"/>
                <w:numId w:val="24"/>
              </w:numPr>
              <w:spacing w:line="270" w:lineRule="exact"/>
              <w:jc w:val="both"/>
              <w:rPr>
                <w:rFonts w:cstheme="minorHAnsi"/>
                <w:sz w:val="17"/>
                <w:szCs w:val="17"/>
              </w:rPr>
            </w:pPr>
            <w:r w:rsidRPr="009C6C96">
              <w:rPr>
                <w:rFonts w:cstheme="minorHAnsi"/>
                <w:sz w:val="17"/>
                <w:szCs w:val="17"/>
              </w:rPr>
              <w:t>What are possible options for a sustainable, ongoing program?</w:t>
            </w:r>
          </w:p>
          <w:p w14:paraId="71443F18" w14:textId="77777777" w:rsidR="009D0ADD" w:rsidRPr="009C6C96" w:rsidRDefault="009D0ADD">
            <w:pPr>
              <w:numPr>
                <w:ilvl w:val="2"/>
                <w:numId w:val="24"/>
              </w:numPr>
              <w:spacing w:line="270" w:lineRule="exact"/>
              <w:jc w:val="both"/>
              <w:rPr>
                <w:rFonts w:cstheme="minorHAnsi"/>
                <w:sz w:val="17"/>
                <w:szCs w:val="17"/>
              </w:rPr>
            </w:pPr>
            <w:r w:rsidRPr="009C6C96">
              <w:rPr>
                <w:rFonts w:cstheme="minorHAnsi"/>
                <w:sz w:val="17"/>
                <w:szCs w:val="17"/>
              </w:rPr>
              <w:t>What could possible expansion pathways look like?</w:t>
            </w:r>
          </w:p>
          <w:p w14:paraId="62356537" w14:textId="41A5D434" w:rsidR="009D0ADD" w:rsidRPr="009C6C96" w:rsidRDefault="009D0ADD">
            <w:pPr>
              <w:numPr>
                <w:ilvl w:val="2"/>
                <w:numId w:val="24"/>
              </w:numPr>
              <w:spacing w:line="270" w:lineRule="exact"/>
              <w:jc w:val="both"/>
              <w:rPr>
                <w:sz w:val="17"/>
                <w:szCs w:val="17"/>
              </w:rPr>
            </w:pPr>
            <w:r w:rsidRPr="009C6C96">
              <w:rPr>
                <w:rFonts w:cstheme="minorHAnsi"/>
                <w:sz w:val="17"/>
                <w:szCs w:val="17"/>
              </w:rPr>
              <w:t>How much funding would be required on an ongoing basis?</w:t>
            </w:r>
          </w:p>
          <w:p w14:paraId="3578E598" w14:textId="77777777" w:rsidR="009D0ADD" w:rsidRPr="009C6C96" w:rsidRDefault="009D0ADD">
            <w:pPr>
              <w:numPr>
                <w:ilvl w:val="2"/>
                <w:numId w:val="24"/>
              </w:numPr>
              <w:spacing w:before="60"/>
              <w:contextualSpacing/>
              <w:rPr>
                <w:rFonts w:cstheme="minorHAnsi"/>
                <w:sz w:val="17"/>
                <w:szCs w:val="17"/>
                <w:lang w:eastAsia="zh-CN" w:bidi="th-TH"/>
              </w:rPr>
            </w:pPr>
            <w:r w:rsidRPr="009C6C96">
              <w:rPr>
                <w:rFonts w:cstheme="minorHAnsi"/>
                <w:sz w:val="17"/>
                <w:szCs w:val="17"/>
              </w:rPr>
              <w:t>What would be the role of the EPC?</w:t>
            </w:r>
          </w:p>
        </w:tc>
        <w:tc>
          <w:tcPr>
            <w:tcW w:w="952"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7A0CC04C" w14:textId="0C5A7046" w:rsidR="009D0ADD" w:rsidRPr="009C6C96" w:rsidRDefault="009D0ADD" w:rsidP="00F41CDE">
            <w:pPr>
              <w:spacing w:before="60" w:after="60"/>
              <w:rPr>
                <w:rFonts w:ascii="Segoe UI Symbol" w:hAnsi="Segoe UI Symbol"/>
                <w:sz w:val="17"/>
                <w:szCs w:val="17"/>
              </w:rPr>
            </w:pPr>
            <w:r w:rsidRPr="009C6C96">
              <w:rPr>
                <w:rFonts w:ascii="Segoe UI Symbol" w:hAnsi="Segoe UI Symbol"/>
                <w:sz w:val="17"/>
                <w:szCs w:val="17"/>
              </w:rPr>
              <w:t xml:space="preserve">Section </w:t>
            </w:r>
            <w:r w:rsidRPr="009C6C96">
              <w:rPr>
                <w:rFonts w:ascii="Segoe UI Symbol" w:hAnsi="Segoe UI Symbol"/>
                <w:sz w:val="17"/>
                <w:szCs w:val="17"/>
              </w:rPr>
              <w:fldChar w:fldCharType="begin"/>
            </w:r>
            <w:r w:rsidRPr="009C6C96">
              <w:rPr>
                <w:rFonts w:ascii="Segoe UI Symbol" w:hAnsi="Segoe UI Symbol"/>
                <w:sz w:val="17"/>
                <w:szCs w:val="17"/>
              </w:rPr>
              <w:instrText xml:space="preserve"> REF _Ref75899923 \r \h </w:instrText>
            </w:r>
            <w:r w:rsidR="009C6C96">
              <w:rPr>
                <w:rFonts w:ascii="Segoe UI Symbol" w:hAnsi="Segoe UI Symbol"/>
                <w:sz w:val="17"/>
                <w:szCs w:val="17"/>
              </w:rPr>
              <w:instrText xml:space="preserve"> \* MERGEFORMAT </w:instrText>
            </w:r>
            <w:r w:rsidRPr="009C6C96">
              <w:rPr>
                <w:rFonts w:ascii="Segoe UI Symbol" w:hAnsi="Segoe UI Symbol"/>
                <w:sz w:val="17"/>
                <w:szCs w:val="17"/>
              </w:rPr>
            </w:r>
            <w:r w:rsidRPr="009C6C96">
              <w:rPr>
                <w:rFonts w:ascii="Segoe UI Symbol" w:hAnsi="Segoe UI Symbol"/>
                <w:sz w:val="17"/>
                <w:szCs w:val="17"/>
              </w:rPr>
              <w:fldChar w:fldCharType="separate"/>
            </w:r>
            <w:r w:rsidR="00AE607F">
              <w:rPr>
                <w:rFonts w:ascii="Segoe UI Symbol" w:hAnsi="Segoe UI Symbol"/>
                <w:sz w:val="17"/>
                <w:szCs w:val="17"/>
              </w:rPr>
              <w:t>8</w:t>
            </w:r>
            <w:r w:rsidRPr="009C6C96">
              <w:rPr>
                <w:rFonts w:ascii="Segoe UI Symbol" w:hAnsi="Segoe UI Symbol"/>
                <w:sz w:val="17"/>
                <w:szCs w:val="17"/>
              </w:rPr>
              <w:fldChar w:fldCharType="end"/>
            </w:r>
          </w:p>
        </w:tc>
      </w:tr>
      <w:tr w:rsidR="009D0ADD" w:rsidRPr="003F1CC7" w14:paraId="6A0EDD61" w14:textId="77777777" w:rsidTr="00EF2D2C">
        <w:trPr>
          <w:cnfStyle w:val="000000100000" w:firstRow="0" w:lastRow="0" w:firstColumn="0" w:lastColumn="0" w:oddVBand="0" w:evenVBand="0" w:oddHBand="1" w:evenHBand="0" w:firstRowFirstColumn="0" w:firstRowLastColumn="0" w:lastRowFirstColumn="0" w:lastRowLastColumn="0"/>
          <w:cantSplit/>
        </w:trPr>
        <w:tc>
          <w:tcPr>
            <w:tcW w:w="4048"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E6E6E1" w:themeFill="accent5"/>
          </w:tcPr>
          <w:p w14:paraId="0DFB85A4" w14:textId="77777777" w:rsidR="009D0ADD" w:rsidRPr="003F1CC7" w:rsidRDefault="009D0ADD" w:rsidP="00F41CDE">
            <w:pPr>
              <w:keepNext/>
              <w:spacing w:before="60" w:after="60"/>
              <w:rPr>
                <w:rFonts w:ascii="Segoe UI Semibold" w:hAnsi="Segoe UI Semibold" w:cs="Segoe UI Semibold"/>
                <w:bCs/>
                <w:color w:val="00264D" w:themeColor="background2"/>
                <w:sz w:val="17"/>
              </w:rPr>
            </w:pPr>
            <w:r w:rsidRPr="003F1CC7">
              <w:rPr>
                <w:rFonts w:ascii="Segoe UI Semibold" w:hAnsi="Segoe UI Semibold" w:cs="Segoe UI Semibold"/>
                <w:bCs/>
                <w:color w:val="00264D" w:themeColor="background2"/>
                <w:sz w:val="17"/>
              </w:rPr>
              <w:t>2. Efficiency</w:t>
            </w:r>
          </w:p>
        </w:tc>
        <w:tc>
          <w:tcPr>
            <w:tcW w:w="952"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E6E6E1" w:themeFill="accent5"/>
          </w:tcPr>
          <w:p w14:paraId="0542ADB6" w14:textId="77777777" w:rsidR="009D0ADD" w:rsidRPr="00A8485D" w:rsidRDefault="009D0ADD" w:rsidP="00F41CDE">
            <w:pPr>
              <w:keepNext/>
              <w:spacing w:before="60" w:after="60"/>
              <w:rPr>
                <w:sz w:val="17"/>
                <w:szCs w:val="17"/>
              </w:rPr>
            </w:pPr>
          </w:p>
        </w:tc>
      </w:tr>
      <w:tr w:rsidR="009D0ADD" w:rsidRPr="003F1CC7" w14:paraId="7CF5A0CC" w14:textId="77777777" w:rsidTr="00EF2D2C">
        <w:trPr>
          <w:cnfStyle w:val="000000010000" w:firstRow="0" w:lastRow="0" w:firstColumn="0" w:lastColumn="0" w:oddVBand="0" w:evenVBand="0" w:oddHBand="0" w:evenHBand="1" w:firstRowFirstColumn="0" w:firstRowLastColumn="0" w:lastRowFirstColumn="0" w:lastRowLastColumn="0"/>
          <w:cantSplit/>
        </w:trPr>
        <w:tc>
          <w:tcPr>
            <w:tcW w:w="4048"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tcPr>
          <w:p w14:paraId="574FD044" w14:textId="77777777" w:rsidR="009D0ADD" w:rsidRPr="009C6C96" w:rsidRDefault="009D0ADD">
            <w:pPr>
              <w:numPr>
                <w:ilvl w:val="1"/>
                <w:numId w:val="30"/>
              </w:numPr>
              <w:spacing w:before="60"/>
              <w:contextualSpacing/>
              <w:rPr>
                <w:rFonts w:cstheme="minorHAnsi"/>
                <w:sz w:val="17"/>
                <w:szCs w:val="17"/>
                <w:lang w:eastAsia="zh-CN" w:bidi="th-TH"/>
              </w:rPr>
            </w:pPr>
            <w:r w:rsidRPr="009C6C96">
              <w:rPr>
                <w:rFonts w:cstheme="minorHAnsi"/>
                <w:sz w:val="17"/>
                <w:szCs w:val="17"/>
                <w:lang w:eastAsia="zh-CN" w:bidi="th-TH"/>
              </w:rPr>
              <w:t>Have the pilot rounds of the program been administered and delivered efficiently?</w:t>
            </w:r>
          </w:p>
          <w:p w14:paraId="2BF5AE7A" w14:textId="77777777" w:rsidR="009D0ADD" w:rsidRPr="009C6C96" w:rsidRDefault="009D0ADD">
            <w:pPr>
              <w:numPr>
                <w:ilvl w:val="1"/>
                <w:numId w:val="24"/>
              </w:numPr>
              <w:contextualSpacing/>
              <w:rPr>
                <w:rFonts w:cstheme="minorHAnsi"/>
                <w:sz w:val="17"/>
                <w:szCs w:val="17"/>
                <w:lang w:eastAsia="zh-CN" w:bidi="th-TH"/>
              </w:rPr>
            </w:pPr>
            <w:r w:rsidRPr="009C6C96">
              <w:rPr>
                <w:rFonts w:cstheme="minorHAnsi"/>
                <w:sz w:val="17"/>
                <w:szCs w:val="17"/>
                <w:lang w:eastAsia="zh-CN" w:bidi="th-TH"/>
              </w:rPr>
              <w:t>How satisfied have participating SMEs and agencies been with the administration of the program?</w:t>
            </w:r>
          </w:p>
          <w:p w14:paraId="0B3335C5" w14:textId="77777777" w:rsidR="009D0ADD" w:rsidRPr="009C6C96" w:rsidRDefault="009D0ADD">
            <w:pPr>
              <w:numPr>
                <w:ilvl w:val="1"/>
                <w:numId w:val="24"/>
              </w:numPr>
              <w:contextualSpacing/>
              <w:rPr>
                <w:rFonts w:cstheme="minorHAnsi"/>
                <w:sz w:val="17"/>
                <w:szCs w:val="17"/>
                <w:lang w:eastAsia="zh-CN" w:bidi="th-TH"/>
              </w:rPr>
            </w:pPr>
            <w:r w:rsidRPr="009C6C96">
              <w:rPr>
                <w:rFonts w:cstheme="minorHAnsi"/>
                <w:sz w:val="17"/>
                <w:szCs w:val="17"/>
                <w:lang w:eastAsia="zh-CN" w:bidi="th-TH"/>
              </w:rPr>
              <w:t>Could any of the program’s operations and procedures be improved?</w:t>
            </w:r>
          </w:p>
          <w:p w14:paraId="46A289ED" w14:textId="77777777" w:rsidR="009D0ADD" w:rsidRPr="009C6C96" w:rsidRDefault="009D0ADD">
            <w:pPr>
              <w:numPr>
                <w:ilvl w:val="1"/>
                <w:numId w:val="24"/>
              </w:numPr>
              <w:contextualSpacing/>
              <w:rPr>
                <w:rFonts w:cstheme="minorHAnsi"/>
                <w:sz w:val="17"/>
                <w:szCs w:val="17"/>
                <w:lang w:eastAsia="zh-CN" w:bidi="th-TH"/>
              </w:rPr>
            </w:pPr>
            <w:r w:rsidRPr="009C6C96">
              <w:rPr>
                <w:rFonts w:cstheme="minorHAnsi"/>
                <w:sz w:val="17"/>
                <w:szCs w:val="17"/>
                <w:lang w:eastAsia="zh-CN" w:bidi="th-TH"/>
              </w:rPr>
              <w:t>How well has the program been able to identify and address emerging issues or concerns and support its participants?</w:t>
            </w:r>
          </w:p>
          <w:p w14:paraId="64922E40" w14:textId="77777777" w:rsidR="009D0ADD" w:rsidRPr="009C6C96" w:rsidRDefault="009D0ADD">
            <w:pPr>
              <w:numPr>
                <w:ilvl w:val="1"/>
                <w:numId w:val="24"/>
              </w:numPr>
              <w:contextualSpacing/>
              <w:rPr>
                <w:rFonts w:cstheme="minorHAnsi"/>
                <w:sz w:val="17"/>
                <w:szCs w:val="17"/>
                <w:lang w:eastAsia="zh-CN" w:bidi="th-TH"/>
              </w:rPr>
            </w:pPr>
            <w:r w:rsidRPr="009C6C96">
              <w:rPr>
                <w:rFonts w:cstheme="minorHAnsi"/>
                <w:sz w:val="17"/>
                <w:szCs w:val="17"/>
                <w:lang w:eastAsia="zh-CN" w:bidi="th-TH"/>
              </w:rPr>
              <w:t>Have any changes been made to the program since launch? How effective were they?</w:t>
            </w:r>
          </w:p>
        </w:tc>
        <w:tc>
          <w:tcPr>
            <w:tcW w:w="952"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57052F54" w14:textId="6BFDAF7C" w:rsidR="009D0ADD" w:rsidRPr="00A8485D" w:rsidRDefault="009D0ADD" w:rsidP="00F41CDE">
            <w:pPr>
              <w:spacing w:before="60" w:after="60"/>
              <w:rPr>
                <w:rFonts w:ascii="Segoe UI Symbol" w:hAnsi="Segoe UI Symbol"/>
                <w:sz w:val="17"/>
                <w:szCs w:val="17"/>
              </w:rPr>
            </w:pPr>
            <w:r w:rsidRPr="00A8485D">
              <w:rPr>
                <w:rFonts w:ascii="Segoe UI Symbol" w:hAnsi="Segoe UI Symbol"/>
                <w:sz w:val="17"/>
                <w:szCs w:val="17"/>
              </w:rPr>
              <w:t xml:space="preserve">Section </w:t>
            </w:r>
            <w:r w:rsidRPr="00A8485D">
              <w:rPr>
                <w:rFonts w:ascii="Segoe UI Symbol" w:hAnsi="Segoe UI Symbol"/>
                <w:sz w:val="17"/>
                <w:szCs w:val="17"/>
              </w:rPr>
              <w:fldChar w:fldCharType="begin"/>
            </w:r>
            <w:r w:rsidRPr="00A8485D">
              <w:rPr>
                <w:rFonts w:ascii="Segoe UI Symbol" w:hAnsi="Segoe UI Symbol"/>
                <w:sz w:val="17"/>
                <w:szCs w:val="17"/>
              </w:rPr>
              <w:instrText xml:space="preserve"> REF _Ref75899897 \r \h </w:instrText>
            </w:r>
            <w:r w:rsidR="009C6C96" w:rsidRPr="00A8485D">
              <w:rPr>
                <w:rFonts w:ascii="Segoe UI Symbol" w:hAnsi="Segoe UI Symbol"/>
                <w:sz w:val="17"/>
                <w:szCs w:val="17"/>
              </w:rPr>
              <w:instrText xml:space="preserve"> \* MERGEFORMAT </w:instrText>
            </w:r>
            <w:r w:rsidRPr="00A8485D">
              <w:rPr>
                <w:rFonts w:ascii="Segoe UI Symbol" w:hAnsi="Segoe UI Symbol"/>
                <w:sz w:val="17"/>
                <w:szCs w:val="17"/>
              </w:rPr>
            </w:r>
            <w:r w:rsidRPr="00A8485D">
              <w:rPr>
                <w:rFonts w:ascii="Segoe UI Symbol" w:hAnsi="Segoe UI Symbol"/>
                <w:sz w:val="17"/>
                <w:szCs w:val="17"/>
              </w:rPr>
              <w:fldChar w:fldCharType="separate"/>
            </w:r>
            <w:r w:rsidR="00AE607F">
              <w:rPr>
                <w:rFonts w:ascii="Segoe UI Symbol" w:hAnsi="Segoe UI Symbol"/>
                <w:sz w:val="17"/>
                <w:szCs w:val="17"/>
              </w:rPr>
              <w:t>7</w:t>
            </w:r>
            <w:r w:rsidRPr="00A8485D">
              <w:rPr>
                <w:rFonts w:ascii="Segoe UI Symbol" w:hAnsi="Segoe UI Symbol"/>
                <w:sz w:val="17"/>
                <w:szCs w:val="17"/>
              </w:rPr>
              <w:fldChar w:fldCharType="end"/>
            </w:r>
          </w:p>
        </w:tc>
      </w:tr>
      <w:tr w:rsidR="009D0ADD" w:rsidRPr="003F1CC7" w14:paraId="2DC2E403" w14:textId="77777777" w:rsidTr="00EF2D2C">
        <w:trPr>
          <w:cnfStyle w:val="000000100000" w:firstRow="0" w:lastRow="0" w:firstColumn="0" w:lastColumn="0" w:oddVBand="0" w:evenVBand="0" w:oddHBand="1" w:evenHBand="0" w:firstRowFirstColumn="0" w:firstRowLastColumn="0" w:lastRowFirstColumn="0" w:lastRowLastColumn="0"/>
          <w:cantSplit/>
        </w:trPr>
        <w:tc>
          <w:tcPr>
            <w:tcW w:w="4048"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tcPr>
          <w:p w14:paraId="7626B8E7" w14:textId="77777777" w:rsidR="009D0ADD" w:rsidRPr="009C6C96" w:rsidRDefault="009D0ADD">
            <w:pPr>
              <w:numPr>
                <w:ilvl w:val="1"/>
                <w:numId w:val="31"/>
              </w:numPr>
              <w:spacing w:before="60"/>
              <w:contextualSpacing/>
              <w:rPr>
                <w:rFonts w:cstheme="minorHAnsi"/>
                <w:sz w:val="17"/>
                <w:szCs w:val="17"/>
                <w:lang w:eastAsia="zh-CN" w:bidi="th-TH"/>
              </w:rPr>
            </w:pPr>
            <w:r w:rsidRPr="009C6C96">
              <w:rPr>
                <w:rFonts w:cstheme="minorHAnsi"/>
                <w:sz w:val="17"/>
                <w:szCs w:val="17"/>
                <w:lang w:eastAsia="zh-CN" w:bidi="th-TH"/>
              </w:rPr>
              <w:t>How effective have the joint working arrangements with other agencies and committees involved in the program been?</w:t>
            </w:r>
          </w:p>
        </w:tc>
        <w:tc>
          <w:tcPr>
            <w:tcW w:w="952"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46906D6E" w14:textId="48DB8A58" w:rsidR="009D0ADD" w:rsidRPr="00A8485D" w:rsidRDefault="00BD2A10" w:rsidP="00F41CDE">
            <w:pPr>
              <w:spacing w:before="60" w:after="60"/>
              <w:rPr>
                <w:rFonts w:ascii="Segoe UI Symbol" w:hAnsi="Segoe UI Symbol"/>
                <w:sz w:val="17"/>
                <w:szCs w:val="17"/>
              </w:rPr>
            </w:pPr>
            <w:r w:rsidRPr="00A8485D">
              <w:rPr>
                <w:rFonts w:ascii="Segoe UI Symbol" w:hAnsi="Segoe UI Symbol"/>
                <w:sz w:val="17"/>
                <w:szCs w:val="17"/>
              </w:rPr>
              <w:t xml:space="preserve">Section </w:t>
            </w:r>
            <w:r w:rsidR="002C5598" w:rsidRPr="00A8485D">
              <w:rPr>
                <w:rFonts w:ascii="Segoe UI Symbol" w:hAnsi="Segoe UI Symbol"/>
                <w:sz w:val="17"/>
                <w:szCs w:val="17"/>
              </w:rPr>
              <w:fldChar w:fldCharType="begin"/>
            </w:r>
            <w:r w:rsidR="002C5598" w:rsidRPr="00A8485D">
              <w:rPr>
                <w:rFonts w:ascii="Segoe UI Symbol" w:hAnsi="Segoe UI Symbol"/>
                <w:sz w:val="17"/>
                <w:szCs w:val="17"/>
              </w:rPr>
              <w:instrText xml:space="preserve"> REF _Ref75330807 \n \h </w:instrText>
            </w:r>
            <w:r w:rsidR="009C6C96" w:rsidRPr="00A8485D">
              <w:rPr>
                <w:rFonts w:ascii="Segoe UI Symbol" w:hAnsi="Segoe UI Symbol"/>
                <w:sz w:val="17"/>
                <w:szCs w:val="17"/>
              </w:rPr>
              <w:instrText xml:space="preserve"> \* MERGEFORMAT </w:instrText>
            </w:r>
            <w:r w:rsidR="002C5598" w:rsidRPr="00A8485D">
              <w:rPr>
                <w:rFonts w:ascii="Segoe UI Symbol" w:hAnsi="Segoe UI Symbol"/>
                <w:sz w:val="17"/>
                <w:szCs w:val="17"/>
              </w:rPr>
            </w:r>
            <w:r w:rsidR="002C5598" w:rsidRPr="00A8485D">
              <w:rPr>
                <w:rFonts w:ascii="Segoe UI Symbol" w:hAnsi="Segoe UI Symbol"/>
                <w:sz w:val="17"/>
                <w:szCs w:val="17"/>
              </w:rPr>
              <w:fldChar w:fldCharType="separate"/>
            </w:r>
            <w:r w:rsidR="00AE607F">
              <w:rPr>
                <w:rFonts w:ascii="Segoe UI Symbol" w:hAnsi="Segoe UI Symbol"/>
                <w:sz w:val="17"/>
                <w:szCs w:val="17"/>
              </w:rPr>
              <w:t>7.1.2</w:t>
            </w:r>
            <w:r w:rsidR="002C5598" w:rsidRPr="00A8485D">
              <w:rPr>
                <w:rFonts w:ascii="Segoe UI Symbol" w:hAnsi="Segoe UI Symbol"/>
                <w:sz w:val="17"/>
                <w:szCs w:val="17"/>
              </w:rPr>
              <w:fldChar w:fldCharType="end"/>
            </w:r>
          </w:p>
        </w:tc>
      </w:tr>
      <w:tr w:rsidR="009D0ADD" w:rsidRPr="003F1CC7" w14:paraId="1995F069" w14:textId="77777777" w:rsidTr="00EF2D2C">
        <w:trPr>
          <w:cnfStyle w:val="000000010000" w:firstRow="0" w:lastRow="0" w:firstColumn="0" w:lastColumn="0" w:oddVBand="0" w:evenVBand="0" w:oddHBand="0" w:evenHBand="1" w:firstRowFirstColumn="0" w:firstRowLastColumn="0" w:lastRowFirstColumn="0" w:lastRowLastColumn="0"/>
          <w:cantSplit/>
        </w:trPr>
        <w:tc>
          <w:tcPr>
            <w:tcW w:w="4048"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tcPr>
          <w:p w14:paraId="28B212C5" w14:textId="77777777" w:rsidR="009D0ADD" w:rsidRPr="009C6C96" w:rsidRDefault="009D0ADD">
            <w:pPr>
              <w:numPr>
                <w:ilvl w:val="1"/>
                <w:numId w:val="31"/>
              </w:numPr>
              <w:spacing w:before="60"/>
              <w:contextualSpacing/>
              <w:rPr>
                <w:rFonts w:cstheme="minorHAnsi"/>
                <w:sz w:val="17"/>
                <w:szCs w:val="17"/>
                <w:lang w:eastAsia="zh-CN" w:bidi="th-TH"/>
              </w:rPr>
            </w:pPr>
            <w:r w:rsidRPr="009C6C96">
              <w:rPr>
                <w:rFonts w:cstheme="minorHAnsi"/>
                <w:sz w:val="17"/>
                <w:szCs w:val="17"/>
                <w:lang w:eastAsia="zh-CN" w:bidi="th-TH"/>
              </w:rPr>
              <w:t>How effective has been the role of the EPC?</w:t>
            </w:r>
          </w:p>
        </w:tc>
        <w:tc>
          <w:tcPr>
            <w:tcW w:w="952"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5286D493" w14:textId="1185E6DF" w:rsidR="009D0ADD" w:rsidRPr="00A8485D" w:rsidRDefault="009D0ADD" w:rsidP="00F41CDE">
            <w:pPr>
              <w:spacing w:before="60" w:after="60"/>
              <w:rPr>
                <w:rFonts w:ascii="Segoe UI Symbol" w:hAnsi="Segoe UI Symbol"/>
                <w:sz w:val="17"/>
                <w:szCs w:val="17"/>
              </w:rPr>
            </w:pPr>
            <w:r w:rsidRPr="00A8485D">
              <w:rPr>
                <w:rFonts w:ascii="Segoe UI Symbol" w:hAnsi="Segoe UI Symbol"/>
                <w:sz w:val="17"/>
                <w:szCs w:val="17"/>
              </w:rPr>
              <w:t xml:space="preserve">Section </w:t>
            </w:r>
            <w:r w:rsidR="002C5598" w:rsidRPr="00A8485D">
              <w:rPr>
                <w:rFonts w:ascii="Segoe UI Symbol" w:hAnsi="Segoe UI Symbol"/>
                <w:sz w:val="17"/>
                <w:szCs w:val="17"/>
              </w:rPr>
              <w:fldChar w:fldCharType="begin"/>
            </w:r>
            <w:r w:rsidR="002C5598" w:rsidRPr="00A8485D">
              <w:rPr>
                <w:rFonts w:ascii="Segoe UI Symbol" w:hAnsi="Segoe UI Symbol"/>
                <w:sz w:val="17"/>
                <w:szCs w:val="17"/>
              </w:rPr>
              <w:instrText xml:space="preserve"> REF _Ref75330807 \n \h </w:instrText>
            </w:r>
            <w:r w:rsidR="009C6C96" w:rsidRPr="00A8485D">
              <w:rPr>
                <w:rFonts w:ascii="Segoe UI Symbol" w:hAnsi="Segoe UI Symbol"/>
                <w:sz w:val="17"/>
                <w:szCs w:val="17"/>
              </w:rPr>
              <w:instrText xml:space="preserve"> \* MERGEFORMAT </w:instrText>
            </w:r>
            <w:r w:rsidR="002C5598" w:rsidRPr="00A8485D">
              <w:rPr>
                <w:rFonts w:ascii="Segoe UI Symbol" w:hAnsi="Segoe UI Symbol"/>
                <w:sz w:val="17"/>
                <w:szCs w:val="17"/>
              </w:rPr>
            </w:r>
            <w:r w:rsidR="002C5598" w:rsidRPr="00A8485D">
              <w:rPr>
                <w:rFonts w:ascii="Segoe UI Symbol" w:hAnsi="Segoe UI Symbol"/>
                <w:sz w:val="17"/>
                <w:szCs w:val="17"/>
              </w:rPr>
              <w:fldChar w:fldCharType="separate"/>
            </w:r>
            <w:r w:rsidR="00AE607F">
              <w:rPr>
                <w:rFonts w:ascii="Segoe UI Symbol" w:hAnsi="Segoe UI Symbol"/>
                <w:sz w:val="17"/>
                <w:szCs w:val="17"/>
              </w:rPr>
              <w:t>7.1.2</w:t>
            </w:r>
            <w:r w:rsidR="002C5598" w:rsidRPr="00A8485D">
              <w:rPr>
                <w:rFonts w:ascii="Segoe UI Symbol" w:hAnsi="Segoe UI Symbol"/>
                <w:sz w:val="17"/>
                <w:szCs w:val="17"/>
              </w:rPr>
              <w:fldChar w:fldCharType="end"/>
            </w:r>
          </w:p>
        </w:tc>
      </w:tr>
      <w:tr w:rsidR="009D0ADD" w:rsidRPr="003F1CC7" w14:paraId="454DC24C" w14:textId="77777777" w:rsidTr="00EF2D2C">
        <w:trPr>
          <w:cnfStyle w:val="000000100000" w:firstRow="0" w:lastRow="0" w:firstColumn="0" w:lastColumn="0" w:oddVBand="0" w:evenVBand="0" w:oddHBand="1" w:evenHBand="0" w:firstRowFirstColumn="0" w:firstRowLastColumn="0" w:lastRowFirstColumn="0" w:lastRowLastColumn="0"/>
          <w:cantSplit/>
        </w:trPr>
        <w:tc>
          <w:tcPr>
            <w:tcW w:w="4048"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tcPr>
          <w:p w14:paraId="283499ED" w14:textId="77777777" w:rsidR="009D0ADD" w:rsidRPr="009C6C96" w:rsidRDefault="009D0ADD">
            <w:pPr>
              <w:numPr>
                <w:ilvl w:val="1"/>
                <w:numId w:val="31"/>
              </w:numPr>
              <w:spacing w:before="60"/>
              <w:contextualSpacing/>
              <w:rPr>
                <w:rFonts w:cstheme="minorHAnsi"/>
                <w:sz w:val="17"/>
                <w:szCs w:val="17"/>
                <w:lang w:eastAsia="zh-CN" w:bidi="th-TH"/>
              </w:rPr>
            </w:pPr>
            <w:r w:rsidRPr="009C6C96">
              <w:rPr>
                <w:rFonts w:cstheme="minorHAnsi"/>
                <w:sz w:val="17"/>
                <w:szCs w:val="17"/>
                <w:lang w:eastAsia="zh-CN" w:bidi="th-TH"/>
              </w:rPr>
              <w:t>What have been the major risks with the program (if any)? How well have they been anticipated, managed and mitigated?</w:t>
            </w:r>
          </w:p>
          <w:p w14:paraId="0501F244" w14:textId="77777777" w:rsidR="009D0ADD" w:rsidRPr="009C6C96" w:rsidRDefault="009D0ADD">
            <w:pPr>
              <w:numPr>
                <w:ilvl w:val="1"/>
                <w:numId w:val="31"/>
              </w:numPr>
              <w:spacing w:before="60"/>
              <w:contextualSpacing/>
              <w:rPr>
                <w:rFonts w:cstheme="minorHAnsi"/>
                <w:sz w:val="17"/>
                <w:szCs w:val="17"/>
                <w:lang w:eastAsia="zh-CN" w:bidi="th-TH"/>
              </w:rPr>
            </w:pPr>
            <w:r w:rsidRPr="009C6C96">
              <w:rPr>
                <w:rFonts w:cstheme="minorHAnsi"/>
                <w:sz w:val="17"/>
                <w:szCs w:val="17"/>
                <w:lang w:eastAsia="zh-CN" w:bidi="th-TH"/>
              </w:rPr>
              <w:t>What impact has the COVID-19 pandemic had on the program and participating SMEs?</w:t>
            </w:r>
          </w:p>
        </w:tc>
        <w:tc>
          <w:tcPr>
            <w:tcW w:w="952"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36B7D406" w14:textId="0D4C262B" w:rsidR="009D0ADD" w:rsidRPr="00A8485D" w:rsidRDefault="009D0ADD" w:rsidP="00F41CDE">
            <w:pPr>
              <w:spacing w:before="60" w:after="60"/>
              <w:rPr>
                <w:rFonts w:ascii="Segoe UI Symbol" w:hAnsi="Segoe UI Symbol"/>
                <w:sz w:val="17"/>
                <w:szCs w:val="17"/>
              </w:rPr>
            </w:pPr>
            <w:r w:rsidRPr="00A8485D">
              <w:rPr>
                <w:rFonts w:ascii="Segoe UI Symbol" w:hAnsi="Segoe UI Symbol"/>
                <w:sz w:val="17"/>
                <w:szCs w:val="17"/>
              </w:rPr>
              <w:t xml:space="preserve">Section </w:t>
            </w:r>
            <w:r w:rsidR="00B6143C" w:rsidRPr="00A8485D">
              <w:rPr>
                <w:rFonts w:ascii="Segoe UI Symbol" w:hAnsi="Segoe UI Symbol"/>
                <w:sz w:val="17"/>
                <w:szCs w:val="17"/>
                <w:highlight w:val="yellow"/>
              </w:rPr>
              <w:fldChar w:fldCharType="begin"/>
            </w:r>
            <w:r w:rsidR="00B6143C" w:rsidRPr="00A8485D">
              <w:rPr>
                <w:rFonts w:ascii="Segoe UI Symbol" w:hAnsi="Segoe UI Symbol"/>
                <w:sz w:val="17"/>
                <w:szCs w:val="17"/>
              </w:rPr>
              <w:instrText xml:space="preserve"> REF _Ref79137899 \n \h </w:instrText>
            </w:r>
            <w:r w:rsidR="009C6C96" w:rsidRPr="00A8485D">
              <w:rPr>
                <w:rFonts w:ascii="Segoe UI Symbol" w:hAnsi="Segoe UI Symbol"/>
                <w:sz w:val="17"/>
                <w:szCs w:val="17"/>
                <w:highlight w:val="yellow"/>
              </w:rPr>
              <w:instrText xml:space="preserve"> \* MERGEFORMAT </w:instrText>
            </w:r>
            <w:r w:rsidR="00B6143C" w:rsidRPr="00A8485D">
              <w:rPr>
                <w:rFonts w:ascii="Segoe UI Symbol" w:hAnsi="Segoe UI Symbol"/>
                <w:sz w:val="17"/>
                <w:szCs w:val="17"/>
                <w:highlight w:val="yellow"/>
              </w:rPr>
            </w:r>
            <w:r w:rsidR="00B6143C" w:rsidRPr="00A8485D">
              <w:rPr>
                <w:rFonts w:ascii="Segoe UI Symbol" w:hAnsi="Segoe UI Symbol"/>
                <w:sz w:val="17"/>
                <w:szCs w:val="17"/>
                <w:highlight w:val="yellow"/>
              </w:rPr>
              <w:fldChar w:fldCharType="separate"/>
            </w:r>
            <w:r w:rsidR="00AE607F">
              <w:rPr>
                <w:rFonts w:ascii="Segoe UI Symbol" w:hAnsi="Segoe UI Symbol"/>
                <w:sz w:val="17"/>
                <w:szCs w:val="17"/>
              </w:rPr>
              <w:t>7.1.3</w:t>
            </w:r>
            <w:r w:rsidR="00B6143C" w:rsidRPr="00A8485D">
              <w:rPr>
                <w:rFonts w:ascii="Segoe UI Symbol" w:hAnsi="Segoe UI Symbol"/>
                <w:sz w:val="17"/>
                <w:szCs w:val="17"/>
                <w:highlight w:val="yellow"/>
              </w:rPr>
              <w:fldChar w:fldCharType="end"/>
            </w:r>
          </w:p>
        </w:tc>
      </w:tr>
      <w:tr w:rsidR="009D0ADD" w:rsidRPr="003F1CC7" w14:paraId="7219C308" w14:textId="77777777" w:rsidTr="00EF2D2C">
        <w:trPr>
          <w:cnfStyle w:val="000000010000" w:firstRow="0" w:lastRow="0" w:firstColumn="0" w:lastColumn="0" w:oddVBand="0" w:evenVBand="0" w:oddHBand="0" w:evenHBand="1" w:firstRowFirstColumn="0" w:firstRowLastColumn="0" w:lastRowFirstColumn="0" w:lastRowLastColumn="0"/>
          <w:cantSplit/>
        </w:trPr>
        <w:tc>
          <w:tcPr>
            <w:tcW w:w="4048"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E6E6E1" w:themeFill="accent5"/>
          </w:tcPr>
          <w:p w14:paraId="5323A876" w14:textId="77777777" w:rsidR="009D0ADD" w:rsidRPr="003F1CC7" w:rsidRDefault="009D0ADD" w:rsidP="00F41CDE">
            <w:pPr>
              <w:spacing w:before="60" w:after="60"/>
              <w:rPr>
                <w:rFonts w:ascii="Segoe UI Semibold" w:hAnsi="Segoe UI Semibold" w:cs="Segoe UI Semibold"/>
                <w:bCs/>
                <w:color w:val="00264D" w:themeColor="background2"/>
                <w:sz w:val="17"/>
              </w:rPr>
            </w:pPr>
            <w:r w:rsidRPr="003F1CC7">
              <w:rPr>
                <w:rFonts w:ascii="Segoe UI Semibold" w:hAnsi="Segoe UI Semibold" w:cs="Segoe UI Semibold"/>
                <w:bCs/>
                <w:color w:val="00264D" w:themeColor="background2"/>
                <w:sz w:val="17"/>
              </w:rPr>
              <w:t>3. Outcomes and Impact</w:t>
            </w:r>
          </w:p>
        </w:tc>
        <w:tc>
          <w:tcPr>
            <w:tcW w:w="952"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shd w:val="clear" w:color="auto" w:fill="E6E6E1" w:themeFill="accent5"/>
          </w:tcPr>
          <w:p w14:paraId="1A02A251" w14:textId="77777777" w:rsidR="009D0ADD" w:rsidRPr="00A8485D" w:rsidRDefault="009D0ADD" w:rsidP="00F41CDE">
            <w:pPr>
              <w:spacing w:before="60" w:after="60"/>
              <w:rPr>
                <w:sz w:val="17"/>
                <w:szCs w:val="17"/>
              </w:rPr>
            </w:pPr>
          </w:p>
        </w:tc>
      </w:tr>
      <w:tr w:rsidR="009D0ADD" w:rsidRPr="003F1CC7" w14:paraId="5E9628C6" w14:textId="77777777" w:rsidTr="00EF2D2C">
        <w:trPr>
          <w:cnfStyle w:val="000000100000" w:firstRow="0" w:lastRow="0" w:firstColumn="0" w:lastColumn="0" w:oddVBand="0" w:evenVBand="0" w:oddHBand="1" w:evenHBand="0" w:firstRowFirstColumn="0" w:firstRowLastColumn="0" w:lastRowFirstColumn="0" w:lastRowLastColumn="0"/>
          <w:cantSplit/>
        </w:trPr>
        <w:tc>
          <w:tcPr>
            <w:tcW w:w="4048"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tcPr>
          <w:p w14:paraId="615C004B" w14:textId="77777777" w:rsidR="009D0ADD" w:rsidRPr="009C6C96" w:rsidRDefault="009D0ADD">
            <w:pPr>
              <w:numPr>
                <w:ilvl w:val="1"/>
                <w:numId w:val="34"/>
              </w:numPr>
              <w:spacing w:before="60"/>
              <w:contextualSpacing/>
              <w:rPr>
                <w:rFonts w:cstheme="minorHAnsi"/>
                <w:sz w:val="17"/>
                <w:szCs w:val="17"/>
                <w:lang w:eastAsia="zh-CN" w:bidi="th-TH"/>
              </w:rPr>
            </w:pPr>
            <w:r w:rsidRPr="009C6C96">
              <w:rPr>
                <w:rFonts w:cstheme="minorHAnsi"/>
                <w:sz w:val="17"/>
                <w:szCs w:val="17"/>
                <w:lang w:eastAsia="zh-CN" w:bidi="th-TH"/>
              </w:rPr>
              <w:lastRenderedPageBreak/>
              <w:t>What longer-term impacts has the program achieved? To what extent has there been an increase in:</w:t>
            </w:r>
          </w:p>
          <w:p w14:paraId="218416CA" w14:textId="77777777" w:rsidR="009D0ADD" w:rsidRPr="009C6C96" w:rsidRDefault="009D0ADD">
            <w:pPr>
              <w:numPr>
                <w:ilvl w:val="2"/>
                <w:numId w:val="34"/>
              </w:numPr>
              <w:spacing w:before="60"/>
              <w:contextualSpacing/>
              <w:rPr>
                <w:rFonts w:cstheme="minorHAnsi"/>
                <w:sz w:val="17"/>
                <w:szCs w:val="17"/>
                <w:lang w:eastAsia="zh-CN" w:bidi="th-TH"/>
              </w:rPr>
            </w:pPr>
            <w:r w:rsidRPr="009C6C96">
              <w:rPr>
                <w:rFonts w:cstheme="minorHAnsi"/>
                <w:sz w:val="17"/>
                <w:szCs w:val="17"/>
                <w:lang w:eastAsia="zh-CN" w:bidi="th-TH"/>
              </w:rPr>
              <w:t>The commercialisation of new to market products/services among participating SMEs?</w:t>
            </w:r>
          </w:p>
          <w:p w14:paraId="636AF92E" w14:textId="77777777" w:rsidR="009D0ADD" w:rsidRPr="009C6C96" w:rsidRDefault="009D0ADD">
            <w:pPr>
              <w:numPr>
                <w:ilvl w:val="2"/>
                <w:numId w:val="34"/>
              </w:numPr>
              <w:spacing w:before="60"/>
              <w:contextualSpacing/>
              <w:rPr>
                <w:rFonts w:cstheme="minorHAnsi"/>
                <w:sz w:val="17"/>
                <w:szCs w:val="17"/>
                <w:lang w:eastAsia="zh-CN" w:bidi="th-TH"/>
              </w:rPr>
            </w:pPr>
            <w:r w:rsidRPr="009C6C96">
              <w:rPr>
                <w:rFonts w:cstheme="minorHAnsi"/>
                <w:sz w:val="17"/>
                <w:szCs w:val="17"/>
                <w:lang w:eastAsia="zh-CN" w:bidi="th-TH"/>
              </w:rPr>
              <w:t>Collaboration among SMEs, agencies and industry partners?</w:t>
            </w:r>
          </w:p>
          <w:p w14:paraId="19E64396" w14:textId="77777777" w:rsidR="009D0ADD" w:rsidRPr="009C6C96" w:rsidRDefault="009D0ADD">
            <w:pPr>
              <w:numPr>
                <w:ilvl w:val="2"/>
                <w:numId w:val="34"/>
              </w:numPr>
              <w:spacing w:before="60"/>
              <w:contextualSpacing/>
              <w:rPr>
                <w:rFonts w:cstheme="minorHAnsi"/>
                <w:sz w:val="17"/>
                <w:szCs w:val="17"/>
                <w:lang w:eastAsia="zh-CN" w:bidi="th-TH"/>
              </w:rPr>
            </w:pPr>
            <w:r w:rsidRPr="009C6C96">
              <w:rPr>
                <w:rFonts w:cstheme="minorHAnsi"/>
                <w:sz w:val="17"/>
                <w:szCs w:val="17"/>
                <w:lang w:eastAsia="zh-CN" w:bidi="th-TH"/>
              </w:rPr>
              <w:t>Agencies’ and SMEs’ confidence working with each other?</w:t>
            </w:r>
          </w:p>
          <w:p w14:paraId="31BB9E38" w14:textId="77777777" w:rsidR="009D0ADD" w:rsidRPr="009C6C96" w:rsidRDefault="009D0ADD">
            <w:pPr>
              <w:numPr>
                <w:ilvl w:val="2"/>
                <w:numId w:val="34"/>
              </w:numPr>
              <w:spacing w:before="60"/>
              <w:contextualSpacing/>
              <w:rPr>
                <w:rFonts w:cstheme="minorHAnsi"/>
                <w:sz w:val="17"/>
                <w:szCs w:val="17"/>
                <w:lang w:eastAsia="zh-CN" w:bidi="th-TH"/>
              </w:rPr>
            </w:pPr>
            <w:r w:rsidRPr="009C6C96">
              <w:rPr>
                <w:rFonts w:cstheme="minorHAnsi"/>
                <w:sz w:val="17"/>
                <w:szCs w:val="17"/>
                <w:lang w:eastAsia="zh-CN" w:bidi="th-TH"/>
              </w:rPr>
              <w:t>Innovation and collaboration activities among participating SMEs and agencies?</w:t>
            </w:r>
          </w:p>
        </w:tc>
        <w:tc>
          <w:tcPr>
            <w:tcW w:w="952"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05B1A430" w14:textId="4B43D8CA" w:rsidR="009D0ADD" w:rsidRPr="00A8485D" w:rsidRDefault="009D0ADD" w:rsidP="00F41CDE">
            <w:pPr>
              <w:spacing w:before="60" w:after="60"/>
              <w:rPr>
                <w:rFonts w:ascii="Segoe UI Symbol" w:hAnsi="Segoe UI Symbol"/>
                <w:sz w:val="17"/>
                <w:szCs w:val="17"/>
              </w:rPr>
            </w:pPr>
            <w:r w:rsidRPr="00A8485D">
              <w:rPr>
                <w:rFonts w:ascii="Segoe UI Symbol" w:hAnsi="Segoe UI Symbol"/>
                <w:sz w:val="17"/>
                <w:szCs w:val="17"/>
              </w:rPr>
              <w:t xml:space="preserve">Section </w:t>
            </w:r>
            <w:r w:rsidR="00721F16" w:rsidRPr="00A8485D">
              <w:rPr>
                <w:rFonts w:ascii="Segoe UI Symbol" w:hAnsi="Segoe UI Symbol"/>
                <w:sz w:val="17"/>
                <w:szCs w:val="17"/>
              </w:rPr>
              <w:fldChar w:fldCharType="begin"/>
            </w:r>
            <w:r w:rsidR="00721F16" w:rsidRPr="00A8485D">
              <w:rPr>
                <w:rFonts w:ascii="Segoe UI Symbol" w:hAnsi="Segoe UI Symbol"/>
                <w:sz w:val="17"/>
                <w:szCs w:val="17"/>
              </w:rPr>
              <w:instrText xml:space="preserve"> REF _Ref79396537 \n \h </w:instrText>
            </w:r>
            <w:r w:rsidR="009C6C96" w:rsidRPr="00A8485D">
              <w:rPr>
                <w:rFonts w:ascii="Segoe UI Symbol" w:hAnsi="Segoe UI Symbol"/>
                <w:sz w:val="17"/>
                <w:szCs w:val="17"/>
              </w:rPr>
              <w:instrText xml:space="preserve"> \* MERGEFORMAT </w:instrText>
            </w:r>
            <w:r w:rsidR="00721F16" w:rsidRPr="00A8485D">
              <w:rPr>
                <w:rFonts w:ascii="Segoe UI Symbol" w:hAnsi="Segoe UI Symbol"/>
                <w:sz w:val="17"/>
                <w:szCs w:val="17"/>
              </w:rPr>
            </w:r>
            <w:r w:rsidR="00721F16" w:rsidRPr="00A8485D">
              <w:rPr>
                <w:rFonts w:ascii="Segoe UI Symbol" w:hAnsi="Segoe UI Symbol"/>
                <w:sz w:val="17"/>
                <w:szCs w:val="17"/>
              </w:rPr>
              <w:fldChar w:fldCharType="separate"/>
            </w:r>
            <w:r w:rsidR="00AE607F">
              <w:rPr>
                <w:rFonts w:ascii="Segoe UI Symbol" w:hAnsi="Segoe UI Symbol"/>
                <w:sz w:val="17"/>
                <w:szCs w:val="17"/>
              </w:rPr>
              <w:t>5</w:t>
            </w:r>
            <w:r w:rsidR="00721F16" w:rsidRPr="00A8485D">
              <w:rPr>
                <w:rFonts w:ascii="Segoe UI Symbol" w:hAnsi="Segoe UI Symbol"/>
                <w:sz w:val="17"/>
                <w:szCs w:val="17"/>
              </w:rPr>
              <w:fldChar w:fldCharType="end"/>
            </w:r>
          </w:p>
          <w:p w14:paraId="0AF470C0" w14:textId="36360178" w:rsidR="009D0ADD" w:rsidRPr="00A8485D" w:rsidRDefault="009D0ADD" w:rsidP="00F41CDE">
            <w:pPr>
              <w:spacing w:before="60" w:after="60"/>
              <w:rPr>
                <w:rFonts w:ascii="Segoe UI Symbol" w:hAnsi="Segoe UI Symbol"/>
                <w:sz w:val="17"/>
                <w:szCs w:val="17"/>
              </w:rPr>
            </w:pPr>
            <w:r w:rsidRPr="00A8485D">
              <w:rPr>
                <w:rFonts w:ascii="Segoe UI Symbol" w:hAnsi="Segoe UI Symbol"/>
                <w:sz w:val="17"/>
                <w:szCs w:val="17"/>
              </w:rPr>
              <w:t xml:space="preserve">Section </w:t>
            </w:r>
            <w:r w:rsidR="00B6143C" w:rsidRPr="00A8485D">
              <w:rPr>
                <w:rFonts w:ascii="Segoe UI Symbol" w:hAnsi="Segoe UI Symbol"/>
                <w:sz w:val="17"/>
                <w:szCs w:val="17"/>
              </w:rPr>
              <w:fldChar w:fldCharType="begin"/>
            </w:r>
            <w:r w:rsidR="00B6143C" w:rsidRPr="00A8485D">
              <w:rPr>
                <w:rFonts w:ascii="Segoe UI Symbol" w:hAnsi="Segoe UI Symbol"/>
                <w:sz w:val="17"/>
                <w:szCs w:val="17"/>
              </w:rPr>
              <w:instrText xml:space="preserve"> REF _Ref75293167 \n \h </w:instrText>
            </w:r>
            <w:r w:rsidR="009C6C96" w:rsidRPr="00A8485D">
              <w:rPr>
                <w:rFonts w:ascii="Segoe UI Symbol" w:hAnsi="Segoe UI Symbol"/>
                <w:sz w:val="17"/>
                <w:szCs w:val="17"/>
              </w:rPr>
              <w:instrText xml:space="preserve"> \* MERGEFORMAT </w:instrText>
            </w:r>
            <w:r w:rsidR="00B6143C" w:rsidRPr="00A8485D">
              <w:rPr>
                <w:rFonts w:ascii="Segoe UI Symbol" w:hAnsi="Segoe UI Symbol"/>
                <w:sz w:val="17"/>
                <w:szCs w:val="17"/>
              </w:rPr>
            </w:r>
            <w:r w:rsidR="00B6143C" w:rsidRPr="00A8485D">
              <w:rPr>
                <w:rFonts w:ascii="Segoe UI Symbol" w:hAnsi="Segoe UI Symbol"/>
                <w:sz w:val="17"/>
                <w:szCs w:val="17"/>
              </w:rPr>
              <w:fldChar w:fldCharType="separate"/>
            </w:r>
            <w:r w:rsidR="00AE607F">
              <w:rPr>
                <w:rFonts w:ascii="Segoe UI Symbol" w:hAnsi="Segoe UI Symbol"/>
                <w:sz w:val="17"/>
                <w:szCs w:val="17"/>
              </w:rPr>
              <w:t>7</w:t>
            </w:r>
            <w:r w:rsidR="00B6143C" w:rsidRPr="00A8485D">
              <w:rPr>
                <w:rFonts w:ascii="Segoe UI Symbol" w:hAnsi="Segoe UI Symbol"/>
                <w:sz w:val="17"/>
                <w:szCs w:val="17"/>
              </w:rPr>
              <w:fldChar w:fldCharType="end"/>
            </w:r>
          </w:p>
        </w:tc>
      </w:tr>
      <w:tr w:rsidR="009D0ADD" w:rsidRPr="003F1CC7" w14:paraId="4FFD40D6" w14:textId="77777777" w:rsidTr="00EF2D2C">
        <w:trPr>
          <w:cnfStyle w:val="000000010000" w:firstRow="0" w:lastRow="0" w:firstColumn="0" w:lastColumn="0" w:oddVBand="0" w:evenVBand="0" w:oddHBand="0" w:evenHBand="1" w:firstRowFirstColumn="0" w:firstRowLastColumn="0" w:lastRowFirstColumn="0" w:lastRowLastColumn="0"/>
          <w:cantSplit/>
        </w:trPr>
        <w:tc>
          <w:tcPr>
            <w:tcW w:w="4048"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tcPr>
          <w:p w14:paraId="41A72885" w14:textId="77777777" w:rsidR="009D0ADD" w:rsidRPr="009C6C96" w:rsidRDefault="009D0ADD">
            <w:pPr>
              <w:numPr>
                <w:ilvl w:val="1"/>
                <w:numId w:val="34"/>
              </w:numPr>
              <w:spacing w:before="60"/>
              <w:contextualSpacing/>
              <w:rPr>
                <w:rFonts w:cstheme="minorHAnsi"/>
                <w:sz w:val="17"/>
                <w:szCs w:val="17"/>
                <w:lang w:eastAsia="zh-CN" w:bidi="th-TH"/>
              </w:rPr>
            </w:pPr>
            <w:r w:rsidRPr="009C6C96">
              <w:rPr>
                <w:rFonts w:cstheme="minorHAnsi"/>
                <w:sz w:val="17"/>
                <w:szCs w:val="17"/>
                <w:lang w:eastAsia="zh-CN" w:bidi="th-TH"/>
              </w:rPr>
              <w:t>To what extent has the program generated value to participating SMEs and Challenge agencies, and the Australian government?</w:t>
            </w:r>
          </w:p>
          <w:p w14:paraId="44CA4212" w14:textId="77777777" w:rsidR="009D0ADD" w:rsidRPr="009C6C96" w:rsidRDefault="009D0ADD">
            <w:pPr>
              <w:numPr>
                <w:ilvl w:val="2"/>
                <w:numId w:val="34"/>
              </w:numPr>
              <w:spacing w:before="60"/>
              <w:contextualSpacing/>
              <w:rPr>
                <w:rFonts w:cstheme="minorHAnsi"/>
                <w:sz w:val="17"/>
                <w:szCs w:val="17"/>
                <w:lang w:eastAsia="zh-CN" w:bidi="th-TH"/>
              </w:rPr>
            </w:pPr>
            <w:r w:rsidRPr="009C6C96">
              <w:rPr>
                <w:rFonts w:cstheme="minorHAnsi"/>
                <w:sz w:val="17"/>
                <w:szCs w:val="17"/>
                <w:lang w:eastAsia="zh-CN" w:bidi="th-TH"/>
              </w:rPr>
              <w:t>Have the benefits outweighed the costs in light of expected outcomes and program impacts?</w:t>
            </w:r>
          </w:p>
        </w:tc>
        <w:tc>
          <w:tcPr>
            <w:tcW w:w="952"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1E557885" w14:textId="336F47E6" w:rsidR="009D0ADD" w:rsidRPr="00A8485D" w:rsidRDefault="009D0ADD" w:rsidP="00F41CDE">
            <w:pPr>
              <w:spacing w:before="60" w:after="60"/>
              <w:rPr>
                <w:rFonts w:ascii="Segoe UI Symbol" w:hAnsi="Segoe UI Symbol"/>
                <w:sz w:val="17"/>
                <w:szCs w:val="17"/>
              </w:rPr>
            </w:pPr>
            <w:r w:rsidRPr="00A8485D">
              <w:rPr>
                <w:rFonts w:ascii="Segoe UI Symbol" w:hAnsi="Segoe UI Symbol"/>
                <w:sz w:val="17"/>
                <w:szCs w:val="17"/>
              </w:rPr>
              <w:t xml:space="preserve">Section </w:t>
            </w:r>
            <w:r w:rsidRPr="00A8485D">
              <w:rPr>
                <w:rFonts w:ascii="Segoe UI Symbol" w:hAnsi="Segoe UI Symbol"/>
                <w:sz w:val="17"/>
                <w:szCs w:val="17"/>
              </w:rPr>
              <w:fldChar w:fldCharType="begin"/>
            </w:r>
            <w:r w:rsidRPr="00A8485D">
              <w:rPr>
                <w:rFonts w:ascii="Segoe UI Symbol" w:hAnsi="Segoe UI Symbol"/>
                <w:sz w:val="17"/>
                <w:szCs w:val="17"/>
              </w:rPr>
              <w:instrText xml:space="preserve"> REF _Ref75899770 \n \h </w:instrText>
            </w:r>
            <w:r w:rsidR="009C6C96" w:rsidRPr="00A8485D">
              <w:rPr>
                <w:rFonts w:ascii="Segoe UI Symbol" w:hAnsi="Segoe UI Symbol"/>
                <w:sz w:val="17"/>
                <w:szCs w:val="17"/>
              </w:rPr>
              <w:instrText xml:space="preserve"> \* MERGEFORMAT </w:instrText>
            </w:r>
            <w:r w:rsidRPr="00A8485D">
              <w:rPr>
                <w:rFonts w:ascii="Segoe UI Symbol" w:hAnsi="Segoe UI Symbol"/>
                <w:sz w:val="17"/>
                <w:szCs w:val="17"/>
              </w:rPr>
            </w:r>
            <w:r w:rsidRPr="00A8485D">
              <w:rPr>
                <w:rFonts w:ascii="Segoe UI Symbol" w:hAnsi="Segoe UI Symbol"/>
                <w:sz w:val="17"/>
                <w:szCs w:val="17"/>
              </w:rPr>
              <w:fldChar w:fldCharType="separate"/>
            </w:r>
            <w:r w:rsidR="00AE607F">
              <w:rPr>
                <w:rFonts w:ascii="Segoe UI Symbol" w:hAnsi="Segoe UI Symbol"/>
                <w:sz w:val="17"/>
                <w:szCs w:val="17"/>
              </w:rPr>
              <w:t>6</w:t>
            </w:r>
            <w:r w:rsidRPr="00A8485D">
              <w:rPr>
                <w:rFonts w:ascii="Segoe UI Symbol" w:hAnsi="Segoe UI Symbol"/>
                <w:sz w:val="17"/>
                <w:szCs w:val="17"/>
              </w:rPr>
              <w:fldChar w:fldCharType="end"/>
            </w:r>
          </w:p>
        </w:tc>
      </w:tr>
      <w:tr w:rsidR="009D0ADD" w:rsidRPr="003F1CC7" w14:paraId="179C67A1" w14:textId="77777777" w:rsidTr="00EF2D2C">
        <w:trPr>
          <w:cnfStyle w:val="000000100000" w:firstRow="0" w:lastRow="0" w:firstColumn="0" w:lastColumn="0" w:oddVBand="0" w:evenVBand="0" w:oddHBand="1" w:evenHBand="0" w:firstRowFirstColumn="0" w:firstRowLastColumn="0" w:lastRowFirstColumn="0" w:lastRowLastColumn="0"/>
          <w:cantSplit/>
        </w:trPr>
        <w:tc>
          <w:tcPr>
            <w:tcW w:w="4048"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tcPr>
          <w:p w14:paraId="41AD2643" w14:textId="77777777" w:rsidR="009D0ADD" w:rsidRPr="009C6C96" w:rsidRDefault="009D0ADD">
            <w:pPr>
              <w:numPr>
                <w:ilvl w:val="1"/>
                <w:numId w:val="34"/>
              </w:numPr>
              <w:spacing w:before="60"/>
              <w:contextualSpacing/>
              <w:rPr>
                <w:rFonts w:cstheme="minorHAnsi"/>
                <w:sz w:val="17"/>
                <w:szCs w:val="17"/>
                <w:lang w:eastAsia="zh-CN" w:bidi="th-TH"/>
              </w:rPr>
            </w:pPr>
            <w:r w:rsidRPr="009C6C96">
              <w:rPr>
                <w:rFonts w:cstheme="minorHAnsi"/>
                <w:sz w:val="17"/>
                <w:szCs w:val="17"/>
                <w:lang w:eastAsia="zh-CN" w:bidi="th-TH"/>
              </w:rPr>
              <w:t>Has the program exhibited any spillovers or other unexpected consequences, positive or negative?</w:t>
            </w:r>
          </w:p>
        </w:tc>
        <w:tc>
          <w:tcPr>
            <w:tcW w:w="952"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2AA1ADFC" w14:textId="02EB6E13" w:rsidR="009D0ADD" w:rsidRPr="00A8485D" w:rsidRDefault="009D0ADD" w:rsidP="00F41CDE">
            <w:pPr>
              <w:spacing w:before="60" w:after="60"/>
              <w:rPr>
                <w:rFonts w:ascii="Segoe UI Symbol" w:hAnsi="Segoe UI Symbol"/>
                <w:sz w:val="17"/>
                <w:szCs w:val="17"/>
              </w:rPr>
            </w:pPr>
            <w:r w:rsidRPr="00A8485D">
              <w:rPr>
                <w:rFonts w:ascii="Segoe UI Symbol" w:hAnsi="Segoe UI Symbol"/>
                <w:sz w:val="17"/>
                <w:szCs w:val="17"/>
              </w:rPr>
              <w:t xml:space="preserve">Section </w:t>
            </w:r>
            <w:r w:rsidRPr="00A8485D">
              <w:rPr>
                <w:rFonts w:ascii="Segoe UI Symbol" w:hAnsi="Segoe UI Symbol"/>
                <w:sz w:val="17"/>
                <w:szCs w:val="17"/>
              </w:rPr>
              <w:fldChar w:fldCharType="begin"/>
            </w:r>
            <w:r w:rsidRPr="00A8485D">
              <w:rPr>
                <w:rFonts w:ascii="Segoe UI Symbol" w:hAnsi="Segoe UI Symbol"/>
                <w:sz w:val="17"/>
                <w:szCs w:val="17"/>
              </w:rPr>
              <w:instrText xml:space="preserve"> REF _Ref75899737 \r \h </w:instrText>
            </w:r>
            <w:r w:rsidR="00B6143C" w:rsidRPr="00A8485D">
              <w:rPr>
                <w:rFonts w:ascii="Segoe UI Symbol" w:hAnsi="Segoe UI Symbol"/>
                <w:sz w:val="17"/>
                <w:szCs w:val="17"/>
              </w:rPr>
              <w:instrText xml:space="preserve"> \* MERGEFORMAT </w:instrText>
            </w:r>
            <w:r w:rsidRPr="00A8485D">
              <w:rPr>
                <w:rFonts w:ascii="Segoe UI Symbol" w:hAnsi="Segoe UI Symbol"/>
                <w:sz w:val="17"/>
                <w:szCs w:val="17"/>
              </w:rPr>
            </w:r>
            <w:r w:rsidRPr="00A8485D">
              <w:rPr>
                <w:rFonts w:ascii="Segoe UI Symbol" w:hAnsi="Segoe UI Symbol"/>
                <w:sz w:val="17"/>
                <w:szCs w:val="17"/>
              </w:rPr>
              <w:fldChar w:fldCharType="separate"/>
            </w:r>
            <w:r w:rsidR="00AE607F">
              <w:rPr>
                <w:rFonts w:ascii="Segoe UI Symbol" w:hAnsi="Segoe UI Symbol"/>
                <w:sz w:val="17"/>
                <w:szCs w:val="17"/>
              </w:rPr>
              <w:t>6</w:t>
            </w:r>
            <w:r w:rsidRPr="00A8485D">
              <w:rPr>
                <w:rFonts w:ascii="Segoe UI Symbol" w:hAnsi="Segoe UI Symbol"/>
                <w:sz w:val="17"/>
                <w:szCs w:val="17"/>
              </w:rPr>
              <w:fldChar w:fldCharType="end"/>
            </w:r>
          </w:p>
        </w:tc>
      </w:tr>
      <w:tr w:rsidR="009D0ADD" w:rsidRPr="003F1CC7" w14:paraId="06CD0ED5" w14:textId="77777777" w:rsidTr="00EF2D2C">
        <w:trPr>
          <w:cnfStyle w:val="000000010000" w:firstRow="0" w:lastRow="0" w:firstColumn="0" w:lastColumn="0" w:oddVBand="0" w:evenVBand="0" w:oddHBand="0" w:evenHBand="1" w:firstRowFirstColumn="0" w:firstRowLastColumn="0" w:lastRowFirstColumn="0" w:lastRowLastColumn="0"/>
          <w:cantSplit/>
        </w:trPr>
        <w:tc>
          <w:tcPr>
            <w:tcW w:w="4048"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tcPr>
          <w:p w14:paraId="66403F1D" w14:textId="77777777" w:rsidR="009D0ADD" w:rsidRPr="009C6C96" w:rsidRDefault="009D0ADD">
            <w:pPr>
              <w:numPr>
                <w:ilvl w:val="1"/>
                <w:numId w:val="34"/>
              </w:numPr>
              <w:spacing w:before="60"/>
              <w:contextualSpacing/>
              <w:rPr>
                <w:rFonts w:cstheme="minorHAnsi"/>
                <w:sz w:val="17"/>
                <w:szCs w:val="17"/>
                <w:lang w:eastAsia="zh-CN" w:bidi="th-TH"/>
              </w:rPr>
            </w:pPr>
            <w:r w:rsidRPr="009C6C96">
              <w:rPr>
                <w:rFonts w:cstheme="minorHAnsi"/>
                <w:sz w:val="17"/>
                <w:szCs w:val="17"/>
                <w:lang w:eastAsia="zh-CN" w:bidi="th-TH"/>
              </w:rPr>
              <w:t>How do the outcomes of the program compare with similar programs elsewhere (such as SBRI in the UK), or with alternative program designs for achieving the same objectives?</w:t>
            </w:r>
          </w:p>
        </w:tc>
        <w:tc>
          <w:tcPr>
            <w:tcW w:w="952"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tcPr>
          <w:p w14:paraId="49C21B25" w14:textId="6DC07C14" w:rsidR="009D0ADD" w:rsidRPr="00A8485D" w:rsidRDefault="009D0ADD" w:rsidP="00F41CDE">
            <w:pPr>
              <w:spacing w:before="60" w:after="60"/>
              <w:rPr>
                <w:rFonts w:ascii="Segoe UI Symbol" w:hAnsi="Segoe UI Symbol"/>
                <w:sz w:val="17"/>
                <w:szCs w:val="17"/>
                <w:highlight w:val="yellow"/>
              </w:rPr>
            </w:pPr>
            <w:r w:rsidRPr="00A8485D">
              <w:rPr>
                <w:rFonts w:ascii="Segoe UI Symbol" w:hAnsi="Segoe UI Symbol"/>
                <w:sz w:val="17"/>
                <w:szCs w:val="17"/>
              </w:rPr>
              <w:t xml:space="preserve">Section </w:t>
            </w:r>
            <w:r w:rsidR="00B6143C" w:rsidRPr="00A8485D">
              <w:rPr>
                <w:rFonts w:ascii="Segoe UI Symbol" w:hAnsi="Segoe UI Symbol"/>
                <w:sz w:val="17"/>
                <w:szCs w:val="17"/>
                <w:highlight w:val="yellow"/>
              </w:rPr>
              <w:fldChar w:fldCharType="begin"/>
            </w:r>
            <w:r w:rsidR="00B6143C" w:rsidRPr="00A8485D">
              <w:rPr>
                <w:rFonts w:ascii="Segoe UI Symbol" w:hAnsi="Segoe UI Symbol"/>
                <w:sz w:val="17"/>
                <w:szCs w:val="17"/>
              </w:rPr>
              <w:instrText xml:space="preserve"> REF _Ref79331033 \n \h </w:instrText>
            </w:r>
            <w:r w:rsidR="009C6C96" w:rsidRPr="00A8485D">
              <w:rPr>
                <w:rFonts w:ascii="Segoe UI Symbol" w:hAnsi="Segoe UI Symbol"/>
                <w:sz w:val="17"/>
                <w:szCs w:val="17"/>
                <w:highlight w:val="yellow"/>
              </w:rPr>
              <w:instrText xml:space="preserve"> \* MERGEFORMAT </w:instrText>
            </w:r>
            <w:r w:rsidR="00B6143C" w:rsidRPr="00A8485D">
              <w:rPr>
                <w:rFonts w:ascii="Segoe UI Symbol" w:hAnsi="Segoe UI Symbol"/>
                <w:sz w:val="17"/>
                <w:szCs w:val="17"/>
                <w:highlight w:val="yellow"/>
              </w:rPr>
            </w:r>
            <w:r w:rsidR="00B6143C" w:rsidRPr="00A8485D">
              <w:rPr>
                <w:rFonts w:ascii="Segoe UI Symbol" w:hAnsi="Segoe UI Symbol"/>
                <w:sz w:val="17"/>
                <w:szCs w:val="17"/>
                <w:highlight w:val="yellow"/>
              </w:rPr>
              <w:fldChar w:fldCharType="separate"/>
            </w:r>
            <w:r w:rsidR="00AE607F">
              <w:rPr>
                <w:rFonts w:ascii="Segoe UI Symbol" w:hAnsi="Segoe UI Symbol"/>
                <w:sz w:val="17"/>
                <w:szCs w:val="17"/>
              </w:rPr>
              <w:t>5.3</w:t>
            </w:r>
            <w:r w:rsidR="00B6143C" w:rsidRPr="00A8485D">
              <w:rPr>
                <w:rFonts w:ascii="Segoe UI Symbol" w:hAnsi="Segoe UI Symbol"/>
                <w:sz w:val="17"/>
                <w:szCs w:val="17"/>
                <w:highlight w:val="yellow"/>
              </w:rPr>
              <w:fldChar w:fldCharType="end"/>
            </w:r>
          </w:p>
          <w:p w14:paraId="36982B97" w14:textId="1B3F2EBA" w:rsidR="009D0ADD" w:rsidRPr="00A8485D" w:rsidRDefault="009D0ADD" w:rsidP="00F41CDE">
            <w:pPr>
              <w:spacing w:before="60" w:after="60"/>
              <w:rPr>
                <w:rFonts w:ascii="Segoe UI Symbol" w:hAnsi="Segoe UI Symbol"/>
                <w:sz w:val="17"/>
                <w:szCs w:val="17"/>
              </w:rPr>
            </w:pPr>
            <w:r w:rsidRPr="00A8485D">
              <w:rPr>
                <w:rFonts w:ascii="Segoe UI Symbol" w:hAnsi="Segoe UI Symbol"/>
                <w:sz w:val="17"/>
                <w:szCs w:val="17"/>
              </w:rPr>
              <w:t xml:space="preserve">Section </w:t>
            </w:r>
            <w:r w:rsidRPr="00A8485D">
              <w:rPr>
                <w:rFonts w:ascii="Segoe UI Symbol" w:hAnsi="Segoe UI Symbol"/>
                <w:sz w:val="17"/>
                <w:szCs w:val="17"/>
              </w:rPr>
              <w:fldChar w:fldCharType="begin"/>
            </w:r>
            <w:r w:rsidRPr="00A8485D">
              <w:rPr>
                <w:rFonts w:ascii="Segoe UI Symbol" w:hAnsi="Segoe UI Symbol"/>
                <w:sz w:val="17"/>
                <w:szCs w:val="17"/>
              </w:rPr>
              <w:instrText xml:space="preserve"> REF _Ref75966079 \r \h  \* MERGEFORMAT </w:instrText>
            </w:r>
            <w:r w:rsidRPr="00A8485D">
              <w:rPr>
                <w:rFonts w:ascii="Segoe UI Symbol" w:hAnsi="Segoe UI Symbol"/>
                <w:sz w:val="17"/>
                <w:szCs w:val="17"/>
              </w:rPr>
            </w:r>
            <w:r w:rsidRPr="00A8485D">
              <w:rPr>
                <w:rFonts w:ascii="Segoe UI Symbol" w:hAnsi="Segoe UI Symbol"/>
                <w:sz w:val="17"/>
                <w:szCs w:val="17"/>
              </w:rPr>
              <w:fldChar w:fldCharType="separate"/>
            </w:r>
            <w:r w:rsidR="00AE607F">
              <w:rPr>
                <w:rFonts w:ascii="Segoe UI Symbol" w:hAnsi="Segoe UI Symbol"/>
                <w:sz w:val="17"/>
                <w:szCs w:val="17"/>
              </w:rPr>
              <w:t>6.5</w:t>
            </w:r>
            <w:r w:rsidRPr="00A8485D">
              <w:rPr>
                <w:rFonts w:ascii="Segoe UI Symbol" w:hAnsi="Segoe UI Symbol"/>
                <w:sz w:val="17"/>
                <w:szCs w:val="17"/>
              </w:rPr>
              <w:fldChar w:fldCharType="end"/>
            </w:r>
          </w:p>
        </w:tc>
      </w:tr>
    </w:tbl>
    <w:p w14:paraId="534DE1A3" w14:textId="77777777" w:rsidR="009D0ADD" w:rsidRPr="009D0ADD" w:rsidRDefault="009D0ADD" w:rsidP="009D0ADD">
      <w:pPr>
        <w:rPr>
          <w:lang w:eastAsia="en-AU"/>
        </w:rPr>
      </w:pPr>
    </w:p>
    <w:p w14:paraId="28B15DD2" w14:textId="6DF7DA16" w:rsidR="006B74D1" w:rsidRDefault="006B74D1">
      <w:pPr>
        <w:pStyle w:val="xAppendixLevel2"/>
      </w:pPr>
      <w:bookmarkStart w:id="214" w:name="_Toc124435176"/>
      <w:r>
        <w:t>Administrative data</w:t>
      </w:r>
      <w:bookmarkEnd w:id="214"/>
    </w:p>
    <w:p w14:paraId="032DA347" w14:textId="3869CEC6" w:rsidR="006B74D1" w:rsidRDefault="00CB2F00" w:rsidP="006B74D1">
      <w:pPr>
        <w:rPr>
          <w:lang w:eastAsia="en-AU"/>
        </w:rPr>
      </w:pPr>
      <w:r>
        <w:rPr>
          <w:lang w:eastAsia="en-AU"/>
        </w:rPr>
        <w:t xml:space="preserve">This evaluation was conducted using data from DISER’s Lighthouse Data Warehouse. The administrative data used to </w:t>
      </w:r>
      <w:r w:rsidR="00B16BF4">
        <w:rPr>
          <w:lang w:eastAsia="en-AU"/>
        </w:rPr>
        <w:t>identify</w:t>
      </w:r>
      <w:r>
        <w:rPr>
          <w:lang w:eastAsia="en-AU"/>
        </w:rPr>
        <w:t xml:space="preserve"> insights about applicant and successful SME characteristics </w:t>
      </w:r>
      <w:r w:rsidR="00AF75E5">
        <w:rPr>
          <w:lang w:eastAsia="en-AU"/>
        </w:rPr>
        <w:t>was sourced from this Warehouse. Specifically, the evaluation utilised:</w:t>
      </w:r>
    </w:p>
    <w:p w14:paraId="464F575A" w14:textId="594B250D" w:rsidR="00AF75E5" w:rsidRDefault="004D45D9">
      <w:pPr>
        <w:pStyle w:val="Bullet"/>
      </w:pPr>
      <w:r w:rsidRPr="004D45D9">
        <w:rPr>
          <w:b/>
          <w:bCs/>
        </w:rPr>
        <w:t>Application</w:t>
      </w:r>
      <w:r w:rsidR="00AF75E5" w:rsidRPr="004D45D9">
        <w:rPr>
          <w:b/>
          <w:bCs/>
        </w:rPr>
        <w:t xml:space="preserve"> information:</w:t>
      </w:r>
      <w:r w:rsidR="00AF75E5">
        <w:t xml:space="preserve"> </w:t>
      </w:r>
      <w:r>
        <w:t>T</w:t>
      </w:r>
      <w:r w:rsidR="00AF75E5">
        <w:t xml:space="preserve">his included data from </w:t>
      </w:r>
      <w:r w:rsidR="00B674AC">
        <w:t xml:space="preserve">both successful and unsuccessful applicants. It showed business characteristics and proposed solutions to the relevant challenge. </w:t>
      </w:r>
    </w:p>
    <w:p w14:paraId="0B51D3F6" w14:textId="5582B34F" w:rsidR="00B674AC" w:rsidRDefault="00B674AC">
      <w:pPr>
        <w:pStyle w:val="Bullet"/>
      </w:pPr>
      <w:r w:rsidRPr="004D45D9">
        <w:rPr>
          <w:b/>
          <w:bCs/>
        </w:rPr>
        <w:t xml:space="preserve">Reports: </w:t>
      </w:r>
      <w:r w:rsidR="004D45D9">
        <w:t>F</w:t>
      </w:r>
      <w:r>
        <w:t xml:space="preserve">easibility study reports were reviewed to determine the nature of solutions developed by SMEs. </w:t>
      </w:r>
    </w:p>
    <w:p w14:paraId="3AE52B0E" w14:textId="6C3AD39E" w:rsidR="001D0820" w:rsidRDefault="00AC623C">
      <w:pPr>
        <w:pStyle w:val="Bullet"/>
      </w:pPr>
      <w:r w:rsidRPr="004D45D9">
        <w:rPr>
          <w:b/>
          <w:bCs/>
        </w:rPr>
        <w:t>Challenge applications:</w:t>
      </w:r>
      <w:r>
        <w:t xml:space="preserve"> These applications from government agencies were use</w:t>
      </w:r>
      <w:r w:rsidR="004A0A5E">
        <w:t>d</w:t>
      </w:r>
      <w:r>
        <w:t xml:space="preserve"> to measure the number of proposed challenges per round and how many were successful. </w:t>
      </w:r>
    </w:p>
    <w:p w14:paraId="123E4F54" w14:textId="47D16906" w:rsidR="006B74D1" w:rsidRDefault="006B74D1">
      <w:pPr>
        <w:pStyle w:val="xAppendixLevel2"/>
      </w:pPr>
      <w:bookmarkStart w:id="215" w:name="_Toc124435177"/>
      <w:r>
        <w:t xml:space="preserve">Program </w:t>
      </w:r>
      <w:r w:rsidR="002C408D">
        <w:t xml:space="preserve">and policy </w:t>
      </w:r>
      <w:r>
        <w:t>documents</w:t>
      </w:r>
      <w:bookmarkEnd w:id="215"/>
    </w:p>
    <w:p w14:paraId="2962F637" w14:textId="4237839D" w:rsidR="001D0820" w:rsidRDefault="001D0820" w:rsidP="001D0820">
      <w:pPr>
        <w:rPr>
          <w:lang w:eastAsia="en-AU"/>
        </w:rPr>
      </w:pPr>
      <w:r>
        <w:rPr>
          <w:lang w:eastAsia="en-AU"/>
        </w:rPr>
        <w:t xml:space="preserve">This evaluation involved a review of extensive program documentation. </w:t>
      </w:r>
      <w:r w:rsidR="006A50EC">
        <w:rPr>
          <w:lang w:eastAsia="en-AU"/>
        </w:rPr>
        <w:t>Australia</w:t>
      </w:r>
      <w:r w:rsidR="007E7535">
        <w:rPr>
          <w:lang w:eastAsia="en-AU"/>
        </w:rPr>
        <w:t>-specific</w:t>
      </w:r>
      <w:r w:rsidR="007E7535">
        <w:rPr>
          <w:rStyle w:val="FootnoteReference"/>
          <w:lang w:eastAsia="en-AU"/>
        </w:rPr>
        <w:footnoteReference w:id="87"/>
      </w:r>
      <w:r w:rsidR="007E7535">
        <w:rPr>
          <w:lang w:eastAsia="en-AU"/>
        </w:rPr>
        <w:t xml:space="preserve"> d</w:t>
      </w:r>
      <w:r>
        <w:rPr>
          <w:lang w:eastAsia="en-AU"/>
        </w:rPr>
        <w:t>ocuments reviewed and used to inform the findings of this evaluation include:</w:t>
      </w:r>
    </w:p>
    <w:p w14:paraId="34E927C5" w14:textId="1E080984" w:rsidR="001D0820" w:rsidRDefault="002C408D">
      <w:pPr>
        <w:pStyle w:val="Bullet"/>
      </w:pPr>
      <w:r>
        <w:t>Challenge agency applications</w:t>
      </w:r>
    </w:p>
    <w:p w14:paraId="04D1EE99" w14:textId="00354FEA" w:rsidR="002C408D" w:rsidRDefault="002C408D">
      <w:pPr>
        <w:pStyle w:val="Bullet"/>
      </w:pPr>
      <w:r>
        <w:lastRenderedPageBreak/>
        <w:t>Challenge factsheets (all rounds)</w:t>
      </w:r>
    </w:p>
    <w:p w14:paraId="058C6695" w14:textId="6ED451EF" w:rsidR="002C408D" w:rsidRDefault="002C408D">
      <w:pPr>
        <w:pStyle w:val="Bullet"/>
      </w:pPr>
      <w:r>
        <w:t>BRII Evaluation Strategy</w:t>
      </w:r>
    </w:p>
    <w:p w14:paraId="69B01992" w14:textId="7E6B044D" w:rsidR="002C408D" w:rsidRDefault="002C408D">
      <w:pPr>
        <w:pStyle w:val="Bullet"/>
      </w:pPr>
      <w:r>
        <w:t>BRII New Policy Proposal</w:t>
      </w:r>
    </w:p>
    <w:p w14:paraId="551B1133" w14:textId="3B604DDD" w:rsidR="002C408D" w:rsidRDefault="002C408D">
      <w:pPr>
        <w:pStyle w:val="Bullet"/>
      </w:pPr>
      <w:r>
        <w:t>BRII Program Logic 2018</w:t>
      </w:r>
    </w:p>
    <w:p w14:paraId="5D4F830C" w14:textId="31864FC1" w:rsidR="00CD024D" w:rsidRDefault="00CD024D">
      <w:pPr>
        <w:pStyle w:val="Bullet"/>
      </w:pPr>
      <w:r>
        <w:t>BRII Communications and Marketing Strategy Evaluation</w:t>
      </w:r>
    </w:p>
    <w:p w14:paraId="5CEBDE9C" w14:textId="339E16C5" w:rsidR="00D00376" w:rsidRDefault="00CD024D">
      <w:pPr>
        <w:pStyle w:val="Bullet"/>
      </w:pPr>
      <w:r>
        <w:t>BRII Post-Commencement Evaluation</w:t>
      </w:r>
    </w:p>
    <w:p w14:paraId="6BDE261B" w14:textId="07CD61B9" w:rsidR="00D00376" w:rsidRDefault="00D00376">
      <w:pPr>
        <w:pStyle w:val="Bullet"/>
      </w:pPr>
      <w:r>
        <w:rPr>
          <w:i/>
          <w:iCs/>
        </w:rPr>
        <w:t>A demand-side approach to stimulate business innovation in Australia</w:t>
      </w:r>
      <w:r>
        <w:t>, drafted by DISER</w:t>
      </w:r>
    </w:p>
    <w:p w14:paraId="19C2047B" w14:textId="7435940D" w:rsidR="00D00376" w:rsidRDefault="005F7A2B">
      <w:pPr>
        <w:pStyle w:val="Bullet"/>
      </w:pPr>
      <w:r>
        <w:t>Feasibility study reports</w:t>
      </w:r>
      <w:r w:rsidR="007E7535">
        <w:t>.</w:t>
      </w:r>
    </w:p>
    <w:p w14:paraId="5C83FA70" w14:textId="515EB4DD" w:rsidR="007E7535" w:rsidRDefault="007E7535" w:rsidP="007E7535">
      <w:r>
        <w:t xml:space="preserve">This documentation was used to understand BRII challenges, the SMEs involved and their solutions. It also informed the background and context sections of this report, which cover the objectives </w:t>
      </w:r>
      <w:r w:rsidR="0057268B">
        <w:t xml:space="preserve">of the BRII. Where relevant, past evaluations or reviews of the BRII were also used to inform the recommendations in this report. </w:t>
      </w:r>
    </w:p>
    <w:p w14:paraId="31DF4829" w14:textId="45F5AD10" w:rsidR="006B74D1" w:rsidRDefault="006B74D1">
      <w:pPr>
        <w:pStyle w:val="xAppendixLevel2"/>
      </w:pPr>
      <w:bookmarkStart w:id="216" w:name="_Toc124435178"/>
      <w:r>
        <w:t xml:space="preserve">Interviews with </w:t>
      </w:r>
      <w:r w:rsidR="00A65A9F">
        <w:t>DISER</w:t>
      </w:r>
      <w:r>
        <w:t xml:space="preserve"> stakeholders</w:t>
      </w:r>
      <w:bookmarkEnd w:id="216"/>
    </w:p>
    <w:p w14:paraId="392001A3" w14:textId="38B76E9F" w:rsidR="00620C63" w:rsidRPr="001E2AF7" w:rsidRDefault="00620C63" w:rsidP="001E2AF7">
      <w:pPr>
        <w:rPr>
          <w:b/>
          <w:bCs/>
        </w:rPr>
      </w:pPr>
      <w:r w:rsidRPr="001E2AF7">
        <w:rPr>
          <w:b/>
          <w:bCs/>
        </w:rPr>
        <w:t>Policy and program partners</w:t>
      </w:r>
    </w:p>
    <w:p w14:paraId="09DF9AE5" w14:textId="57B12B92" w:rsidR="008F020E" w:rsidRDefault="008F020E" w:rsidP="008F020E">
      <w:pPr>
        <w:rPr>
          <w:lang w:eastAsia="en-AU"/>
        </w:rPr>
      </w:pPr>
      <w:r>
        <w:rPr>
          <w:lang w:eastAsia="en-AU"/>
        </w:rPr>
        <w:t xml:space="preserve">In the early stages of the evaluation, </w:t>
      </w:r>
      <w:r w:rsidR="00A0789A">
        <w:rPr>
          <w:lang w:eastAsia="en-AU"/>
        </w:rPr>
        <w:t>key policy and program stakeholders were engaged to understand their views on the program</w:t>
      </w:r>
      <w:r w:rsidR="00936E58">
        <w:rPr>
          <w:lang w:eastAsia="en-AU"/>
        </w:rPr>
        <w:t xml:space="preserve">, what has changed since its inception and </w:t>
      </w:r>
      <w:r w:rsidR="007759F2">
        <w:rPr>
          <w:lang w:eastAsia="en-AU"/>
        </w:rPr>
        <w:t xml:space="preserve">what could still be improved. </w:t>
      </w:r>
      <w:r w:rsidR="001132CF">
        <w:rPr>
          <w:lang w:eastAsia="en-AU"/>
        </w:rPr>
        <w:t>They were presented with the following questions:</w:t>
      </w:r>
    </w:p>
    <w:p w14:paraId="40EA083D" w14:textId="77777777" w:rsidR="001132CF" w:rsidRPr="003B15AB" w:rsidRDefault="001132CF">
      <w:pPr>
        <w:pStyle w:val="Listnumbered"/>
        <w:numPr>
          <w:ilvl w:val="0"/>
          <w:numId w:val="26"/>
        </w:numPr>
      </w:pPr>
      <w:r w:rsidRPr="003B15AB">
        <w:t xml:space="preserve">Could any of the program’s operations and procedures be improved? </w:t>
      </w:r>
    </w:p>
    <w:p w14:paraId="6D4AD54A" w14:textId="77777777" w:rsidR="001132CF" w:rsidRPr="003B15AB" w:rsidRDefault="001132CF">
      <w:pPr>
        <w:pStyle w:val="Listnumbered"/>
        <w:numPr>
          <w:ilvl w:val="0"/>
          <w:numId w:val="33"/>
        </w:numPr>
      </w:pPr>
      <w:r w:rsidRPr="003B15AB">
        <w:t xml:space="preserve">How well has the program been able to identify and address emerging issues or concerns and support its participants? </w:t>
      </w:r>
    </w:p>
    <w:p w14:paraId="6AE55C82" w14:textId="77777777" w:rsidR="001132CF" w:rsidRPr="003B15AB" w:rsidRDefault="001132CF">
      <w:pPr>
        <w:pStyle w:val="Listnumbered"/>
      </w:pPr>
      <w:r w:rsidRPr="003B15AB">
        <w:t xml:space="preserve">Have any changes been made to the program since launch? How effective were they? </w:t>
      </w:r>
    </w:p>
    <w:p w14:paraId="7C1AE554" w14:textId="77777777" w:rsidR="001132CF" w:rsidRPr="003B15AB" w:rsidRDefault="001132CF">
      <w:pPr>
        <w:pStyle w:val="Listnumbered"/>
      </w:pPr>
      <w:r w:rsidRPr="003B15AB">
        <w:t xml:space="preserve">How effective have the joint working arrangements with other agencies and committees involved in the program been? </w:t>
      </w:r>
    </w:p>
    <w:p w14:paraId="2EDCBC55" w14:textId="77777777" w:rsidR="001132CF" w:rsidRPr="003B15AB" w:rsidRDefault="001132CF">
      <w:pPr>
        <w:pStyle w:val="Listnumbered"/>
      </w:pPr>
      <w:r w:rsidRPr="003B15AB">
        <w:t xml:space="preserve">What have been the major risks with the program (if any)? How well have they been anticipated, managed and mitigated? </w:t>
      </w:r>
    </w:p>
    <w:p w14:paraId="6531C33F" w14:textId="77777777" w:rsidR="001132CF" w:rsidRPr="003B15AB" w:rsidRDefault="001132CF">
      <w:pPr>
        <w:pStyle w:val="Listnumbered"/>
      </w:pPr>
      <w:r w:rsidRPr="003B15AB">
        <w:t>What impact has the COVID-19 pandemic had on the program and participating SMEs?</w:t>
      </w:r>
    </w:p>
    <w:p w14:paraId="67A1D509" w14:textId="7DFEEE60" w:rsidR="0055506C" w:rsidRPr="003B15AB" w:rsidRDefault="001132CF">
      <w:pPr>
        <w:pStyle w:val="Listnumbered"/>
      </w:pPr>
      <w:r w:rsidRPr="003B15AB">
        <w:t>Has the program exhibited any spillovers or other unexpected consequences, positive or negative?</w:t>
      </w:r>
    </w:p>
    <w:p w14:paraId="70461245" w14:textId="20DA71F4" w:rsidR="00620C63" w:rsidRPr="001E2AF7" w:rsidRDefault="00620C63" w:rsidP="001E2AF7">
      <w:pPr>
        <w:rPr>
          <w:b/>
          <w:bCs/>
        </w:rPr>
      </w:pPr>
      <w:r w:rsidRPr="001E2AF7">
        <w:rPr>
          <w:b/>
          <w:bCs/>
        </w:rPr>
        <w:t>Industry Innovation and Science Australia board</w:t>
      </w:r>
    </w:p>
    <w:p w14:paraId="2DB222FA" w14:textId="468AED0B" w:rsidR="00620C63" w:rsidRDefault="00B778DC" w:rsidP="00620C63">
      <w:pPr>
        <w:rPr>
          <w:lang w:eastAsia="en-AU"/>
        </w:rPr>
      </w:pPr>
      <w:r>
        <w:rPr>
          <w:lang w:eastAsia="en-AU"/>
        </w:rPr>
        <w:t xml:space="preserve">Members of the IISA board were interviewed to </w:t>
      </w:r>
      <w:r w:rsidRPr="00B778DC">
        <w:rPr>
          <w:lang w:eastAsia="en-AU"/>
        </w:rPr>
        <w:t xml:space="preserve">understand </w:t>
      </w:r>
      <w:r>
        <w:rPr>
          <w:lang w:eastAsia="en-AU"/>
        </w:rPr>
        <w:t>their</w:t>
      </w:r>
      <w:r w:rsidRPr="00B778DC">
        <w:rPr>
          <w:lang w:eastAsia="en-AU"/>
        </w:rPr>
        <w:t xml:space="preserve"> experience as a key stakeholder in the BRII program and discuss the program’s achievement</w:t>
      </w:r>
      <w:r>
        <w:rPr>
          <w:lang w:eastAsia="en-AU"/>
        </w:rPr>
        <w:t>s. The interview also sought to understand their</w:t>
      </w:r>
      <w:r w:rsidRPr="00B778DC">
        <w:rPr>
          <w:lang w:eastAsia="en-AU"/>
        </w:rPr>
        <w:t xml:space="preserve"> views regarding potential improvements to the program.</w:t>
      </w:r>
      <w:r>
        <w:rPr>
          <w:lang w:eastAsia="en-AU"/>
        </w:rPr>
        <w:t xml:space="preserve"> They were presented with the following questions:</w:t>
      </w:r>
    </w:p>
    <w:p w14:paraId="783960DB" w14:textId="77777777" w:rsidR="001D3AD0" w:rsidRPr="00AE1DA9" w:rsidRDefault="001D3AD0">
      <w:pPr>
        <w:pStyle w:val="Listnumbered"/>
        <w:numPr>
          <w:ilvl w:val="0"/>
          <w:numId w:val="4"/>
        </w:numPr>
        <w:spacing w:line="259" w:lineRule="auto"/>
      </w:pPr>
      <w:r w:rsidRPr="00AE1DA9">
        <w:lastRenderedPageBreak/>
        <w:t>How has the role of the ISA Board in the BRII program evolved?</w:t>
      </w:r>
    </w:p>
    <w:p w14:paraId="4C45B4AF" w14:textId="77777777" w:rsidR="001D3AD0" w:rsidRPr="00AE1DA9" w:rsidRDefault="001D3AD0">
      <w:pPr>
        <w:pStyle w:val="Listnumbered"/>
        <w:numPr>
          <w:ilvl w:val="0"/>
          <w:numId w:val="4"/>
        </w:numPr>
        <w:spacing w:line="259" w:lineRule="auto"/>
      </w:pPr>
      <w:r w:rsidRPr="00AE1DA9">
        <w:t>What have been the BRII program’s most notable achievements?</w:t>
      </w:r>
    </w:p>
    <w:p w14:paraId="2931729F" w14:textId="77777777" w:rsidR="001D3AD0" w:rsidRPr="00AE1DA9" w:rsidRDefault="001D3AD0">
      <w:pPr>
        <w:pStyle w:val="Listnumbered"/>
        <w:numPr>
          <w:ilvl w:val="0"/>
          <w:numId w:val="4"/>
        </w:numPr>
        <w:spacing w:line="259" w:lineRule="auto"/>
      </w:pPr>
      <w:r w:rsidRPr="00AE1DA9">
        <w:t>How does the current BRII model compare to international best practice for similar programs?</w:t>
      </w:r>
    </w:p>
    <w:p w14:paraId="6906F774" w14:textId="77777777" w:rsidR="001D3AD0" w:rsidRPr="00AE1DA9" w:rsidRDefault="001D3AD0">
      <w:pPr>
        <w:pStyle w:val="Listnumbered"/>
        <w:numPr>
          <w:ilvl w:val="0"/>
          <w:numId w:val="4"/>
        </w:numPr>
        <w:spacing w:line="259" w:lineRule="auto"/>
      </w:pPr>
      <w:r w:rsidRPr="00AE1DA9">
        <w:t xml:space="preserve">How did you select agencies that would deliver the best possible products? Were the policy rationale and program objectives useful? Could they be improved to assist in the selection task?  </w:t>
      </w:r>
    </w:p>
    <w:p w14:paraId="4B501819" w14:textId="45D21040" w:rsidR="001D3AD0" w:rsidRPr="00AE1DA9" w:rsidRDefault="001D3AD0">
      <w:pPr>
        <w:pStyle w:val="Listnumbered"/>
        <w:numPr>
          <w:ilvl w:val="0"/>
          <w:numId w:val="4"/>
        </w:numPr>
        <w:spacing w:line="259" w:lineRule="auto"/>
      </w:pPr>
      <w:r w:rsidRPr="00AE1DA9">
        <w:t xml:space="preserve">Has the engagement between the Department and ISA been sufficient? Is there any way to make it more effective in possible future rounds of </w:t>
      </w:r>
      <w:r w:rsidR="00EA247D">
        <w:t xml:space="preserve">the </w:t>
      </w:r>
      <w:r w:rsidRPr="00AE1DA9">
        <w:t>BRII?</w:t>
      </w:r>
    </w:p>
    <w:p w14:paraId="5AB953B1" w14:textId="77777777" w:rsidR="001D3AD0" w:rsidRPr="00AE1DA9" w:rsidRDefault="001D3AD0">
      <w:pPr>
        <w:pStyle w:val="Listnumbered"/>
        <w:numPr>
          <w:ilvl w:val="0"/>
          <w:numId w:val="4"/>
        </w:numPr>
        <w:spacing w:line="259" w:lineRule="auto"/>
      </w:pPr>
      <w:r w:rsidRPr="00AE1DA9">
        <w:t>Are you satisfied with the information and advice that you received from the Department throughout all stages of the program to date?</w:t>
      </w:r>
    </w:p>
    <w:p w14:paraId="12CC9AA0" w14:textId="77777777" w:rsidR="001D3AD0" w:rsidRPr="00AE1DA9" w:rsidRDefault="001D3AD0">
      <w:pPr>
        <w:pStyle w:val="Listnumbered"/>
        <w:numPr>
          <w:ilvl w:val="0"/>
          <w:numId w:val="4"/>
        </w:numPr>
        <w:spacing w:line="259" w:lineRule="auto"/>
      </w:pPr>
      <w:r w:rsidRPr="00AE1DA9">
        <w:t xml:space="preserve">How could current governance arrangements be improved? </w:t>
      </w:r>
    </w:p>
    <w:p w14:paraId="5C49E792" w14:textId="4E54A020" w:rsidR="00B778DC" w:rsidRDefault="001D3AD0">
      <w:pPr>
        <w:pStyle w:val="Listnumbered"/>
        <w:spacing w:line="257" w:lineRule="auto"/>
        <w:rPr>
          <w:lang w:eastAsia="en-AU"/>
        </w:rPr>
      </w:pPr>
      <w:r w:rsidRPr="00AE1DA9">
        <w:t>How could the BRII program better complement supply-side programs like the Entrepreneurs’ Programme and Research and Development Tax Incentive?</w:t>
      </w:r>
    </w:p>
    <w:p w14:paraId="455F83CF" w14:textId="37A7B401" w:rsidR="001D3AD0" w:rsidRPr="001E2AF7" w:rsidRDefault="001D3AD0" w:rsidP="001E2AF7">
      <w:pPr>
        <w:rPr>
          <w:b/>
          <w:bCs/>
        </w:rPr>
      </w:pPr>
      <w:r w:rsidRPr="001E2AF7">
        <w:rPr>
          <w:b/>
          <w:bCs/>
        </w:rPr>
        <w:t>Entrepreneurs’ Programme Committee</w:t>
      </w:r>
    </w:p>
    <w:p w14:paraId="12D9AEAE" w14:textId="6B180E27" w:rsidR="00526D08" w:rsidRDefault="00526D08" w:rsidP="00526D08">
      <w:pPr>
        <w:rPr>
          <w:lang w:eastAsia="en-AU"/>
        </w:rPr>
      </w:pPr>
      <w:r>
        <w:rPr>
          <w:lang w:eastAsia="en-AU"/>
        </w:rPr>
        <w:t xml:space="preserve">Members of the EPC were interviewed to </w:t>
      </w:r>
      <w:r w:rsidRPr="00B778DC">
        <w:rPr>
          <w:lang w:eastAsia="en-AU"/>
        </w:rPr>
        <w:t xml:space="preserve">understand </w:t>
      </w:r>
      <w:r>
        <w:rPr>
          <w:lang w:eastAsia="en-AU"/>
        </w:rPr>
        <w:t>their</w:t>
      </w:r>
      <w:r w:rsidRPr="00B778DC">
        <w:rPr>
          <w:lang w:eastAsia="en-AU"/>
        </w:rPr>
        <w:t xml:space="preserve"> experience as a key stakeholder in the BRII program and discuss the</w:t>
      </w:r>
      <w:r>
        <w:rPr>
          <w:lang w:eastAsia="en-AU"/>
        </w:rPr>
        <w:t>ir relationship with the program and other stakeholders. The interview also sought to understand their</w:t>
      </w:r>
      <w:r w:rsidRPr="00B778DC">
        <w:rPr>
          <w:lang w:eastAsia="en-AU"/>
        </w:rPr>
        <w:t xml:space="preserve"> views regarding potential improvements to the program.</w:t>
      </w:r>
      <w:r>
        <w:rPr>
          <w:lang w:eastAsia="en-AU"/>
        </w:rPr>
        <w:t xml:space="preserve"> They were presented with the following questions:</w:t>
      </w:r>
    </w:p>
    <w:p w14:paraId="1F09BC5C" w14:textId="4B5DE7E6" w:rsidR="00C87292" w:rsidRPr="00C87292" w:rsidRDefault="00C87292">
      <w:pPr>
        <w:pStyle w:val="Listnumbered"/>
        <w:numPr>
          <w:ilvl w:val="0"/>
          <w:numId w:val="5"/>
        </w:numPr>
        <w:spacing w:line="257" w:lineRule="auto"/>
      </w:pPr>
      <w:r w:rsidRPr="00C87292">
        <w:t xml:space="preserve">How has the role of the Entrepreneurs’ Programme Committee in </w:t>
      </w:r>
      <w:r w:rsidR="000314E2">
        <w:t>the</w:t>
      </w:r>
      <w:r w:rsidRPr="00C87292">
        <w:t xml:space="preserve"> BRII evolved?</w:t>
      </w:r>
    </w:p>
    <w:p w14:paraId="538BE8AB" w14:textId="77777777" w:rsidR="00C87292" w:rsidRPr="00C87292" w:rsidRDefault="00C87292">
      <w:pPr>
        <w:pStyle w:val="Listnumbered"/>
        <w:numPr>
          <w:ilvl w:val="0"/>
          <w:numId w:val="5"/>
        </w:numPr>
        <w:spacing w:line="257" w:lineRule="auto"/>
      </w:pPr>
      <w:r w:rsidRPr="00C87292">
        <w:t>How effective has its role been relative to the originally stated objectives?</w:t>
      </w:r>
    </w:p>
    <w:p w14:paraId="3969BA65" w14:textId="77777777" w:rsidR="00C87292" w:rsidRPr="00C87292" w:rsidRDefault="00C87292">
      <w:pPr>
        <w:pStyle w:val="Listnumbered"/>
        <w:numPr>
          <w:ilvl w:val="0"/>
          <w:numId w:val="5"/>
        </w:numPr>
        <w:spacing w:line="257" w:lineRule="auto"/>
      </w:pPr>
      <w:r w:rsidRPr="00C87292">
        <w:t xml:space="preserve">How could current governance arrangements be improved? </w:t>
      </w:r>
    </w:p>
    <w:p w14:paraId="2820791A" w14:textId="75819390" w:rsidR="00C87292" w:rsidRPr="00C87292" w:rsidRDefault="00C87292">
      <w:pPr>
        <w:pStyle w:val="Listnumbered"/>
        <w:numPr>
          <w:ilvl w:val="0"/>
          <w:numId w:val="5"/>
        </w:numPr>
        <w:spacing w:line="257" w:lineRule="auto"/>
      </w:pPr>
      <w:r w:rsidRPr="00C87292">
        <w:t xml:space="preserve">How might the committee and EP more broadly support a scaling up of </w:t>
      </w:r>
      <w:r w:rsidR="000314E2">
        <w:t xml:space="preserve">the </w:t>
      </w:r>
      <w:r w:rsidRPr="00C87292">
        <w:t>BRII?</w:t>
      </w:r>
    </w:p>
    <w:p w14:paraId="601DC884" w14:textId="7796FDD9" w:rsidR="00B778DC" w:rsidRPr="00620C63" w:rsidRDefault="00C87292">
      <w:pPr>
        <w:pStyle w:val="Listnumbered"/>
        <w:numPr>
          <w:ilvl w:val="0"/>
          <w:numId w:val="5"/>
        </w:numPr>
        <w:spacing w:line="257" w:lineRule="auto"/>
      </w:pPr>
      <w:r w:rsidRPr="00C87292">
        <w:t>How could the BRII program better complement supply-side programs like the Entrepreneurs’ Programme and Research and Development Tax Incentive?</w:t>
      </w:r>
    </w:p>
    <w:p w14:paraId="358CF871" w14:textId="779B5E47" w:rsidR="003556D5" w:rsidRDefault="006B74D1">
      <w:pPr>
        <w:pStyle w:val="xAppendixLevel2"/>
      </w:pPr>
      <w:bookmarkStart w:id="217" w:name="_Toc124435179"/>
      <w:r>
        <w:t xml:space="preserve">Interviews with </w:t>
      </w:r>
      <w:r w:rsidR="00A65A9F">
        <w:t>BRII</w:t>
      </w:r>
      <w:r>
        <w:t xml:space="preserve"> recipients</w:t>
      </w:r>
      <w:bookmarkEnd w:id="217"/>
    </w:p>
    <w:p w14:paraId="6E6495A4" w14:textId="77D7F5D1" w:rsidR="001132CF" w:rsidRDefault="00823D06" w:rsidP="001132CF">
      <w:pPr>
        <w:rPr>
          <w:lang w:eastAsia="en-AU"/>
        </w:rPr>
      </w:pPr>
      <w:r>
        <w:rPr>
          <w:lang w:eastAsia="en-AU"/>
        </w:rPr>
        <w:t xml:space="preserve">A series of interviews were conducted with proof of concept and feasibility SMEs. </w:t>
      </w:r>
      <w:r w:rsidR="00D66E2C">
        <w:rPr>
          <w:lang w:eastAsia="en-AU"/>
        </w:rPr>
        <w:t>These sought to understand their experience as a grant recipient of the BRII program and the impact of the grant funding, both on their business and more broadly. The interview also touched on ways in which the program can improve.</w:t>
      </w:r>
    </w:p>
    <w:p w14:paraId="6EC4D28F" w14:textId="77777777" w:rsidR="006C7956" w:rsidRPr="00AE1DA9" w:rsidRDefault="006C7956">
      <w:pPr>
        <w:pStyle w:val="Listnumbered"/>
        <w:numPr>
          <w:ilvl w:val="0"/>
          <w:numId w:val="38"/>
        </w:numPr>
      </w:pPr>
      <w:r w:rsidRPr="00AE1DA9">
        <w:t>Can you describe the support provided to you by DISER?</w:t>
      </w:r>
    </w:p>
    <w:p w14:paraId="0FCEB1F0" w14:textId="77777777" w:rsidR="006C7956" w:rsidRPr="00AE1DA9" w:rsidRDefault="006C7956">
      <w:pPr>
        <w:pStyle w:val="Listnumbered"/>
      </w:pPr>
      <w:r w:rsidRPr="00AE1DA9">
        <w:t>Has participating in the BRII changed your willingness and capacity to innovate?</w:t>
      </w:r>
    </w:p>
    <w:p w14:paraId="078CEC94" w14:textId="77777777" w:rsidR="006C7956" w:rsidRPr="00AE1DA9" w:rsidRDefault="006C7956">
      <w:pPr>
        <w:pStyle w:val="Listnumbered"/>
      </w:pPr>
      <w:r w:rsidRPr="00AE1DA9">
        <w:t>To what extent has participating in the BRII increased your confidence in working with government agencies?</w:t>
      </w:r>
    </w:p>
    <w:p w14:paraId="445C9992" w14:textId="77777777" w:rsidR="006C7956" w:rsidRPr="00AE1DA9" w:rsidRDefault="006C7956">
      <w:pPr>
        <w:pStyle w:val="Listnumbered"/>
      </w:pPr>
      <w:r w:rsidRPr="00AE1DA9">
        <w:lastRenderedPageBreak/>
        <w:t>Where you able to commercialise any of the outputs from your work under the BRII grants? How and what commercial and financial outcomes where you able to achieve? Over what timeframe?</w:t>
      </w:r>
    </w:p>
    <w:p w14:paraId="2F7C4B89" w14:textId="77777777" w:rsidR="006C7956" w:rsidRPr="00AE1DA9" w:rsidRDefault="006C7956">
      <w:pPr>
        <w:pStyle w:val="Listnumbered"/>
      </w:pPr>
      <w:r w:rsidRPr="00AE1DA9">
        <w:t xml:space="preserve">Do you have plans to commercialise any (or other) outputs from your work under the BRII grants? How and over what timeframe? </w:t>
      </w:r>
    </w:p>
    <w:p w14:paraId="4E6A83E9" w14:textId="77777777" w:rsidR="006C7956" w:rsidRPr="00AE1DA9" w:rsidRDefault="006C7956">
      <w:pPr>
        <w:pStyle w:val="Listnumbered"/>
      </w:pPr>
      <w:r w:rsidRPr="00AE1DA9">
        <w:t xml:space="preserve">How satisfied are you with the support the Department and your challenge agency, have provided you across each phase of the BRII? </w:t>
      </w:r>
    </w:p>
    <w:p w14:paraId="675363E0" w14:textId="77777777" w:rsidR="006C7956" w:rsidRPr="00AE1DA9" w:rsidRDefault="006C7956">
      <w:pPr>
        <w:pStyle w:val="Listnumbered"/>
      </w:pPr>
      <w:r w:rsidRPr="00AE1DA9">
        <w:t>What has your business been able to achieve as a result of participating in the BRII?</w:t>
      </w:r>
    </w:p>
    <w:p w14:paraId="052B673D" w14:textId="77777777" w:rsidR="006C7956" w:rsidRPr="00AE1DA9" w:rsidRDefault="006C7956">
      <w:pPr>
        <w:pStyle w:val="Listnumbered"/>
      </w:pPr>
      <w:r w:rsidRPr="00AE1DA9">
        <w:t>What were main lessons have you and your company learned at the Feasibility Study and Proof of Concept stages?</w:t>
      </w:r>
    </w:p>
    <w:p w14:paraId="6D2440FC" w14:textId="77777777" w:rsidR="006C7956" w:rsidRPr="00AE1DA9" w:rsidRDefault="006C7956">
      <w:pPr>
        <w:pStyle w:val="Listnumbered"/>
      </w:pPr>
      <w:r w:rsidRPr="00AE1DA9">
        <w:t>Did the BRII enable you to develop collaborative partnerships with other companies? If so, do you have further plans to continue this partnership post-BRII?</w:t>
      </w:r>
    </w:p>
    <w:p w14:paraId="22DDFBBC" w14:textId="7CF2B8A3" w:rsidR="006C7956" w:rsidRPr="00AE1DA9" w:rsidRDefault="006C7956">
      <w:pPr>
        <w:pStyle w:val="Listnumbered"/>
      </w:pPr>
      <w:r w:rsidRPr="00AE1DA9">
        <w:t xml:space="preserve">What are the outcomes that you expected to but was not able to achieve through </w:t>
      </w:r>
      <w:r w:rsidR="000314E2">
        <w:t>the</w:t>
      </w:r>
      <w:r w:rsidRPr="00AE1DA9">
        <w:t xml:space="preserve"> BRII? Why?</w:t>
      </w:r>
    </w:p>
    <w:p w14:paraId="18A43653" w14:textId="390F1C43" w:rsidR="006C7956" w:rsidRPr="001132CF" w:rsidRDefault="006C7956">
      <w:pPr>
        <w:pStyle w:val="Listnumbered"/>
        <w:rPr>
          <w:lang w:eastAsia="en-AU"/>
        </w:rPr>
      </w:pPr>
      <w:r w:rsidRPr="00AE1DA9">
        <w:t>What advice would you give a company who is entering the BRII program?</w:t>
      </w:r>
    </w:p>
    <w:p w14:paraId="33BD14A0" w14:textId="76943AD2" w:rsidR="00A65A9F" w:rsidRDefault="00A65A9F">
      <w:pPr>
        <w:pStyle w:val="xAppendixLevel2"/>
      </w:pPr>
      <w:bookmarkStart w:id="218" w:name="_Toc124435180"/>
      <w:r>
        <w:t>Interviews with challenge agencies</w:t>
      </w:r>
      <w:bookmarkEnd w:id="218"/>
    </w:p>
    <w:p w14:paraId="244000F0" w14:textId="15BC51C1" w:rsidR="00640663" w:rsidRDefault="00640663" w:rsidP="00640663">
      <w:pPr>
        <w:rPr>
          <w:lang w:eastAsia="en-AU"/>
        </w:rPr>
      </w:pPr>
      <w:r>
        <w:rPr>
          <w:lang w:eastAsia="en-AU"/>
        </w:rPr>
        <w:t>Challenge agencies are among the most important stakeholders in the BRII program. They were interviewed to understand their experience as a key decision maker and stakeholder in the BRII, discuss potential improvements to the program and the lessons and impact for their agency that eventuated through the BRII. They were presented with the following interview questions:</w:t>
      </w:r>
    </w:p>
    <w:p w14:paraId="49961147" w14:textId="77777777" w:rsidR="00363DAB" w:rsidRPr="001E2AF7" w:rsidRDefault="00363DAB" w:rsidP="001E2AF7">
      <w:pPr>
        <w:rPr>
          <w:b/>
          <w:bCs/>
          <w:color w:val="00264D" w:themeColor="background2"/>
        </w:rPr>
      </w:pPr>
      <w:r w:rsidRPr="001E2AF7">
        <w:rPr>
          <w:b/>
          <w:bCs/>
          <w:color w:val="00264D" w:themeColor="background2"/>
        </w:rPr>
        <w:t>Challenge Scoping</w:t>
      </w:r>
    </w:p>
    <w:p w14:paraId="1D21A936" w14:textId="77777777" w:rsidR="00363DAB" w:rsidRPr="00AE1DA9" w:rsidRDefault="00363DAB">
      <w:pPr>
        <w:pStyle w:val="Listnumbered"/>
        <w:numPr>
          <w:ilvl w:val="0"/>
          <w:numId w:val="6"/>
        </w:numPr>
        <w:spacing w:line="259" w:lineRule="auto"/>
      </w:pPr>
      <w:r w:rsidRPr="00AE1DA9">
        <w:t>Can you describe the process you went through to identify and scope a potential challenge?  What would you do differently next time?</w:t>
      </w:r>
    </w:p>
    <w:p w14:paraId="2F653CFB" w14:textId="77777777" w:rsidR="00363DAB" w:rsidRPr="00AE1DA9" w:rsidRDefault="00363DAB">
      <w:pPr>
        <w:pStyle w:val="Listnumbered"/>
        <w:numPr>
          <w:ilvl w:val="0"/>
          <w:numId w:val="6"/>
        </w:numPr>
        <w:spacing w:line="259" w:lineRule="auto"/>
      </w:pPr>
      <w:r w:rsidRPr="00AE1DA9">
        <w:t>How could this process be improved?</w:t>
      </w:r>
    </w:p>
    <w:p w14:paraId="59E14425" w14:textId="77777777" w:rsidR="00363DAB" w:rsidRPr="001E2AF7" w:rsidRDefault="00363DAB" w:rsidP="001E2AF7">
      <w:pPr>
        <w:rPr>
          <w:b/>
          <w:bCs/>
          <w:color w:val="00264D" w:themeColor="background2"/>
        </w:rPr>
      </w:pPr>
      <w:r w:rsidRPr="001E2AF7">
        <w:rPr>
          <w:b/>
          <w:bCs/>
          <w:color w:val="00264D" w:themeColor="background2"/>
        </w:rPr>
        <w:t>Feasibility Study</w:t>
      </w:r>
    </w:p>
    <w:p w14:paraId="32002CEA" w14:textId="77777777" w:rsidR="00363DAB" w:rsidRPr="00AE1DA9" w:rsidRDefault="00363DAB">
      <w:pPr>
        <w:pStyle w:val="Listnumbered"/>
        <w:numPr>
          <w:ilvl w:val="0"/>
          <w:numId w:val="6"/>
        </w:numPr>
        <w:spacing w:line="259" w:lineRule="auto"/>
      </w:pPr>
      <w:r w:rsidRPr="00AE1DA9">
        <w:t xml:space="preserve">How did you engage with the participating SMEs? Did your engagement differ between them? How? Why? </w:t>
      </w:r>
    </w:p>
    <w:p w14:paraId="4BC7CEF2" w14:textId="77777777" w:rsidR="00363DAB" w:rsidRPr="00AE1DA9" w:rsidRDefault="00363DAB">
      <w:pPr>
        <w:pStyle w:val="Listnumbered"/>
        <w:numPr>
          <w:ilvl w:val="0"/>
          <w:numId w:val="6"/>
        </w:numPr>
        <w:spacing w:line="259" w:lineRule="auto"/>
      </w:pPr>
      <w:r w:rsidRPr="00AE1DA9">
        <w:t>What advice would you give SME’s on how to best engage with you over the challenge?</w:t>
      </w:r>
    </w:p>
    <w:p w14:paraId="4B5AEDC2" w14:textId="77777777" w:rsidR="00363DAB" w:rsidRPr="00AE1DA9" w:rsidRDefault="00363DAB">
      <w:pPr>
        <w:pStyle w:val="Listnumbered"/>
        <w:numPr>
          <w:ilvl w:val="0"/>
          <w:numId w:val="6"/>
        </w:numPr>
        <w:spacing w:line="259" w:lineRule="auto"/>
      </w:pPr>
      <w:r w:rsidRPr="00AE1DA9">
        <w:t>What lessons did you learn by working with SMEs during the Feasibility Study stage?</w:t>
      </w:r>
    </w:p>
    <w:p w14:paraId="7A600F21" w14:textId="77777777" w:rsidR="00363DAB" w:rsidRPr="001E2AF7" w:rsidRDefault="00363DAB" w:rsidP="001E2AF7">
      <w:pPr>
        <w:rPr>
          <w:b/>
          <w:bCs/>
          <w:color w:val="00264D" w:themeColor="background2"/>
        </w:rPr>
      </w:pPr>
      <w:r w:rsidRPr="001E2AF7">
        <w:rPr>
          <w:b/>
          <w:bCs/>
          <w:color w:val="00264D" w:themeColor="background2"/>
        </w:rPr>
        <w:t xml:space="preserve">Proof of Concept </w:t>
      </w:r>
    </w:p>
    <w:p w14:paraId="52315528" w14:textId="77777777" w:rsidR="00363DAB" w:rsidRPr="00AE1DA9" w:rsidRDefault="00363DAB">
      <w:pPr>
        <w:pStyle w:val="Listnumbered"/>
        <w:numPr>
          <w:ilvl w:val="0"/>
          <w:numId w:val="6"/>
        </w:numPr>
        <w:spacing w:line="259" w:lineRule="auto"/>
      </w:pPr>
      <w:r w:rsidRPr="00AE1DA9">
        <w:t>What have you learnt so far from the Proof of Concept stage?</w:t>
      </w:r>
    </w:p>
    <w:p w14:paraId="499CB639" w14:textId="77777777" w:rsidR="00363DAB" w:rsidRPr="00AE1DA9" w:rsidRDefault="00363DAB">
      <w:pPr>
        <w:pStyle w:val="Listnumbered"/>
        <w:numPr>
          <w:ilvl w:val="0"/>
          <w:numId w:val="6"/>
        </w:numPr>
        <w:spacing w:line="259" w:lineRule="auto"/>
      </w:pPr>
      <w:r w:rsidRPr="00AE1DA9">
        <w:t>Are there notable differences between the two SMEs you are currently working with?</w:t>
      </w:r>
    </w:p>
    <w:p w14:paraId="1C07889E" w14:textId="77777777" w:rsidR="00363DAB" w:rsidRPr="00AE1DA9" w:rsidRDefault="00363DAB">
      <w:pPr>
        <w:pStyle w:val="Listnumbered"/>
        <w:numPr>
          <w:ilvl w:val="0"/>
          <w:numId w:val="6"/>
        </w:numPr>
        <w:spacing w:line="259" w:lineRule="auto"/>
      </w:pPr>
      <w:r w:rsidRPr="00AE1DA9">
        <w:t xml:space="preserve">Have there been benefits with having two different SMEs working on your challenge? </w:t>
      </w:r>
    </w:p>
    <w:p w14:paraId="6810DC0E" w14:textId="7608361E" w:rsidR="00363DAB" w:rsidRPr="001E2AF7" w:rsidRDefault="00363DAB" w:rsidP="001E2AF7">
      <w:pPr>
        <w:rPr>
          <w:b/>
          <w:bCs/>
          <w:color w:val="00264D" w:themeColor="background2"/>
        </w:rPr>
      </w:pPr>
      <w:r w:rsidRPr="001E2AF7">
        <w:rPr>
          <w:b/>
          <w:bCs/>
          <w:color w:val="00264D" w:themeColor="background2"/>
        </w:rPr>
        <w:t xml:space="preserve">Solutions (round </w:t>
      </w:r>
      <w:r w:rsidR="0076424C" w:rsidRPr="001E2AF7">
        <w:rPr>
          <w:b/>
          <w:bCs/>
          <w:color w:val="00264D" w:themeColor="background2"/>
        </w:rPr>
        <w:t>one</w:t>
      </w:r>
      <w:r w:rsidRPr="001E2AF7">
        <w:rPr>
          <w:b/>
          <w:bCs/>
          <w:color w:val="00264D" w:themeColor="background2"/>
        </w:rPr>
        <w:t xml:space="preserve"> only) </w:t>
      </w:r>
    </w:p>
    <w:p w14:paraId="69D6E9F0" w14:textId="77777777" w:rsidR="00363DAB" w:rsidRPr="00AE1DA9" w:rsidRDefault="00363DAB">
      <w:pPr>
        <w:pStyle w:val="Listnumbered"/>
        <w:numPr>
          <w:ilvl w:val="0"/>
          <w:numId w:val="6"/>
        </w:numPr>
        <w:spacing w:line="259" w:lineRule="auto"/>
      </w:pPr>
      <w:r w:rsidRPr="00AE1DA9">
        <w:lastRenderedPageBreak/>
        <w:t>Did you agency eventually procure the solution from one or both of the POC SMEs?</w:t>
      </w:r>
    </w:p>
    <w:p w14:paraId="74D988C1" w14:textId="77777777" w:rsidR="00363DAB" w:rsidRPr="00AE1DA9" w:rsidRDefault="00363DAB">
      <w:pPr>
        <w:pStyle w:val="Listnumbered"/>
        <w:numPr>
          <w:ilvl w:val="0"/>
          <w:numId w:val="6"/>
        </w:numPr>
        <w:spacing w:line="259" w:lineRule="auto"/>
      </w:pPr>
      <w:r w:rsidRPr="00AE1DA9">
        <w:t>If so, how have you used the solution and what benefits has it generated?</w:t>
      </w:r>
    </w:p>
    <w:p w14:paraId="58605BE2" w14:textId="77777777" w:rsidR="00363DAB" w:rsidRPr="001E2AF7" w:rsidRDefault="00363DAB" w:rsidP="001E2AF7">
      <w:pPr>
        <w:rPr>
          <w:b/>
          <w:bCs/>
          <w:color w:val="00264D" w:themeColor="background2"/>
        </w:rPr>
      </w:pPr>
      <w:r w:rsidRPr="001E2AF7">
        <w:rPr>
          <w:b/>
          <w:bCs/>
          <w:color w:val="00264D" w:themeColor="background2"/>
        </w:rPr>
        <w:t>General</w:t>
      </w:r>
    </w:p>
    <w:p w14:paraId="03B1CC0A" w14:textId="77777777" w:rsidR="00363DAB" w:rsidRPr="00AE1DA9" w:rsidRDefault="00363DAB">
      <w:pPr>
        <w:pStyle w:val="Listnumbered"/>
        <w:numPr>
          <w:ilvl w:val="0"/>
          <w:numId w:val="6"/>
        </w:numPr>
        <w:spacing w:line="259" w:lineRule="auto"/>
      </w:pPr>
      <w:r w:rsidRPr="00AE1DA9">
        <w:t>What do you see as the main benefits of participating in the BRII?</w:t>
      </w:r>
    </w:p>
    <w:p w14:paraId="56ED546D" w14:textId="77777777" w:rsidR="00363DAB" w:rsidRPr="00AE1DA9" w:rsidRDefault="00363DAB">
      <w:pPr>
        <w:pStyle w:val="Listnumbered"/>
        <w:numPr>
          <w:ilvl w:val="0"/>
          <w:numId w:val="6"/>
        </w:numPr>
        <w:spacing w:line="259" w:lineRule="auto"/>
      </w:pPr>
      <w:r w:rsidRPr="00AE1DA9">
        <w:t>What direct and indirect costs did your agency incur through participating in BRII and did these outweigh the expected benefits?</w:t>
      </w:r>
    </w:p>
    <w:p w14:paraId="69CCCDA9" w14:textId="77777777" w:rsidR="00363DAB" w:rsidRPr="00AE1DA9" w:rsidRDefault="00363DAB">
      <w:pPr>
        <w:pStyle w:val="Listnumbered"/>
        <w:numPr>
          <w:ilvl w:val="0"/>
          <w:numId w:val="6"/>
        </w:numPr>
        <w:spacing w:line="259" w:lineRule="auto"/>
      </w:pPr>
      <w:r w:rsidRPr="00AE1DA9">
        <w:t xml:space="preserve">How satisfied are you with the support DISER has provided throughout the BRII? </w:t>
      </w:r>
    </w:p>
    <w:p w14:paraId="70FAB418" w14:textId="77777777" w:rsidR="00363DAB" w:rsidRPr="00AE1DA9" w:rsidRDefault="00363DAB">
      <w:pPr>
        <w:pStyle w:val="Listnumbered"/>
        <w:numPr>
          <w:ilvl w:val="0"/>
          <w:numId w:val="6"/>
        </w:numPr>
        <w:spacing w:line="259" w:lineRule="auto"/>
      </w:pPr>
      <w:r w:rsidRPr="00AE1DA9">
        <w:t>How realistic have the BRII’s timeframes been?</w:t>
      </w:r>
    </w:p>
    <w:p w14:paraId="5CDBE58B" w14:textId="77777777" w:rsidR="00363DAB" w:rsidRPr="00AE1DA9" w:rsidRDefault="00363DAB">
      <w:pPr>
        <w:pStyle w:val="Listnumbered"/>
        <w:numPr>
          <w:ilvl w:val="0"/>
          <w:numId w:val="6"/>
        </w:numPr>
        <w:spacing w:line="259" w:lineRule="auto"/>
      </w:pPr>
      <w:r w:rsidRPr="00AE1DA9">
        <w:t>How well known across your wider Department is the BRII?</w:t>
      </w:r>
    </w:p>
    <w:p w14:paraId="7B01E3D4" w14:textId="77777777" w:rsidR="00363DAB" w:rsidRDefault="00363DAB">
      <w:pPr>
        <w:pStyle w:val="Listnumbered"/>
        <w:numPr>
          <w:ilvl w:val="0"/>
          <w:numId w:val="6"/>
        </w:numPr>
        <w:spacing w:line="259" w:lineRule="auto"/>
      </w:pPr>
      <w:r w:rsidRPr="00AE1DA9">
        <w:t xml:space="preserve">To what extent has participating in the BRII encouraged your agency to consider procuring from an SME in the future? </w:t>
      </w:r>
    </w:p>
    <w:p w14:paraId="645C7234" w14:textId="15FA3638" w:rsidR="00363DAB" w:rsidRPr="00640663" w:rsidRDefault="00363DAB">
      <w:pPr>
        <w:pStyle w:val="Listnumbered"/>
        <w:numPr>
          <w:ilvl w:val="0"/>
          <w:numId w:val="6"/>
        </w:numPr>
        <w:spacing w:line="259" w:lineRule="auto"/>
      </w:pPr>
      <w:r w:rsidRPr="008A2C4A">
        <w:rPr>
          <w:rFonts w:eastAsia="Times New Roman" w:cs="Times New Roman"/>
          <w:lang w:eastAsia="en-AU"/>
        </w:rPr>
        <w:t>Would you participate in any future BRII round?</w:t>
      </w:r>
    </w:p>
    <w:p w14:paraId="61ACE824" w14:textId="3B0CA332" w:rsidR="00A65A9F" w:rsidRDefault="00A65A9F">
      <w:pPr>
        <w:pStyle w:val="xAppendixLevel2"/>
      </w:pPr>
      <w:bookmarkStart w:id="219" w:name="_Toc124435181"/>
      <w:r>
        <w:t>Surveys</w:t>
      </w:r>
      <w:bookmarkEnd w:id="219"/>
    </w:p>
    <w:p w14:paraId="49A44D39" w14:textId="03D659D2" w:rsidR="000E03F2" w:rsidRPr="000E03F2" w:rsidRDefault="000E03F2">
      <w:pPr>
        <w:pStyle w:val="xAppendixLevel3"/>
      </w:pPr>
      <w:r>
        <w:t>Proof of concept SME survey</w:t>
      </w:r>
    </w:p>
    <w:p w14:paraId="32DBA404" w14:textId="2BC35501" w:rsidR="00F746F3" w:rsidRPr="00F746F3" w:rsidRDefault="00765CDE" w:rsidP="00F746F3">
      <w:pPr>
        <w:rPr>
          <w:b/>
          <w:bCs/>
          <w:lang w:eastAsia="en-AU"/>
        </w:rPr>
      </w:pPr>
      <w:r>
        <w:rPr>
          <w:b/>
          <w:bCs/>
          <w:lang w:eastAsia="en-AU"/>
        </w:rPr>
        <w:t>About your company</w:t>
      </w:r>
    </w:p>
    <w:p w14:paraId="4A999668" w14:textId="77777777" w:rsidR="00F746F3" w:rsidRDefault="00F746F3">
      <w:pPr>
        <w:pStyle w:val="Listnumbered"/>
        <w:numPr>
          <w:ilvl w:val="0"/>
          <w:numId w:val="27"/>
        </w:numPr>
        <w:spacing w:line="257" w:lineRule="auto"/>
        <w:rPr>
          <w:lang w:eastAsia="en-AU"/>
        </w:rPr>
      </w:pPr>
      <w:r>
        <w:rPr>
          <w:lang w:eastAsia="en-AU"/>
        </w:rPr>
        <w:t>In what year was your business first established (i.e. started first trading)?</w:t>
      </w:r>
    </w:p>
    <w:p w14:paraId="012BF81D" w14:textId="77777777" w:rsidR="00F746F3" w:rsidRDefault="00F746F3">
      <w:pPr>
        <w:pStyle w:val="Listnumbered"/>
        <w:numPr>
          <w:ilvl w:val="0"/>
          <w:numId w:val="7"/>
        </w:numPr>
        <w:spacing w:line="257" w:lineRule="auto"/>
        <w:rPr>
          <w:lang w:eastAsia="en-AU"/>
        </w:rPr>
      </w:pPr>
      <w:r>
        <w:rPr>
          <w:lang w:eastAsia="en-AU"/>
        </w:rPr>
        <w:t>How many full-time equivalent staff do you currently employ (including self-employment)?</w:t>
      </w:r>
    </w:p>
    <w:p w14:paraId="0EDA2C55" w14:textId="77777777" w:rsidR="00F746F3" w:rsidRDefault="00F746F3">
      <w:pPr>
        <w:pStyle w:val="Listnumbered"/>
        <w:numPr>
          <w:ilvl w:val="0"/>
          <w:numId w:val="7"/>
        </w:numPr>
        <w:spacing w:line="257" w:lineRule="auto"/>
        <w:rPr>
          <w:lang w:eastAsia="en-AU"/>
        </w:rPr>
      </w:pPr>
      <w:r>
        <w:rPr>
          <w:lang w:eastAsia="en-AU"/>
        </w:rPr>
        <w:t>How many full-time equivalent staff were employed by your business at the beginning of the BRII program?</w:t>
      </w:r>
    </w:p>
    <w:p w14:paraId="62E36A68" w14:textId="2322E5E3" w:rsidR="00F746F3" w:rsidRDefault="00F746F3">
      <w:pPr>
        <w:pStyle w:val="Listnumbered"/>
        <w:numPr>
          <w:ilvl w:val="0"/>
          <w:numId w:val="7"/>
        </w:numPr>
        <w:spacing w:line="257" w:lineRule="auto"/>
        <w:rPr>
          <w:lang w:eastAsia="en-AU"/>
        </w:rPr>
      </w:pPr>
      <w:r>
        <w:rPr>
          <w:lang w:eastAsia="en-AU"/>
        </w:rPr>
        <w:t xml:space="preserve">What </w:t>
      </w:r>
      <w:r w:rsidRPr="001B64BE">
        <w:t>percentage</w:t>
      </w:r>
      <w:r>
        <w:rPr>
          <w:lang w:eastAsia="en-AU"/>
        </w:rPr>
        <w:t xml:space="preserve"> of your competitors are based in Australia?</w:t>
      </w:r>
    </w:p>
    <w:p w14:paraId="4975FF98" w14:textId="77777777" w:rsidR="00F746F3" w:rsidRDefault="00F746F3">
      <w:pPr>
        <w:pStyle w:val="Listnumbered"/>
        <w:numPr>
          <w:ilvl w:val="0"/>
          <w:numId w:val="7"/>
        </w:numPr>
        <w:spacing w:line="257" w:lineRule="auto"/>
        <w:rPr>
          <w:lang w:eastAsia="en-AU"/>
        </w:rPr>
      </w:pPr>
      <w:r>
        <w:rPr>
          <w:lang w:eastAsia="en-AU"/>
        </w:rPr>
        <w:t>What percentage of your business ownership is Australian?</w:t>
      </w:r>
    </w:p>
    <w:p w14:paraId="3D32264D" w14:textId="586AE2A7" w:rsidR="002D485E" w:rsidRPr="002D485E" w:rsidRDefault="002D485E" w:rsidP="00F746F3">
      <w:pPr>
        <w:rPr>
          <w:b/>
          <w:bCs/>
          <w:lang w:eastAsia="en-AU"/>
        </w:rPr>
      </w:pPr>
      <w:r>
        <w:rPr>
          <w:b/>
          <w:bCs/>
          <w:lang w:eastAsia="en-AU"/>
        </w:rPr>
        <w:t>About your commercial activities</w:t>
      </w:r>
    </w:p>
    <w:p w14:paraId="4EDB4A47" w14:textId="41DB25B8" w:rsidR="00F746F3" w:rsidRDefault="00F746F3">
      <w:pPr>
        <w:pStyle w:val="Listnumbered"/>
        <w:numPr>
          <w:ilvl w:val="0"/>
          <w:numId w:val="28"/>
        </w:numPr>
        <w:spacing w:line="257" w:lineRule="auto"/>
        <w:rPr>
          <w:lang w:eastAsia="en-AU"/>
        </w:rPr>
      </w:pPr>
      <w:r>
        <w:rPr>
          <w:lang w:eastAsia="en-AU"/>
        </w:rPr>
        <w:t xml:space="preserve">In which financial year did you first receive </w:t>
      </w:r>
      <w:r w:rsidR="008A0777">
        <w:rPr>
          <w:lang w:eastAsia="en-AU"/>
        </w:rPr>
        <w:t>the</w:t>
      </w:r>
      <w:r>
        <w:rPr>
          <w:lang w:eastAsia="en-AU"/>
        </w:rPr>
        <w:t xml:space="preserve"> BRII funding for a feasibility study?</w:t>
      </w:r>
    </w:p>
    <w:p w14:paraId="4DBD5A63" w14:textId="23558596" w:rsidR="00F746F3" w:rsidRDefault="00F746F3">
      <w:pPr>
        <w:pStyle w:val="Listnumbered"/>
        <w:spacing w:line="257" w:lineRule="auto"/>
        <w:rPr>
          <w:lang w:eastAsia="en-AU"/>
        </w:rPr>
      </w:pPr>
      <w:r>
        <w:rPr>
          <w:lang w:eastAsia="en-AU"/>
        </w:rPr>
        <w:t xml:space="preserve">What has been the annual turnover of your business in each Financial Year since your first engagement with </w:t>
      </w:r>
      <w:r w:rsidR="008A0777">
        <w:rPr>
          <w:lang w:eastAsia="en-AU"/>
        </w:rPr>
        <w:t>the</w:t>
      </w:r>
      <w:r>
        <w:rPr>
          <w:lang w:eastAsia="en-AU"/>
        </w:rPr>
        <w:t xml:space="preserve"> BRII, including the year in which you first received funding?</w:t>
      </w:r>
    </w:p>
    <w:p w14:paraId="74416493" w14:textId="77777777" w:rsidR="00F746F3" w:rsidRDefault="00F746F3">
      <w:pPr>
        <w:pStyle w:val="Listnumbered"/>
        <w:spacing w:line="257" w:lineRule="auto"/>
        <w:rPr>
          <w:lang w:eastAsia="en-AU"/>
        </w:rPr>
      </w:pPr>
      <w:r>
        <w:rPr>
          <w:lang w:eastAsia="en-AU"/>
        </w:rPr>
        <w:t>What percentage of your current sales income comes from Australian markets?</w:t>
      </w:r>
    </w:p>
    <w:p w14:paraId="0BBC48BA" w14:textId="77777777" w:rsidR="00F746F3" w:rsidRDefault="00F746F3">
      <w:pPr>
        <w:pStyle w:val="Listnumbered"/>
        <w:spacing w:line="257" w:lineRule="auto"/>
        <w:rPr>
          <w:lang w:eastAsia="en-AU"/>
        </w:rPr>
      </w:pPr>
      <w:r>
        <w:rPr>
          <w:lang w:eastAsia="en-AU"/>
        </w:rPr>
        <w:t>Approximately how much of your current sales income is attributed to government?</w:t>
      </w:r>
    </w:p>
    <w:p w14:paraId="513EBBA5" w14:textId="77777777" w:rsidR="00F746F3" w:rsidRDefault="00F746F3">
      <w:pPr>
        <w:pStyle w:val="Listnumbered"/>
        <w:spacing w:line="257" w:lineRule="auto"/>
        <w:rPr>
          <w:lang w:eastAsia="en-AU"/>
        </w:rPr>
      </w:pPr>
      <w:r>
        <w:rPr>
          <w:lang w:eastAsia="en-AU"/>
        </w:rPr>
        <w:t>What proportion of the goods and services your business purchases are sourced from within Australia?</w:t>
      </w:r>
    </w:p>
    <w:p w14:paraId="6EB18BFE" w14:textId="169942B0" w:rsidR="00F746F3" w:rsidRDefault="00F746F3">
      <w:pPr>
        <w:pStyle w:val="Listnumbered"/>
        <w:spacing w:line="257" w:lineRule="auto"/>
        <w:rPr>
          <w:lang w:eastAsia="en-AU"/>
        </w:rPr>
      </w:pPr>
      <w:r>
        <w:rPr>
          <w:lang w:eastAsia="en-AU"/>
        </w:rPr>
        <w:t xml:space="preserve">Other than the support received from </w:t>
      </w:r>
      <w:r w:rsidR="008A0777">
        <w:rPr>
          <w:lang w:eastAsia="en-AU"/>
        </w:rPr>
        <w:t>the</w:t>
      </w:r>
      <w:r>
        <w:rPr>
          <w:lang w:eastAsia="en-AU"/>
        </w:rPr>
        <w:t xml:space="preserve"> BRII for this project, has your company received any support for technological development for other projects over the last five years either from the Australian government or State governments?</w:t>
      </w:r>
    </w:p>
    <w:p w14:paraId="2C54946C" w14:textId="3A0B0E67" w:rsidR="00F746F3" w:rsidRDefault="00F746F3">
      <w:pPr>
        <w:pStyle w:val="Listnumbered"/>
        <w:spacing w:line="257" w:lineRule="auto"/>
        <w:rPr>
          <w:lang w:eastAsia="en-AU"/>
        </w:rPr>
      </w:pPr>
      <w:r>
        <w:rPr>
          <w:lang w:eastAsia="en-AU"/>
        </w:rPr>
        <w:lastRenderedPageBreak/>
        <w:t xml:space="preserve">If </w:t>
      </w:r>
      <w:r w:rsidR="00C86CB7">
        <w:rPr>
          <w:lang w:eastAsia="en-AU"/>
        </w:rPr>
        <w:t>yes</w:t>
      </w:r>
      <w:r>
        <w:rPr>
          <w:lang w:eastAsia="en-AU"/>
        </w:rPr>
        <w:t xml:space="preserve">, how much support was received in total (not including </w:t>
      </w:r>
      <w:r w:rsidR="008A0777">
        <w:rPr>
          <w:lang w:eastAsia="en-AU"/>
        </w:rPr>
        <w:t xml:space="preserve">the </w:t>
      </w:r>
      <w:r>
        <w:rPr>
          <w:lang w:eastAsia="en-AU"/>
        </w:rPr>
        <w:t>BRII)?</w:t>
      </w:r>
    </w:p>
    <w:p w14:paraId="4A5B1434" w14:textId="5C97AFF0" w:rsidR="002D485E" w:rsidRDefault="001B64BE" w:rsidP="00F746F3">
      <w:pPr>
        <w:rPr>
          <w:b/>
          <w:bCs/>
          <w:lang w:eastAsia="en-AU"/>
        </w:rPr>
      </w:pPr>
      <w:r>
        <w:rPr>
          <w:b/>
          <w:bCs/>
          <w:lang w:eastAsia="en-AU"/>
        </w:rPr>
        <w:t>Management of the BRII program</w:t>
      </w:r>
    </w:p>
    <w:p w14:paraId="7C20C671" w14:textId="0D303D5E" w:rsidR="001B64BE" w:rsidRPr="001B64BE" w:rsidRDefault="001B64BE">
      <w:pPr>
        <w:pStyle w:val="Listnumbered"/>
        <w:spacing w:line="257" w:lineRule="auto"/>
        <w:rPr>
          <w:lang w:eastAsia="en-AU"/>
        </w:rPr>
      </w:pPr>
      <w:r>
        <w:rPr>
          <w:lang w:eastAsia="en-AU"/>
        </w:rPr>
        <w:t>Throughout the initial application phase, to what extent were you satisfied with:</w:t>
      </w:r>
    </w:p>
    <w:p w14:paraId="43CEC488" w14:textId="3AD16D9B" w:rsidR="00F746F3" w:rsidRDefault="00F746F3">
      <w:pPr>
        <w:pStyle w:val="Listnumbered"/>
        <w:numPr>
          <w:ilvl w:val="1"/>
          <w:numId w:val="2"/>
        </w:numPr>
        <w:spacing w:line="257" w:lineRule="auto"/>
        <w:rPr>
          <w:lang w:eastAsia="en-AU"/>
        </w:rPr>
      </w:pPr>
      <w:r>
        <w:rPr>
          <w:lang w:eastAsia="en-AU"/>
        </w:rPr>
        <w:t>The information provided about the BRII program prior to your application</w:t>
      </w:r>
      <w:r w:rsidR="001B64BE">
        <w:rPr>
          <w:lang w:eastAsia="en-AU"/>
        </w:rPr>
        <w:t>?</w:t>
      </w:r>
    </w:p>
    <w:p w14:paraId="6E567251" w14:textId="70B715EF" w:rsidR="00F746F3" w:rsidRDefault="00F746F3">
      <w:pPr>
        <w:pStyle w:val="Listnumbered"/>
        <w:numPr>
          <w:ilvl w:val="1"/>
          <w:numId w:val="2"/>
        </w:numPr>
        <w:spacing w:line="257" w:lineRule="auto"/>
        <w:rPr>
          <w:lang w:eastAsia="en-AU"/>
        </w:rPr>
      </w:pPr>
      <w:r>
        <w:rPr>
          <w:lang w:eastAsia="en-AU"/>
        </w:rPr>
        <w:t>The information provided about the details of the challenge you applied for</w:t>
      </w:r>
      <w:r w:rsidR="001B64BE">
        <w:rPr>
          <w:lang w:eastAsia="en-AU"/>
        </w:rPr>
        <w:t>?</w:t>
      </w:r>
    </w:p>
    <w:p w14:paraId="056C7043" w14:textId="3CF7279A" w:rsidR="00F746F3" w:rsidRDefault="00F746F3">
      <w:pPr>
        <w:pStyle w:val="Listnumbered"/>
        <w:numPr>
          <w:ilvl w:val="1"/>
          <w:numId w:val="2"/>
        </w:numPr>
        <w:spacing w:line="257" w:lineRule="auto"/>
        <w:rPr>
          <w:lang w:eastAsia="en-AU"/>
        </w:rPr>
      </w:pPr>
      <w:r>
        <w:rPr>
          <w:lang w:eastAsia="en-AU"/>
        </w:rPr>
        <w:t>The process of submitting your initial application</w:t>
      </w:r>
      <w:r w:rsidR="001B64BE">
        <w:rPr>
          <w:lang w:eastAsia="en-AU"/>
        </w:rPr>
        <w:t>?</w:t>
      </w:r>
    </w:p>
    <w:p w14:paraId="2C1B5DEF" w14:textId="0C6294E7" w:rsidR="00F746F3" w:rsidRDefault="00F746F3">
      <w:pPr>
        <w:pStyle w:val="Listnumbered"/>
        <w:numPr>
          <w:ilvl w:val="1"/>
          <w:numId w:val="2"/>
        </w:numPr>
        <w:spacing w:line="257" w:lineRule="auto"/>
        <w:rPr>
          <w:lang w:eastAsia="en-AU"/>
        </w:rPr>
      </w:pPr>
      <w:r>
        <w:rPr>
          <w:lang w:eastAsia="en-AU"/>
        </w:rPr>
        <w:t>The communication from DISER after your application was submitted</w:t>
      </w:r>
      <w:r w:rsidR="001B64BE">
        <w:rPr>
          <w:lang w:eastAsia="en-AU"/>
        </w:rPr>
        <w:t>?</w:t>
      </w:r>
    </w:p>
    <w:p w14:paraId="30EF5804" w14:textId="186240F4" w:rsidR="00F746F3" w:rsidRDefault="00F746F3">
      <w:pPr>
        <w:pStyle w:val="Listnumbered"/>
        <w:numPr>
          <w:ilvl w:val="1"/>
          <w:numId w:val="2"/>
        </w:numPr>
        <w:spacing w:line="257" w:lineRule="auto"/>
        <w:rPr>
          <w:lang w:eastAsia="en-AU"/>
        </w:rPr>
      </w:pPr>
      <w:r>
        <w:rPr>
          <w:lang w:eastAsia="en-AU"/>
        </w:rPr>
        <w:t>The time that it took until you heard about the result of your application</w:t>
      </w:r>
      <w:r w:rsidR="001B64BE">
        <w:rPr>
          <w:lang w:eastAsia="en-AU"/>
        </w:rPr>
        <w:t>?</w:t>
      </w:r>
    </w:p>
    <w:p w14:paraId="6407017B" w14:textId="23AB8626" w:rsidR="001B64BE" w:rsidRDefault="001B64BE">
      <w:pPr>
        <w:pStyle w:val="Listnumbered"/>
        <w:spacing w:line="257" w:lineRule="auto"/>
        <w:rPr>
          <w:lang w:eastAsia="en-AU"/>
        </w:rPr>
      </w:pPr>
      <w:r>
        <w:rPr>
          <w:lang w:eastAsia="en-AU"/>
        </w:rPr>
        <w:t>Throughout the feasibility study phase, to what extent were you satisfied with:</w:t>
      </w:r>
    </w:p>
    <w:p w14:paraId="69106226" w14:textId="0689B9A9" w:rsidR="00F746F3" w:rsidRDefault="00F746F3">
      <w:pPr>
        <w:pStyle w:val="Listnumbered"/>
        <w:numPr>
          <w:ilvl w:val="0"/>
          <w:numId w:val="9"/>
        </w:numPr>
        <w:spacing w:line="257" w:lineRule="auto"/>
        <w:rPr>
          <w:lang w:eastAsia="en-AU"/>
        </w:rPr>
      </w:pPr>
      <w:r>
        <w:rPr>
          <w:lang w:eastAsia="en-AU"/>
        </w:rPr>
        <w:t>The information and support provided by your challenge agency</w:t>
      </w:r>
      <w:r w:rsidR="001B64BE">
        <w:rPr>
          <w:lang w:eastAsia="en-AU"/>
        </w:rPr>
        <w:t>?</w:t>
      </w:r>
    </w:p>
    <w:p w14:paraId="34923DB2" w14:textId="102C1762" w:rsidR="00F746F3" w:rsidRDefault="00F746F3">
      <w:pPr>
        <w:pStyle w:val="Listnumbered"/>
        <w:numPr>
          <w:ilvl w:val="0"/>
          <w:numId w:val="9"/>
        </w:numPr>
        <w:spacing w:line="257" w:lineRule="auto"/>
        <w:rPr>
          <w:lang w:eastAsia="en-AU"/>
        </w:rPr>
      </w:pPr>
      <w:r>
        <w:rPr>
          <w:lang w:eastAsia="en-AU"/>
        </w:rPr>
        <w:t>The timeliness and quality of support you received from DISER as you developed the Feasibility Study</w:t>
      </w:r>
      <w:r w:rsidR="001B64BE">
        <w:rPr>
          <w:lang w:eastAsia="en-AU"/>
        </w:rPr>
        <w:t>?</w:t>
      </w:r>
    </w:p>
    <w:p w14:paraId="6955B319" w14:textId="418115BF" w:rsidR="00F746F3" w:rsidRDefault="00F746F3">
      <w:pPr>
        <w:pStyle w:val="Listnumbered"/>
        <w:numPr>
          <w:ilvl w:val="0"/>
          <w:numId w:val="9"/>
        </w:numPr>
        <w:spacing w:line="257" w:lineRule="auto"/>
        <w:rPr>
          <w:lang w:eastAsia="en-AU"/>
        </w:rPr>
      </w:pPr>
      <w:r>
        <w:rPr>
          <w:lang w:eastAsia="en-AU"/>
        </w:rPr>
        <w:t>The feedback you received on the initial drafts of your Feasibility Study</w:t>
      </w:r>
      <w:r w:rsidR="001B64BE">
        <w:rPr>
          <w:lang w:eastAsia="en-AU"/>
        </w:rPr>
        <w:t>?</w:t>
      </w:r>
    </w:p>
    <w:p w14:paraId="17C4B355" w14:textId="447E6F4F" w:rsidR="00F746F3" w:rsidRDefault="00F746F3">
      <w:pPr>
        <w:pStyle w:val="Listnumbered"/>
        <w:numPr>
          <w:ilvl w:val="0"/>
          <w:numId w:val="9"/>
        </w:numPr>
        <w:spacing w:line="257" w:lineRule="auto"/>
        <w:rPr>
          <w:lang w:eastAsia="en-AU"/>
        </w:rPr>
      </w:pPr>
      <w:r>
        <w:rPr>
          <w:lang w:eastAsia="en-AU"/>
        </w:rPr>
        <w:t>The time that it took to have your Feasibility Study assessed</w:t>
      </w:r>
      <w:r w:rsidR="001B64BE">
        <w:rPr>
          <w:lang w:eastAsia="en-AU"/>
        </w:rPr>
        <w:t>?</w:t>
      </w:r>
    </w:p>
    <w:p w14:paraId="7AA21679" w14:textId="31A99B90" w:rsidR="00CF4CB1" w:rsidRDefault="00CF4CB1">
      <w:pPr>
        <w:pStyle w:val="Listnumbered"/>
        <w:spacing w:line="257" w:lineRule="auto"/>
        <w:rPr>
          <w:lang w:eastAsia="en-AU"/>
        </w:rPr>
      </w:pPr>
      <w:r>
        <w:rPr>
          <w:lang w:eastAsia="en-AU"/>
        </w:rPr>
        <w:t>Throughout the proof of concept phase, to what extent were you satisfied with:</w:t>
      </w:r>
    </w:p>
    <w:p w14:paraId="702070E8" w14:textId="734C030A" w:rsidR="00F746F3" w:rsidRDefault="00F746F3">
      <w:pPr>
        <w:pStyle w:val="Listnumbered"/>
        <w:numPr>
          <w:ilvl w:val="0"/>
          <w:numId w:val="10"/>
        </w:numPr>
        <w:spacing w:line="257" w:lineRule="auto"/>
        <w:rPr>
          <w:lang w:eastAsia="en-AU"/>
        </w:rPr>
      </w:pPr>
      <w:r>
        <w:rPr>
          <w:lang w:eastAsia="en-AU"/>
        </w:rPr>
        <w:t>The process of submitting the application for a proof of concept grant</w:t>
      </w:r>
      <w:r w:rsidR="00CF4CB1">
        <w:rPr>
          <w:lang w:eastAsia="en-AU"/>
        </w:rPr>
        <w:t>?</w:t>
      </w:r>
    </w:p>
    <w:p w14:paraId="27987ADB" w14:textId="1D44CBD2" w:rsidR="00F746F3" w:rsidRDefault="00F746F3">
      <w:pPr>
        <w:pStyle w:val="Listnumbered"/>
        <w:numPr>
          <w:ilvl w:val="0"/>
          <w:numId w:val="10"/>
        </w:numPr>
        <w:spacing w:line="257" w:lineRule="auto"/>
        <w:rPr>
          <w:lang w:eastAsia="en-AU"/>
        </w:rPr>
      </w:pPr>
      <w:r>
        <w:rPr>
          <w:lang w:eastAsia="en-AU"/>
        </w:rPr>
        <w:t>The timeliness and quality of support you are receiving from DISER as you develop your Proof of Concep</w:t>
      </w:r>
      <w:r w:rsidR="00CF4CB1">
        <w:rPr>
          <w:lang w:eastAsia="en-AU"/>
        </w:rPr>
        <w:t>t?</w:t>
      </w:r>
    </w:p>
    <w:p w14:paraId="1FADDFBA" w14:textId="7CEFF988" w:rsidR="00F746F3" w:rsidRDefault="00F746F3">
      <w:pPr>
        <w:pStyle w:val="Listnumbered"/>
        <w:numPr>
          <w:ilvl w:val="0"/>
          <w:numId w:val="10"/>
        </w:numPr>
        <w:spacing w:line="257" w:lineRule="auto"/>
        <w:rPr>
          <w:lang w:eastAsia="en-AU"/>
        </w:rPr>
      </w:pPr>
      <w:r>
        <w:rPr>
          <w:lang w:eastAsia="en-AU"/>
        </w:rPr>
        <w:t>The timeliness and quality of support you are receiving from your Challenge Agency as you develop your Proof of Concept</w:t>
      </w:r>
      <w:r w:rsidR="00CF4CB1">
        <w:rPr>
          <w:lang w:eastAsia="en-AU"/>
        </w:rPr>
        <w:t>?</w:t>
      </w:r>
    </w:p>
    <w:p w14:paraId="6C6CB6F0" w14:textId="77777777" w:rsidR="00F746F3" w:rsidRDefault="00F746F3">
      <w:pPr>
        <w:pStyle w:val="Listnumbered"/>
        <w:spacing w:line="257" w:lineRule="auto"/>
        <w:rPr>
          <w:lang w:eastAsia="en-AU"/>
        </w:rPr>
      </w:pPr>
      <w:r>
        <w:rPr>
          <w:lang w:eastAsia="en-AU"/>
        </w:rPr>
        <w:t>Do you wish to make any further comments about your responses to the above?</w:t>
      </w:r>
    </w:p>
    <w:p w14:paraId="761C997C" w14:textId="0CD2D36E" w:rsidR="00CF4CB1" w:rsidRPr="00CF4CB1" w:rsidRDefault="00CF4CB1" w:rsidP="00F746F3">
      <w:pPr>
        <w:rPr>
          <w:b/>
          <w:bCs/>
          <w:lang w:eastAsia="en-AU"/>
        </w:rPr>
      </w:pPr>
      <w:r>
        <w:rPr>
          <w:b/>
          <w:bCs/>
          <w:lang w:eastAsia="en-AU"/>
        </w:rPr>
        <w:t>Your engagement with government</w:t>
      </w:r>
    </w:p>
    <w:p w14:paraId="21B30342" w14:textId="68D75C8C" w:rsidR="00F746F3" w:rsidRDefault="00F746F3">
      <w:pPr>
        <w:pStyle w:val="Listnumbered"/>
        <w:spacing w:line="257" w:lineRule="auto"/>
        <w:rPr>
          <w:lang w:eastAsia="en-AU"/>
        </w:rPr>
      </w:pPr>
      <w:r>
        <w:rPr>
          <w:lang w:eastAsia="en-AU"/>
        </w:rPr>
        <w:t>How frequently did your company engage with Government clients prior to the BRII program?</w:t>
      </w:r>
      <w:r w:rsidR="00AE789D">
        <w:rPr>
          <w:lang w:eastAsia="en-AU"/>
        </w:rPr>
        <w:t xml:space="preserve"> </w:t>
      </w:r>
    </w:p>
    <w:p w14:paraId="6B90CE5F" w14:textId="37BCBEDC" w:rsidR="00F746F3" w:rsidRDefault="00F746F3">
      <w:pPr>
        <w:pStyle w:val="Listnumbered"/>
        <w:spacing w:line="257" w:lineRule="auto"/>
        <w:rPr>
          <w:lang w:eastAsia="en-AU"/>
        </w:rPr>
      </w:pPr>
      <w:r>
        <w:rPr>
          <w:lang w:eastAsia="en-AU"/>
        </w:rPr>
        <w:t xml:space="preserve">How many Australian Government tenders did your organisation respond to in the financial year in which you first engaged with </w:t>
      </w:r>
      <w:r w:rsidR="003464E1">
        <w:rPr>
          <w:lang w:eastAsia="en-AU"/>
        </w:rPr>
        <w:t xml:space="preserve">the </w:t>
      </w:r>
      <w:r>
        <w:rPr>
          <w:lang w:eastAsia="en-AU"/>
        </w:rPr>
        <w:t>BRII, through platforms such as AusTender or Digital Marketplace, and government panel arrangements?</w:t>
      </w:r>
    </w:p>
    <w:p w14:paraId="2D49F2B9" w14:textId="77777777" w:rsidR="00F746F3" w:rsidRDefault="00F746F3">
      <w:pPr>
        <w:pStyle w:val="Listnumbered"/>
        <w:spacing w:line="257" w:lineRule="auto"/>
        <w:rPr>
          <w:lang w:eastAsia="en-AU"/>
        </w:rPr>
      </w:pPr>
      <w:r>
        <w:rPr>
          <w:lang w:eastAsia="en-AU"/>
        </w:rPr>
        <w:t>How many Australian Government tenders did your organisation respond to in the most recent full financial year, through platforms such as AusTender or Digital Marketplace, and government panel arrangements?</w:t>
      </w:r>
    </w:p>
    <w:p w14:paraId="6BC9A7B4" w14:textId="67B323EC" w:rsidR="00A71390" w:rsidRDefault="00A71390">
      <w:pPr>
        <w:pStyle w:val="Listnumbered"/>
        <w:spacing w:line="257" w:lineRule="auto"/>
        <w:rPr>
          <w:lang w:eastAsia="en-AU"/>
        </w:rPr>
      </w:pPr>
      <w:r>
        <w:rPr>
          <w:lang w:eastAsia="en-AU"/>
        </w:rPr>
        <w:t>To what extent do you agree with the following statements?</w:t>
      </w:r>
    </w:p>
    <w:p w14:paraId="08F15F61" w14:textId="1F7B7C4E" w:rsidR="00F746F3" w:rsidRDefault="00F746F3">
      <w:pPr>
        <w:pStyle w:val="Listnumbered"/>
        <w:numPr>
          <w:ilvl w:val="0"/>
          <w:numId w:val="11"/>
        </w:numPr>
        <w:spacing w:line="257" w:lineRule="auto"/>
        <w:rPr>
          <w:lang w:eastAsia="en-AU"/>
        </w:rPr>
      </w:pPr>
      <w:r>
        <w:rPr>
          <w:lang w:eastAsia="en-AU"/>
        </w:rPr>
        <w:t>Our company</w:t>
      </w:r>
      <w:r w:rsidR="00A71390">
        <w:rPr>
          <w:lang w:eastAsia="en-AU"/>
        </w:rPr>
        <w:t>’</w:t>
      </w:r>
      <w:r>
        <w:rPr>
          <w:lang w:eastAsia="en-AU"/>
        </w:rPr>
        <w:t xml:space="preserve">s knowledge of how government operates has increased post participation in </w:t>
      </w:r>
      <w:r w:rsidR="00924DDC">
        <w:rPr>
          <w:lang w:eastAsia="en-AU"/>
        </w:rPr>
        <w:t xml:space="preserve">the </w:t>
      </w:r>
      <w:r>
        <w:rPr>
          <w:lang w:eastAsia="en-AU"/>
        </w:rPr>
        <w:t>BRII</w:t>
      </w:r>
      <w:r w:rsidR="00A71390">
        <w:rPr>
          <w:lang w:eastAsia="en-AU"/>
        </w:rPr>
        <w:t>.</w:t>
      </w:r>
    </w:p>
    <w:p w14:paraId="2EE4BA3F" w14:textId="00B00A29" w:rsidR="00F746F3" w:rsidRDefault="00F746F3">
      <w:pPr>
        <w:pStyle w:val="Listnumbered"/>
        <w:numPr>
          <w:ilvl w:val="0"/>
          <w:numId w:val="11"/>
        </w:numPr>
        <w:spacing w:line="257" w:lineRule="auto"/>
        <w:rPr>
          <w:lang w:eastAsia="en-AU"/>
        </w:rPr>
      </w:pPr>
      <w:r>
        <w:rPr>
          <w:lang w:eastAsia="en-AU"/>
        </w:rPr>
        <w:t xml:space="preserve">We are more actively monitoring potential business opportunities with government agencies post participation in </w:t>
      </w:r>
      <w:r w:rsidR="00924DDC">
        <w:rPr>
          <w:lang w:eastAsia="en-AU"/>
        </w:rPr>
        <w:t xml:space="preserve">the </w:t>
      </w:r>
      <w:r>
        <w:rPr>
          <w:lang w:eastAsia="en-AU"/>
        </w:rPr>
        <w:t>BRII</w:t>
      </w:r>
      <w:r w:rsidR="00A71390">
        <w:rPr>
          <w:lang w:eastAsia="en-AU"/>
        </w:rPr>
        <w:t>.</w:t>
      </w:r>
    </w:p>
    <w:p w14:paraId="17C9CA99" w14:textId="7088A1CE" w:rsidR="00F746F3" w:rsidRDefault="00F746F3">
      <w:pPr>
        <w:pStyle w:val="Listnumbered"/>
        <w:numPr>
          <w:ilvl w:val="0"/>
          <w:numId w:val="11"/>
        </w:numPr>
        <w:spacing w:line="257" w:lineRule="auto"/>
        <w:rPr>
          <w:lang w:eastAsia="en-AU"/>
        </w:rPr>
      </w:pPr>
      <w:r>
        <w:rPr>
          <w:lang w:eastAsia="en-AU"/>
        </w:rPr>
        <w:lastRenderedPageBreak/>
        <w:t xml:space="preserve">We feel that we are more likely to win work with government agencies post participation in </w:t>
      </w:r>
      <w:r w:rsidR="00924DDC">
        <w:rPr>
          <w:lang w:eastAsia="en-AU"/>
        </w:rPr>
        <w:t xml:space="preserve">the </w:t>
      </w:r>
      <w:r>
        <w:rPr>
          <w:lang w:eastAsia="en-AU"/>
        </w:rPr>
        <w:t>BRII</w:t>
      </w:r>
      <w:r w:rsidR="00A71390">
        <w:rPr>
          <w:lang w:eastAsia="en-AU"/>
        </w:rPr>
        <w:t>.</w:t>
      </w:r>
    </w:p>
    <w:p w14:paraId="336DFC8A" w14:textId="3DDF4118" w:rsidR="00F746F3" w:rsidRDefault="00F746F3">
      <w:pPr>
        <w:pStyle w:val="Listnumbered"/>
        <w:numPr>
          <w:ilvl w:val="0"/>
          <w:numId w:val="11"/>
        </w:numPr>
        <w:spacing w:line="257" w:lineRule="auto"/>
        <w:rPr>
          <w:lang w:eastAsia="en-AU"/>
        </w:rPr>
      </w:pPr>
      <w:r>
        <w:rPr>
          <w:lang w:eastAsia="en-AU"/>
        </w:rPr>
        <w:t xml:space="preserve">We are more proactively pitching business ideas to government agencies post participation in </w:t>
      </w:r>
      <w:r w:rsidR="00924DDC">
        <w:rPr>
          <w:lang w:eastAsia="en-AU"/>
        </w:rPr>
        <w:t xml:space="preserve">the </w:t>
      </w:r>
      <w:r>
        <w:rPr>
          <w:lang w:eastAsia="en-AU"/>
        </w:rPr>
        <w:t>BRII</w:t>
      </w:r>
      <w:r w:rsidR="00A71390">
        <w:rPr>
          <w:lang w:eastAsia="en-AU"/>
        </w:rPr>
        <w:t>.</w:t>
      </w:r>
    </w:p>
    <w:p w14:paraId="1D7E1360" w14:textId="0D4586B9" w:rsidR="00F746F3" w:rsidRDefault="00F746F3">
      <w:pPr>
        <w:pStyle w:val="Listnumbered"/>
        <w:spacing w:line="257" w:lineRule="auto"/>
        <w:rPr>
          <w:lang w:eastAsia="en-AU"/>
        </w:rPr>
      </w:pPr>
      <w:r>
        <w:rPr>
          <w:lang w:eastAsia="en-AU"/>
        </w:rPr>
        <w:t>Do you wish to make any further comments about your responses to the above?</w:t>
      </w:r>
    </w:p>
    <w:p w14:paraId="769446D6" w14:textId="18EEDB8F" w:rsidR="00943C95" w:rsidRPr="00943C95" w:rsidRDefault="00943C95" w:rsidP="00E301AB">
      <w:pPr>
        <w:rPr>
          <w:b/>
          <w:bCs/>
          <w:lang w:eastAsia="en-AU"/>
        </w:rPr>
      </w:pPr>
      <w:r>
        <w:rPr>
          <w:b/>
          <w:bCs/>
          <w:lang w:eastAsia="en-AU"/>
        </w:rPr>
        <w:t>Your R&amp;D and commercialisation pipeline</w:t>
      </w:r>
    </w:p>
    <w:p w14:paraId="08BA0A2B" w14:textId="77777777" w:rsidR="00F746F3" w:rsidRDefault="00F746F3">
      <w:pPr>
        <w:pStyle w:val="Listnumbered"/>
        <w:spacing w:line="257" w:lineRule="auto"/>
        <w:rPr>
          <w:lang w:eastAsia="en-AU"/>
        </w:rPr>
      </w:pPr>
      <w:r>
        <w:rPr>
          <w:lang w:eastAsia="en-AU"/>
        </w:rPr>
        <w:t>Would your company have pursued this R&amp;D without the BRII funding?</w:t>
      </w:r>
    </w:p>
    <w:p w14:paraId="6424C140" w14:textId="210639F6" w:rsidR="00F746F3" w:rsidRDefault="00F746F3">
      <w:pPr>
        <w:pStyle w:val="Listnumbered"/>
        <w:spacing w:line="257" w:lineRule="auto"/>
        <w:rPr>
          <w:lang w:eastAsia="en-AU"/>
        </w:rPr>
      </w:pPr>
      <w:r>
        <w:rPr>
          <w:lang w:eastAsia="en-AU"/>
        </w:rPr>
        <w:t xml:space="preserve">Has participating in </w:t>
      </w:r>
      <w:r w:rsidR="00E126A0">
        <w:rPr>
          <w:lang w:eastAsia="en-AU"/>
        </w:rPr>
        <w:t xml:space="preserve">the </w:t>
      </w:r>
      <w:r>
        <w:rPr>
          <w:lang w:eastAsia="en-AU"/>
        </w:rPr>
        <w:t>BRII acted as a catalyst for you to develop or expand collaborative relationships with other companies or researchers?</w:t>
      </w:r>
    </w:p>
    <w:p w14:paraId="7116A5D7" w14:textId="59156C11" w:rsidR="00F746F3" w:rsidRDefault="00F746F3">
      <w:pPr>
        <w:pStyle w:val="Listnumbered"/>
        <w:numPr>
          <w:ilvl w:val="0"/>
          <w:numId w:val="12"/>
        </w:numPr>
        <w:spacing w:line="257" w:lineRule="auto"/>
        <w:rPr>
          <w:lang w:eastAsia="en-AU"/>
        </w:rPr>
      </w:pPr>
      <w:r>
        <w:rPr>
          <w:lang w:eastAsia="en-AU"/>
        </w:rPr>
        <w:t xml:space="preserve">Please provide any further details you would like to share relating to the previous </w:t>
      </w:r>
      <w:r w:rsidR="001D755B">
        <w:rPr>
          <w:lang w:eastAsia="en-AU"/>
        </w:rPr>
        <w:t>question.</w:t>
      </w:r>
    </w:p>
    <w:p w14:paraId="0CE51109" w14:textId="777C94CC" w:rsidR="00F746F3" w:rsidRDefault="00F746F3">
      <w:pPr>
        <w:pStyle w:val="Listnumbered"/>
        <w:spacing w:line="257" w:lineRule="auto"/>
        <w:rPr>
          <w:lang w:eastAsia="en-AU"/>
        </w:rPr>
      </w:pPr>
      <w:r>
        <w:rPr>
          <w:lang w:eastAsia="en-AU"/>
        </w:rPr>
        <w:t xml:space="preserve">Have you started to commercialise any of the IP that you have developed under </w:t>
      </w:r>
      <w:r w:rsidR="00E126A0">
        <w:rPr>
          <w:lang w:eastAsia="en-AU"/>
        </w:rPr>
        <w:t>the</w:t>
      </w:r>
      <w:r>
        <w:rPr>
          <w:lang w:eastAsia="en-AU"/>
        </w:rPr>
        <w:t xml:space="preserve"> BRII, where IP includes but is not limited to, patents, trade secrets, memoranda of understanding and licensing agreements?</w:t>
      </w:r>
    </w:p>
    <w:p w14:paraId="4ACB3759" w14:textId="43874FF9" w:rsidR="00F746F3" w:rsidRDefault="00F746F3">
      <w:pPr>
        <w:pStyle w:val="Listnumbered"/>
        <w:numPr>
          <w:ilvl w:val="0"/>
          <w:numId w:val="13"/>
        </w:numPr>
        <w:spacing w:line="257" w:lineRule="auto"/>
        <w:rPr>
          <w:lang w:eastAsia="en-AU"/>
        </w:rPr>
      </w:pPr>
      <w:r>
        <w:rPr>
          <w:lang w:eastAsia="en-AU"/>
        </w:rPr>
        <w:t>Please provide any further details you would like to share relating to the previous question</w:t>
      </w:r>
      <w:r w:rsidR="001D755B">
        <w:rPr>
          <w:lang w:eastAsia="en-AU"/>
        </w:rPr>
        <w:t>.</w:t>
      </w:r>
    </w:p>
    <w:p w14:paraId="71172A32" w14:textId="77777777" w:rsidR="00F746F3" w:rsidRDefault="00F746F3">
      <w:pPr>
        <w:pStyle w:val="Listnumbered"/>
        <w:numPr>
          <w:ilvl w:val="0"/>
          <w:numId w:val="13"/>
        </w:numPr>
        <w:spacing w:line="257" w:lineRule="auto"/>
        <w:rPr>
          <w:lang w:eastAsia="en-AU"/>
        </w:rPr>
      </w:pPr>
      <w:r>
        <w:rPr>
          <w:lang w:eastAsia="en-AU"/>
        </w:rPr>
        <w:t>If no, are you likely to in the near future?</w:t>
      </w:r>
    </w:p>
    <w:p w14:paraId="20BAAA57" w14:textId="566B7C1D" w:rsidR="00F746F3" w:rsidRDefault="00F746F3">
      <w:pPr>
        <w:pStyle w:val="Listnumbered"/>
        <w:numPr>
          <w:ilvl w:val="1"/>
          <w:numId w:val="13"/>
        </w:numPr>
        <w:spacing w:line="257" w:lineRule="auto"/>
        <w:rPr>
          <w:lang w:eastAsia="en-AU"/>
        </w:rPr>
      </w:pPr>
      <w:r>
        <w:rPr>
          <w:lang w:eastAsia="en-AU"/>
        </w:rPr>
        <w:t>Please provide any further details you would like to share relating to the previous question</w:t>
      </w:r>
      <w:r w:rsidR="001D755B">
        <w:rPr>
          <w:lang w:eastAsia="en-AU"/>
        </w:rPr>
        <w:t>.</w:t>
      </w:r>
    </w:p>
    <w:p w14:paraId="34258DEB" w14:textId="77777777" w:rsidR="00F746F3" w:rsidRDefault="00F746F3">
      <w:pPr>
        <w:pStyle w:val="Listnumbered"/>
        <w:spacing w:line="257" w:lineRule="auto"/>
        <w:rPr>
          <w:lang w:eastAsia="en-AU"/>
        </w:rPr>
      </w:pPr>
      <w:r>
        <w:rPr>
          <w:lang w:eastAsia="en-AU"/>
        </w:rPr>
        <w:t>Has your company considered applications of the IP beyond the context of the BRII challenge?</w:t>
      </w:r>
    </w:p>
    <w:p w14:paraId="1FC240B2" w14:textId="641F118A" w:rsidR="00F746F3" w:rsidRDefault="00F746F3">
      <w:pPr>
        <w:pStyle w:val="Listnumbered"/>
        <w:numPr>
          <w:ilvl w:val="0"/>
          <w:numId w:val="14"/>
        </w:numPr>
        <w:spacing w:line="257" w:lineRule="auto"/>
        <w:rPr>
          <w:lang w:eastAsia="en-AU"/>
        </w:rPr>
      </w:pPr>
      <w:r>
        <w:rPr>
          <w:lang w:eastAsia="en-AU"/>
        </w:rPr>
        <w:t>Please provide any further details you would like to share relating to the previous question</w:t>
      </w:r>
      <w:r w:rsidR="001D755B">
        <w:rPr>
          <w:lang w:eastAsia="en-AU"/>
        </w:rPr>
        <w:t>.</w:t>
      </w:r>
    </w:p>
    <w:p w14:paraId="7A38BBB6" w14:textId="77777777" w:rsidR="00F746F3" w:rsidRDefault="00F746F3">
      <w:pPr>
        <w:pStyle w:val="Listnumbered"/>
        <w:spacing w:line="257" w:lineRule="auto"/>
        <w:rPr>
          <w:lang w:eastAsia="en-AU"/>
        </w:rPr>
      </w:pPr>
      <w:r>
        <w:rPr>
          <w:lang w:eastAsia="en-AU"/>
        </w:rPr>
        <w:t>Has the BRII improved the capability of your business to access national and international markets?</w:t>
      </w:r>
    </w:p>
    <w:p w14:paraId="6D862728" w14:textId="6F36DE19" w:rsidR="00F746F3" w:rsidRDefault="00F746F3">
      <w:pPr>
        <w:pStyle w:val="Listnumbered"/>
        <w:numPr>
          <w:ilvl w:val="0"/>
          <w:numId w:val="15"/>
        </w:numPr>
        <w:spacing w:line="257" w:lineRule="auto"/>
        <w:rPr>
          <w:lang w:eastAsia="en-AU"/>
        </w:rPr>
      </w:pPr>
      <w:r>
        <w:rPr>
          <w:lang w:eastAsia="en-AU"/>
        </w:rPr>
        <w:t>Please provide any further details you would like to share relating to the previous question</w:t>
      </w:r>
      <w:r w:rsidR="001D755B">
        <w:rPr>
          <w:lang w:eastAsia="en-AU"/>
        </w:rPr>
        <w:t>.</w:t>
      </w:r>
    </w:p>
    <w:p w14:paraId="0C726CB2" w14:textId="7F396245" w:rsidR="000E03F2" w:rsidRPr="000E03F2" w:rsidRDefault="000E03F2" w:rsidP="00E301AB">
      <w:pPr>
        <w:rPr>
          <w:b/>
          <w:bCs/>
          <w:lang w:eastAsia="en-AU"/>
        </w:rPr>
      </w:pPr>
      <w:r>
        <w:rPr>
          <w:b/>
          <w:bCs/>
          <w:lang w:eastAsia="en-AU"/>
        </w:rPr>
        <w:t>Your business outcomes</w:t>
      </w:r>
    </w:p>
    <w:p w14:paraId="4E99150E" w14:textId="15424FF2" w:rsidR="00F746F3" w:rsidRDefault="00F746F3">
      <w:pPr>
        <w:pStyle w:val="Listnumbered"/>
        <w:spacing w:line="257" w:lineRule="auto"/>
        <w:rPr>
          <w:lang w:eastAsia="en-AU"/>
        </w:rPr>
      </w:pPr>
      <w:r>
        <w:rPr>
          <w:lang w:eastAsia="en-AU"/>
        </w:rPr>
        <w:t xml:space="preserve">Thinking about the financial impact of </w:t>
      </w:r>
      <w:r w:rsidR="00924DDC">
        <w:rPr>
          <w:lang w:eastAsia="en-AU"/>
        </w:rPr>
        <w:t xml:space="preserve">the </w:t>
      </w:r>
      <w:r>
        <w:rPr>
          <w:lang w:eastAsia="en-AU"/>
        </w:rPr>
        <w:t xml:space="preserve">BRII, as a result of the support received from </w:t>
      </w:r>
      <w:r w:rsidR="001E0491">
        <w:rPr>
          <w:lang w:eastAsia="en-AU"/>
        </w:rPr>
        <w:t>the</w:t>
      </w:r>
      <w:r>
        <w:rPr>
          <w:lang w:eastAsia="en-AU"/>
        </w:rPr>
        <w:t xml:space="preserve"> BRII is your current turnover:</w:t>
      </w:r>
    </w:p>
    <w:p w14:paraId="25D4227E" w14:textId="13A3A5E6" w:rsidR="000E03F2" w:rsidRDefault="000E03F2">
      <w:pPr>
        <w:pStyle w:val="Bullet"/>
        <w:numPr>
          <w:ilvl w:val="1"/>
          <w:numId w:val="41"/>
        </w:numPr>
        <w:ind w:left="1134"/>
      </w:pPr>
      <w:r>
        <w:t xml:space="preserve">Higher than it would have been without involvement in </w:t>
      </w:r>
      <w:r w:rsidR="001E0491">
        <w:t xml:space="preserve">the </w:t>
      </w:r>
      <w:r>
        <w:t xml:space="preserve">BRII </w:t>
      </w:r>
    </w:p>
    <w:p w14:paraId="04494BE2" w14:textId="44110B00" w:rsidR="000E03F2" w:rsidRDefault="000E03F2">
      <w:pPr>
        <w:pStyle w:val="Bullet"/>
        <w:numPr>
          <w:ilvl w:val="1"/>
          <w:numId w:val="41"/>
        </w:numPr>
        <w:ind w:left="1134"/>
      </w:pPr>
      <w:r>
        <w:t xml:space="preserve">Lower than it would have been without involvement in </w:t>
      </w:r>
      <w:r w:rsidR="001E0491">
        <w:t xml:space="preserve">the </w:t>
      </w:r>
      <w:r>
        <w:t>BRII</w:t>
      </w:r>
    </w:p>
    <w:p w14:paraId="560941DA" w14:textId="5655957B" w:rsidR="000E03F2" w:rsidRDefault="000E03F2">
      <w:pPr>
        <w:pStyle w:val="Bullet"/>
        <w:numPr>
          <w:ilvl w:val="1"/>
          <w:numId w:val="41"/>
        </w:numPr>
        <w:ind w:left="1134"/>
      </w:pPr>
      <w:r>
        <w:t>About the same</w:t>
      </w:r>
    </w:p>
    <w:p w14:paraId="61C986BC" w14:textId="440B1BE1" w:rsidR="00F746F3" w:rsidRDefault="00F746F3">
      <w:pPr>
        <w:pStyle w:val="Listnumbered"/>
        <w:spacing w:line="257" w:lineRule="auto"/>
        <w:rPr>
          <w:lang w:eastAsia="en-AU"/>
        </w:rPr>
      </w:pPr>
      <w:r>
        <w:rPr>
          <w:lang w:eastAsia="en-AU"/>
        </w:rPr>
        <w:t xml:space="preserve">Approximately how much higher / lower is your turnover as a result of receiving </w:t>
      </w:r>
      <w:r w:rsidR="00900A5F">
        <w:rPr>
          <w:lang w:eastAsia="en-AU"/>
        </w:rPr>
        <w:t xml:space="preserve">the </w:t>
      </w:r>
      <w:r>
        <w:rPr>
          <w:lang w:eastAsia="en-AU"/>
        </w:rPr>
        <w:t>BRII support?</w:t>
      </w:r>
    </w:p>
    <w:p w14:paraId="0B42D389" w14:textId="77777777" w:rsidR="00F746F3" w:rsidRDefault="00F746F3">
      <w:pPr>
        <w:pStyle w:val="Listnumbered"/>
        <w:spacing w:line="257" w:lineRule="auto"/>
        <w:rPr>
          <w:lang w:eastAsia="en-AU"/>
        </w:rPr>
      </w:pPr>
      <w:r>
        <w:rPr>
          <w:lang w:eastAsia="en-AU"/>
        </w:rPr>
        <w:t>For how many years do you expect that the BRII program will have (or has had) an impact on turnover?</w:t>
      </w:r>
    </w:p>
    <w:p w14:paraId="7E8E238A" w14:textId="0A4C3757" w:rsidR="00F746F3" w:rsidRDefault="00F746F3">
      <w:pPr>
        <w:pStyle w:val="Listnumbered"/>
        <w:spacing w:line="257" w:lineRule="auto"/>
        <w:rPr>
          <w:lang w:eastAsia="en-AU"/>
        </w:rPr>
      </w:pPr>
      <w:r>
        <w:rPr>
          <w:lang w:eastAsia="en-AU"/>
        </w:rPr>
        <w:lastRenderedPageBreak/>
        <w:t xml:space="preserve">Still thinking again about the change to your turnover as a result of your involvement with </w:t>
      </w:r>
      <w:r w:rsidR="006E71DC">
        <w:rPr>
          <w:lang w:eastAsia="en-AU"/>
        </w:rPr>
        <w:t xml:space="preserve">the </w:t>
      </w:r>
      <w:r>
        <w:rPr>
          <w:lang w:eastAsia="en-AU"/>
        </w:rPr>
        <w:t>BRII, what proportion of this change would you attribute to the Proof of Concept stage?</w:t>
      </w:r>
    </w:p>
    <w:p w14:paraId="5F239170" w14:textId="2DF65D3F" w:rsidR="00F746F3" w:rsidRPr="00F746F3" w:rsidRDefault="00F746F3">
      <w:pPr>
        <w:pStyle w:val="Listnumbered"/>
        <w:spacing w:line="257" w:lineRule="auto"/>
        <w:rPr>
          <w:lang w:eastAsia="en-AU"/>
        </w:rPr>
      </w:pPr>
      <w:r>
        <w:rPr>
          <w:lang w:eastAsia="en-AU"/>
        </w:rPr>
        <w:t>Are there any final comments that you would like to make about the design and management of the BRII program?</w:t>
      </w:r>
    </w:p>
    <w:p w14:paraId="57B90237" w14:textId="508535DA" w:rsidR="006B74D1" w:rsidRDefault="00CB6E48">
      <w:pPr>
        <w:pStyle w:val="xAppendixLevel3"/>
      </w:pPr>
      <w:r>
        <w:t>Feasibility SME survey</w:t>
      </w:r>
    </w:p>
    <w:p w14:paraId="1F913B71" w14:textId="77777777" w:rsidR="00765CDE" w:rsidRPr="00F746F3" w:rsidRDefault="00765CDE" w:rsidP="00765CDE">
      <w:pPr>
        <w:rPr>
          <w:b/>
          <w:bCs/>
          <w:lang w:eastAsia="en-AU"/>
        </w:rPr>
      </w:pPr>
      <w:r>
        <w:rPr>
          <w:b/>
          <w:bCs/>
          <w:lang w:eastAsia="en-AU"/>
        </w:rPr>
        <w:t>About your company</w:t>
      </w:r>
    </w:p>
    <w:p w14:paraId="21A22097" w14:textId="77777777" w:rsidR="00765CDE" w:rsidRPr="002B3C01" w:rsidRDefault="00765CDE">
      <w:pPr>
        <w:pStyle w:val="Listnumbered"/>
        <w:numPr>
          <w:ilvl w:val="0"/>
          <w:numId w:val="35"/>
        </w:numPr>
      </w:pPr>
      <w:r w:rsidRPr="002B3C01">
        <w:t>In what year was your business first established (i.e. started first trading)?</w:t>
      </w:r>
    </w:p>
    <w:p w14:paraId="63C8FFB8" w14:textId="77777777" w:rsidR="00765CDE" w:rsidRPr="002B3C01" w:rsidRDefault="00765CDE">
      <w:pPr>
        <w:pStyle w:val="Listnumbered"/>
        <w:numPr>
          <w:ilvl w:val="0"/>
          <w:numId w:val="36"/>
        </w:numPr>
      </w:pPr>
      <w:r w:rsidRPr="002B3C01">
        <w:t>How many full-time equivalent staff do you currently employ (including self-employment)?</w:t>
      </w:r>
    </w:p>
    <w:p w14:paraId="31071EE5" w14:textId="77777777" w:rsidR="00765CDE" w:rsidRPr="002B3C01" w:rsidRDefault="00765CDE">
      <w:pPr>
        <w:pStyle w:val="Listnumbered"/>
      </w:pPr>
      <w:r w:rsidRPr="002B3C01">
        <w:t>How many full-time equivalent staff were employed by your business at the beginning of the BRII program?</w:t>
      </w:r>
    </w:p>
    <w:p w14:paraId="793903FD" w14:textId="77777777" w:rsidR="00765CDE" w:rsidRPr="002B3C01" w:rsidRDefault="00765CDE">
      <w:pPr>
        <w:pStyle w:val="Listnumbered"/>
      </w:pPr>
      <w:r w:rsidRPr="002B3C01">
        <w:t>What percentage of your competitors are based in Australia?</w:t>
      </w:r>
    </w:p>
    <w:p w14:paraId="1B5B0815" w14:textId="77777777" w:rsidR="00765CDE" w:rsidRPr="002B3C01" w:rsidRDefault="00765CDE">
      <w:pPr>
        <w:pStyle w:val="Listnumbered"/>
      </w:pPr>
      <w:r w:rsidRPr="002B3C01">
        <w:t>What percentage of your business ownership is Australian?</w:t>
      </w:r>
    </w:p>
    <w:p w14:paraId="0E51DB2F" w14:textId="77777777" w:rsidR="00765CDE" w:rsidRPr="002D485E" w:rsidRDefault="00765CDE" w:rsidP="00765CDE">
      <w:pPr>
        <w:rPr>
          <w:b/>
          <w:bCs/>
          <w:lang w:eastAsia="en-AU"/>
        </w:rPr>
      </w:pPr>
      <w:r>
        <w:rPr>
          <w:b/>
          <w:bCs/>
          <w:lang w:eastAsia="en-AU"/>
        </w:rPr>
        <w:t>About your commercial activities</w:t>
      </w:r>
    </w:p>
    <w:p w14:paraId="75524D79" w14:textId="187B7994" w:rsidR="00765CDE" w:rsidRDefault="00765CDE">
      <w:pPr>
        <w:pStyle w:val="Listnumbered"/>
        <w:spacing w:line="257" w:lineRule="auto"/>
        <w:rPr>
          <w:lang w:eastAsia="en-AU"/>
        </w:rPr>
      </w:pPr>
      <w:r>
        <w:rPr>
          <w:lang w:eastAsia="en-AU"/>
        </w:rPr>
        <w:t xml:space="preserve">In which financial year did you first receive </w:t>
      </w:r>
      <w:r w:rsidR="006E71DC">
        <w:rPr>
          <w:lang w:eastAsia="en-AU"/>
        </w:rPr>
        <w:t>the</w:t>
      </w:r>
      <w:r>
        <w:rPr>
          <w:lang w:eastAsia="en-AU"/>
        </w:rPr>
        <w:t xml:space="preserve"> BRII funding for a feasibility study?</w:t>
      </w:r>
    </w:p>
    <w:p w14:paraId="71730C05" w14:textId="6DB7B555" w:rsidR="00765CDE" w:rsidRDefault="00765CDE">
      <w:pPr>
        <w:pStyle w:val="Listnumbered"/>
        <w:spacing w:line="257" w:lineRule="auto"/>
        <w:rPr>
          <w:lang w:eastAsia="en-AU"/>
        </w:rPr>
      </w:pPr>
      <w:r>
        <w:rPr>
          <w:lang w:eastAsia="en-AU"/>
        </w:rPr>
        <w:t xml:space="preserve">What has been the annual turnover of your business in each Financial Year since your first engagement with </w:t>
      </w:r>
      <w:r w:rsidR="006E71DC">
        <w:rPr>
          <w:lang w:eastAsia="en-AU"/>
        </w:rPr>
        <w:t>the</w:t>
      </w:r>
      <w:r>
        <w:rPr>
          <w:lang w:eastAsia="en-AU"/>
        </w:rPr>
        <w:t xml:space="preserve"> BRII, including the year in which you first received funding?</w:t>
      </w:r>
    </w:p>
    <w:p w14:paraId="65A11FC3" w14:textId="77777777" w:rsidR="00765CDE" w:rsidRDefault="00765CDE">
      <w:pPr>
        <w:pStyle w:val="Listnumbered"/>
        <w:spacing w:line="257" w:lineRule="auto"/>
        <w:rPr>
          <w:lang w:eastAsia="en-AU"/>
        </w:rPr>
      </w:pPr>
      <w:r>
        <w:rPr>
          <w:lang w:eastAsia="en-AU"/>
        </w:rPr>
        <w:t>What percentage of your current sales income comes from Australian markets?</w:t>
      </w:r>
    </w:p>
    <w:p w14:paraId="714C7718" w14:textId="77777777" w:rsidR="00765CDE" w:rsidRDefault="00765CDE">
      <w:pPr>
        <w:pStyle w:val="Listnumbered"/>
        <w:spacing w:line="257" w:lineRule="auto"/>
        <w:rPr>
          <w:lang w:eastAsia="en-AU"/>
        </w:rPr>
      </w:pPr>
      <w:r>
        <w:rPr>
          <w:lang w:eastAsia="en-AU"/>
        </w:rPr>
        <w:t>Approximately how much of your current sales income is attributed to government?</w:t>
      </w:r>
    </w:p>
    <w:p w14:paraId="1D81CC35" w14:textId="77777777" w:rsidR="00765CDE" w:rsidRDefault="00765CDE">
      <w:pPr>
        <w:pStyle w:val="Listnumbered"/>
        <w:spacing w:line="257" w:lineRule="auto"/>
        <w:rPr>
          <w:lang w:eastAsia="en-AU"/>
        </w:rPr>
      </w:pPr>
      <w:r>
        <w:rPr>
          <w:lang w:eastAsia="en-AU"/>
        </w:rPr>
        <w:t>What proportion of the goods and services your business purchases are sourced from within Australia?</w:t>
      </w:r>
    </w:p>
    <w:p w14:paraId="1783C3BB" w14:textId="4D5EC79E" w:rsidR="00765CDE" w:rsidRDefault="00765CDE">
      <w:pPr>
        <w:pStyle w:val="Listnumbered"/>
        <w:spacing w:line="257" w:lineRule="auto"/>
        <w:rPr>
          <w:lang w:eastAsia="en-AU"/>
        </w:rPr>
      </w:pPr>
      <w:r>
        <w:rPr>
          <w:lang w:eastAsia="en-AU"/>
        </w:rPr>
        <w:t xml:space="preserve">Other than the support received from </w:t>
      </w:r>
      <w:r w:rsidR="006E71DC">
        <w:rPr>
          <w:lang w:eastAsia="en-AU"/>
        </w:rPr>
        <w:t>the</w:t>
      </w:r>
      <w:r>
        <w:rPr>
          <w:lang w:eastAsia="en-AU"/>
        </w:rPr>
        <w:t xml:space="preserve"> BRII for this project, has your company received any support for technological development for other projects over the last five years either from the Australian government or State governments?</w:t>
      </w:r>
    </w:p>
    <w:p w14:paraId="34F8926F" w14:textId="2F67F982" w:rsidR="00765CDE" w:rsidRDefault="00765CDE">
      <w:pPr>
        <w:pStyle w:val="Listnumbered"/>
        <w:spacing w:line="257" w:lineRule="auto"/>
        <w:rPr>
          <w:lang w:eastAsia="en-AU"/>
        </w:rPr>
      </w:pPr>
      <w:r>
        <w:rPr>
          <w:lang w:eastAsia="en-AU"/>
        </w:rPr>
        <w:t xml:space="preserve">If </w:t>
      </w:r>
      <w:r w:rsidR="00232F64">
        <w:rPr>
          <w:lang w:eastAsia="en-AU"/>
        </w:rPr>
        <w:t>yes</w:t>
      </w:r>
      <w:r>
        <w:rPr>
          <w:lang w:eastAsia="en-AU"/>
        </w:rPr>
        <w:t xml:space="preserve">, how much support was received in total (not including </w:t>
      </w:r>
      <w:r w:rsidR="006E71DC">
        <w:rPr>
          <w:lang w:eastAsia="en-AU"/>
        </w:rPr>
        <w:t>the</w:t>
      </w:r>
      <w:r>
        <w:rPr>
          <w:lang w:eastAsia="en-AU"/>
        </w:rPr>
        <w:t xml:space="preserve"> BRII)?</w:t>
      </w:r>
    </w:p>
    <w:p w14:paraId="3F167A53" w14:textId="77777777" w:rsidR="00765CDE" w:rsidRDefault="00765CDE" w:rsidP="00765CDE">
      <w:pPr>
        <w:rPr>
          <w:b/>
          <w:bCs/>
          <w:lang w:eastAsia="en-AU"/>
        </w:rPr>
      </w:pPr>
      <w:r>
        <w:rPr>
          <w:b/>
          <w:bCs/>
          <w:lang w:eastAsia="en-AU"/>
        </w:rPr>
        <w:t>Management of the BRII program</w:t>
      </w:r>
    </w:p>
    <w:p w14:paraId="5C5F9F5D" w14:textId="77777777" w:rsidR="00765CDE" w:rsidRPr="001B64BE" w:rsidRDefault="00765CDE">
      <w:pPr>
        <w:pStyle w:val="Listnumbered"/>
        <w:spacing w:line="257" w:lineRule="auto"/>
        <w:rPr>
          <w:lang w:eastAsia="en-AU"/>
        </w:rPr>
      </w:pPr>
      <w:r>
        <w:rPr>
          <w:lang w:eastAsia="en-AU"/>
        </w:rPr>
        <w:t>Throughout the initial application phase, to what extent were you satisfied with:</w:t>
      </w:r>
    </w:p>
    <w:p w14:paraId="5B718B20" w14:textId="77777777" w:rsidR="00765CDE" w:rsidRDefault="00765CDE">
      <w:pPr>
        <w:pStyle w:val="Listnumbered"/>
        <w:numPr>
          <w:ilvl w:val="0"/>
          <w:numId w:val="8"/>
        </w:numPr>
        <w:spacing w:line="257" w:lineRule="auto"/>
        <w:rPr>
          <w:lang w:eastAsia="en-AU"/>
        </w:rPr>
      </w:pPr>
      <w:r>
        <w:rPr>
          <w:lang w:eastAsia="en-AU"/>
        </w:rPr>
        <w:t>The information provided about the BRII program prior to your application?</w:t>
      </w:r>
    </w:p>
    <w:p w14:paraId="2DF32A63" w14:textId="77777777" w:rsidR="00765CDE" w:rsidRDefault="00765CDE">
      <w:pPr>
        <w:pStyle w:val="Listnumbered"/>
        <w:numPr>
          <w:ilvl w:val="0"/>
          <w:numId w:val="8"/>
        </w:numPr>
        <w:spacing w:line="257" w:lineRule="auto"/>
        <w:rPr>
          <w:lang w:eastAsia="en-AU"/>
        </w:rPr>
      </w:pPr>
      <w:r>
        <w:rPr>
          <w:lang w:eastAsia="en-AU"/>
        </w:rPr>
        <w:t>The information provided about the details of the challenge you applied for?</w:t>
      </w:r>
    </w:p>
    <w:p w14:paraId="64ADD0AF" w14:textId="77777777" w:rsidR="00765CDE" w:rsidRDefault="00765CDE">
      <w:pPr>
        <w:pStyle w:val="Listnumbered"/>
        <w:numPr>
          <w:ilvl w:val="0"/>
          <w:numId w:val="8"/>
        </w:numPr>
        <w:spacing w:line="257" w:lineRule="auto"/>
        <w:rPr>
          <w:lang w:eastAsia="en-AU"/>
        </w:rPr>
      </w:pPr>
      <w:r>
        <w:rPr>
          <w:lang w:eastAsia="en-AU"/>
        </w:rPr>
        <w:t>The process of submitting your initial application?</w:t>
      </w:r>
    </w:p>
    <w:p w14:paraId="7B2BB6AB" w14:textId="77777777" w:rsidR="00765CDE" w:rsidRDefault="00765CDE">
      <w:pPr>
        <w:pStyle w:val="Listnumbered"/>
        <w:numPr>
          <w:ilvl w:val="0"/>
          <w:numId w:val="8"/>
        </w:numPr>
        <w:spacing w:line="257" w:lineRule="auto"/>
        <w:rPr>
          <w:lang w:eastAsia="en-AU"/>
        </w:rPr>
      </w:pPr>
      <w:r>
        <w:rPr>
          <w:lang w:eastAsia="en-AU"/>
        </w:rPr>
        <w:t>The communication from DISER after your application was submitted?</w:t>
      </w:r>
    </w:p>
    <w:p w14:paraId="570BA9F1" w14:textId="77777777" w:rsidR="00765CDE" w:rsidRDefault="00765CDE">
      <w:pPr>
        <w:pStyle w:val="Listnumbered"/>
        <w:numPr>
          <w:ilvl w:val="0"/>
          <w:numId w:val="8"/>
        </w:numPr>
        <w:spacing w:line="257" w:lineRule="auto"/>
        <w:rPr>
          <w:lang w:eastAsia="en-AU"/>
        </w:rPr>
      </w:pPr>
      <w:r>
        <w:rPr>
          <w:lang w:eastAsia="en-AU"/>
        </w:rPr>
        <w:t>The time that it took until you heard about the result of your application?</w:t>
      </w:r>
    </w:p>
    <w:p w14:paraId="75836B13" w14:textId="77777777" w:rsidR="00765CDE" w:rsidRDefault="00765CDE">
      <w:pPr>
        <w:pStyle w:val="Listnumbered"/>
        <w:spacing w:line="257" w:lineRule="auto"/>
        <w:rPr>
          <w:lang w:eastAsia="en-AU"/>
        </w:rPr>
      </w:pPr>
      <w:r>
        <w:rPr>
          <w:lang w:eastAsia="en-AU"/>
        </w:rPr>
        <w:t>Throughout the feasibility study phase, to what extent were you satisfied with:</w:t>
      </w:r>
    </w:p>
    <w:p w14:paraId="4DAFA0A7" w14:textId="77777777" w:rsidR="00765CDE" w:rsidRDefault="00765CDE">
      <w:pPr>
        <w:pStyle w:val="Listnumbered"/>
        <w:numPr>
          <w:ilvl w:val="0"/>
          <w:numId w:val="16"/>
        </w:numPr>
        <w:spacing w:line="257" w:lineRule="auto"/>
        <w:rPr>
          <w:lang w:eastAsia="en-AU"/>
        </w:rPr>
      </w:pPr>
      <w:r>
        <w:rPr>
          <w:lang w:eastAsia="en-AU"/>
        </w:rPr>
        <w:t>The information and support provided by your challenge agency?</w:t>
      </w:r>
    </w:p>
    <w:p w14:paraId="65B2FE1B" w14:textId="77777777" w:rsidR="00765CDE" w:rsidRDefault="00765CDE">
      <w:pPr>
        <w:pStyle w:val="Listnumbered"/>
        <w:numPr>
          <w:ilvl w:val="0"/>
          <w:numId w:val="16"/>
        </w:numPr>
        <w:spacing w:line="257" w:lineRule="auto"/>
        <w:rPr>
          <w:lang w:eastAsia="en-AU"/>
        </w:rPr>
      </w:pPr>
      <w:r>
        <w:rPr>
          <w:lang w:eastAsia="en-AU"/>
        </w:rPr>
        <w:lastRenderedPageBreak/>
        <w:t>The timeliness and quality of support you received from DISER as you developed the Feasibility Study?</w:t>
      </w:r>
    </w:p>
    <w:p w14:paraId="1ECB510A" w14:textId="77777777" w:rsidR="00765CDE" w:rsidRDefault="00765CDE">
      <w:pPr>
        <w:pStyle w:val="Listnumbered"/>
        <w:numPr>
          <w:ilvl w:val="0"/>
          <w:numId w:val="16"/>
        </w:numPr>
        <w:spacing w:line="257" w:lineRule="auto"/>
        <w:rPr>
          <w:lang w:eastAsia="en-AU"/>
        </w:rPr>
      </w:pPr>
      <w:r>
        <w:rPr>
          <w:lang w:eastAsia="en-AU"/>
        </w:rPr>
        <w:t>The feedback you received on the initial drafts of your Feasibility Study?</w:t>
      </w:r>
    </w:p>
    <w:p w14:paraId="78F0B071" w14:textId="77777777" w:rsidR="00765CDE" w:rsidRDefault="00765CDE">
      <w:pPr>
        <w:pStyle w:val="Listnumbered"/>
        <w:numPr>
          <w:ilvl w:val="0"/>
          <w:numId w:val="16"/>
        </w:numPr>
        <w:spacing w:line="257" w:lineRule="auto"/>
        <w:rPr>
          <w:lang w:eastAsia="en-AU"/>
        </w:rPr>
      </w:pPr>
      <w:r>
        <w:rPr>
          <w:lang w:eastAsia="en-AU"/>
        </w:rPr>
        <w:t>The time that it took to have your Feasibility Study assessed?</w:t>
      </w:r>
    </w:p>
    <w:p w14:paraId="04A0EFF1" w14:textId="3233FD21" w:rsidR="00A55337" w:rsidRDefault="00A55337">
      <w:pPr>
        <w:pStyle w:val="Listnumbered"/>
        <w:numPr>
          <w:ilvl w:val="0"/>
          <w:numId w:val="16"/>
        </w:numPr>
        <w:spacing w:line="257" w:lineRule="auto"/>
        <w:rPr>
          <w:lang w:eastAsia="en-AU"/>
        </w:rPr>
      </w:pPr>
      <w:r>
        <w:rPr>
          <w:lang w:eastAsia="en-AU"/>
        </w:rPr>
        <w:t>The feedback that you received about why you did not progress to the Proof of Concept stage?</w:t>
      </w:r>
    </w:p>
    <w:p w14:paraId="1FD1B888" w14:textId="77777777" w:rsidR="00765CDE" w:rsidRDefault="00765CDE">
      <w:pPr>
        <w:pStyle w:val="Listnumbered"/>
        <w:spacing w:line="257" w:lineRule="auto"/>
        <w:rPr>
          <w:lang w:eastAsia="en-AU"/>
        </w:rPr>
      </w:pPr>
      <w:r>
        <w:rPr>
          <w:lang w:eastAsia="en-AU"/>
        </w:rPr>
        <w:t>Do you wish to make any further comments about your responses to the above?</w:t>
      </w:r>
    </w:p>
    <w:p w14:paraId="4BA10CA7" w14:textId="77777777" w:rsidR="00765CDE" w:rsidRPr="00CF4CB1" w:rsidRDefault="00765CDE" w:rsidP="00765CDE">
      <w:pPr>
        <w:rPr>
          <w:b/>
          <w:bCs/>
          <w:lang w:eastAsia="en-AU"/>
        </w:rPr>
      </w:pPr>
      <w:r>
        <w:rPr>
          <w:b/>
          <w:bCs/>
          <w:lang w:eastAsia="en-AU"/>
        </w:rPr>
        <w:t>Your engagement with government</w:t>
      </w:r>
    </w:p>
    <w:p w14:paraId="7C6F34F0" w14:textId="77777777" w:rsidR="00765CDE" w:rsidRDefault="00765CDE">
      <w:pPr>
        <w:pStyle w:val="Listnumbered"/>
        <w:rPr>
          <w:lang w:eastAsia="en-AU"/>
        </w:rPr>
      </w:pPr>
      <w:r>
        <w:rPr>
          <w:lang w:eastAsia="en-AU"/>
        </w:rPr>
        <w:t xml:space="preserve">How frequently did your company engage with Government clients prior to the BRII program? </w:t>
      </w:r>
    </w:p>
    <w:p w14:paraId="514EC5F6" w14:textId="5E7E9DE6" w:rsidR="00765CDE" w:rsidRDefault="00765CDE">
      <w:pPr>
        <w:pStyle w:val="Listnumbered"/>
        <w:rPr>
          <w:lang w:eastAsia="en-AU"/>
        </w:rPr>
      </w:pPr>
      <w:r>
        <w:rPr>
          <w:lang w:eastAsia="en-AU"/>
        </w:rPr>
        <w:t xml:space="preserve">How many Australian Government tenders did your organisation respond to in the financial year in which you first engaged with </w:t>
      </w:r>
      <w:r w:rsidR="00232F64">
        <w:rPr>
          <w:lang w:eastAsia="en-AU"/>
        </w:rPr>
        <w:t xml:space="preserve">the </w:t>
      </w:r>
      <w:r>
        <w:rPr>
          <w:lang w:eastAsia="en-AU"/>
        </w:rPr>
        <w:t>BRII, through platforms such as AusTender or Digital Marketplace, and government panel arrangements?</w:t>
      </w:r>
    </w:p>
    <w:p w14:paraId="560D4210" w14:textId="77777777" w:rsidR="00765CDE" w:rsidRDefault="00765CDE">
      <w:pPr>
        <w:pStyle w:val="Listnumbered"/>
        <w:rPr>
          <w:lang w:eastAsia="en-AU"/>
        </w:rPr>
      </w:pPr>
      <w:r>
        <w:rPr>
          <w:lang w:eastAsia="en-AU"/>
        </w:rPr>
        <w:t>How many Australian Government tenders did your organisation respond to in the most recent full financial year, through platforms such as AusTender or Digital Marketplace, and government panel arrangements?</w:t>
      </w:r>
    </w:p>
    <w:p w14:paraId="55AC3588" w14:textId="77777777" w:rsidR="00765CDE" w:rsidRDefault="00765CDE">
      <w:pPr>
        <w:pStyle w:val="Listnumbered"/>
        <w:rPr>
          <w:lang w:eastAsia="en-AU"/>
        </w:rPr>
      </w:pPr>
      <w:r>
        <w:rPr>
          <w:lang w:eastAsia="en-AU"/>
        </w:rPr>
        <w:t>To what extent do you agree with the following statements?</w:t>
      </w:r>
    </w:p>
    <w:p w14:paraId="4A8E7474" w14:textId="4F2C2C82" w:rsidR="00765CDE" w:rsidRDefault="00765CDE">
      <w:pPr>
        <w:pStyle w:val="Listnumbered"/>
        <w:numPr>
          <w:ilvl w:val="1"/>
          <w:numId w:val="32"/>
        </w:numPr>
        <w:rPr>
          <w:lang w:eastAsia="en-AU"/>
        </w:rPr>
      </w:pPr>
      <w:r>
        <w:rPr>
          <w:lang w:eastAsia="en-AU"/>
        </w:rPr>
        <w:t xml:space="preserve">Our company’s knowledge of how government operates has increased post participation in </w:t>
      </w:r>
      <w:r w:rsidR="00232F64">
        <w:rPr>
          <w:lang w:eastAsia="en-AU"/>
        </w:rPr>
        <w:t xml:space="preserve">the </w:t>
      </w:r>
      <w:r>
        <w:rPr>
          <w:lang w:eastAsia="en-AU"/>
        </w:rPr>
        <w:t>BRII.</w:t>
      </w:r>
    </w:p>
    <w:p w14:paraId="56165C02" w14:textId="7EE7FA88" w:rsidR="00765CDE" w:rsidRDefault="00765CDE">
      <w:pPr>
        <w:pStyle w:val="Listnumbered"/>
        <w:numPr>
          <w:ilvl w:val="1"/>
          <w:numId w:val="32"/>
        </w:numPr>
        <w:rPr>
          <w:lang w:eastAsia="en-AU"/>
        </w:rPr>
      </w:pPr>
      <w:r>
        <w:rPr>
          <w:lang w:eastAsia="en-AU"/>
        </w:rPr>
        <w:t xml:space="preserve">We are more actively monitoring potential business opportunities with government agencies post participation in </w:t>
      </w:r>
      <w:r w:rsidR="00232F64">
        <w:rPr>
          <w:lang w:eastAsia="en-AU"/>
        </w:rPr>
        <w:t xml:space="preserve">the </w:t>
      </w:r>
      <w:r>
        <w:rPr>
          <w:lang w:eastAsia="en-AU"/>
        </w:rPr>
        <w:t>BRII.</w:t>
      </w:r>
    </w:p>
    <w:p w14:paraId="32D498B6" w14:textId="05ED8893" w:rsidR="00765CDE" w:rsidRDefault="00765CDE">
      <w:pPr>
        <w:pStyle w:val="Listnumbered"/>
        <w:numPr>
          <w:ilvl w:val="1"/>
          <w:numId w:val="32"/>
        </w:numPr>
        <w:rPr>
          <w:lang w:eastAsia="en-AU"/>
        </w:rPr>
      </w:pPr>
      <w:r>
        <w:rPr>
          <w:lang w:eastAsia="en-AU"/>
        </w:rPr>
        <w:t xml:space="preserve">We feel that we are more likely to win work with government agencies post participation in </w:t>
      </w:r>
      <w:r w:rsidR="0075566D">
        <w:rPr>
          <w:lang w:eastAsia="en-AU"/>
        </w:rPr>
        <w:t xml:space="preserve">the </w:t>
      </w:r>
      <w:r>
        <w:rPr>
          <w:lang w:eastAsia="en-AU"/>
        </w:rPr>
        <w:t>BRII.</w:t>
      </w:r>
    </w:p>
    <w:p w14:paraId="20F34BBF" w14:textId="16F46B87" w:rsidR="00765CDE" w:rsidRDefault="00765CDE">
      <w:pPr>
        <w:pStyle w:val="Listnumbered"/>
        <w:numPr>
          <w:ilvl w:val="1"/>
          <w:numId w:val="32"/>
        </w:numPr>
        <w:rPr>
          <w:lang w:eastAsia="en-AU"/>
        </w:rPr>
      </w:pPr>
      <w:r>
        <w:rPr>
          <w:lang w:eastAsia="en-AU"/>
        </w:rPr>
        <w:t xml:space="preserve">We are more proactively pitching business ideas to government agencies post participation in </w:t>
      </w:r>
      <w:r w:rsidR="0075566D">
        <w:rPr>
          <w:lang w:eastAsia="en-AU"/>
        </w:rPr>
        <w:t xml:space="preserve">the </w:t>
      </w:r>
      <w:r>
        <w:rPr>
          <w:lang w:eastAsia="en-AU"/>
        </w:rPr>
        <w:t>BRII.</w:t>
      </w:r>
    </w:p>
    <w:p w14:paraId="0C4D7963" w14:textId="096BC250" w:rsidR="00B5779B" w:rsidRDefault="00B5779B">
      <w:pPr>
        <w:pStyle w:val="Listnumbered"/>
        <w:rPr>
          <w:lang w:eastAsia="en-AU"/>
        </w:rPr>
      </w:pPr>
      <w:r>
        <w:rPr>
          <w:lang w:eastAsia="en-AU"/>
        </w:rPr>
        <w:t>How could DISER have provided support so you were better placed to progress to the proof of concept phase?</w:t>
      </w:r>
    </w:p>
    <w:p w14:paraId="4EBB658E" w14:textId="01E4BDEC" w:rsidR="00B5779B" w:rsidRDefault="00B5779B">
      <w:pPr>
        <w:pStyle w:val="Listnumbered"/>
        <w:rPr>
          <w:lang w:eastAsia="en-AU"/>
        </w:rPr>
      </w:pPr>
      <w:r>
        <w:rPr>
          <w:lang w:eastAsia="en-AU"/>
        </w:rPr>
        <w:t>Is there anything that you would do differently if you participated in the BRII again?</w:t>
      </w:r>
    </w:p>
    <w:p w14:paraId="30AD98C2" w14:textId="77777777" w:rsidR="00765CDE" w:rsidRDefault="00765CDE">
      <w:pPr>
        <w:pStyle w:val="Listnumbered"/>
        <w:rPr>
          <w:lang w:eastAsia="en-AU"/>
        </w:rPr>
      </w:pPr>
      <w:r>
        <w:rPr>
          <w:lang w:eastAsia="en-AU"/>
        </w:rPr>
        <w:t>Do you wish to make any further comments about your responses to the above?</w:t>
      </w:r>
    </w:p>
    <w:p w14:paraId="0ECA1110" w14:textId="77777777" w:rsidR="00765CDE" w:rsidRPr="00943C95" w:rsidRDefault="00765CDE" w:rsidP="00A763DA">
      <w:pPr>
        <w:pStyle w:val="Listnumbered"/>
        <w:numPr>
          <w:ilvl w:val="0"/>
          <w:numId w:val="0"/>
        </w:numPr>
        <w:ind w:left="360" w:hanging="360"/>
        <w:rPr>
          <w:b/>
          <w:bCs/>
          <w:lang w:eastAsia="en-AU"/>
        </w:rPr>
      </w:pPr>
      <w:r>
        <w:rPr>
          <w:b/>
          <w:bCs/>
          <w:lang w:eastAsia="en-AU"/>
        </w:rPr>
        <w:t>Your R&amp;D and commercialisation pipeline</w:t>
      </w:r>
    </w:p>
    <w:p w14:paraId="78FD4A55" w14:textId="77777777" w:rsidR="00765CDE" w:rsidRDefault="00765CDE">
      <w:pPr>
        <w:pStyle w:val="Listnumbered"/>
        <w:spacing w:line="257" w:lineRule="auto"/>
        <w:rPr>
          <w:lang w:eastAsia="en-AU"/>
        </w:rPr>
      </w:pPr>
      <w:r>
        <w:rPr>
          <w:lang w:eastAsia="en-AU"/>
        </w:rPr>
        <w:t>Would your company have pursued this R&amp;D without the BRII funding?</w:t>
      </w:r>
    </w:p>
    <w:p w14:paraId="28198F93" w14:textId="79F8383F" w:rsidR="00765CDE" w:rsidRDefault="00765CDE">
      <w:pPr>
        <w:pStyle w:val="Listnumbered"/>
        <w:spacing w:line="257" w:lineRule="auto"/>
        <w:rPr>
          <w:lang w:eastAsia="en-AU"/>
        </w:rPr>
      </w:pPr>
      <w:r>
        <w:rPr>
          <w:lang w:eastAsia="en-AU"/>
        </w:rPr>
        <w:t xml:space="preserve">Has participating in </w:t>
      </w:r>
      <w:r w:rsidR="0075566D">
        <w:rPr>
          <w:lang w:eastAsia="en-AU"/>
        </w:rPr>
        <w:t xml:space="preserve">the </w:t>
      </w:r>
      <w:r>
        <w:rPr>
          <w:lang w:eastAsia="en-AU"/>
        </w:rPr>
        <w:t>BRII acted as a catalyst for you to develop or expand collaborative relationships with other companies or researchers?</w:t>
      </w:r>
    </w:p>
    <w:p w14:paraId="77A5B511" w14:textId="77777777" w:rsidR="00765CDE" w:rsidRDefault="00765CDE">
      <w:pPr>
        <w:pStyle w:val="Listnumbered"/>
        <w:numPr>
          <w:ilvl w:val="0"/>
          <w:numId w:val="17"/>
        </w:numPr>
        <w:spacing w:line="257" w:lineRule="auto"/>
        <w:rPr>
          <w:lang w:eastAsia="en-AU"/>
        </w:rPr>
      </w:pPr>
      <w:r>
        <w:rPr>
          <w:lang w:eastAsia="en-AU"/>
        </w:rPr>
        <w:t>Please provide any further details you would like to share relating to the previous question.</w:t>
      </w:r>
    </w:p>
    <w:p w14:paraId="2B2055FF" w14:textId="0C980734" w:rsidR="00765CDE" w:rsidRDefault="00765CDE">
      <w:pPr>
        <w:pStyle w:val="Listnumbered"/>
        <w:spacing w:line="257" w:lineRule="auto"/>
        <w:rPr>
          <w:lang w:eastAsia="en-AU"/>
        </w:rPr>
      </w:pPr>
      <w:r>
        <w:rPr>
          <w:lang w:eastAsia="en-AU"/>
        </w:rPr>
        <w:lastRenderedPageBreak/>
        <w:t xml:space="preserve">Have you started to commercialise any of the IP that you have developed under </w:t>
      </w:r>
      <w:r w:rsidR="0075566D">
        <w:rPr>
          <w:lang w:eastAsia="en-AU"/>
        </w:rPr>
        <w:t xml:space="preserve">the </w:t>
      </w:r>
      <w:r>
        <w:rPr>
          <w:lang w:eastAsia="en-AU"/>
        </w:rPr>
        <w:t>BRII, where IP includes but is not limited to, patents, trade secrets, memoranda of understanding and licensing agreements?</w:t>
      </w:r>
    </w:p>
    <w:p w14:paraId="128FE531" w14:textId="77777777" w:rsidR="00765CDE" w:rsidRDefault="00765CDE">
      <w:pPr>
        <w:pStyle w:val="Listnumbered"/>
        <w:numPr>
          <w:ilvl w:val="0"/>
          <w:numId w:val="17"/>
        </w:numPr>
        <w:spacing w:line="257" w:lineRule="auto"/>
        <w:rPr>
          <w:lang w:eastAsia="en-AU"/>
        </w:rPr>
      </w:pPr>
      <w:r>
        <w:rPr>
          <w:lang w:eastAsia="en-AU"/>
        </w:rPr>
        <w:t>Please provide any further details you would like to share relating to the previous question.</w:t>
      </w:r>
    </w:p>
    <w:p w14:paraId="35583C34" w14:textId="77777777" w:rsidR="00765CDE" w:rsidRDefault="00765CDE">
      <w:pPr>
        <w:pStyle w:val="Listnumbered"/>
        <w:numPr>
          <w:ilvl w:val="0"/>
          <w:numId w:val="17"/>
        </w:numPr>
        <w:spacing w:line="257" w:lineRule="auto"/>
        <w:rPr>
          <w:lang w:eastAsia="en-AU"/>
        </w:rPr>
      </w:pPr>
      <w:r>
        <w:rPr>
          <w:lang w:eastAsia="en-AU"/>
        </w:rPr>
        <w:t>If no, are you likely to in the near future?</w:t>
      </w:r>
    </w:p>
    <w:p w14:paraId="150A6199" w14:textId="77777777" w:rsidR="00765CDE" w:rsidRDefault="00765CDE">
      <w:pPr>
        <w:pStyle w:val="Listnumbered"/>
        <w:numPr>
          <w:ilvl w:val="1"/>
          <w:numId w:val="17"/>
        </w:numPr>
        <w:spacing w:line="257" w:lineRule="auto"/>
        <w:rPr>
          <w:lang w:eastAsia="en-AU"/>
        </w:rPr>
      </w:pPr>
      <w:r>
        <w:rPr>
          <w:lang w:eastAsia="en-AU"/>
        </w:rPr>
        <w:t>Please provide any further details you would like to share relating to the previous question.</w:t>
      </w:r>
    </w:p>
    <w:p w14:paraId="4A4EE1BB" w14:textId="77777777" w:rsidR="00765CDE" w:rsidRDefault="00765CDE">
      <w:pPr>
        <w:pStyle w:val="Listnumbered"/>
        <w:spacing w:line="257" w:lineRule="auto"/>
        <w:rPr>
          <w:lang w:eastAsia="en-AU"/>
        </w:rPr>
      </w:pPr>
      <w:r>
        <w:rPr>
          <w:lang w:eastAsia="en-AU"/>
        </w:rPr>
        <w:t>Has your company considered applications of the IP beyond the context of the BRII challenge?</w:t>
      </w:r>
    </w:p>
    <w:p w14:paraId="4F3690C9" w14:textId="77777777" w:rsidR="00765CDE" w:rsidRDefault="00765CDE">
      <w:pPr>
        <w:pStyle w:val="Listnumbered"/>
        <w:numPr>
          <w:ilvl w:val="0"/>
          <w:numId w:val="18"/>
        </w:numPr>
        <w:spacing w:line="257" w:lineRule="auto"/>
        <w:rPr>
          <w:lang w:eastAsia="en-AU"/>
        </w:rPr>
      </w:pPr>
      <w:r>
        <w:rPr>
          <w:lang w:eastAsia="en-AU"/>
        </w:rPr>
        <w:t>Please provide any further details you would like to share relating to the previous question.</w:t>
      </w:r>
    </w:p>
    <w:p w14:paraId="7B5D3E4A" w14:textId="77777777" w:rsidR="00765CDE" w:rsidRDefault="00765CDE">
      <w:pPr>
        <w:pStyle w:val="Listnumbered"/>
        <w:spacing w:line="257" w:lineRule="auto"/>
        <w:rPr>
          <w:lang w:eastAsia="en-AU"/>
        </w:rPr>
      </w:pPr>
      <w:r>
        <w:rPr>
          <w:lang w:eastAsia="en-AU"/>
        </w:rPr>
        <w:t>Has the BRII improved the capability of your business to access national and international markets?</w:t>
      </w:r>
    </w:p>
    <w:p w14:paraId="432BA3D4" w14:textId="77777777" w:rsidR="00765CDE" w:rsidRDefault="00765CDE">
      <w:pPr>
        <w:pStyle w:val="Listnumbered"/>
        <w:numPr>
          <w:ilvl w:val="0"/>
          <w:numId w:val="19"/>
        </w:numPr>
        <w:spacing w:line="257" w:lineRule="auto"/>
        <w:rPr>
          <w:lang w:eastAsia="en-AU"/>
        </w:rPr>
      </w:pPr>
      <w:r>
        <w:rPr>
          <w:lang w:eastAsia="en-AU"/>
        </w:rPr>
        <w:t>Please provide any further details you would like to share relating to the previous question.</w:t>
      </w:r>
    </w:p>
    <w:p w14:paraId="7C38DB19" w14:textId="77777777" w:rsidR="00765CDE" w:rsidRPr="000E03F2" w:rsidRDefault="00765CDE" w:rsidP="00A763DA">
      <w:pPr>
        <w:pStyle w:val="Listnumbered"/>
        <w:numPr>
          <w:ilvl w:val="0"/>
          <w:numId w:val="0"/>
        </w:numPr>
        <w:ind w:left="360" w:hanging="360"/>
        <w:rPr>
          <w:b/>
          <w:bCs/>
          <w:lang w:eastAsia="en-AU"/>
        </w:rPr>
      </w:pPr>
      <w:r>
        <w:rPr>
          <w:b/>
          <w:bCs/>
          <w:lang w:eastAsia="en-AU"/>
        </w:rPr>
        <w:t>Your business outcomes</w:t>
      </w:r>
    </w:p>
    <w:p w14:paraId="2C3A3B2E" w14:textId="06659A10" w:rsidR="00765CDE" w:rsidRDefault="00765CDE">
      <w:pPr>
        <w:pStyle w:val="Listnumbered"/>
        <w:spacing w:line="257" w:lineRule="auto"/>
        <w:rPr>
          <w:lang w:eastAsia="en-AU"/>
        </w:rPr>
      </w:pPr>
      <w:r>
        <w:rPr>
          <w:lang w:eastAsia="en-AU"/>
        </w:rPr>
        <w:t xml:space="preserve">Thinking about the financial impact of </w:t>
      </w:r>
      <w:r w:rsidR="0075566D">
        <w:rPr>
          <w:lang w:eastAsia="en-AU"/>
        </w:rPr>
        <w:t xml:space="preserve">the </w:t>
      </w:r>
      <w:r>
        <w:rPr>
          <w:lang w:eastAsia="en-AU"/>
        </w:rPr>
        <w:t>BRII, as a result of the support received from BRII is your current turnover:</w:t>
      </w:r>
    </w:p>
    <w:p w14:paraId="50FD192B" w14:textId="5461CADD" w:rsidR="00765CDE" w:rsidRDefault="00765CDE">
      <w:pPr>
        <w:pStyle w:val="Bullet"/>
        <w:numPr>
          <w:ilvl w:val="1"/>
          <w:numId w:val="42"/>
        </w:numPr>
        <w:ind w:left="1134"/>
      </w:pPr>
      <w:r>
        <w:t xml:space="preserve">Higher than it would have been without involvement in </w:t>
      </w:r>
      <w:r w:rsidR="0075566D">
        <w:t xml:space="preserve">the </w:t>
      </w:r>
      <w:r>
        <w:t xml:space="preserve">BRII </w:t>
      </w:r>
    </w:p>
    <w:p w14:paraId="18BB6F13" w14:textId="5579E6E9" w:rsidR="00765CDE" w:rsidRDefault="00765CDE">
      <w:pPr>
        <w:pStyle w:val="Bullet"/>
        <w:numPr>
          <w:ilvl w:val="1"/>
          <w:numId w:val="42"/>
        </w:numPr>
        <w:ind w:left="1134"/>
      </w:pPr>
      <w:r>
        <w:t xml:space="preserve">Lower than it would have been without involvement in </w:t>
      </w:r>
      <w:r w:rsidR="0075566D">
        <w:t xml:space="preserve">the </w:t>
      </w:r>
      <w:r>
        <w:t>BRII</w:t>
      </w:r>
    </w:p>
    <w:p w14:paraId="69A0E751" w14:textId="77777777" w:rsidR="00765CDE" w:rsidRDefault="00765CDE">
      <w:pPr>
        <w:pStyle w:val="Bullet"/>
        <w:numPr>
          <w:ilvl w:val="1"/>
          <w:numId w:val="42"/>
        </w:numPr>
        <w:ind w:left="1134"/>
      </w:pPr>
      <w:r>
        <w:t>About the same</w:t>
      </w:r>
    </w:p>
    <w:p w14:paraId="5CD71033" w14:textId="409C4E37" w:rsidR="00765CDE" w:rsidRDefault="00765CDE">
      <w:pPr>
        <w:pStyle w:val="Listnumbered"/>
        <w:spacing w:line="257" w:lineRule="auto"/>
        <w:rPr>
          <w:lang w:eastAsia="en-AU"/>
        </w:rPr>
      </w:pPr>
      <w:r>
        <w:rPr>
          <w:lang w:eastAsia="en-AU"/>
        </w:rPr>
        <w:t xml:space="preserve">Approximately how much higher / lower is your turnover as a result of receiving </w:t>
      </w:r>
      <w:r w:rsidR="0075566D">
        <w:t xml:space="preserve">the </w:t>
      </w:r>
      <w:r>
        <w:rPr>
          <w:lang w:eastAsia="en-AU"/>
        </w:rPr>
        <w:t>BRII support?</w:t>
      </w:r>
    </w:p>
    <w:p w14:paraId="41956572" w14:textId="77777777" w:rsidR="00765CDE" w:rsidRDefault="00765CDE">
      <w:pPr>
        <w:pStyle w:val="Listnumbered"/>
        <w:spacing w:line="257" w:lineRule="auto"/>
        <w:rPr>
          <w:lang w:eastAsia="en-AU"/>
        </w:rPr>
      </w:pPr>
      <w:r>
        <w:rPr>
          <w:lang w:eastAsia="en-AU"/>
        </w:rPr>
        <w:t>For how many years do you expect that the BRII program will have (or has had) an impact on turnover?</w:t>
      </w:r>
    </w:p>
    <w:p w14:paraId="09C3E102" w14:textId="77777777" w:rsidR="00765CDE" w:rsidRDefault="00765CDE">
      <w:pPr>
        <w:pStyle w:val="Listnumbered"/>
        <w:spacing w:line="257" w:lineRule="auto"/>
        <w:rPr>
          <w:lang w:eastAsia="en-AU"/>
        </w:rPr>
      </w:pPr>
      <w:r>
        <w:rPr>
          <w:lang w:eastAsia="en-AU"/>
        </w:rPr>
        <w:t>Are there any final comments that you would like to make about the design and management of the BRII program?</w:t>
      </w:r>
    </w:p>
    <w:p w14:paraId="574010C4" w14:textId="0A7F60DD" w:rsidR="004A4519" w:rsidRDefault="004A4519">
      <w:pPr>
        <w:pStyle w:val="xAppendixLevel3"/>
      </w:pPr>
      <w:r>
        <w:t>Applicant SME survey</w:t>
      </w:r>
    </w:p>
    <w:p w14:paraId="6A24AFCA" w14:textId="77777777" w:rsidR="004A4519" w:rsidRPr="00F746F3" w:rsidRDefault="004A4519" w:rsidP="004A4519">
      <w:pPr>
        <w:rPr>
          <w:b/>
          <w:bCs/>
          <w:lang w:eastAsia="en-AU"/>
        </w:rPr>
      </w:pPr>
      <w:r>
        <w:rPr>
          <w:b/>
          <w:bCs/>
          <w:lang w:eastAsia="en-AU"/>
        </w:rPr>
        <w:t>About your company</w:t>
      </w:r>
    </w:p>
    <w:p w14:paraId="7939C02E" w14:textId="77777777" w:rsidR="004A4519" w:rsidRPr="002B3C01" w:rsidRDefault="004A4519">
      <w:pPr>
        <w:pStyle w:val="Listnumbered"/>
        <w:numPr>
          <w:ilvl w:val="0"/>
          <w:numId w:val="39"/>
        </w:numPr>
      </w:pPr>
      <w:r w:rsidRPr="002B3C01">
        <w:t>In what year was your business first established (i.e. started first trading)?</w:t>
      </w:r>
    </w:p>
    <w:p w14:paraId="62450DBB" w14:textId="2F876BA7" w:rsidR="004A4519" w:rsidRPr="002B3C01" w:rsidRDefault="004A4519">
      <w:pPr>
        <w:pStyle w:val="Listnumbered"/>
      </w:pPr>
      <w:r w:rsidRPr="002B3C01">
        <w:t>How many full-time equivalent staff do you currently employ (including self-employment)?</w:t>
      </w:r>
    </w:p>
    <w:p w14:paraId="0E2CBCBE" w14:textId="77777777" w:rsidR="004A4519" w:rsidRPr="002B3C01" w:rsidRDefault="004A4519">
      <w:pPr>
        <w:pStyle w:val="Listnumbered"/>
      </w:pPr>
      <w:r w:rsidRPr="002B3C01">
        <w:t>How many full-time equivalent staff were employed by your business at the beginning of the BRII program?</w:t>
      </w:r>
    </w:p>
    <w:p w14:paraId="65517786" w14:textId="77777777" w:rsidR="004A4519" w:rsidRPr="002B3C01" w:rsidRDefault="004A4519">
      <w:pPr>
        <w:pStyle w:val="Listnumbered"/>
      </w:pPr>
      <w:r w:rsidRPr="002B3C01">
        <w:t>What percentage of your competitors are based in Australia?</w:t>
      </w:r>
    </w:p>
    <w:p w14:paraId="016339DB" w14:textId="77777777" w:rsidR="004A4519" w:rsidRPr="002B3C01" w:rsidRDefault="004A4519">
      <w:pPr>
        <w:pStyle w:val="Listnumbered"/>
      </w:pPr>
      <w:r w:rsidRPr="002B3C01">
        <w:lastRenderedPageBreak/>
        <w:t>What percentage of your business ownership is Australian?</w:t>
      </w:r>
    </w:p>
    <w:p w14:paraId="56AF48CB" w14:textId="77777777" w:rsidR="004A4519" w:rsidRPr="002D485E" w:rsidRDefault="004A4519" w:rsidP="004A4519">
      <w:pPr>
        <w:rPr>
          <w:b/>
          <w:bCs/>
          <w:lang w:eastAsia="en-AU"/>
        </w:rPr>
      </w:pPr>
      <w:r>
        <w:rPr>
          <w:b/>
          <w:bCs/>
          <w:lang w:eastAsia="en-AU"/>
        </w:rPr>
        <w:t>About your commercial activities</w:t>
      </w:r>
    </w:p>
    <w:p w14:paraId="1D888378" w14:textId="47715817" w:rsidR="004A4519" w:rsidRDefault="004A4519">
      <w:pPr>
        <w:pStyle w:val="Listnumbered"/>
        <w:spacing w:line="257" w:lineRule="auto"/>
        <w:rPr>
          <w:lang w:eastAsia="en-AU"/>
        </w:rPr>
      </w:pPr>
      <w:r>
        <w:rPr>
          <w:lang w:eastAsia="en-AU"/>
        </w:rPr>
        <w:t xml:space="preserve">In which financial year did you first receive </w:t>
      </w:r>
      <w:r w:rsidR="0075566D">
        <w:t xml:space="preserve">the </w:t>
      </w:r>
      <w:r>
        <w:rPr>
          <w:lang w:eastAsia="en-AU"/>
        </w:rPr>
        <w:t>BRII funding for a feasibility study?</w:t>
      </w:r>
    </w:p>
    <w:p w14:paraId="19284ADE" w14:textId="624D4877" w:rsidR="004A4519" w:rsidRDefault="004A4519">
      <w:pPr>
        <w:pStyle w:val="Listnumbered"/>
        <w:spacing w:line="257" w:lineRule="auto"/>
        <w:rPr>
          <w:lang w:eastAsia="en-AU"/>
        </w:rPr>
      </w:pPr>
      <w:r>
        <w:rPr>
          <w:lang w:eastAsia="en-AU"/>
        </w:rPr>
        <w:t xml:space="preserve">What has been the annual turnover of your business in each Financial Year since your first engagement with </w:t>
      </w:r>
      <w:r w:rsidR="0075566D">
        <w:t xml:space="preserve">the </w:t>
      </w:r>
      <w:r>
        <w:rPr>
          <w:lang w:eastAsia="en-AU"/>
        </w:rPr>
        <w:t>BRII, including the year in which you first received funding?</w:t>
      </w:r>
    </w:p>
    <w:p w14:paraId="39CCE9EF" w14:textId="77777777" w:rsidR="004A4519" w:rsidRDefault="004A4519">
      <w:pPr>
        <w:pStyle w:val="Listnumbered"/>
        <w:rPr>
          <w:lang w:eastAsia="en-AU"/>
        </w:rPr>
      </w:pPr>
      <w:r>
        <w:rPr>
          <w:lang w:eastAsia="en-AU"/>
        </w:rPr>
        <w:t>What percentage of your current sales income comes from Australian markets?</w:t>
      </w:r>
    </w:p>
    <w:p w14:paraId="05375403" w14:textId="77777777" w:rsidR="004A4519" w:rsidRDefault="004A4519">
      <w:pPr>
        <w:pStyle w:val="Listnumbered"/>
        <w:rPr>
          <w:lang w:eastAsia="en-AU"/>
        </w:rPr>
      </w:pPr>
      <w:r>
        <w:rPr>
          <w:lang w:eastAsia="en-AU"/>
        </w:rPr>
        <w:t>Approximately how much of your current sales income is attributed to government?</w:t>
      </w:r>
    </w:p>
    <w:p w14:paraId="369EB6EE" w14:textId="77777777" w:rsidR="004A4519" w:rsidRDefault="004A4519">
      <w:pPr>
        <w:pStyle w:val="Listnumbered"/>
        <w:rPr>
          <w:lang w:eastAsia="en-AU"/>
        </w:rPr>
      </w:pPr>
      <w:r>
        <w:rPr>
          <w:lang w:eastAsia="en-AU"/>
        </w:rPr>
        <w:t>What proportion of the goods and services your business purchases are sourced from within Australia?</w:t>
      </w:r>
    </w:p>
    <w:p w14:paraId="01DC9903" w14:textId="77777777" w:rsidR="004A4519" w:rsidRDefault="004A4519">
      <w:pPr>
        <w:pStyle w:val="Listnumbered"/>
        <w:rPr>
          <w:lang w:eastAsia="en-AU"/>
        </w:rPr>
      </w:pPr>
      <w:r>
        <w:rPr>
          <w:lang w:eastAsia="en-AU"/>
        </w:rPr>
        <w:t>Other than the support received from BRII for this project, has your company received any support for technological development for other projects over the last five years either from the Australian government or State governments?</w:t>
      </w:r>
    </w:p>
    <w:p w14:paraId="06E6C5AF" w14:textId="68E7FB01" w:rsidR="004A4519" w:rsidRDefault="004A4519">
      <w:pPr>
        <w:pStyle w:val="Listnumbered"/>
        <w:rPr>
          <w:lang w:eastAsia="en-AU"/>
        </w:rPr>
      </w:pPr>
      <w:r>
        <w:rPr>
          <w:lang w:eastAsia="en-AU"/>
        </w:rPr>
        <w:t xml:space="preserve">If </w:t>
      </w:r>
      <w:r w:rsidR="00A940D5">
        <w:rPr>
          <w:lang w:eastAsia="en-AU"/>
        </w:rPr>
        <w:t>yes</w:t>
      </w:r>
      <w:r>
        <w:rPr>
          <w:lang w:eastAsia="en-AU"/>
        </w:rPr>
        <w:t xml:space="preserve">, how much support was received in total (not including </w:t>
      </w:r>
      <w:r w:rsidR="00356527">
        <w:t xml:space="preserve">the </w:t>
      </w:r>
      <w:r>
        <w:rPr>
          <w:lang w:eastAsia="en-AU"/>
        </w:rPr>
        <w:t>BRII)?</w:t>
      </w:r>
    </w:p>
    <w:p w14:paraId="5E3A89E4" w14:textId="77777777" w:rsidR="004A4519" w:rsidRDefault="004A4519" w:rsidP="004A4519">
      <w:pPr>
        <w:rPr>
          <w:b/>
          <w:bCs/>
          <w:lang w:eastAsia="en-AU"/>
        </w:rPr>
      </w:pPr>
      <w:r>
        <w:rPr>
          <w:b/>
          <w:bCs/>
          <w:lang w:eastAsia="en-AU"/>
        </w:rPr>
        <w:t>Management of the BRII program</w:t>
      </w:r>
    </w:p>
    <w:p w14:paraId="06C8CCF5" w14:textId="77777777" w:rsidR="004A4519" w:rsidRPr="001B64BE" w:rsidRDefault="004A4519">
      <w:pPr>
        <w:pStyle w:val="Listnumbered"/>
        <w:spacing w:line="257" w:lineRule="auto"/>
        <w:rPr>
          <w:lang w:eastAsia="en-AU"/>
        </w:rPr>
      </w:pPr>
      <w:r>
        <w:rPr>
          <w:lang w:eastAsia="en-AU"/>
        </w:rPr>
        <w:t>Throughout the initial application phase, to what extent were you satisfied with:</w:t>
      </w:r>
    </w:p>
    <w:p w14:paraId="606B9517" w14:textId="77777777" w:rsidR="004A4519" w:rsidRDefault="004A4519">
      <w:pPr>
        <w:pStyle w:val="Listnumbered"/>
        <w:numPr>
          <w:ilvl w:val="0"/>
          <w:numId w:val="20"/>
        </w:numPr>
        <w:spacing w:line="257" w:lineRule="auto"/>
        <w:rPr>
          <w:lang w:eastAsia="en-AU"/>
        </w:rPr>
      </w:pPr>
      <w:r>
        <w:rPr>
          <w:lang w:eastAsia="en-AU"/>
        </w:rPr>
        <w:t>The information provided about the BRII program prior to your application?</w:t>
      </w:r>
    </w:p>
    <w:p w14:paraId="1A437524" w14:textId="77777777" w:rsidR="004A4519" w:rsidRDefault="004A4519">
      <w:pPr>
        <w:pStyle w:val="Listnumbered"/>
        <w:numPr>
          <w:ilvl w:val="0"/>
          <w:numId w:val="20"/>
        </w:numPr>
        <w:spacing w:line="257" w:lineRule="auto"/>
        <w:rPr>
          <w:lang w:eastAsia="en-AU"/>
        </w:rPr>
      </w:pPr>
      <w:r>
        <w:rPr>
          <w:lang w:eastAsia="en-AU"/>
        </w:rPr>
        <w:t>The information provided about the details of the challenge you applied for?</w:t>
      </w:r>
    </w:p>
    <w:p w14:paraId="28F19B21" w14:textId="77777777" w:rsidR="004A4519" w:rsidRDefault="004A4519">
      <w:pPr>
        <w:pStyle w:val="Listnumbered"/>
        <w:numPr>
          <w:ilvl w:val="0"/>
          <w:numId w:val="20"/>
        </w:numPr>
        <w:spacing w:line="257" w:lineRule="auto"/>
        <w:rPr>
          <w:lang w:eastAsia="en-AU"/>
        </w:rPr>
      </w:pPr>
      <w:r>
        <w:rPr>
          <w:lang w:eastAsia="en-AU"/>
        </w:rPr>
        <w:t>The process of submitting your initial application?</w:t>
      </w:r>
    </w:p>
    <w:p w14:paraId="57D90B8A" w14:textId="77777777" w:rsidR="004A4519" w:rsidRDefault="004A4519">
      <w:pPr>
        <w:pStyle w:val="Listnumbered"/>
        <w:numPr>
          <w:ilvl w:val="0"/>
          <w:numId w:val="20"/>
        </w:numPr>
        <w:spacing w:line="257" w:lineRule="auto"/>
        <w:rPr>
          <w:lang w:eastAsia="en-AU"/>
        </w:rPr>
      </w:pPr>
      <w:r>
        <w:rPr>
          <w:lang w:eastAsia="en-AU"/>
        </w:rPr>
        <w:t>The communication from DISER after your application was submitted?</w:t>
      </w:r>
    </w:p>
    <w:p w14:paraId="3C9CA312" w14:textId="77777777" w:rsidR="004A4519" w:rsidRDefault="004A4519">
      <w:pPr>
        <w:pStyle w:val="Listnumbered"/>
        <w:numPr>
          <w:ilvl w:val="0"/>
          <w:numId w:val="20"/>
        </w:numPr>
        <w:spacing w:line="257" w:lineRule="auto"/>
        <w:rPr>
          <w:lang w:eastAsia="en-AU"/>
        </w:rPr>
      </w:pPr>
      <w:r>
        <w:rPr>
          <w:lang w:eastAsia="en-AU"/>
        </w:rPr>
        <w:t>The time that it took until you heard about the result of your application?</w:t>
      </w:r>
    </w:p>
    <w:p w14:paraId="504CA6F8" w14:textId="77777777" w:rsidR="004A4519" w:rsidRPr="00CF4CB1" w:rsidRDefault="004A4519" w:rsidP="004A4519">
      <w:pPr>
        <w:rPr>
          <w:b/>
          <w:bCs/>
          <w:lang w:eastAsia="en-AU"/>
        </w:rPr>
      </w:pPr>
      <w:r>
        <w:rPr>
          <w:b/>
          <w:bCs/>
          <w:lang w:eastAsia="en-AU"/>
        </w:rPr>
        <w:t>Your engagement with government</w:t>
      </w:r>
    </w:p>
    <w:p w14:paraId="27AE54A2" w14:textId="77777777" w:rsidR="004A4519" w:rsidRDefault="004A4519">
      <w:pPr>
        <w:pStyle w:val="Listnumbered"/>
        <w:spacing w:line="257" w:lineRule="auto"/>
        <w:rPr>
          <w:lang w:eastAsia="en-AU"/>
        </w:rPr>
      </w:pPr>
      <w:r>
        <w:rPr>
          <w:lang w:eastAsia="en-AU"/>
        </w:rPr>
        <w:t xml:space="preserve">How frequently did your company engage with Government clients prior to the BRII program? </w:t>
      </w:r>
    </w:p>
    <w:p w14:paraId="65F18AD7" w14:textId="748BC1D8" w:rsidR="004A4519" w:rsidRDefault="004A4519">
      <w:pPr>
        <w:pStyle w:val="Listnumbered"/>
        <w:spacing w:line="257" w:lineRule="auto"/>
        <w:rPr>
          <w:lang w:eastAsia="en-AU"/>
        </w:rPr>
      </w:pPr>
      <w:r>
        <w:rPr>
          <w:lang w:eastAsia="en-AU"/>
        </w:rPr>
        <w:t xml:space="preserve">How many Australian Government tenders did your organisation respond to in the financial year in which you first engaged with </w:t>
      </w:r>
      <w:r w:rsidR="00356527">
        <w:t xml:space="preserve">the </w:t>
      </w:r>
      <w:r>
        <w:rPr>
          <w:lang w:eastAsia="en-AU"/>
        </w:rPr>
        <w:t>BRII, through platforms such as AusTender or Digital Marketplace, and government panel arrangements?</w:t>
      </w:r>
    </w:p>
    <w:p w14:paraId="3684C39F" w14:textId="77777777" w:rsidR="004A4519" w:rsidRDefault="004A4519">
      <w:pPr>
        <w:pStyle w:val="Listnumbered"/>
        <w:spacing w:line="257" w:lineRule="auto"/>
        <w:rPr>
          <w:lang w:eastAsia="en-AU"/>
        </w:rPr>
      </w:pPr>
      <w:r>
        <w:rPr>
          <w:lang w:eastAsia="en-AU"/>
        </w:rPr>
        <w:t>How many Australian Government tenders did your organisation respond to in the most recent full financial year, through platforms such as AusTender or Digital Marketplace, and government panel arrangements?</w:t>
      </w:r>
    </w:p>
    <w:p w14:paraId="554194A9" w14:textId="0213392A" w:rsidR="004A4519" w:rsidRDefault="00486FED">
      <w:pPr>
        <w:pStyle w:val="Listnumbered"/>
        <w:spacing w:line="257" w:lineRule="auto"/>
        <w:rPr>
          <w:lang w:eastAsia="en-AU"/>
        </w:rPr>
      </w:pPr>
      <w:r>
        <w:rPr>
          <w:lang w:eastAsia="en-AU"/>
        </w:rPr>
        <w:t xml:space="preserve">Has your engagement with government agencies changed since you applied to </w:t>
      </w:r>
      <w:r w:rsidR="00356527">
        <w:t xml:space="preserve">the </w:t>
      </w:r>
      <w:r>
        <w:rPr>
          <w:lang w:eastAsia="en-AU"/>
        </w:rPr>
        <w:t>BRII?</w:t>
      </w:r>
    </w:p>
    <w:p w14:paraId="68E20249" w14:textId="77777777" w:rsidR="004A4519" w:rsidRDefault="004A4519">
      <w:pPr>
        <w:pStyle w:val="Listnumbered"/>
        <w:spacing w:line="257" w:lineRule="auto"/>
        <w:rPr>
          <w:lang w:eastAsia="en-AU"/>
        </w:rPr>
      </w:pPr>
      <w:r>
        <w:rPr>
          <w:lang w:eastAsia="en-AU"/>
        </w:rPr>
        <w:t>Do you wish to make any further comments about your responses to the above?</w:t>
      </w:r>
    </w:p>
    <w:p w14:paraId="417EA3E7" w14:textId="77777777" w:rsidR="004A4519" w:rsidRPr="00943C95" w:rsidRDefault="004A4519" w:rsidP="00A763DA">
      <w:pPr>
        <w:pStyle w:val="Listnumbered"/>
        <w:numPr>
          <w:ilvl w:val="0"/>
          <w:numId w:val="0"/>
        </w:numPr>
        <w:ind w:left="360" w:hanging="360"/>
        <w:rPr>
          <w:b/>
          <w:bCs/>
          <w:lang w:eastAsia="en-AU"/>
        </w:rPr>
      </w:pPr>
      <w:r>
        <w:rPr>
          <w:b/>
          <w:bCs/>
          <w:lang w:eastAsia="en-AU"/>
        </w:rPr>
        <w:t>Your R&amp;D and commercialisation pipeline</w:t>
      </w:r>
    </w:p>
    <w:p w14:paraId="56CFFE1D" w14:textId="555040DD" w:rsidR="00166699" w:rsidRDefault="009D208F">
      <w:pPr>
        <w:pStyle w:val="Listnumbered"/>
        <w:spacing w:line="257" w:lineRule="auto"/>
        <w:rPr>
          <w:lang w:eastAsia="en-AU"/>
        </w:rPr>
      </w:pPr>
      <w:r>
        <w:rPr>
          <w:lang w:eastAsia="en-AU"/>
        </w:rPr>
        <w:t xml:space="preserve">Did your company pursue this R&amp;D without </w:t>
      </w:r>
      <w:r w:rsidR="00356527">
        <w:t xml:space="preserve">the </w:t>
      </w:r>
      <w:r>
        <w:rPr>
          <w:lang w:eastAsia="en-AU"/>
        </w:rPr>
        <w:t>BRII funding</w:t>
      </w:r>
      <w:r w:rsidR="004A4519">
        <w:rPr>
          <w:lang w:eastAsia="en-AU"/>
        </w:rPr>
        <w:t>?</w:t>
      </w:r>
    </w:p>
    <w:p w14:paraId="18B1D576" w14:textId="1856D903" w:rsidR="00166699" w:rsidRDefault="00166699">
      <w:pPr>
        <w:pStyle w:val="Listnumbered"/>
        <w:numPr>
          <w:ilvl w:val="1"/>
          <w:numId w:val="35"/>
        </w:numPr>
        <w:spacing w:line="257" w:lineRule="auto"/>
        <w:ind w:left="1134"/>
        <w:rPr>
          <w:lang w:eastAsia="en-AU"/>
        </w:rPr>
      </w:pPr>
      <w:r>
        <w:rPr>
          <w:lang w:eastAsia="en-AU"/>
        </w:rPr>
        <w:t>Please provide any further details you would like to share relating to the previous question.</w:t>
      </w:r>
    </w:p>
    <w:p w14:paraId="6875F181" w14:textId="77777777" w:rsidR="00F7424F" w:rsidRDefault="00F7424F">
      <w:pPr>
        <w:pStyle w:val="Listnumbered"/>
        <w:spacing w:line="257" w:lineRule="auto"/>
        <w:rPr>
          <w:lang w:eastAsia="en-AU"/>
        </w:rPr>
      </w:pPr>
      <w:r w:rsidRPr="00F7424F">
        <w:rPr>
          <w:lang w:eastAsia="en-AU"/>
        </w:rPr>
        <w:lastRenderedPageBreak/>
        <w:t>Have you developed or expanded collaborative relationships with other companies or researchers after your application?</w:t>
      </w:r>
    </w:p>
    <w:p w14:paraId="496196C3" w14:textId="77777777" w:rsidR="004A4519" w:rsidRDefault="004A4519">
      <w:pPr>
        <w:pStyle w:val="Listnumbered"/>
        <w:numPr>
          <w:ilvl w:val="0"/>
          <w:numId w:val="21"/>
        </w:numPr>
        <w:spacing w:line="257" w:lineRule="auto"/>
        <w:rPr>
          <w:lang w:eastAsia="en-AU"/>
        </w:rPr>
      </w:pPr>
      <w:r>
        <w:rPr>
          <w:lang w:eastAsia="en-AU"/>
        </w:rPr>
        <w:t>Please provide any further details you would like to share relating to the previous question.</w:t>
      </w:r>
    </w:p>
    <w:p w14:paraId="42E9E308" w14:textId="77777777" w:rsidR="002B4498" w:rsidRDefault="002B4498">
      <w:pPr>
        <w:pStyle w:val="Listnumbered"/>
        <w:spacing w:line="257" w:lineRule="auto"/>
        <w:rPr>
          <w:lang w:eastAsia="en-AU"/>
        </w:rPr>
      </w:pPr>
      <w:r w:rsidRPr="002B4498">
        <w:rPr>
          <w:lang w:eastAsia="en-AU"/>
        </w:rPr>
        <w:t>Have you commercialised any relevant IP to the products/concepts you proposed in your application, where IP includes but is not limited to, patents, trade secrets, memoranda of understanding and licensing agreements?</w:t>
      </w:r>
    </w:p>
    <w:p w14:paraId="4B6415CA" w14:textId="76DACCA6" w:rsidR="004A4519" w:rsidRDefault="004A4519">
      <w:pPr>
        <w:pStyle w:val="Listnumbered"/>
        <w:numPr>
          <w:ilvl w:val="0"/>
          <w:numId w:val="22"/>
        </w:numPr>
        <w:spacing w:line="257" w:lineRule="auto"/>
        <w:rPr>
          <w:lang w:eastAsia="en-AU"/>
        </w:rPr>
      </w:pPr>
      <w:r>
        <w:rPr>
          <w:lang w:eastAsia="en-AU"/>
        </w:rPr>
        <w:t>Please provide any further details you would like to share relating to the previous question.</w:t>
      </w:r>
    </w:p>
    <w:p w14:paraId="59A4B641" w14:textId="77777777" w:rsidR="004A4519" w:rsidRDefault="004A4519">
      <w:pPr>
        <w:pStyle w:val="Listnumbered"/>
        <w:numPr>
          <w:ilvl w:val="0"/>
          <w:numId w:val="22"/>
        </w:numPr>
        <w:spacing w:line="257" w:lineRule="auto"/>
        <w:rPr>
          <w:lang w:eastAsia="en-AU"/>
        </w:rPr>
      </w:pPr>
      <w:r>
        <w:rPr>
          <w:lang w:eastAsia="en-AU"/>
        </w:rPr>
        <w:t>If no, are you likely to in the near future?</w:t>
      </w:r>
    </w:p>
    <w:p w14:paraId="1EF0CD95" w14:textId="77777777" w:rsidR="004A4519" w:rsidRDefault="004A4519">
      <w:pPr>
        <w:pStyle w:val="Listnumbered"/>
        <w:numPr>
          <w:ilvl w:val="1"/>
          <w:numId w:val="22"/>
        </w:numPr>
        <w:spacing w:line="257" w:lineRule="auto"/>
        <w:rPr>
          <w:lang w:eastAsia="en-AU"/>
        </w:rPr>
      </w:pPr>
      <w:r>
        <w:rPr>
          <w:lang w:eastAsia="en-AU"/>
        </w:rPr>
        <w:t>Please provide any further details you would like to share relating to the previous question.</w:t>
      </w:r>
    </w:p>
    <w:p w14:paraId="233C4829" w14:textId="050FF12E" w:rsidR="004A4519" w:rsidRDefault="008A4832">
      <w:pPr>
        <w:pStyle w:val="Listnumbered"/>
        <w:spacing w:line="257" w:lineRule="auto"/>
        <w:rPr>
          <w:lang w:eastAsia="en-AU"/>
        </w:rPr>
      </w:pPr>
      <w:r w:rsidRPr="008A4832">
        <w:rPr>
          <w:lang w:eastAsia="en-AU"/>
        </w:rPr>
        <w:t>Have you improved the capability of your business to access national and international markets since your application?</w:t>
      </w:r>
    </w:p>
    <w:p w14:paraId="5AA90337" w14:textId="77777777" w:rsidR="004A4519" w:rsidRDefault="004A4519">
      <w:pPr>
        <w:pStyle w:val="Listnumbered"/>
        <w:numPr>
          <w:ilvl w:val="0"/>
          <w:numId w:val="23"/>
        </w:numPr>
        <w:spacing w:line="257" w:lineRule="auto"/>
        <w:rPr>
          <w:lang w:eastAsia="en-AU"/>
        </w:rPr>
      </w:pPr>
      <w:r>
        <w:rPr>
          <w:lang w:eastAsia="en-AU"/>
        </w:rPr>
        <w:t>Please provide any further details you would like to share relating to the previous question.</w:t>
      </w:r>
    </w:p>
    <w:p w14:paraId="576C202F" w14:textId="3422FF13" w:rsidR="00CB6E48" w:rsidRPr="00CB6E48" w:rsidRDefault="004A4519">
      <w:pPr>
        <w:pStyle w:val="Listnumbered"/>
        <w:spacing w:line="257" w:lineRule="auto"/>
        <w:rPr>
          <w:lang w:eastAsia="en-AU"/>
        </w:rPr>
      </w:pPr>
      <w:r>
        <w:rPr>
          <w:lang w:eastAsia="en-AU"/>
        </w:rPr>
        <w:t>Are there any final comments that you would like to make about the design and management of the BRII program?</w:t>
      </w:r>
    </w:p>
    <w:p w14:paraId="64C6DC91" w14:textId="62D4628E" w:rsidR="00633B95" w:rsidRPr="0044195D" w:rsidRDefault="0044195D">
      <w:pPr>
        <w:pStyle w:val="xAppendixLevel1"/>
        <w:rPr>
          <w:color w:val="00264D" w:themeColor="background2"/>
        </w:rPr>
      </w:pPr>
      <w:bookmarkStart w:id="220" w:name="_Ref75963532"/>
      <w:bookmarkStart w:id="221" w:name="_Toc124435182"/>
      <w:r>
        <w:rPr>
          <w:color w:val="00264D" w:themeColor="background2"/>
        </w:rPr>
        <w:lastRenderedPageBreak/>
        <w:drawing>
          <wp:anchor distT="0" distB="0" distL="114300" distR="114300" simplePos="0" relativeHeight="251684352" behindDoc="0" locked="0" layoutInCell="1" allowOverlap="1" wp14:anchorId="1DAFABA1" wp14:editId="3EC8372A">
            <wp:simplePos x="0" y="0"/>
            <wp:positionH relativeFrom="margin">
              <wp:posOffset>-984250</wp:posOffset>
            </wp:positionH>
            <wp:positionV relativeFrom="paragraph">
              <wp:posOffset>-786130</wp:posOffset>
            </wp:positionV>
            <wp:extent cx="7632700" cy="1524000"/>
            <wp:effectExtent l="0" t="0" r="6350" b="0"/>
            <wp:wrapNone/>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val="1"/>
                        </a:ext>
                      </a:extLst>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632700" cy="1524000"/>
                    </a:xfrm>
                    <a:prstGeom prst="rect">
                      <a:avLst/>
                    </a:prstGeom>
                    <a:noFill/>
                  </pic:spPr>
                </pic:pic>
              </a:graphicData>
            </a:graphic>
          </wp:anchor>
        </w:drawing>
      </w:r>
      <w:r w:rsidR="00633B95" w:rsidRPr="0044195D">
        <w:rPr>
          <w:color w:val="00264D" w:themeColor="background2"/>
        </w:rPr>
        <w:t>Consultation register</w:t>
      </w:r>
      <w:bookmarkEnd w:id="208"/>
      <w:bookmarkEnd w:id="220"/>
      <w:bookmarkEnd w:id="221"/>
    </w:p>
    <w:p w14:paraId="3E3FF63B" w14:textId="0F96E239" w:rsidR="00633B95" w:rsidRDefault="00633B95" w:rsidP="00633B95">
      <w:pPr>
        <w:spacing w:before="240"/>
        <w:rPr>
          <w:lang w:eastAsia="en-AU"/>
        </w:rPr>
      </w:pPr>
    </w:p>
    <w:p w14:paraId="580EE33B" w14:textId="7E002A6B" w:rsidR="00CC5409" w:rsidRDefault="00CC5409">
      <w:pPr>
        <w:pStyle w:val="xAppendixLevel2"/>
      </w:pPr>
      <w:bookmarkStart w:id="222" w:name="_Toc124435183"/>
      <w:r>
        <w:t>Stakeholder consultation was one evidence stream for this evaluation.</w:t>
      </w:r>
      <w:bookmarkEnd w:id="222"/>
    </w:p>
    <w:p w14:paraId="4286EA19" w14:textId="2311C82A" w:rsidR="006E17DC" w:rsidRDefault="006E17DC" w:rsidP="006E17DC">
      <w:pPr>
        <w:rPr>
          <w:lang w:eastAsia="en-AU"/>
        </w:rPr>
      </w:pPr>
      <w:r w:rsidRPr="006E17DC">
        <w:rPr>
          <w:lang w:eastAsia="en-AU"/>
        </w:rPr>
        <w:t>Over the course of the evaluation</w:t>
      </w:r>
      <w:r w:rsidR="004F7AF3" w:rsidRPr="006E17DC">
        <w:rPr>
          <w:lang w:eastAsia="en-AU"/>
        </w:rPr>
        <w:t>,</w:t>
      </w:r>
      <w:r w:rsidRPr="006E17DC">
        <w:rPr>
          <w:lang w:eastAsia="en-AU"/>
        </w:rPr>
        <w:t xml:space="preserve"> we conducted interviews with representatives from </w:t>
      </w:r>
      <w:r w:rsidR="00C347F8">
        <w:rPr>
          <w:lang w:eastAsia="en-AU"/>
        </w:rPr>
        <w:t xml:space="preserve">the </w:t>
      </w:r>
      <w:r w:rsidR="00D3789D">
        <w:rPr>
          <w:lang w:eastAsia="en-AU"/>
        </w:rPr>
        <w:t>ISA</w:t>
      </w:r>
      <w:r w:rsidRPr="006E17DC">
        <w:rPr>
          <w:lang w:eastAsia="en-AU"/>
        </w:rPr>
        <w:t xml:space="preserve">, the EPC, </w:t>
      </w:r>
      <w:r w:rsidR="00C347F8">
        <w:rPr>
          <w:lang w:eastAsia="en-AU"/>
        </w:rPr>
        <w:t>DISER</w:t>
      </w:r>
      <w:r w:rsidRPr="006E17DC">
        <w:rPr>
          <w:lang w:eastAsia="en-AU"/>
        </w:rPr>
        <w:t>, challenge agencies, proof of concept SMEs, feasibility study SMEs and one SME that submitted an unsuccessful application. We also distributed a brief survey to all SMEs that reached the feasibility study stage of the BRII. The table below, and continued over-page provides a complete list of stakeholders we consulted.</w:t>
      </w:r>
    </w:p>
    <w:p w14:paraId="56F62C92" w14:textId="082BDB3C" w:rsidR="008F33E0" w:rsidRDefault="004217E9" w:rsidP="004217E9">
      <w:pPr>
        <w:pStyle w:val="Caption"/>
      </w:pPr>
      <w:r>
        <w:t xml:space="preserve">Table </w:t>
      </w:r>
      <w:r>
        <w:fldChar w:fldCharType="begin"/>
      </w:r>
      <w:r>
        <w:instrText xml:space="preserve"> SEQ Table \* ARABIC </w:instrText>
      </w:r>
      <w:r>
        <w:fldChar w:fldCharType="separate"/>
      </w:r>
      <w:r w:rsidR="00AE607F">
        <w:rPr>
          <w:noProof/>
        </w:rPr>
        <w:t>18</w:t>
      </w:r>
      <w:r>
        <w:fldChar w:fldCharType="end"/>
      </w:r>
      <w:r>
        <w:t xml:space="preserve"> | List of stakeholders consulted</w:t>
      </w:r>
    </w:p>
    <w:p w14:paraId="15863D34" w14:textId="7DB518E0" w:rsidR="00EF2D2C" w:rsidRPr="00EF2D2C" w:rsidRDefault="00EF2D2C" w:rsidP="00EF2D2C">
      <w:r w:rsidRPr="00541E03">
        <w:rPr>
          <w:rFonts w:asciiTheme="majorHAnsi" w:hAnsiTheme="majorHAnsi" w:cstheme="majorHAnsi"/>
          <w:lang w:eastAsia="en-AU"/>
        </w:rPr>
        <w:t>I</w:t>
      </w:r>
      <w:r>
        <w:rPr>
          <w:rFonts w:asciiTheme="majorHAnsi" w:hAnsiTheme="majorHAnsi" w:cstheme="majorHAnsi"/>
          <w:lang w:eastAsia="en-AU"/>
        </w:rPr>
        <w:t>I</w:t>
      </w:r>
      <w:r w:rsidRPr="00541E03">
        <w:rPr>
          <w:rFonts w:asciiTheme="majorHAnsi" w:hAnsiTheme="majorHAnsi" w:cstheme="majorHAnsi"/>
          <w:lang w:eastAsia="en-AU"/>
        </w:rPr>
        <w:t>SA, EPC and Departmental</w:t>
      </w:r>
    </w:p>
    <w:tbl>
      <w:tblPr>
        <w:tblStyle w:val="NOUSSideHeader1"/>
        <w:tblW w:w="5000" w:type="pct"/>
        <w:tblBorders>
          <w:top w:val="single" w:sz="4" w:space="0" w:color="00264D" w:themeColor="background2"/>
          <w:left w:val="single" w:sz="4" w:space="0" w:color="00264D" w:themeColor="background2"/>
          <w:bottom w:val="single" w:sz="4" w:space="0" w:color="00264D" w:themeColor="background2"/>
          <w:right w:val="single" w:sz="4" w:space="0" w:color="00264D" w:themeColor="background2"/>
          <w:insideH w:val="single" w:sz="4" w:space="0" w:color="00264D" w:themeColor="background2"/>
          <w:insideV w:val="single" w:sz="4" w:space="0" w:color="00264D" w:themeColor="background2"/>
        </w:tblBorders>
        <w:tblLook w:val="0420" w:firstRow="1" w:lastRow="0" w:firstColumn="0" w:lastColumn="0" w:noHBand="0" w:noVBand="1"/>
      </w:tblPr>
      <w:tblGrid>
        <w:gridCol w:w="4460"/>
        <w:gridCol w:w="4460"/>
      </w:tblGrid>
      <w:tr w:rsidR="00541E03" w:rsidRPr="00541E03" w14:paraId="7CC62B16" w14:textId="77777777" w:rsidTr="003C631D">
        <w:trPr>
          <w:cnfStyle w:val="100000000000" w:firstRow="1" w:lastRow="0" w:firstColumn="0" w:lastColumn="0" w:oddVBand="0" w:evenVBand="0" w:oddHBand="0" w:evenHBand="0" w:firstRowFirstColumn="0" w:firstRowLastColumn="0" w:lastRowFirstColumn="0" w:lastRowLastColumn="0"/>
          <w:trHeight w:val="269"/>
        </w:trPr>
        <w:tc>
          <w:tcPr>
            <w:tcW w:w="2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l2br w:val="none" w:sz="0" w:space="0" w:color="auto"/>
              <w:tr2bl w:val="none" w:sz="0" w:space="0" w:color="auto"/>
            </w:tcBorders>
            <w:shd w:val="clear" w:color="auto" w:fill="00264D" w:themeFill="background2"/>
            <w:hideMark/>
          </w:tcPr>
          <w:p w14:paraId="196ABBF0" w14:textId="77777777" w:rsidR="00541E03" w:rsidRPr="00EF2D2C" w:rsidRDefault="00541E03" w:rsidP="00EF2D2C">
            <w:pPr>
              <w:pStyle w:val="TableNheader"/>
              <w:rPr>
                <w:color w:val="FFFFFF" w:themeColor="background1"/>
                <w:lang w:eastAsia="en-AU"/>
              </w:rPr>
            </w:pPr>
            <w:bookmarkStart w:id="223" w:name="_Hlk124432558"/>
            <w:r w:rsidRPr="00EF2D2C">
              <w:rPr>
                <w:color w:val="FFFFFF" w:themeColor="background1"/>
                <w:lang w:val="en-US" w:eastAsia="en-AU"/>
              </w:rPr>
              <w:t>Organisation</w:t>
            </w:r>
          </w:p>
        </w:tc>
        <w:tc>
          <w:tcPr>
            <w:tcW w:w="2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l2br w:val="none" w:sz="0" w:space="0" w:color="auto"/>
              <w:tr2bl w:val="none" w:sz="0" w:space="0" w:color="auto"/>
            </w:tcBorders>
            <w:shd w:val="clear" w:color="auto" w:fill="00264D" w:themeFill="background2"/>
            <w:hideMark/>
          </w:tcPr>
          <w:p w14:paraId="2EB8A607" w14:textId="77777777" w:rsidR="00541E03" w:rsidRPr="00EF2D2C" w:rsidRDefault="00541E03" w:rsidP="00EF2D2C">
            <w:pPr>
              <w:pStyle w:val="TableNheader"/>
              <w:rPr>
                <w:color w:val="FFFFFF" w:themeColor="background1"/>
                <w:lang w:eastAsia="en-AU"/>
              </w:rPr>
            </w:pPr>
            <w:r w:rsidRPr="00EF2D2C">
              <w:rPr>
                <w:color w:val="FFFFFF" w:themeColor="background1"/>
                <w:lang w:val="en-US" w:eastAsia="en-AU"/>
              </w:rPr>
              <w:t>Individual</w:t>
            </w:r>
          </w:p>
        </w:tc>
      </w:tr>
      <w:bookmarkEnd w:id="223"/>
      <w:tr w:rsidR="00541E03" w:rsidRPr="00541E03" w14:paraId="60FEA3BD" w14:textId="77777777" w:rsidTr="003C631D">
        <w:trPr>
          <w:cnfStyle w:val="000000100000" w:firstRow="0" w:lastRow="0" w:firstColumn="0" w:lastColumn="0" w:oddVBand="0" w:evenVBand="0" w:oddHBand="1" w:evenHBand="0" w:firstRowFirstColumn="0" w:firstRowLastColumn="0" w:lastRowFirstColumn="0" w:lastRowLastColumn="0"/>
          <w:trHeight w:val="394"/>
        </w:trPr>
        <w:tc>
          <w:tcPr>
            <w:tcW w:w="2500" w:type="pct"/>
            <w:tcBorders>
              <w:top w:val="single" w:sz="4" w:space="0" w:color="FFFFFF" w:themeColor="background1"/>
            </w:tcBorders>
            <w:hideMark/>
          </w:tcPr>
          <w:p w14:paraId="4ACDB81D" w14:textId="037DC84B" w:rsidR="00541E03" w:rsidRPr="00541E03" w:rsidRDefault="00D3789D" w:rsidP="00BF15AD">
            <w:pPr>
              <w:pStyle w:val="TableNText"/>
              <w:rPr>
                <w:lang w:eastAsia="en-AU"/>
              </w:rPr>
            </w:pPr>
            <w:r>
              <w:rPr>
                <w:lang w:eastAsia="en-AU"/>
              </w:rPr>
              <w:t>I</w:t>
            </w:r>
            <w:r w:rsidR="009249CD">
              <w:rPr>
                <w:lang w:eastAsia="en-AU"/>
              </w:rPr>
              <w:t>I</w:t>
            </w:r>
            <w:r>
              <w:rPr>
                <w:lang w:eastAsia="en-AU"/>
              </w:rPr>
              <w:t>SA</w:t>
            </w:r>
          </w:p>
        </w:tc>
        <w:tc>
          <w:tcPr>
            <w:tcW w:w="2500" w:type="pct"/>
            <w:tcBorders>
              <w:top w:val="single" w:sz="4" w:space="0" w:color="FFFFFF" w:themeColor="background1"/>
            </w:tcBorders>
            <w:hideMark/>
          </w:tcPr>
          <w:p w14:paraId="1B8B0B2A" w14:textId="77777777" w:rsidR="00541E03" w:rsidRDefault="00541E03">
            <w:pPr>
              <w:pStyle w:val="TableNBullet"/>
            </w:pPr>
            <w:r w:rsidRPr="00541E03">
              <w:rPr>
                <w:rFonts w:eastAsia="Segoe UI"/>
              </w:rPr>
              <w:t>Kate Cameron</w:t>
            </w:r>
          </w:p>
          <w:p w14:paraId="511D02BB" w14:textId="55C01FE4" w:rsidR="00541E03" w:rsidRPr="00541E03" w:rsidRDefault="00541E03">
            <w:pPr>
              <w:pStyle w:val="TableNBullet"/>
            </w:pPr>
            <w:r>
              <w:t xml:space="preserve">Andrew </w:t>
            </w:r>
            <w:r w:rsidR="00BF15AD">
              <w:t>Stevens</w:t>
            </w:r>
          </w:p>
        </w:tc>
      </w:tr>
      <w:tr w:rsidR="00541E03" w:rsidRPr="00541E03" w14:paraId="09B27BDF" w14:textId="77777777" w:rsidTr="003C631D">
        <w:trPr>
          <w:cnfStyle w:val="000000010000" w:firstRow="0" w:lastRow="0" w:firstColumn="0" w:lastColumn="0" w:oddVBand="0" w:evenVBand="0" w:oddHBand="0" w:evenHBand="1" w:firstRowFirstColumn="0" w:firstRowLastColumn="0" w:lastRowFirstColumn="0" w:lastRowLastColumn="0"/>
          <w:trHeight w:val="251"/>
        </w:trPr>
        <w:tc>
          <w:tcPr>
            <w:tcW w:w="2500" w:type="pct"/>
            <w:hideMark/>
          </w:tcPr>
          <w:p w14:paraId="23DC6167" w14:textId="3E372486" w:rsidR="00541E03" w:rsidRPr="00541E03" w:rsidRDefault="00A66108" w:rsidP="00BF15AD">
            <w:pPr>
              <w:pStyle w:val="TableNText"/>
              <w:rPr>
                <w:lang w:eastAsia="en-AU"/>
              </w:rPr>
            </w:pPr>
            <w:r>
              <w:rPr>
                <w:lang w:val="en-US" w:eastAsia="en-AU"/>
              </w:rPr>
              <w:t>EPC</w:t>
            </w:r>
          </w:p>
        </w:tc>
        <w:tc>
          <w:tcPr>
            <w:tcW w:w="2500" w:type="pct"/>
            <w:hideMark/>
          </w:tcPr>
          <w:p w14:paraId="58917ACB" w14:textId="77777777" w:rsidR="00541E03" w:rsidRPr="00541E03" w:rsidRDefault="00541E03">
            <w:pPr>
              <w:pStyle w:val="TableNBullet"/>
            </w:pPr>
            <w:r w:rsidRPr="00541E03">
              <w:rPr>
                <w:rFonts w:eastAsia="Segoe UI"/>
                <w:lang w:val="en-US"/>
              </w:rPr>
              <w:t>Steve Telburn</w:t>
            </w:r>
          </w:p>
          <w:p w14:paraId="6020976F" w14:textId="77777777" w:rsidR="00541E03" w:rsidRPr="00541E03" w:rsidRDefault="00541E03">
            <w:pPr>
              <w:pStyle w:val="TableNBullet"/>
            </w:pPr>
            <w:r w:rsidRPr="00541E03">
              <w:rPr>
                <w:rFonts w:eastAsia="Segoe UI"/>
                <w:lang w:val="en-US"/>
              </w:rPr>
              <w:t>Tony Surtees</w:t>
            </w:r>
          </w:p>
          <w:p w14:paraId="5D5E676C" w14:textId="77777777" w:rsidR="00541E03" w:rsidRPr="00541E03" w:rsidRDefault="00541E03">
            <w:pPr>
              <w:pStyle w:val="TableNBullet"/>
            </w:pPr>
            <w:r w:rsidRPr="00541E03">
              <w:rPr>
                <w:rFonts w:eastAsia="Segoe UI"/>
                <w:lang w:val="en-US"/>
              </w:rPr>
              <w:t>Bessi Graham</w:t>
            </w:r>
          </w:p>
        </w:tc>
      </w:tr>
      <w:tr w:rsidR="00541E03" w:rsidRPr="00541E03" w14:paraId="0EDCDE2B" w14:textId="77777777" w:rsidTr="003C631D">
        <w:trPr>
          <w:cnfStyle w:val="000000100000" w:firstRow="0" w:lastRow="0" w:firstColumn="0" w:lastColumn="0" w:oddVBand="0" w:evenVBand="0" w:oddHBand="1" w:evenHBand="0" w:firstRowFirstColumn="0" w:firstRowLastColumn="0" w:lastRowFirstColumn="0" w:lastRowLastColumn="0"/>
          <w:trHeight w:val="824"/>
        </w:trPr>
        <w:tc>
          <w:tcPr>
            <w:tcW w:w="2500" w:type="pct"/>
            <w:hideMark/>
          </w:tcPr>
          <w:p w14:paraId="1F46C120" w14:textId="7E4BCBE0" w:rsidR="00541E03" w:rsidRPr="00541E03" w:rsidRDefault="009249CD" w:rsidP="00BF15AD">
            <w:pPr>
              <w:pStyle w:val="TableNText"/>
              <w:rPr>
                <w:lang w:eastAsia="en-AU"/>
              </w:rPr>
            </w:pPr>
            <w:r>
              <w:rPr>
                <w:lang w:val="en-US" w:eastAsia="en-AU"/>
              </w:rPr>
              <w:t>DISER</w:t>
            </w:r>
          </w:p>
        </w:tc>
        <w:tc>
          <w:tcPr>
            <w:tcW w:w="2500" w:type="pct"/>
            <w:hideMark/>
          </w:tcPr>
          <w:p w14:paraId="786BBB6B" w14:textId="46AFFDAE" w:rsidR="00541E03" w:rsidRPr="00541E03" w:rsidRDefault="00541E03">
            <w:pPr>
              <w:pStyle w:val="TableNBullet"/>
            </w:pPr>
            <w:r w:rsidRPr="00541E03">
              <w:rPr>
                <w:rFonts w:eastAsia="Segoe UI"/>
                <w:lang w:val="en-US"/>
              </w:rPr>
              <w:t xml:space="preserve">Jane Urquhart, </w:t>
            </w:r>
            <w:r w:rsidR="006154EF">
              <w:rPr>
                <w:rFonts w:eastAsia="Segoe UI"/>
                <w:lang w:val="en-US"/>
              </w:rPr>
              <w:t>Previous Head of BRII Policy Team</w:t>
            </w:r>
          </w:p>
          <w:p w14:paraId="5801ED0F" w14:textId="4D6670D6" w:rsidR="00541E03" w:rsidRPr="00541E03" w:rsidRDefault="00541E03">
            <w:pPr>
              <w:pStyle w:val="TableNBullet"/>
            </w:pPr>
            <w:r w:rsidRPr="00541E03">
              <w:rPr>
                <w:rFonts w:eastAsia="Segoe UI"/>
                <w:lang w:val="en-US"/>
              </w:rPr>
              <w:t>Rachel Roberts, Communications Branch</w:t>
            </w:r>
          </w:p>
          <w:p w14:paraId="5CF03595" w14:textId="77777777" w:rsidR="00541E03" w:rsidRPr="00541E03" w:rsidRDefault="00541E03">
            <w:pPr>
              <w:pStyle w:val="TableNBullet"/>
            </w:pPr>
            <w:r w:rsidRPr="00541E03">
              <w:rPr>
                <w:rFonts w:eastAsia="Segoe UI"/>
              </w:rPr>
              <w:t>BRII Program Team: Phillip Cole, Peter Hunter, Debra Robertson</w:t>
            </w:r>
          </w:p>
          <w:p w14:paraId="06448CDE" w14:textId="77777777" w:rsidR="00541E03" w:rsidRPr="00541E03" w:rsidRDefault="00541E03">
            <w:pPr>
              <w:pStyle w:val="TableNBullet"/>
            </w:pPr>
            <w:r w:rsidRPr="00541E03">
              <w:rPr>
                <w:rFonts w:eastAsia="Segoe UI"/>
              </w:rPr>
              <w:t>BRII Policy Team: George Makris, Frank Tonkin, Jennifer Muscat</w:t>
            </w:r>
          </w:p>
        </w:tc>
      </w:tr>
    </w:tbl>
    <w:p w14:paraId="3FB79B53" w14:textId="6440B8FF" w:rsidR="00CC5409" w:rsidRDefault="00EF2D2C" w:rsidP="00633B95">
      <w:pPr>
        <w:spacing w:before="240"/>
        <w:rPr>
          <w:lang w:eastAsia="en-AU"/>
        </w:rPr>
      </w:pPr>
      <w:r w:rsidRPr="00541E03">
        <w:rPr>
          <w:rFonts w:asciiTheme="majorHAnsi" w:hAnsiTheme="majorHAnsi" w:cstheme="majorHAnsi"/>
          <w:lang w:eastAsia="en-AU"/>
        </w:rPr>
        <w:t>Challenge agencies</w:t>
      </w:r>
    </w:p>
    <w:tbl>
      <w:tblPr>
        <w:tblStyle w:val="NOUSSideHeader1"/>
        <w:tblW w:w="5000" w:type="pct"/>
        <w:tblBorders>
          <w:top w:val="none" w:sz="0" w:space="0" w:color="auto"/>
          <w:bottom w:val="none" w:sz="0" w:space="0" w:color="auto"/>
          <w:insideH w:val="none" w:sz="0" w:space="0" w:color="auto"/>
        </w:tblBorders>
        <w:tblLook w:val="0420" w:firstRow="1" w:lastRow="0" w:firstColumn="0" w:lastColumn="0" w:noHBand="0" w:noVBand="1"/>
      </w:tblPr>
      <w:tblGrid>
        <w:gridCol w:w="4465"/>
        <w:gridCol w:w="4465"/>
      </w:tblGrid>
      <w:tr w:rsidR="00EF2D2C" w:rsidRPr="00541E03" w14:paraId="523C3D9C" w14:textId="77777777" w:rsidTr="003C631D">
        <w:trPr>
          <w:cnfStyle w:val="100000000000" w:firstRow="1" w:lastRow="0" w:firstColumn="0" w:lastColumn="0" w:oddVBand="0" w:evenVBand="0" w:oddHBand="0" w:evenHBand="0" w:firstRowFirstColumn="0" w:firstRowLastColumn="0" w:lastRowFirstColumn="0" w:lastRowLastColumn="0"/>
          <w:trHeight w:val="394"/>
        </w:trPr>
        <w:tc>
          <w:tcPr>
            <w:tcW w:w="2500" w:type="pct"/>
            <w:tcBorders>
              <w:top w:val="none" w:sz="0" w:space="0" w:color="auto"/>
              <w:left w:val="none" w:sz="0" w:space="0" w:color="auto"/>
              <w:bottom w:val="single" w:sz="4" w:space="0" w:color="00264D" w:themeColor="background2"/>
              <w:right w:val="none" w:sz="0" w:space="0" w:color="auto"/>
              <w:tl2br w:val="none" w:sz="0" w:space="0" w:color="auto"/>
              <w:tr2bl w:val="none" w:sz="0" w:space="0" w:color="auto"/>
            </w:tcBorders>
            <w:shd w:val="clear" w:color="auto" w:fill="00264D" w:themeFill="background2"/>
          </w:tcPr>
          <w:p w14:paraId="1415D11F" w14:textId="6598EC4E" w:rsidR="00EF2D2C" w:rsidRPr="00EF2D2C" w:rsidRDefault="00EF2D2C" w:rsidP="00EF2D2C">
            <w:pPr>
              <w:pStyle w:val="TableNheader"/>
              <w:rPr>
                <w:color w:val="FFFFFF" w:themeColor="background1"/>
                <w:lang w:eastAsia="en-AU"/>
              </w:rPr>
            </w:pPr>
            <w:r w:rsidRPr="00EF2D2C">
              <w:rPr>
                <w:color w:val="FFFFFF" w:themeColor="background1"/>
                <w:lang w:val="en-US" w:eastAsia="en-AU"/>
              </w:rPr>
              <w:t>Organisation</w:t>
            </w:r>
          </w:p>
        </w:tc>
        <w:tc>
          <w:tcPr>
            <w:tcW w:w="2500" w:type="pct"/>
            <w:tcBorders>
              <w:top w:val="none" w:sz="0" w:space="0" w:color="auto"/>
              <w:left w:val="none" w:sz="0" w:space="0" w:color="auto"/>
              <w:bottom w:val="single" w:sz="4" w:space="0" w:color="00264D" w:themeColor="background2"/>
              <w:right w:val="none" w:sz="0" w:space="0" w:color="auto"/>
              <w:tl2br w:val="none" w:sz="0" w:space="0" w:color="auto"/>
              <w:tr2bl w:val="none" w:sz="0" w:space="0" w:color="auto"/>
            </w:tcBorders>
            <w:shd w:val="clear" w:color="auto" w:fill="00264D" w:themeFill="background2"/>
          </w:tcPr>
          <w:p w14:paraId="240440F2" w14:textId="36AE66C5" w:rsidR="00EF2D2C" w:rsidRPr="00EF2D2C" w:rsidRDefault="00EF2D2C" w:rsidP="00EF2D2C">
            <w:pPr>
              <w:pStyle w:val="TableNheader"/>
              <w:rPr>
                <w:rFonts w:eastAsia="Segoe UI"/>
                <w:color w:val="FFFFFF" w:themeColor="background1"/>
              </w:rPr>
            </w:pPr>
            <w:r w:rsidRPr="00EF2D2C">
              <w:rPr>
                <w:color w:val="FFFFFF" w:themeColor="background1"/>
                <w:lang w:val="en-US" w:eastAsia="en-AU"/>
              </w:rPr>
              <w:t>Individual</w:t>
            </w:r>
          </w:p>
        </w:tc>
      </w:tr>
      <w:tr w:rsidR="00EF2D2C" w:rsidRPr="00541E03" w14:paraId="6AB83826" w14:textId="77777777" w:rsidTr="003C631D">
        <w:trPr>
          <w:cnfStyle w:val="000000100000" w:firstRow="0" w:lastRow="0" w:firstColumn="0" w:lastColumn="0" w:oddVBand="0" w:evenVBand="0" w:oddHBand="1" w:evenHBand="0" w:firstRowFirstColumn="0" w:firstRowLastColumn="0" w:lastRowFirstColumn="0" w:lastRowLastColumn="0"/>
          <w:trHeight w:val="394"/>
        </w:trPr>
        <w:tc>
          <w:tcPr>
            <w:tcW w:w="2500"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578CCDDC" w14:textId="77777777" w:rsidR="00EF2D2C" w:rsidRPr="00541E03" w:rsidRDefault="00EF2D2C" w:rsidP="00ED1143">
            <w:pPr>
              <w:pStyle w:val="TableNText"/>
              <w:rPr>
                <w:lang w:eastAsia="en-AU"/>
              </w:rPr>
            </w:pPr>
            <w:r w:rsidRPr="00541E03">
              <w:rPr>
                <w:lang w:eastAsia="en-AU"/>
              </w:rPr>
              <w:t>Department of Agriculture and Water Resources</w:t>
            </w:r>
          </w:p>
        </w:tc>
        <w:tc>
          <w:tcPr>
            <w:tcW w:w="2500"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4FC24404" w14:textId="77777777" w:rsidR="00EF2D2C" w:rsidRPr="00541E03" w:rsidRDefault="00EF2D2C" w:rsidP="00ED1143">
            <w:pPr>
              <w:pStyle w:val="TableNBullet"/>
            </w:pPr>
            <w:r w:rsidRPr="00541E03">
              <w:rPr>
                <w:rFonts w:eastAsia="Segoe UI"/>
              </w:rPr>
              <w:t>Gertraud Norton</w:t>
            </w:r>
          </w:p>
        </w:tc>
      </w:tr>
      <w:tr w:rsidR="00EF2D2C" w:rsidRPr="00541E03" w14:paraId="175C15B1" w14:textId="77777777" w:rsidTr="003C631D">
        <w:trPr>
          <w:cnfStyle w:val="000000010000" w:firstRow="0" w:lastRow="0" w:firstColumn="0" w:lastColumn="0" w:oddVBand="0" w:evenVBand="0" w:oddHBand="0" w:evenHBand="1" w:firstRowFirstColumn="0" w:firstRowLastColumn="0" w:lastRowFirstColumn="0" w:lastRowLastColumn="0"/>
          <w:trHeight w:val="251"/>
        </w:trPr>
        <w:tc>
          <w:tcPr>
            <w:tcW w:w="2500"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384EFCD2" w14:textId="77777777" w:rsidR="00EF2D2C" w:rsidRPr="00541E03" w:rsidRDefault="00EF2D2C" w:rsidP="00ED1143">
            <w:pPr>
              <w:pStyle w:val="TableNText"/>
              <w:rPr>
                <w:lang w:eastAsia="en-AU"/>
              </w:rPr>
            </w:pPr>
            <w:r w:rsidRPr="00541E03">
              <w:rPr>
                <w:lang w:eastAsia="en-AU"/>
              </w:rPr>
              <w:lastRenderedPageBreak/>
              <w:t>Department of Agriculture and Water Resources</w:t>
            </w:r>
          </w:p>
        </w:tc>
        <w:tc>
          <w:tcPr>
            <w:tcW w:w="2500"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4945D729" w14:textId="77777777" w:rsidR="00EF2D2C" w:rsidRPr="00541E03" w:rsidRDefault="00EF2D2C" w:rsidP="00ED1143">
            <w:pPr>
              <w:pStyle w:val="TableNBullet"/>
            </w:pPr>
            <w:r w:rsidRPr="00541E03">
              <w:rPr>
                <w:rFonts w:eastAsia="Segoe UI"/>
              </w:rPr>
              <w:t>David Bouchard</w:t>
            </w:r>
          </w:p>
        </w:tc>
      </w:tr>
      <w:tr w:rsidR="00EF2D2C" w:rsidRPr="00541E03" w14:paraId="12EFB153" w14:textId="77777777" w:rsidTr="003C631D">
        <w:trPr>
          <w:cnfStyle w:val="000000100000" w:firstRow="0" w:lastRow="0" w:firstColumn="0" w:lastColumn="0" w:oddVBand="0" w:evenVBand="0" w:oddHBand="1" w:evenHBand="0" w:firstRowFirstColumn="0" w:firstRowLastColumn="0" w:lastRowFirstColumn="0" w:lastRowLastColumn="0"/>
          <w:trHeight w:val="394"/>
        </w:trPr>
        <w:tc>
          <w:tcPr>
            <w:tcW w:w="2500"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42B8D9F4" w14:textId="77777777" w:rsidR="00EF2D2C" w:rsidRPr="00541E03" w:rsidRDefault="00EF2D2C" w:rsidP="00ED1143">
            <w:pPr>
              <w:pStyle w:val="TableNText"/>
              <w:rPr>
                <w:lang w:eastAsia="en-AU"/>
              </w:rPr>
            </w:pPr>
            <w:r w:rsidRPr="00541E03">
              <w:rPr>
                <w:lang w:eastAsia="en-AU"/>
              </w:rPr>
              <w:t>Austrade</w:t>
            </w:r>
          </w:p>
        </w:tc>
        <w:tc>
          <w:tcPr>
            <w:tcW w:w="2500"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488E3763" w14:textId="77777777" w:rsidR="00EF2D2C" w:rsidRPr="00541E03" w:rsidRDefault="00EF2D2C" w:rsidP="00ED1143">
            <w:pPr>
              <w:pStyle w:val="TableNBullet"/>
            </w:pPr>
            <w:r w:rsidRPr="00541E03">
              <w:rPr>
                <w:rFonts w:eastAsia="Segoe UI"/>
              </w:rPr>
              <w:t>David Smith</w:t>
            </w:r>
          </w:p>
        </w:tc>
      </w:tr>
      <w:tr w:rsidR="00EF2D2C" w:rsidRPr="00541E03" w14:paraId="0105C345" w14:textId="77777777" w:rsidTr="003C631D">
        <w:trPr>
          <w:cnfStyle w:val="000000010000" w:firstRow="0" w:lastRow="0" w:firstColumn="0" w:lastColumn="0" w:oddVBand="0" w:evenVBand="0" w:oddHBand="0" w:evenHBand="1" w:firstRowFirstColumn="0" w:firstRowLastColumn="0" w:lastRowFirstColumn="0" w:lastRowLastColumn="0"/>
          <w:trHeight w:val="394"/>
        </w:trPr>
        <w:tc>
          <w:tcPr>
            <w:tcW w:w="2500"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10728742" w14:textId="77777777" w:rsidR="00EF2D2C" w:rsidRPr="00541E03" w:rsidRDefault="00EF2D2C" w:rsidP="00ED1143">
            <w:pPr>
              <w:pStyle w:val="TableNText"/>
              <w:rPr>
                <w:lang w:eastAsia="en-AU"/>
              </w:rPr>
            </w:pPr>
            <w:r w:rsidRPr="00541E03">
              <w:rPr>
                <w:lang w:eastAsia="en-AU"/>
              </w:rPr>
              <w:t>Human Services Australia</w:t>
            </w:r>
          </w:p>
        </w:tc>
        <w:tc>
          <w:tcPr>
            <w:tcW w:w="2500"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14BBBB1B" w14:textId="77777777" w:rsidR="00EF2D2C" w:rsidRPr="00541E03" w:rsidRDefault="00EF2D2C" w:rsidP="00ED1143">
            <w:pPr>
              <w:pStyle w:val="TableNBullet"/>
            </w:pPr>
            <w:r w:rsidRPr="00541E03">
              <w:rPr>
                <w:rFonts w:eastAsia="Segoe UI"/>
              </w:rPr>
              <w:t>Kate Sare</w:t>
            </w:r>
          </w:p>
        </w:tc>
      </w:tr>
      <w:tr w:rsidR="00EF2D2C" w:rsidRPr="00541E03" w14:paraId="79156F43" w14:textId="77777777" w:rsidTr="003C631D">
        <w:trPr>
          <w:cnfStyle w:val="000000100000" w:firstRow="0" w:lastRow="0" w:firstColumn="0" w:lastColumn="0" w:oddVBand="0" w:evenVBand="0" w:oddHBand="1" w:evenHBand="0" w:firstRowFirstColumn="0" w:firstRowLastColumn="0" w:lastRowFirstColumn="0" w:lastRowLastColumn="0"/>
          <w:trHeight w:val="394"/>
        </w:trPr>
        <w:tc>
          <w:tcPr>
            <w:tcW w:w="2500"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5520D3FB" w14:textId="77777777" w:rsidR="00EF2D2C" w:rsidRPr="00541E03" w:rsidRDefault="00EF2D2C" w:rsidP="00ED1143">
            <w:pPr>
              <w:pStyle w:val="TableNText"/>
              <w:rPr>
                <w:lang w:eastAsia="en-AU"/>
              </w:rPr>
            </w:pPr>
            <w:r w:rsidRPr="00541E03">
              <w:rPr>
                <w:lang w:eastAsia="en-AU"/>
              </w:rPr>
              <w:t>Digital Transformation Agency</w:t>
            </w:r>
          </w:p>
        </w:tc>
        <w:tc>
          <w:tcPr>
            <w:tcW w:w="2500"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67711A93" w14:textId="77777777" w:rsidR="00EF2D2C" w:rsidRPr="00541E03" w:rsidRDefault="00EF2D2C" w:rsidP="00ED1143">
            <w:pPr>
              <w:pStyle w:val="TableNBullet"/>
            </w:pPr>
            <w:r w:rsidRPr="00541E03">
              <w:rPr>
                <w:rFonts w:eastAsia="Segoe UI"/>
              </w:rPr>
              <w:t>Craig Cowan</w:t>
            </w:r>
          </w:p>
        </w:tc>
      </w:tr>
      <w:tr w:rsidR="00EF2D2C" w:rsidRPr="00541E03" w14:paraId="323777A6" w14:textId="77777777" w:rsidTr="003C631D">
        <w:trPr>
          <w:cnfStyle w:val="000000010000" w:firstRow="0" w:lastRow="0" w:firstColumn="0" w:lastColumn="0" w:oddVBand="0" w:evenVBand="0" w:oddHBand="0" w:evenHBand="1" w:firstRowFirstColumn="0" w:firstRowLastColumn="0" w:lastRowFirstColumn="0" w:lastRowLastColumn="0"/>
          <w:trHeight w:val="394"/>
        </w:trPr>
        <w:tc>
          <w:tcPr>
            <w:tcW w:w="2500"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465A52D4" w14:textId="77777777" w:rsidR="00EF2D2C" w:rsidRPr="00541E03" w:rsidRDefault="00EF2D2C" w:rsidP="00ED1143">
            <w:pPr>
              <w:pStyle w:val="TableNText"/>
              <w:rPr>
                <w:lang w:eastAsia="en-AU"/>
              </w:rPr>
            </w:pPr>
            <w:r w:rsidRPr="00541E03">
              <w:rPr>
                <w:lang w:eastAsia="en-AU"/>
              </w:rPr>
              <w:t>Austrac</w:t>
            </w:r>
          </w:p>
        </w:tc>
        <w:tc>
          <w:tcPr>
            <w:tcW w:w="2500"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122861AA" w14:textId="77777777" w:rsidR="00EF2D2C" w:rsidRPr="00541E03" w:rsidRDefault="00EF2D2C" w:rsidP="00ED1143">
            <w:pPr>
              <w:pStyle w:val="TableNBullet"/>
            </w:pPr>
            <w:r w:rsidRPr="00541E03">
              <w:rPr>
                <w:rFonts w:eastAsia="Segoe UI"/>
              </w:rPr>
              <w:t>Julie Wynn</w:t>
            </w:r>
          </w:p>
        </w:tc>
      </w:tr>
      <w:tr w:rsidR="00EF2D2C" w:rsidRPr="00541E03" w14:paraId="4A114311" w14:textId="77777777" w:rsidTr="003C631D">
        <w:trPr>
          <w:cnfStyle w:val="000000100000" w:firstRow="0" w:lastRow="0" w:firstColumn="0" w:lastColumn="0" w:oddVBand="0" w:evenVBand="0" w:oddHBand="1" w:evenHBand="0" w:firstRowFirstColumn="0" w:firstRowLastColumn="0" w:lastRowFirstColumn="0" w:lastRowLastColumn="0"/>
          <w:trHeight w:val="394"/>
        </w:trPr>
        <w:tc>
          <w:tcPr>
            <w:tcW w:w="2500"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14F5DA53" w14:textId="77777777" w:rsidR="00EF2D2C" w:rsidRPr="00541E03" w:rsidRDefault="00EF2D2C" w:rsidP="00ED1143">
            <w:pPr>
              <w:pStyle w:val="TableNText"/>
              <w:rPr>
                <w:lang w:eastAsia="en-AU"/>
              </w:rPr>
            </w:pPr>
            <w:r w:rsidRPr="00541E03">
              <w:rPr>
                <w:lang w:eastAsia="en-AU"/>
              </w:rPr>
              <w:t>Department of Industry, Innovation and Science</w:t>
            </w:r>
          </w:p>
        </w:tc>
        <w:tc>
          <w:tcPr>
            <w:tcW w:w="2500"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36C54C6A" w14:textId="77777777" w:rsidR="00EF2D2C" w:rsidRPr="00541E03" w:rsidRDefault="00EF2D2C" w:rsidP="00ED1143">
            <w:pPr>
              <w:pStyle w:val="TableNBullet"/>
            </w:pPr>
            <w:r w:rsidRPr="00541E03">
              <w:rPr>
                <w:rFonts w:eastAsia="Segoe UI"/>
              </w:rPr>
              <w:t>Damian Carmichael</w:t>
            </w:r>
          </w:p>
        </w:tc>
      </w:tr>
      <w:tr w:rsidR="00EF2D2C" w:rsidRPr="00541E03" w14:paraId="2A3B83C1" w14:textId="77777777" w:rsidTr="003C631D">
        <w:trPr>
          <w:cnfStyle w:val="000000010000" w:firstRow="0" w:lastRow="0" w:firstColumn="0" w:lastColumn="0" w:oddVBand="0" w:evenVBand="0" w:oddHBand="0" w:evenHBand="1" w:firstRowFirstColumn="0" w:firstRowLastColumn="0" w:lastRowFirstColumn="0" w:lastRowLastColumn="0"/>
          <w:trHeight w:val="251"/>
        </w:trPr>
        <w:tc>
          <w:tcPr>
            <w:tcW w:w="2500"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1346C4BC" w14:textId="77777777" w:rsidR="00EF2D2C" w:rsidRPr="00541E03" w:rsidRDefault="00EF2D2C" w:rsidP="00ED1143">
            <w:pPr>
              <w:pStyle w:val="TableNText"/>
              <w:rPr>
                <w:lang w:eastAsia="en-AU"/>
              </w:rPr>
            </w:pPr>
            <w:r w:rsidRPr="00541E03">
              <w:rPr>
                <w:lang w:eastAsia="en-AU"/>
              </w:rPr>
              <w:t>Department of Social Services</w:t>
            </w:r>
          </w:p>
        </w:tc>
        <w:tc>
          <w:tcPr>
            <w:tcW w:w="2500"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1CF626CF" w14:textId="77777777" w:rsidR="00EF2D2C" w:rsidRPr="00541E03" w:rsidRDefault="00EF2D2C" w:rsidP="00ED1143">
            <w:pPr>
              <w:pStyle w:val="TableNBullet"/>
            </w:pPr>
            <w:r w:rsidRPr="00541E03">
              <w:rPr>
                <w:rFonts w:eastAsia="Segoe UI"/>
              </w:rPr>
              <w:t>Briony Foster, Owen Griffiths, John Andriunas</w:t>
            </w:r>
          </w:p>
        </w:tc>
      </w:tr>
      <w:tr w:rsidR="00EF2D2C" w:rsidRPr="00541E03" w14:paraId="4684CD12" w14:textId="77777777" w:rsidTr="003C631D">
        <w:trPr>
          <w:cnfStyle w:val="000000100000" w:firstRow="0" w:lastRow="0" w:firstColumn="0" w:lastColumn="0" w:oddVBand="0" w:evenVBand="0" w:oddHBand="1" w:evenHBand="0" w:firstRowFirstColumn="0" w:firstRowLastColumn="0" w:lastRowFirstColumn="0" w:lastRowLastColumn="0"/>
          <w:trHeight w:val="251"/>
        </w:trPr>
        <w:tc>
          <w:tcPr>
            <w:tcW w:w="2500"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483A5190" w14:textId="77777777" w:rsidR="00EF2D2C" w:rsidRPr="00541E03" w:rsidRDefault="00EF2D2C" w:rsidP="00ED1143">
            <w:pPr>
              <w:pStyle w:val="TableNText"/>
              <w:rPr>
                <w:lang w:eastAsia="en-AU"/>
              </w:rPr>
            </w:pPr>
            <w:r>
              <w:rPr>
                <w:lang w:eastAsia="en-AU"/>
              </w:rPr>
              <w:t>Australian Renewable Energy Agency</w:t>
            </w:r>
          </w:p>
        </w:tc>
        <w:tc>
          <w:tcPr>
            <w:tcW w:w="2500"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0057E1F9" w14:textId="77777777" w:rsidR="00EF2D2C" w:rsidRPr="00541E03" w:rsidRDefault="00EF2D2C" w:rsidP="00ED1143">
            <w:pPr>
              <w:pStyle w:val="TableNBullet"/>
            </w:pPr>
            <w:r w:rsidRPr="00541E03">
              <w:rPr>
                <w:rFonts w:eastAsia="Segoe UI"/>
              </w:rPr>
              <w:t>Amy Philbrook</w:t>
            </w:r>
          </w:p>
        </w:tc>
      </w:tr>
      <w:tr w:rsidR="00EF2D2C" w:rsidRPr="00541E03" w14:paraId="3EEF605C" w14:textId="77777777" w:rsidTr="003C631D">
        <w:trPr>
          <w:cnfStyle w:val="000000010000" w:firstRow="0" w:lastRow="0" w:firstColumn="0" w:lastColumn="0" w:oddVBand="0" w:evenVBand="0" w:oddHBand="0" w:evenHBand="1" w:firstRowFirstColumn="0" w:firstRowLastColumn="0" w:lastRowFirstColumn="0" w:lastRowLastColumn="0"/>
          <w:trHeight w:val="251"/>
        </w:trPr>
        <w:tc>
          <w:tcPr>
            <w:tcW w:w="2500"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6FBC0D8B" w14:textId="77777777" w:rsidR="00EF2D2C" w:rsidRPr="00541E03" w:rsidRDefault="00EF2D2C" w:rsidP="00ED1143">
            <w:pPr>
              <w:pStyle w:val="TableNText"/>
              <w:rPr>
                <w:lang w:eastAsia="en-AU"/>
              </w:rPr>
            </w:pPr>
            <w:r w:rsidRPr="00541E03">
              <w:rPr>
                <w:lang w:eastAsia="en-AU"/>
              </w:rPr>
              <w:t>C</w:t>
            </w:r>
            <w:r>
              <w:rPr>
                <w:lang w:eastAsia="en-AU"/>
              </w:rPr>
              <w:t xml:space="preserve">otton </w:t>
            </w:r>
            <w:r w:rsidRPr="00541E03">
              <w:rPr>
                <w:lang w:eastAsia="en-AU"/>
              </w:rPr>
              <w:t>R</w:t>
            </w:r>
            <w:r>
              <w:rPr>
                <w:lang w:eastAsia="en-AU"/>
              </w:rPr>
              <w:t xml:space="preserve">esearch &amp; </w:t>
            </w:r>
            <w:r w:rsidRPr="00541E03">
              <w:rPr>
                <w:lang w:eastAsia="en-AU"/>
              </w:rPr>
              <w:t>D</w:t>
            </w:r>
            <w:r>
              <w:rPr>
                <w:lang w:eastAsia="en-AU"/>
              </w:rPr>
              <w:t xml:space="preserve">evelopment </w:t>
            </w:r>
            <w:r w:rsidRPr="00541E03">
              <w:rPr>
                <w:lang w:eastAsia="en-AU"/>
              </w:rPr>
              <w:t>C</w:t>
            </w:r>
            <w:r>
              <w:rPr>
                <w:lang w:eastAsia="en-AU"/>
              </w:rPr>
              <w:t>orporation</w:t>
            </w:r>
          </w:p>
        </w:tc>
        <w:tc>
          <w:tcPr>
            <w:tcW w:w="2500"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1C608C34" w14:textId="77777777" w:rsidR="00EF2D2C" w:rsidRPr="00541E03" w:rsidRDefault="00EF2D2C" w:rsidP="00ED1143">
            <w:pPr>
              <w:pStyle w:val="TableNBullet"/>
            </w:pPr>
            <w:r w:rsidRPr="00541E03">
              <w:rPr>
                <w:rFonts w:eastAsia="Segoe UI"/>
              </w:rPr>
              <w:t>Susan Mass</w:t>
            </w:r>
          </w:p>
        </w:tc>
      </w:tr>
      <w:tr w:rsidR="00EF2D2C" w:rsidRPr="00541E03" w14:paraId="7AC67FA8" w14:textId="77777777" w:rsidTr="003C631D">
        <w:trPr>
          <w:cnfStyle w:val="000000100000" w:firstRow="0" w:lastRow="0" w:firstColumn="0" w:lastColumn="0" w:oddVBand="0" w:evenVBand="0" w:oddHBand="1" w:evenHBand="0" w:firstRowFirstColumn="0" w:firstRowLastColumn="0" w:lastRowFirstColumn="0" w:lastRowLastColumn="0"/>
          <w:trHeight w:val="251"/>
        </w:trPr>
        <w:tc>
          <w:tcPr>
            <w:tcW w:w="2500"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00508F7A" w14:textId="77777777" w:rsidR="00EF2D2C" w:rsidRPr="00541E03" w:rsidRDefault="00EF2D2C" w:rsidP="00ED1143">
            <w:pPr>
              <w:pStyle w:val="TableNText"/>
              <w:rPr>
                <w:lang w:eastAsia="en-AU"/>
              </w:rPr>
            </w:pPr>
            <w:r w:rsidRPr="00541E03">
              <w:rPr>
                <w:lang w:eastAsia="en-AU"/>
              </w:rPr>
              <w:t>National Archives</w:t>
            </w:r>
          </w:p>
        </w:tc>
        <w:tc>
          <w:tcPr>
            <w:tcW w:w="2500"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2D9CFDEF" w14:textId="77777777" w:rsidR="00EF2D2C" w:rsidRPr="00541E03" w:rsidRDefault="00EF2D2C" w:rsidP="00ED1143">
            <w:pPr>
              <w:pStyle w:val="TableNBullet"/>
            </w:pPr>
            <w:r w:rsidRPr="00541E03">
              <w:rPr>
                <w:rFonts w:eastAsia="Segoe UI"/>
              </w:rPr>
              <w:t>Yaso Arumugam</w:t>
            </w:r>
          </w:p>
        </w:tc>
      </w:tr>
      <w:tr w:rsidR="00EF2D2C" w:rsidRPr="00541E03" w14:paraId="50C392A9" w14:textId="77777777" w:rsidTr="003C631D">
        <w:trPr>
          <w:cnfStyle w:val="000000010000" w:firstRow="0" w:lastRow="0" w:firstColumn="0" w:lastColumn="0" w:oddVBand="0" w:evenVBand="0" w:oddHBand="0" w:evenHBand="1" w:firstRowFirstColumn="0" w:firstRowLastColumn="0" w:lastRowFirstColumn="0" w:lastRowLastColumn="0"/>
          <w:trHeight w:val="251"/>
        </w:trPr>
        <w:tc>
          <w:tcPr>
            <w:tcW w:w="2500"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2C1C4359" w14:textId="77777777" w:rsidR="00EF2D2C" w:rsidRPr="00541E03" w:rsidRDefault="00EF2D2C" w:rsidP="00ED1143">
            <w:pPr>
              <w:pStyle w:val="TableNText"/>
              <w:rPr>
                <w:lang w:eastAsia="en-AU"/>
              </w:rPr>
            </w:pPr>
            <w:r w:rsidRPr="00541E03">
              <w:rPr>
                <w:lang w:eastAsia="en-AU"/>
              </w:rPr>
              <w:t>Department of Agriculture and Water Resources</w:t>
            </w:r>
          </w:p>
        </w:tc>
        <w:tc>
          <w:tcPr>
            <w:tcW w:w="2500"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535075C9" w14:textId="77777777" w:rsidR="00EF2D2C" w:rsidRPr="00541E03" w:rsidRDefault="00EF2D2C" w:rsidP="00ED1143">
            <w:pPr>
              <w:pStyle w:val="TableNBullet"/>
            </w:pPr>
            <w:r w:rsidRPr="00541E03">
              <w:t>Angus Sly</w:t>
            </w:r>
          </w:p>
        </w:tc>
      </w:tr>
    </w:tbl>
    <w:p w14:paraId="556D3D85" w14:textId="5D207E4D" w:rsidR="00EF2D2C" w:rsidRDefault="00EF2D2C" w:rsidP="00633B95">
      <w:pPr>
        <w:spacing w:before="240"/>
        <w:rPr>
          <w:lang w:eastAsia="en-AU"/>
        </w:rPr>
      </w:pPr>
      <w:r w:rsidRPr="008F33E0">
        <w:rPr>
          <w:rFonts w:asciiTheme="majorHAnsi" w:hAnsiTheme="majorHAnsi" w:cstheme="majorHAnsi"/>
          <w:lang w:eastAsia="en-AU"/>
        </w:rPr>
        <w:t>Proof of concept SMEs</w:t>
      </w:r>
    </w:p>
    <w:tbl>
      <w:tblPr>
        <w:tblStyle w:val="NOUSSideHeader1"/>
        <w:tblW w:w="5000" w:type="pct"/>
        <w:tblBorders>
          <w:top w:val="single" w:sz="4" w:space="0" w:color="00264D" w:themeColor="background2"/>
          <w:left w:val="single" w:sz="4" w:space="0" w:color="00264D" w:themeColor="background2"/>
          <w:bottom w:val="single" w:sz="4" w:space="0" w:color="00264D" w:themeColor="background2"/>
          <w:right w:val="single" w:sz="4" w:space="0" w:color="00264D" w:themeColor="background2"/>
          <w:insideH w:val="single" w:sz="4" w:space="0" w:color="00264D" w:themeColor="background2"/>
          <w:insideV w:val="single" w:sz="4" w:space="0" w:color="00264D" w:themeColor="background2"/>
        </w:tblBorders>
        <w:tblLook w:val="0420" w:firstRow="1" w:lastRow="0" w:firstColumn="0" w:lastColumn="0" w:noHBand="0" w:noVBand="1"/>
      </w:tblPr>
      <w:tblGrid>
        <w:gridCol w:w="4460"/>
        <w:gridCol w:w="4460"/>
      </w:tblGrid>
      <w:tr w:rsidR="00EF2D2C" w:rsidRPr="008F33E0" w14:paraId="64CEA8D9" w14:textId="77777777" w:rsidTr="003C631D">
        <w:trPr>
          <w:cnfStyle w:val="100000000000" w:firstRow="1" w:lastRow="0" w:firstColumn="0" w:lastColumn="0" w:oddVBand="0" w:evenVBand="0" w:oddHBand="0" w:evenHBand="0" w:firstRowFirstColumn="0" w:firstRowLastColumn="0" w:lastRowFirstColumn="0" w:lastRowLastColumn="0"/>
          <w:trHeight w:val="251"/>
        </w:trPr>
        <w:tc>
          <w:tcPr>
            <w:tcW w:w="2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l2br w:val="none" w:sz="0" w:space="0" w:color="auto"/>
              <w:tr2bl w:val="none" w:sz="0" w:space="0" w:color="auto"/>
            </w:tcBorders>
            <w:shd w:val="clear" w:color="auto" w:fill="00264D" w:themeFill="background2"/>
          </w:tcPr>
          <w:p w14:paraId="2F657A6B" w14:textId="3052AB31" w:rsidR="00EF2D2C" w:rsidRPr="00EF2D2C" w:rsidRDefault="00EF2D2C" w:rsidP="00EF2D2C">
            <w:pPr>
              <w:pStyle w:val="TableNheader"/>
              <w:rPr>
                <w:color w:val="FFFFFF" w:themeColor="background1"/>
                <w:lang w:eastAsia="en-AU"/>
              </w:rPr>
            </w:pPr>
            <w:r w:rsidRPr="00EF2D2C">
              <w:rPr>
                <w:color w:val="FFFFFF" w:themeColor="background1"/>
                <w:lang w:val="en-US" w:eastAsia="en-AU"/>
              </w:rPr>
              <w:t>Organisation</w:t>
            </w:r>
          </w:p>
        </w:tc>
        <w:tc>
          <w:tcPr>
            <w:tcW w:w="2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l2br w:val="none" w:sz="0" w:space="0" w:color="auto"/>
              <w:tr2bl w:val="none" w:sz="0" w:space="0" w:color="auto"/>
            </w:tcBorders>
            <w:shd w:val="clear" w:color="auto" w:fill="00264D" w:themeFill="background2"/>
          </w:tcPr>
          <w:p w14:paraId="63162D24" w14:textId="7BFD16DF" w:rsidR="00EF2D2C" w:rsidRPr="00EF2D2C" w:rsidRDefault="00EF2D2C" w:rsidP="00EF2D2C">
            <w:pPr>
              <w:pStyle w:val="TableNheader"/>
              <w:rPr>
                <w:rFonts w:eastAsia="Segoe UI"/>
                <w:color w:val="FFFFFF" w:themeColor="background1"/>
              </w:rPr>
            </w:pPr>
            <w:r w:rsidRPr="00EF2D2C">
              <w:rPr>
                <w:color w:val="FFFFFF" w:themeColor="background1"/>
                <w:lang w:val="en-US" w:eastAsia="en-AU"/>
              </w:rPr>
              <w:t>Individual</w:t>
            </w:r>
          </w:p>
        </w:tc>
      </w:tr>
      <w:tr w:rsidR="00EF2D2C" w:rsidRPr="008F33E0" w14:paraId="08F2ADF3" w14:textId="77777777" w:rsidTr="003C631D">
        <w:trPr>
          <w:cnfStyle w:val="000000100000" w:firstRow="0" w:lastRow="0" w:firstColumn="0" w:lastColumn="0" w:oddVBand="0" w:evenVBand="0" w:oddHBand="1" w:evenHBand="0" w:firstRowFirstColumn="0" w:firstRowLastColumn="0" w:lastRowFirstColumn="0" w:lastRowLastColumn="0"/>
          <w:trHeight w:val="251"/>
        </w:trPr>
        <w:tc>
          <w:tcPr>
            <w:tcW w:w="2500" w:type="pct"/>
            <w:tcBorders>
              <w:top w:val="single" w:sz="4" w:space="0" w:color="FFFFFF" w:themeColor="background1"/>
            </w:tcBorders>
            <w:hideMark/>
          </w:tcPr>
          <w:p w14:paraId="58D42E2B" w14:textId="77777777" w:rsidR="00EF2D2C" w:rsidRPr="008F33E0" w:rsidRDefault="00EF2D2C" w:rsidP="00EF2D2C">
            <w:pPr>
              <w:pStyle w:val="TableNText"/>
              <w:rPr>
                <w:lang w:eastAsia="en-AU"/>
              </w:rPr>
            </w:pPr>
            <w:r w:rsidRPr="008F33E0">
              <w:rPr>
                <w:lang w:eastAsia="en-AU"/>
              </w:rPr>
              <w:t>Atamo</w:t>
            </w:r>
          </w:p>
        </w:tc>
        <w:tc>
          <w:tcPr>
            <w:tcW w:w="2500" w:type="pct"/>
            <w:tcBorders>
              <w:top w:val="single" w:sz="4" w:space="0" w:color="FFFFFF" w:themeColor="background1"/>
            </w:tcBorders>
            <w:hideMark/>
          </w:tcPr>
          <w:p w14:paraId="5EFC1D08" w14:textId="77777777" w:rsidR="00EF2D2C" w:rsidRPr="008F33E0" w:rsidRDefault="00EF2D2C" w:rsidP="00EF2D2C">
            <w:pPr>
              <w:pStyle w:val="TableNBullet"/>
            </w:pPr>
            <w:r w:rsidRPr="008F33E0">
              <w:rPr>
                <w:rFonts w:eastAsia="Segoe UI"/>
              </w:rPr>
              <w:t>Peter Barrow</w:t>
            </w:r>
          </w:p>
        </w:tc>
      </w:tr>
      <w:tr w:rsidR="00EF2D2C" w:rsidRPr="008F33E0" w14:paraId="119D91D4" w14:textId="77777777" w:rsidTr="003C631D">
        <w:trPr>
          <w:cnfStyle w:val="000000010000" w:firstRow="0" w:lastRow="0" w:firstColumn="0" w:lastColumn="0" w:oddVBand="0" w:evenVBand="0" w:oddHBand="0" w:evenHBand="1" w:firstRowFirstColumn="0" w:firstRowLastColumn="0" w:lastRowFirstColumn="0" w:lastRowLastColumn="0"/>
          <w:trHeight w:val="251"/>
        </w:trPr>
        <w:tc>
          <w:tcPr>
            <w:tcW w:w="2500" w:type="pct"/>
            <w:hideMark/>
          </w:tcPr>
          <w:p w14:paraId="61080849" w14:textId="77777777" w:rsidR="00EF2D2C" w:rsidRPr="008F33E0" w:rsidRDefault="00EF2D2C" w:rsidP="00EF2D2C">
            <w:pPr>
              <w:pStyle w:val="TableNText"/>
              <w:rPr>
                <w:lang w:eastAsia="en-AU"/>
              </w:rPr>
            </w:pPr>
            <w:r w:rsidRPr="008F33E0">
              <w:rPr>
                <w:lang w:eastAsia="en-AU"/>
              </w:rPr>
              <w:t>Marsden Jacob Associates</w:t>
            </w:r>
          </w:p>
        </w:tc>
        <w:tc>
          <w:tcPr>
            <w:tcW w:w="2500" w:type="pct"/>
            <w:hideMark/>
          </w:tcPr>
          <w:p w14:paraId="0C32BD87" w14:textId="77777777" w:rsidR="00EF2D2C" w:rsidRPr="008F33E0" w:rsidRDefault="00EF2D2C" w:rsidP="00EF2D2C">
            <w:pPr>
              <w:pStyle w:val="TableNBullet"/>
            </w:pPr>
            <w:r w:rsidRPr="008F33E0">
              <w:rPr>
                <w:rFonts w:eastAsia="Segoe UI"/>
              </w:rPr>
              <w:t>Rodney Carr</w:t>
            </w:r>
          </w:p>
        </w:tc>
      </w:tr>
      <w:tr w:rsidR="00EF2D2C" w:rsidRPr="008F33E0" w14:paraId="709849C9" w14:textId="77777777" w:rsidTr="003C631D">
        <w:trPr>
          <w:cnfStyle w:val="000000100000" w:firstRow="0" w:lastRow="0" w:firstColumn="0" w:lastColumn="0" w:oddVBand="0" w:evenVBand="0" w:oddHBand="1" w:evenHBand="0" w:firstRowFirstColumn="0" w:firstRowLastColumn="0" w:lastRowFirstColumn="0" w:lastRowLastColumn="0"/>
          <w:trHeight w:val="251"/>
        </w:trPr>
        <w:tc>
          <w:tcPr>
            <w:tcW w:w="2500" w:type="pct"/>
            <w:hideMark/>
          </w:tcPr>
          <w:p w14:paraId="64F024D1" w14:textId="77777777" w:rsidR="00EF2D2C" w:rsidRPr="008F33E0" w:rsidRDefault="00EF2D2C" w:rsidP="00EF2D2C">
            <w:pPr>
              <w:pStyle w:val="TableNText"/>
              <w:rPr>
                <w:lang w:eastAsia="en-AU"/>
              </w:rPr>
            </w:pPr>
            <w:r w:rsidRPr="008F33E0">
              <w:rPr>
                <w:lang w:eastAsia="en-AU"/>
              </w:rPr>
              <w:t>Wejugo</w:t>
            </w:r>
          </w:p>
        </w:tc>
        <w:tc>
          <w:tcPr>
            <w:tcW w:w="2500" w:type="pct"/>
            <w:hideMark/>
          </w:tcPr>
          <w:p w14:paraId="6BC1459B" w14:textId="77777777" w:rsidR="00EF2D2C" w:rsidRPr="008F33E0" w:rsidRDefault="00EF2D2C" w:rsidP="00EF2D2C">
            <w:pPr>
              <w:pStyle w:val="TableNBullet"/>
            </w:pPr>
            <w:r w:rsidRPr="008F33E0">
              <w:rPr>
                <w:rFonts w:eastAsia="Segoe UI"/>
              </w:rPr>
              <w:t>Mike Welling</w:t>
            </w:r>
          </w:p>
        </w:tc>
      </w:tr>
      <w:tr w:rsidR="00EF2D2C" w:rsidRPr="008F33E0" w14:paraId="1945B85E" w14:textId="77777777" w:rsidTr="003C631D">
        <w:trPr>
          <w:cnfStyle w:val="000000010000" w:firstRow="0" w:lastRow="0" w:firstColumn="0" w:lastColumn="0" w:oddVBand="0" w:evenVBand="0" w:oddHBand="0" w:evenHBand="1" w:firstRowFirstColumn="0" w:firstRowLastColumn="0" w:lastRowFirstColumn="0" w:lastRowLastColumn="0"/>
          <w:trHeight w:val="251"/>
        </w:trPr>
        <w:tc>
          <w:tcPr>
            <w:tcW w:w="2500" w:type="pct"/>
            <w:hideMark/>
          </w:tcPr>
          <w:p w14:paraId="1D53953D" w14:textId="77777777" w:rsidR="00EF2D2C" w:rsidRPr="008F33E0" w:rsidRDefault="00EF2D2C" w:rsidP="00EF2D2C">
            <w:pPr>
              <w:pStyle w:val="TableNText"/>
              <w:rPr>
                <w:lang w:eastAsia="en-AU"/>
              </w:rPr>
            </w:pPr>
            <w:r w:rsidRPr="008F33E0">
              <w:rPr>
                <w:lang w:eastAsia="en-AU"/>
              </w:rPr>
              <w:t>Atraxium</w:t>
            </w:r>
          </w:p>
        </w:tc>
        <w:tc>
          <w:tcPr>
            <w:tcW w:w="2500" w:type="pct"/>
            <w:hideMark/>
          </w:tcPr>
          <w:p w14:paraId="2A910A52" w14:textId="77777777" w:rsidR="00EF2D2C" w:rsidRPr="008F33E0" w:rsidRDefault="00EF2D2C" w:rsidP="00EF2D2C">
            <w:pPr>
              <w:pStyle w:val="TableNBullet"/>
            </w:pPr>
            <w:r w:rsidRPr="008F33E0">
              <w:rPr>
                <w:rFonts w:eastAsia="Segoe UI"/>
              </w:rPr>
              <w:t>Scott Ceely</w:t>
            </w:r>
          </w:p>
        </w:tc>
      </w:tr>
      <w:tr w:rsidR="00EF2D2C" w:rsidRPr="008F33E0" w14:paraId="7EDF6BDA" w14:textId="77777777" w:rsidTr="003C631D">
        <w:trPr>
          <w:cnfStyle w:val="000000100000" w:firstRow="0" w:lastRow="0" w:firstColumn="0" w:lastColumn="0" w:oddVBand="0" w:evenVBand="0" w:oddHBand="1" w:evenHBand="0" w:firstRowFirstColumn="0" w:firstRowLastColumn="0" w:lastRowFirstColumn="0" w:lastRowLastColumn="0"/>
          <w:trHeight w:val="251"/>
        </w:trPr>
        <w:tc>
          <w:tcPr>
            <w:tcW w:w="2500" w:type="pct"/>
            <w:hideMark/>
          </w:tcPr>
          <w:p w14:paraId="22BEBA0E" w14:textId="77777777" w:rsidR="00EF2D2C" w:rsidRPr="008F33E0" w:rsidRDefault="00EF2D2C" w:rsidP="00EF2D2C">
            <w:pPr>
              <w:pStyle w:val="TableNText"/>
              <w:rPr>
                <w:lang w:eastAsia="en-AU"/>
              </w:rPr>
            </w:pPr>
            <w:r w:rsidRPr="008F33E0">
              <w:rPr>
                <w:lang w:eastAsia="en-AU"/>
              </w:rPr>
              <w:t>HoustonKemp</w:t>
            </w:r>
          </w:p>
        </w:tc>
        <w:tc>
          <w:tcPr>
            <w:tcW w:w="2500" w:type="pct"/>
            <w:hideMark/>
          </w:tcPr>
          <w:p w14:paraId="09F45EA4" w14:textId="77777777" w:rsidR="00EF2D2C" w:rsidRPr="008F33E0" w:rsidRDefault="00EF2D2C" w:rsidP="00EF2D2C">
            <w:pPr>
              <w:pStyle w:val="TableNBullet"/>
            </w:pPr>
            <w:r w:rsidRPr="008F33E0">
              <w:rPr>
                <w:rFonts w:eastAsia="Segoe UI"/>
              </w:rPr>
              <w:t>Greg Houston</w:t>
            </w:r>
          </w:p>
        </w:tc>
      </w:tr>
      <w:tr w:rsidR="00EF2D2C" w:rsidRPr="008F33E0" w14:paraId="3388095F" w14:textId="77777777" w:rsidTr="003C631D">
        <w:trPr>
          <w:cnfStyle w:val="000000010000" w:firstRow="0" w:lastRow="0" w:firstColumn="0" w:lastColumn="0" w:oddVBand="0" w:evenVBand="0" w:oddHBand="0" w:evenHBand="1" w:firstRowFirstColumn="0" w:firstRowLastColumn="0" w:lastRowFirstColumn="0" w:lastRowLastColumn="0"/>
          <w:trHeight w:val="251"/>
        </w:trPr>
        <w:tc>
          <w:tcPr>
            <w:tcW w:w="2500" w:type="pct"/>
            <w:hideMark/>
          </w:tcPr>
          <w:p w14:paraId="5C3985D3" w14:textId="77777777" w:rsidR="00EF2D2C" w:rsidRPr="008F33E0" w:rsidRDefault="00EF2D2C" w:rsidP="00EF2D2C">
            <w:pPr>
              <w:pStyle w:val="TableNText"/>
              <w:rPr>
                <w:lang w:eastAsia="en-AU"/>
              </w:rPr>
            </w:pPr>
            <w:r w:rsidRPr="008F33E0">
              <w:rPr>
                <w:lang w:eastAsia="en-AU"/>
              </w:rPr>
              <w:t>Lenticular</w:t>
            </w:r>
          </w:p>
        </w:tc>
        <w:tc>
          <w:tcPr>
            <w:tcW w:w="2500" w:type="pct"/>
            <w:hideMark/>
          </w:tcPr>
          <w:p w14:paraId="25CFE4C4" w14:textId="77777777" w:rsidR="00EF2D2C" w:rsidRPr="008F33E0" w:rsidRDefault="00EF2D2C" w:rsidP="00EF2D2C">
            <w:pPr>
              <w:pStyle w:val="TableNBullet"/>
            </w:pPr>
            <w:r w:rsidRPr="008F33E0">
              <w:rPr>
                <w:rFonts w:eastAsia="Segoe UI"/>
              </w:rPr>
              <w:t>Trevor Christie-Taylor</w:t>
            </w:r>
          </w:p>
        </w:tc>
      </w:tr>
      <w:tr w:rsidR="00EF2D2C" w:rsidRPr="008F33E0" w14:paraId="447BBAE1" w14:textId="77777777" w:rsidTr="003C631D">
        <w:trPr>
          <w:cnfStyle w:val="000000100000" w:firstRow="0" w:lastRow="0" w:firstColumn="0" w:lastColumn="0" w:oddVBand="0" w:evenVBand="0" w:oddHBand="1" w:evenHBand="0" w:firstRowFirstColumn="0" w:firstRowLastColumn="0" w:lastRowFirstColumn="0" w:lastRowLastColumn="0"/>
          <w:trHeight w:val="251"/>
        </w:trPr>
        <w:tc>
          <w:tcPr>
            <w:tcW w:w="2500" w:type="pct"/>
            <w:hideMark/>
          </w:tcPr>
          <w:p w14:paraId="04DC5702" w14:textId="77777777" w:rsidR="00EF2D2C" w:rsidRPr="008F33E0" w:rsidRDefault="00EF2D2C" w:rsidP="00EF2D2C">
            <w:pPr>
              <w:pStyle w:val="TableNText"/>
              <w:rPr>
                <w:lang w:eastAsia="en-AU"/>
              </w:rPr>
            </w:pPr>
            <w:r w:rsidRPr="008F33E0">
              <w:rPr>
                <w:lang w:eastAsia="en-AU"/>
              </w:rPr>
              <w:t>Collabforge</w:t>
            </w:r>
          </w:p>
        </w:tc>
        <w:tc>
          <w:tcPr>
            <w:tcW w:w="2500" w:type="pct"/>
            <w:hideMark/>
          </w:tcPr>
          <w:p w14:paraId="1402A4DF" w14:textId="77777777" w:rsidR="00EF2D2C" w:rsidRPr="008F33E0" w:rsidRDefault="00EF2D2C" w:rsidP="00EF2D2C">
            <w:pPr>
              <w:pStyle w:val="TableNBullet"/>
            </w:pPr>
            <w:r w:rsidRPr="008F33E0">
              <w:rPr>
                <w:rFonts w:eastAsia="Segoe UI"/>
              </w:rPr>
              <w:t>Mark Elliot</w:t>
            </w:r>
          </w:p>
        </w:tc>
      </w:tr>
      <w:tr w:rsidR="00EF2D2C" w:rsidRPr="008F33E0" w14:paraId="3A7376C1" w14:textId="77777777" w:rsidTr="003C631D">
        <w:trPr>
          <w:cnfStyle w:val="000000010000" w:firstRow="0" w:lastRow="0" w:firstColumn="0" w:lastColumn="0" w:oddVBand="0" w:evenVBand="0" w:oddHBand="0" w:evenHBand="1" w:firstRowFirstColumn="0" w:firstRowLastColumn="0" w:lastRowFirstColumn="0" w:lastRowLastColumn="0"/>
          <w:trHeight w:val="251"/>
        </w:trPr>
        <w:tc>
          <w:tcPr>
            <w:tcW w:w="2500" w:type="pct"/>
            <w:hideMark/>
          </w:tcPr>
          <w:p w14:paraId="59BD2899" w14:textId="77777777" w:rsidR="00EF2D2C" w:rsidRPr="008F33E0" w:rsidRDefault="00EF2D2C" w:rsidP="00EF2D2C">
            <w:pPr>
              <w:pStyle w:val="TableNText"/>
              <w:rPr>
                <w:lang w:eastAsia="en-AU"/>
              </w:rPr>
            </w:pPr>
            <w:r w:rsidRPr="008F33E0">
              <w:rPr>
                <w:lang w:eastAsia="en-AU"/>
              </w:rPr>
              <w:lastRenderedPageBreak/>
              <w:t>Surround Australia</w:t>
            </w:r>
          </w:p>
        </w:tc>
        <w:tc>
          <w:tcPr>
            <w:tcW w:w="2500" w:type="pct"/>
            <w:hideMark/>
          </w:tcPr>
          <w:p w14:paraId="48CB4DC6" w14:textId="77777777" w:rsidR="00EF2D2C" w:rsidRPr="008F33E0" w:rsidRDefault="00EF2D2C" w:rsidP="00EF2D2C">
            <w:pPr>
              <w:pStyle w:val="TableNBullet"/>
            </w:pPr>
            <w:r w:rsidRPr="008F33E0">
              <w:rPr>
                <w:rFonts w:eastAsia="Segoe UI"/>
              </w:rPr>
              <w:t>Brad McCusker</w:t>
            </w:r>
          </w:p>
        </w:tc>
      </w:tr>
      <w:tr w:rsidR="00EF2D2C" w:rsidRPr="008F33E0" w14:paraId="0CF217E8" w14:textId="77777777" w:rsidTr="003C631D">
        <w:trPr>
          <w:cnfStyle w:val="000000100000" w:firstRow="0" w:lastRow="0" w:firstColumn="0" w:lastColumn="0" w:oddVBand="0" w:evenVBand="0" w:oddHBand="1" w:evenHBand="0" w:firstRowFirstColumn="0" w:firstRowLastColumn="0" w:lastRowFirstColumn="0" w:lastRowLastColumn="0"/>
          <w:trHeight w:val="251"/>
        </w:trPr>
        <w:tc>
          <w:tcPr>
            <w:tcW w:w="2500" w:type="pct"/>
            <w:hideMark/>
          </w:tcPr>
          <w:p w14:paraId="7A9F8B13" w14:textId="77777777" w:rsidR="00EF2D2C" w:rsidRPr="008F33E0" w:rsidRDefault="00EF2D2C" w:rsidP="00EF2D2C">
            <w:pPr>
              <w:pStyle w:val="TableNText"/>
              <w:rPr>
                <w:lang w:eastAsia="en-AU"/>
              </w:rPr>
            </w:pPr>
            <w:r w:rsidRPr="008F33E0">
              <w:rPr>
                <w:lang w:eastAsia="en-AU"/>
              </w:rPr>
              <w:t>Likely Theory</w:t>
            </w:r>
          </w:p>
        </w:tc>
        <w:tc>
          <w:tcPr>
            <w:tcW w:w="2500" w:type="pct"/>
            <w:hideMark/>
          </w:tcPr>
          <w:p w14:paraId="55A7443F" w14:textId="77777777" w:rsidR="00EF2D2C" w:rsidRPr="008F33E0" w:rsidRDefault="00EF2D2C" w:rsidP="00EF2D2C">
            <w:pPr>
              <w:pStyle w:val="TableNBullet"/>
            </w:pPr>
            <w:r w:rsidRPr="008F33E0">
              <w:rPr>
                <w:rFonts w:eastAsia="Segoe UI"/>
              </w:rPr>
              <w:t>Clint Walker</w:t>
            </w:r>
          </w:p>
        </w:tc>
      </w:tr>
      <w:tr w:rsidR="00EF2D2C" w:rsidRPr="008F33E0" w14:paraId="255FC95D" w14:textId="77777777" w:rsidTr="003C631D">
        <w:trPr>
          <w:cnfStyle w:val="000000010000" w:firstRow="0" w:lastRow="0" w:firstColumn="0" w:lastColumn="0" w:oddVBand="0" w:evenVBand="0" w:oddHBand="0" w:evenHBand="1" w:firstRowFirstColumn="0" w:firstRowLastColumn="0" w:lastRowFirstColumn="0" w:lastRowLastColumn="0"/>
          <w:trHeight w:val="251"/>
        </w:trPr>
        <w:tc>
          <w:tcPr>
            <w:tcW w:w="2500" w:type="pct"/>
            <w:hideMark/>
          </w:tcPr>
          <w:p w14:paraId="3E8BCBCA" w14:textId="77777777" w:rsidR="00EF2D2C" w:rsidRPr="008F33E0" w:rsidRDefault="00EF2D2C" w:rsidP="00EF2D2C">
            <w:pPr>
              <w:pStyle w:val="TableNText"/>
              <w:rPr>
                <w:lang w:eastAsia="en-AU"/>
              </w:rPr>
            </w:pPr>
            <w:r w:rsidRPr="008F33E0">
              <w:rPr>
                <w:lang w:eastAsia="en-AU"/>
              </w:rPr>
              <w:t>Factil</w:t>
            </w:r>
          </w:p>
        </w:tc>
        <w:tc>
          <w:tcPr>
            <w:tcW w:w="2500" w:type="pct"/>
            <w:hideMark/>
          </w:tcPr>
          <w:p w14:paraId="1415DA2E" w14:textId="77777777" w:rsidR="00EF2D2C" w:rsidRPr="008F33E0" w:rsidRDefault="00EF2D2C" w:rsidP="00EF2D2C">
            <w:pPr>
              <w:pStyle w:val="TableNBullet"/>
            </w:pPr>
            <w:r w:rsidRPr="008F33E0">
              <w:rPr>
                <w:rFonts w:eastAsia="Segoe UI"/>
              </w:rPr>
              <w:t>Dr Graeme Port</w:t>
            </w:r>
          </w:p>
        </w:tc>
      </w:tr>
      <w:tr w:rsidR="00EF2D2C" w:rsidRPr="008F33E0" w14:paraId="284A3C4F" w14:textId="77777777" w:rsidTr="003C631D">
        <w:trPr>
          <w:cnfStyle w:val="000000100000" w:firstRow="0" w:lastRow="0" w:firstColumn="0" w:lastColumn="0" w:oddVBand="0" w:evenVBand="0" w:oddHBand="1" w:evenHBand="0" w:firstRowFirstColumn="0" w:firstRowLastColumn="0" w:lastRowFirstColumn="0" w:lastRowLastColumn="0"/>
          <w:trHeight w:val="251"/>
        </w:trPr>
        <w:tc>
          <w:tcPr>
            <w:tcW w:w="2500" w:type="pct"/>
            <w:hideMark/>
          </w:tcPr>
          <w:p w14:paraId="66BCC688" w14:textId="77777777" w:rsidR="00EF2D2C" w:rsidRPr="008F33E0" w:rsidRDefault="00EF2D2C" w:rsidP="00EF2D2C">
            <w:pPr>
              <w:pStyle w:val="TableNText"/>
              <w:rPr>
                <w:lang w:eastAsia="en-AU"/>
              </w:rPr>
            </w:pPr>
            <w:r w:rsidRPr="008F33E0">
              <w:rPr>
                <w:lang w:eastAsia="en-AU"/>
              </w:rPr>
              <w:t>Trellis Data</w:t>
            </w:r>
          </w:p>
        </w:tc>
        <w:tc>
          <w:tcPr>
            <w:tcW w:w="2500" w:type="pct"/>
            <w:hideMark/>
          </w:tcPr>
          <w:p w14:paraId="73192FC3" w14:textId="77777777" w:rsidR="00EF2D2C" w:rsidRPr="008F33E0" w:rsidRDefault="00EF2D2C" w:rsidP="00EF2D2C">
            <w:pPr>
              <w:pStyle w:val="TableNBullet"/>
            </w:pPr>
            <w:r w:rsidRPr="008F33E0">
              <w:rPr>
                <w:rFonts w:eastAsia="Segoe UI"/>
              </w:rPr>
              <w:t>Michael Gately</w:t>
            </w:r>
          </w:p>
        </w:tc>
      </w:tr>
      <w:tr w:rsidR="00EF2D2C" w:rsidRPr="008F33E0" w14:paraId="15C6EF21" w14:textId="77777777" w:rsidTr="003C631D">
        <w:trPr>
          <w:cnfStyle w:val="000000010000" w:firstRow="0" w:lastRow="0" w:firstColumn="0" w:lastColumn="0" w:oddVBand="0" w:evenVBand="0" w:oddHBand="0" w:evenHBand="1" w:firstRowFirstColumn="0" w:firstRowLastColumn="0" w:lastRowFirstColumn="0" w:lastRowLastColumn="0"/>
          <w:trHeight w:val="251"/>
        </w:trPr>
        <w:tc>
          <w:tcPr>
            <w:tcW w:w="2500" w:type="pct"/>
            <w:hideMark/>
          </w:tcPr>
          <w:p w14:paraId="42F86EE7" w14:textId="77777777" w:rsidR="00EF2D2C" w:rsidRPr="008F33E0" w:rsidRDefault="00EF2D2C" w:rsidP="00EF2D2C">
            <w:pPr>
              <w:pStyle w:val="TableNText"/>
              <w:rPr>
                <w:lang w:eastAsia="en-AU"/>
              </w:rPr>
            </w:pPr>
            <w:r w:rsidRPr="008F33E0">
              <w:rPr>
                <w:lang w:eastAsia="en-AU"/>
              </w:rPr>
              <w:t>Itree</w:t>
            </w:r>
          </w:p>
        </w:tc>
        <w:tc>
          <w:tcPr>
            <w:tcW w:w="2500" w:type="pct"/>
            <w:hideMark/>
          </w:tcPr>
          <w:p w14:paraId="4FC36357" w14:textId="77777777" w:rsidR="00EF2D2C" w:rsidRPr="008F33E0" w:rsidRDefault="00EF2D2C" w:rsidP="00EF2D2C">
            <w:pPr>
              <w:pStyle w:val="TableNBullet"/>
            </w:pPr>
            <w:r w:rsidRPr="008F33E0">
              <w:rPr>
                <w:rFonts w:eastAsia="Segoe UI"/>
              </w:rPr>
              <w:t>Kirsty Dusting</w:t>
            </w:r>
          </w:p>
        </w:tc>
      </w:tr>
    </w:tbl>
    <w:p w14:paraId="27798CF1" w14:textId="0F9B184E" w:rsidR="00EF2D2C" w:rsidRDefault="00EF2D2C" w:rsidP="00633B95">
      <w:pPr>
        <w:spacing w:before="240"/>
        <w:rPr>
          <w:lang w:eastAsia="en-AU"/>
        </w:rPr>
      </w:pPr>
      <w:r w:rsidRPr="008F33E0">
        <w:rPr>
          <w:rFonts w:asciiTheme="majorHAnsi" w:hAnsiTheme="majorHAnsi" w:cstheme="majorHAnsi"/>
          <w:lang w:eastAsia="en-AU"/>
        </w:rPr>
        <w:t>Feasibility study SMEs</w:t>
      </w:r>
    </w:p>
    <w:tbl>
      <w:tblPr>
        <w:tblStyle w:val="NOUSSideHeader1"/>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20" w:firstRow="1" w:lastRow="0" w:firstColumn="0" w:lastColumn="0" w:noHBand="0" w:noVBand="1"/>
      </w:tblPr>
      <w:tblGrid>
        <w:gridCol w:w="4460"/>
        <w:gridCol w:w="4460"/>
      </w:tblGrid>
      <w:tr w:rsidR="00EF2D2C" w:rsidRPr="008F33E0" w14:paraId="4AF331E3" w14:textId="77777777" w:rsidTr="003C631D">
        <w:trPr>
          <w:cnfStyle w:val="100000000000" w:firstRow="1" w:lastRow="0" w:firstColumn="0" w:lastColumn="0" w:oddVBand="0" w:evenVBand="0" w:oddHBand="0" w:evenHBand="0" w:firstRowFirstColumn="0" w:firstRowLastColumn="0" w:lastRowFirstColumn="0" w:lastRowLastColumn="0"/>
          <w:trHeight w:val="251"/>
        </w:trPr>
        <w:tc>
          <w:tcPr>
            <w:tcW w:w="2500" w:type="pct"/>
            <w:tcBorders>
              <w:top w:val="none" w:sz="0" w:space="0" w:color="auto"/>
              <w:left w:val="none" w:sz="0" w:space="0" w:color="auto"/>
              <w:bottom w:val="single" w:sz="4" w:space="0" w:color="00264D" w:themeColor="background2"/>
              <w:right w:val="none" w:sz="0" w:space="0" w:color="auto"/>
              <w:tl2br w:val="none" w:sz="0" w:space="0" w:color="auto"/>
              <w:tr2bl w:val="none" w:sz="0" w:space="0" w:color="auto"/>
            </w:tcBorders>
            <w:shd w:val="clear" w:color="auto" w:fill="00264D" w:themeFill="background2"/>
          </w:tcPr>
          <w:p w14:paraId="333DF7D1" w14:textId="0116EE1C" w:rsidR="00EF2D2C" w:rsidRPr="00EF2D2C" w:rsidRDefault="00EF2D2C" w:rsidP="00EF2D2C">
            <w:pPr>
              <w:pStyle w:val="TableNheader"/>
              <w:rPr>
                <w:color w:val="FFFFFF" w:themeColor="background1"/>
                <w:lang w:eastAsia="en-AU"/>
              </w:rPr>
            </w:pPr>
            <w:r w:rsidRPr="00EF2D2C">
              <w:rPr>
                <w:color w:val="FFFFFF" w:themeColor="background1"/>
                <w:lang w:val="en-US" w:eastAsia="en-AU"/>
              </w:rPr>
              <w:t>Organisation</w:t>
            </w:r>
          </w:p>
        </w:tc>
        <w:tc>
          <w:tcPr>
            <w:tcW w:w="2500" w:type="pct"/>
            <w:tcBorders>
              <w:top w:val="none" w:sz="0" w:space="0" w:color="auto"/>
              <w:left w:val="none" w:sz="0" w:space="0" w:color="auto"/>
              <w:bottom w:val="single" w:sz="4" w:space="0" w:color="00264D" w:themeColor="background2"/>
              <w:right w:val="none" w:sz="0" w:space="0" w:color="auto"/>
              <w:tl2br w:val="none" w:sz="0" w:space="0" w:color="auto"/>
              <w:tr2bl w:val="none" w:sz="0" w:space="0" w:color="auto"/>
            </w:tcBorders>
            <w:shd w:val="clear" w:color="auto" w:fill="00264D" w:themeFill="background2"/>
          </w:tcPr>
          <w:p w14:paraId="6B58DBBF" w14:textId="67B946AA" w:rsidR="00EF2D2C" w:rsidRPr="00EF2D2C" w:rsidRDefault="00EF2D2C" w:rsidP="00EF2D2C">
            <w:pPr>
              <w:pStyle w:val="TableNheader"/>
              <w:rPr>
                <w:rFonts w:eastAsia="Segoe UI"/>
                <w:color w:val="FFFFFF" w:themeColor="background1"/>
              </w:rPr>
            </w:pPr>
            <w:r w:rsidRPr="00EF2D2C">
              <w:rPr>
                <w:color w:val="FFFFFF" w:themeColor="background1"/>
                <w:lang w:val="en-US" w:eastAsia="en-AU"/>
              </w:rPr>
              <w:t>Individual</w:t>
            </w:r>
          </w:p>
        </w:tc>
      </w:tr>
      <w:tr w:rsidR="00EF2D2C" w:rsidRPr="008F33E0" w14:paraId="2ABC6F1E" w14:textId="77777777" w:rsidTr="003C631D">
        <w:trPr>
          <w:cnfStyle w:val="000000100000" w:firstRow="0" w:lastRow="0" w:firstColumn="0" w:lastColumn="0" w:oddVBand="0" w:evenVBand="0" w:oddHBand="1" w:evenHBand="0" w:firstRowFirstColumn="0" w:firstRowLastColumn="0" w:lastRowFirstColumn="0" w:lastRowLastColumn="0"/>
          <w:trHeight w:val="251"/>
        </w:trPr>
        <w:tc>
          <w:tcPr>
            <w:tcW w:w="2500"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6FF7912A" w14:textId="77777777" w:rsidR="00EF2D2C" w:rsidRPr="008F33E0" w:rsidRDefault="00EF2D2C" w:rsidP="00EF2D2C">
            <w:pPr>
              <w:pStyle w:val="TableNText"/>
              <w:rPr>
                <w:lang w:eastAsia="en-AU"/>
              </w:rPr>
            </w:pPr>
            <w:r w:rsidRPr="008F33E0">
              <w:rPr>
                <w:lang w:eastAsia="en-AU"/>
              </w:rPr>
              <w:t>Aither</w:t>
            </w:r>
          </w:p>
        </w:tc>
        <w:tc>
          <w:tcPr>
            <w:tcW w:w="2500"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0788EB6D" w14:textId="77777777" w:rsidR="00EF2D2C" w:rsidRPr="008F33E0" w:rsidRDefault="00EF2D2C" w:rsidP="00EF2D2C">
            <w:pPr>
              <w:pStyle w:val="TableNBullet"/>
            </w:pPr>
            <w:r w:rsidRPr="008F33E0">
              <w:rPr>
                <w:rFonts w:eastAsia="Segoe UI"/>
              </w:rPr>
              <w:t>Chris Olszak</w:t>
            </w:r>
          </w:p>
        </w:tc>
      </w:tr>
      <w:tr w:rsidR="00EF2D2C" w:rsidRPr="008F33E0" w14:paraId="3ED88F08" w14:textId="77777777" w:rsidTr="003C631D">
        <w:trPr>
          <w:cnfStyle w:val="000000010000" w:firstRow="0" w:lastRow="0" w:firstColumn="0" w:lastColumn="0" w:oddVBand="0" w:evenVBand="0" w:oddHBand="0" w:evenHBand="1" w:firstRowFirstColumn="0" w:firstRowLastColumn="0" w:lastRowFirstColumn="0" w:lastRowLastColumn="0"/>
          <w:trHeight w:val="251"/>
        </w:trPr>
        <w:tc>
          <w:tcPr>
            <w:tcW w:w="2500"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19FFA66C" w14:textId="77777777" w:rsidR="00EF2D2C" w:rsidRPr="008F33E0" w:rsidRDefault="00EF2D2C" w:rsidP="00EF2D2C">
            <w:pPr>
              <w:pStyle w:val="TableNText"/>
              <w:rPr>
                <w:lang w:eastAsia="en-AU"/>
              </w:rPr>
            </w:pPr>
            <w:r w:rsidRPr="008F33E0">
              <w:rPr>
                <w:lang w:eastAsia="en-AU"/>
              </w:rPr>
              <w:t>Automated Reasoning Alliance</w:t>
            </w:r>
          </w:p>
        </w:tc>
        <w:tc>
          <w:tcPr>
            <w:tcW w:w="2500"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7FA02C83" w14:textId="77777777" w:rsidR="00EF2D2C" w:rsidRPr="008F33E0" w:rsidRDefault="00EF2D2C" w:rsidP="00EF2D2C">
            <w:pPr>
              <w:pStyle w:val="TableNBullet"/>
            </w:pPr>
            <w:r w:rsidRPr="008F33E0">
              <w:rPr>
                <w:rFonts w:eastAsia="Segoe UI"/>
              </w:rPr>
              <w:t>Vladimir Videnovic</w:t>
            </w:r>
          </w:p>
        </w:tc>
      </w:tr>
      <w:tr w:rsidR="00EF2D2C" w:rsidRPr="008F33E0" w14:paraId="30D30467" w14:textId="77777777" w:rsidTr="003C631D">
        <w:trPr>
          <w:cnfStyle w:val="000000100000" w:firstRow="0" w:lastRow="0" w:firstColumn="0" w:lastColumn="0" w:oddVBand="0" w:evenVBand="0" w:oddHBand="1" w:evenHBand="0" w:firstRowFirstColumn="0" w:firstRowLastColumn="0" w:lastRowFirstColumn="0" w:lastRowLastColumn="0"/>
          <w:trHeight w:val="251"/>
        </w:trPr>
        <w:tc>
          <w:tcPr>
            <w:tcW w:w="2500"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14F4000C" w14:textId="77777777" w:rsidR="00EF2D2C" w:rsidRPr="008F33E0" w:rsidRDefault="00EF2D2C" w:rsidP="00EF2D2C">
            <w:pPr>
              <w:pStyle w:val="TableNText"/>
              <w:rPr>
                <w:lang w:eastAsia="en-AU"/>
              </w:rPr>
            </w:pPr>
            <w:r w:rsidRPr="008F33E0">
              <w:rPr>
                <w:lang w:eastAsia="en-AU"/>
              </w:rPr>
              <w:t>Tezet</w:t>
            </w:r>
          </w:p>
        </w:tc>
        <w:tc>
          <w:tcPr>
            <w:tcW w:w="2500"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6FB2938A" w14:textId="77777777" w:rsidR="00EF2D2C" w:rsidRPr="008F33E0" w:rsidRDefault="00EF2D2C" w:rsidP="00EF2D2C">
            <w:pPr>
              <w:pStyle w:val="TableNBullet"/>
            </w:pPr>
            <w:r w:rsidRPr="008F33E0">
              <w:rPr>
                <w:rFonts w:eastAsia="Segoe UI"/>
              </w:rPr>
              <w:t>Eric Jansen</w:t>
            </w:r>
          </w:p>
        </w:tc>
      </w:tr>
      <w:tr w:rsidR="00EF2D2C" w:rsidRPr="008F33E0" w14:paraId="55C17258" w14:textId="77777777" w:rsidTr="003C631D">
        <w:trPr>
          <w:cnfStyle w:val="000000010000" w:firstRow="0" w:lastRow="0" w:firstColumn="0" w:lastColumn="0" w:oddVBand="0" w:evenVBand="0" w:oddHBand="0" w:evenHBand="1" w:firstRowFirstColumn="0" w:firstRowLastColumn="0" w:lastRowFirstColumn="0" w:lastRowLastColumn="0"/>
          <w:trHeight w:val="251"/>
        </w:trPr>
        <w:tc>
          <w:tcPr>
            <w:tcW w:w="2500"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2A5CB338" w14:textId="77777777" w:rsidR="00EF2D2C" w:rsidRPr="008F33E0" w:rsidRDefault="00EF2D2C" w:rsidP="00EF2D2C">
            <w:pPr>
              <w:pStyle w:val="TableNText"/>
              <w:rPr>
                <w:lang w:eastAsia="en-AU"/>
              </w:rPr>
            </w:pPr>
            <w:r w:rsidRPr="008F33E0">
              <w:rPr>
                <w:lang w:eastAsia="en-AU"/>
              </w:rPr>
              <w:t>Panorama</w:t>
            </w:r>
          </w:p>
        </w:tc>
        <w:tc>
          <w:tcPr>
            <w:tcW w:w="2500"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41542FFA" w14:textId="77777777" w:rsidR="00EF2D2C" w:rsidRPr="008F33E0" w:rsidRDefault="00EF2D2C" w:rsidP="00EF2D2C">
            <w:pPr>
              <w:pStyle w:val="TableNBullet"/>
            </w:pPr>
            <w:r w:rsidRPr="008F33E0">
              <w:rPr>
                <w:rFonts w:eastAsia="Segoe UI"/>
              </w:rPr>
              <w:t>Sanchitha Fernando</w:t>
            </w:r>
          </w:p>
        </w:tc>
      </w:tr>
      <w:tr w:rsidR="00EF2D2C" w:rsidRPr="008F33E0" w14:paraId="2F889DB8" w14:textId="77777777" w:rsidTr="003C631D">
        <w:trPr>
          <w:cnfStyle w:val="000000100000" w:firstRow="0" w:lastRow="0" w:firstColumn="0" w:lastColumn="0" w:oddVBand="0" w:evenVBand="0" w:oddHBand="1" w:evenHBand="0" w:firstRowFirstColumn="0" w:firstRowLastColumn="0" w:lastRowFirstColumn="0" w:lastRowLastColumn="0"/>
          <w:trHeight w:val="251"/>
        </w:trPr>
        <w:tc>
          <w:tcPr>
            <w:tcW w:w="2500"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794C82B7" w14:textId="77777777" w:rsidR="00EF2D2C" w:rsidRPr="008F33E0" w:rsidRDefault="00EF2D2C" w:rsidP="00EF2D2C">
            <w:pPr>
              <w:pStyle w:val="TableNText"/>
              <w:rPr>
                <w:lang w:eastAsia="en-AU"/>
              </w:rPr>
            </w:pPr>
            <w:r w:rsidRPr="008F33E0">
              <w:rPr>
                <w:lang w:eastAsia="en-AU"/>
              </w:rPr>
              <w:t>GoSource</w:t>
            </w:r>
          </w:p>
        </w:tc>
        <w:tc>
          <w:tcPr>
            <w:tcW w:w="2500"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073FA424" w14:textId="77777777" w:rsidR="00EF2D2C" w:rsidRPr="008F33E0" w:rsidRDefault="00EF2D2C" w:rsidP="00EF2D2C">
            <w:pPr>
              <w:pStyle w:val="TableNBullet"/>
            </w:pPr>
            <w:r w:rsidRPr="008F33E0">
              <w:rPr>
                <w:rFonts w:eastAsia="Segoe UI"/>
              </w:rPr>
              <w:t>Steve Capell</w:t>
            </w:r>
          </w:p>
        </w:tc>
      </w:tr>
      <w:tr w:rsidR="00EF2D2C" w:rsidRPr="008F33E0" w14:paraId="5EAB8239" w14:textId="77777777" w:rsidTr="003C631D">
        <w:trPr>
          <w:cnfStyle w:val="000000010000" w:firstRow="0" w:lastRow="0" w:firstColumn="0" w:lastColumn="0" w:oddVBand="0" w:evenVBand="0" w:oddHBand="0" w:evenHBand="1" w:firstRowFirstColumn="0" w:firstRowLastColumn="0" w:lastRowFirstColumn="0" w:lastRowLastColumn="0"/>
          <w:trHeight w:val="251"/>
        </w:trPr>
        <w:tc>
          <w:tcPr>
            <w:tcW w:w="2500"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27176EDE" w14:textId="77777777" w:rsidR="00EF2D2C" w:rsidRPr="008F33E0" w:rsidRDefault="00EF2D2C" w:rsidP="00EF2D2C">
            <w:pPr>
              <w:pStyle w:val="TableNText"/>
              <w:rPr>
                <w:lang w:eastAsia="en-AU"/>
              </w:rPr>
            </w:pPr>
            <w:r w:rsidRPr="008F33E0">
              <w:rPr>
                <w:lang w:eastAsia="en-AU"/>
              </w:rPr>
              <w:t>Silverpond</w:t>
            </w:r>
          </w:p>
        </w:tc>
        <w:tc>
          <w:tcPr>
            <w:tcW w:w="2500" w:type="pct"/>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hideMark/>
          </w:tcPr>
          <w:p w14:paraId="4904F804" w14:textId="77777777" w:rsidR="00EF2D2C" w:rsidRPr="008F33E0" w:rsidRDefault="00EF2D2C" w:rsidP="00EF2D2C">
            <w:pPr>
              <w:pStyle w:val="TableNBullet"/>
            </w:pPr>
            <w:r w:rsidRPr="008F33E0">
              <w:rPr>
                <w:rFonts w:eastAsia="Segoe UI"/>
              </w:rPr>
              <w:t>Edoardo Zambruno</w:t>
            </w:r>
          </w:p>
        </w:tc>
      </w:tr>
    </w:tbl>
    <w:p w14:paraId="4960557E" w14:textId="77777777" w:rsidR="00EF2D2C" w:rsidRDefault="00EF2D2C" w:rsidP="00633B95">
      <w:pPr>
        <w:spacing w:before="240"/>
        <w:rPr>
          <w:lang w:eastAsia="en-AU"/>
        </w:rPr>
      </w:pPr>
    </w:p>
    <w:p w14:paraId="6DF85822" w14:textId="4F2382BF" w:rsidR="00CC5409" w:rsidRPr="0044195D" w:rsidRDefault="0044195D">
      <w:pPr>
        <w:pStyle w:val="xAppendixLevel1"/>
        <w:rPr>
          <w:color w:val="00264D" w:themeColor="background2"/>
        </w:rPr>
      </w:pPr>
      <w:bookmarkStart w:id="224" w:name="_Toc124435184"/>
      <w:r>
        <w:rPr>
          <w:color w:val="00264D" w:themeColor="background2"/>
        </w:rPr>
        <w:lastRenderedPageBreak/>
        <w:drawing>
          <wp:anchor distT="0" distB="0" distL="114300" distR="114300" simplePos="0" relativeHeight="251685376" behindDoc="0" locked="0" layoutInCell="1" allowOverlap="1" wp14:anchorId="117CFF87" wp14:editId="73793B83">
            <wp:simplePos x="0" y="0"/>
            <wp:positionH relativeFrom="margin">
              <wp:posOffset>-978535</wp:posOffset>
            </wp:positionH>
            <wp:positionV relativeFrom="paragraph">
              <wp:posOffset>-786130</wp:posOffset>
            </wp:positionV>
            <wp:extent cx="7626985" cy="1524000"/>
            <wp:effectExtent l="0" t="0" r="0" b="0"/>
            <wp:wrapNone/>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extLst>
                        <a:ext uri="{C183D7F6-B498-43B3-948B-1728B52AA6E4}">
                          <adec:decorative xmlns:adec="http://schemas.microsoft.com/office/drawing/2017/decorative" val="1"/>
                        </a:ext>
                      </a:extLs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626985" cy="1524000"/>
                    </a:xfrm>
                    <a:prstGeom prst="rect">
                      <a:avLst/>
                    </a:prstGeom>
                    <a:noFill/>
                  </pic:spPr>
                </pic:pic>
              </a:graphicData>
            </a:graphic>
          </wp:anchor>
        </w:drawing>
      </w:r>
      <w:r w:rsidR="003856AF" w:rsidRPr="0044195D">
        <w:rPr>
          <w:color w:val="00264D" w:themeColor="background2"/>
        </w:rPr>
        <w:t>List of abbreviations</w:t>
      </w:r>
      <w:bookmarkEnd w:id="224"/>
    </w:p>
    <w:p w14:paraId="1ADE8CFD" w14:textId="77777777" w:rsidR="00AC68C4" w:rsidRDefault="00AC68C4" w:rsidP="00AC68C4">
      <w:pPr>
        <w:spacing w:before="240"/>
        <w:rPr>
          <w:lang w:eastAsia="en-AU"/>
        </w:rPr>
      </w:pPr>
    </w:p>
    <w:p w14:paraId="4A07AA29" w14:textId="6359B3F2" w:rsidR="00AC68C4" w:rsidRDefault="00A019AE">
      <w:pPr>
        <w:pStyle w:val="xAppendixLevel2"/>
      </w:pPr>
      <w:bookmarkStart w:id="225" w:name="_Toc124435185"/>
      <w:r>
        <w:t>List of abbreviations</w:t>
      </w:r>
      <w:bookmarkEnd w:id="225"/>
    </w:p>
    <w:tbl>
      <w:tblPr>
        <w:tblStyle w:val="NOUSSideHeader1"/>
        <w:tblW w:w="5000" w:type="pct"/>
        <w:tblBorders>
          <w:top w:val="single" w:sz="4" w:space="0" w:color="00264D" w:themeColor="background2"/>
          <w:left w:val="single" w:sz="4" w:space="0" w:color="00264D" w:themeColor="background2"/>
          <w:bottom w:val="single" w:sz="4" w:space="0" w:color="00264D" w:themeColor="background2"/>
          <w:right w:val="single" w:sz="4" w:space="0" w:color="00264D" w:themeColor="background2"/>
          <w:insideH w:val="single" w:sz="4" w:space="0" w:color="00264D" w:themeColor="background2"/>
          <w:insideV w:val="single" w:sz="4" w:space="0" w:color="00264D" w:themeColor="background2"/>
        </w:tblBorders>
        <w:tblLook w:val="0420" w:firstRow="1" w:lastRow="0" w:firstColumn="0" w:lastColumn="0" w:noHBand="0" w:noVBand="1"/>
      </w:tblPr>
      <w:tblGrid>
        <w:gridCol w:w="3686"/>
        <w:gridCol w:w="5234"/>
      </w:tblGrid>
      <w:tr w:rsidR="002A11D9" w:rsidRPr="002A11D9" w14:paraId="61D18CF5" w14:textId="77777777" w:rsidTr="00D07CE5">
        <w:trPr>
          <w:cnfStyle w:val="100000000000" w:firstRow="1" w:lastRow="0" w:firstColumn="0" w:lastColumn="0" w:oddVBand="0" w:evenVBand="0" w:oddHBand="0" w:evenHBand="0" w:firstRowFirstColumn="0" w:firstRowLastColumn="0" w:lastRowFirstColumn="0" w:lastRowLastColumn="0"/>
          <w:trHeight w:val="510"/>
        </w:trPr>
        <w:tc>
          <w:tcPr>
            <w:tcW w:w="20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l2br w:val="none" w:sz="0" w:space="0" w:color="auto"/>
              <w:tr2bl w:val="none" w:sz="0" w:space="0" w:color="auto"/>
            </w:tcBorders>
            <w:shd w:val="clear" w:color="auto" w:fill="00264D" w:themeFill="background2"/>
            <w:hideMark/>
          </w:tcPr>
          <w:p w14:paraId="4048B6CD" w14:textId="77777777" w:rsidR="002A11D9" w:rsidRPr="00EF2D2C" w:rsidRDefault="002A11D9" w:rsidP="00EF2D2C">
            <w:pPr>
              <w:pStyle w:val="TableNheader"/>
              <w:rPr>
                <w:color w:val="FFFFFF" w:themeColor="background1"/>
                <w:lang w:eastAsia="en-AU"/>
              </w:rPr>
            </w:pPr>
            <w:r w:rsidRPr="00EF2D2C">
              <w:rPr>
                <w:color w:val="FFFFFF" w:themeColor="background1"/>
                <w:lang w:val="en-US" w:eastAsia="en-AU"/>
              </w:rPr>
              <w:t>Abbreviation</w:t>
            </w:r>
          </w:p>
        </w:tc>
        <w:tc>
          <w:tcPr>
            <w:tcW w:w="29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l2br w:val="none" w:sz="0" w:space="0" w:color="auto"/>
              <w:tr2bl w:val="none" w:sz="0" w:space="0" w:color="auto"/>
            </w:tcBorders>
            <w:shd w:val="clear" w:color="auto" w:fill="00264D" w:themeFill="background2"/>
            <w:hideMark/>
          </w:tcPr>
          <w:p w14:paraId="4099A812" w14:textId="77777777" w:rsidR="002A11D9" w:rsidRPr="00EF2D2C" w:rsidRDefault="002A11D9" w:rsidP="00EF2D2C">
            <w:pPr>
              <w:pStyle w:val="TableNheader"/>
              <w:rPr>
                <w:color w:val="FFFFFF" w:themeColor="background1"/>
                <w:lang w:eastAsia="en-AU"/>
              </w:rPr>
            </w:pPr>
            <w:r w:rsidRPr="00EF2D2C">
              <w:rPr>
                <w:color w:val="FFFFFF" w:themeColor="background1"/>
                <w:lang w:val="en-US" w:eastAsia="en-AU"/>
              </w:rPr>
              <w:t>Term</w:t>
            </w:r>
          </w:p>
        </w:tc>
      </w:tr>
      <w:tr w:rsidR="00FB46C5" w:rsidRPr="002A11D9" w14:paraId="0CA0E56D" w14:textId="77777777" w:rsidTr="00D07CE5">
        <w:trPr>
          <w:cnfStyle w:val="000000100000" w:firstRow="0" w:lastRow="0" w:firstColumn="0" w:lastColumn="0" w:oddVBand="0" w:evenVBand="0" w:oddHBand="1" w:evenHBand="0" w:firstRowFirstColumn="0" w:firstRowLastColumn="0" w:lastRowFirstColumn="0" w:lastRowLastColumn="0"/>
          <w:trHeight w:val="510"/>
        </w:trPr>
        <w:tc>
          <w:tcPr>
            <w:tcW w:w="2066" w:type="pct"/>
            <w:tcBorders>
              <w:top w:val="single" w:sz="4" w:space="0" w:color="FFFFFF" w:themeColor="background1"/>
            </w:tcBorders>
          </w:tcPr>
          <w:p w14:paraId="3F198BB7" w14:textId="70289CB3" w:rsidR="00FB46C5" w:rsidRPr="009E4A66" w:rsidRDefault="00FB46C5" w:rsidP="00FB46C5">
            <w:pPr>
              <w:pStyle w:val="TableNText"/>
            </w:pPr>
            <w:r w:rsidRPr="009E4A66">
              <w:t>AC</w:t>
            </w:r>
          </w:p>
        </w:tc>
        <w:tc>
          <w:tcPr>
            <w:tcW w:w="2934" w:type="pct"/>
            <w:tcBorders>
              <w:top w:val="single" w:sz="4" w:space="0" w:color="FFFFFF" w:themeColor="background1"/>
            </w:tcBorders>
          </w:tcPr>
          <w:p w14:paraId="5211B6DC" w14:textId="611084D9" w:rsidR="00FB46C5" w:rsidRPr="009E4A66" w:rsidRDefault="00FB46C5" w:rsidP="00FB46C5">
            <w:pPr>
              <w:pStyle w:val="TableNText"/>
            </w:pPr>
            <w:r w:rsidRPr="00A27291">
              <w:t>Accelerating Commercialisation</w:t>
            </w:r>
          </w:p>
        </w:tc>
      </w:tr>
      <w:tr w:rsidR="00FB46C5" w:rsidRPr="002A11D9" w14:paraId="4B38066D" w14:textId="77777777" w:rsidTr="00D07CE5">
        <w:trPr>
          <w:cnfStyle w:val="000000010000" w:firstRow="0" w:lastRow="0" w:firstColumn="0" w:lastColumn="0" w:oddVBand="0" w:evenVBand="0" w:oddHBand="0" w:evenHBand="1" w:firstRowFirstColumn="0" w:firstRowLastColumn="0" w:lastRowFirstColumn="0" w:lastRowLastColumn="0"/>
          <w:trHeight w:val="510"/>
        </w:trPr>
        <w:tc>
          <w:tcPr>
            <w:tcW w:w="2066" w:type="pct"/>
          </w:tcPr>
          <w:p w14:paraId="138E2F5D" w14:textId="20144C0E" w:rsidR="00FB46C5" w:rsidRPr="009E4A66" w:rsidRDefault="00FB46C5" w:rsidP="00FB46C5">
            <w:pPr>
              <w:pStyle w:val="TableNText"/>
            </w:pPr>
            <w:r w:rsidRPr="009E4A66">
              <w:t>AN</w:t>
            </w:r>
            <w:r w:rsidR="00332C8B">
              <w:t>Z</w:t>
            </w:r>
            <w:r w:rsidRPr="009E4A66">
              <w:t>SIC</w:t>
            </w:r>
          </w:p>
        </w:tc>
        <w:tc>
          <w:tcPr>
            <w:tcW w:w="2934" w:type="pct"/>
          </w:tcPr>
          <w:p w14:paraId="50BBAF11" w14:textId="0A77DF66" w:rsidR="00FB46C5" w:rsidRPr="009E4A66" w:rsidRDefault="00FB46C5" w:rsidP="00FB46C5">
            <w:pPr>
              <w:pStyle w:val="TableNText"/>
            </w:pPr>
            <w:r w:rsidRPr="009E4A66">
              <w:t>Australian and New Zealand Standard Industrial Classification</w:t>
            </w:r>
          </w:p>
        </w:tc>
      </w:tr>
      <w:tr w:rsidR="00133B15" w:rsidRPr="002A11D9" w14:paraId="32DF00A0" w14:textId="77777777" w:rsidTr="00D07CE5">
        <w:trPr>
          <w:cnfStyle w:val="000000100000" w:firstRow="0" w:lastRow="0" w:firstColumn="0" w:lastColumn="0" w:oddVBand="0" w:evenVBand="0" w:oddHBand="1" w:evenHBand="0" w:firstRowFirstColumn="0" w:firstRowLastColumn="0" w:lastRowFirstColumn="0" w:lastRowLastColumn="0"/>
          <w:trHeight w:val="510"/>
        </w:trPr>
        <w:tc>
          <w:tcPr>
            <w:tcW w:w="2066" w:type="pct"/>
          </w:tcPr>
          <w:p w14:paraId="04C28819" w14:textId="0B4FAFA5" w:rsidR="00133B15" w:rsidRPr="009E4A66" w:rsidRDefault="00133B15" w:rsidP="00FB46C5">
            <w:pPr>
              <w:pStyle w:val="TableNText"/>
            </w:pPr>
            <w:r>
              <w:t>APS</w:t>
            </w:r>
          </w:p>
        </w:tc>
        <w:tc>
          <w:tcPr>
            <w:tcW w:w="2934" w:type="pct"/>
          </w:tcPr>
          <w:p w14:paraId="35EBD1DE" w14:textId="257120B7" w:rsidR="00133B15" w:rsidRPr="009E4A66" w:rsidRDefault="00133B15" w:rsidP="00FB46C5">
            <w:pPr>
              <w:pStyle w:val="TableNText"/>
            </w:pPr>
            <w:r>
              <w:t>Australian Public Service</w:t>
            </w:r>
          </w:p>
        </w:tc>
      </w:tr>
      <w:tr w:rsidR="00FB46C5" w:rsidRPr="002A11D9" w14:paraId="2EC96C5F" w14:textId="77777777" w:rsidTr="00D07CE5">
        <w:trPr>
          <w:cnfStyle w:val="000000010000" w:firstRow="0" w:lastRow="0" w:firstColumn="0" w:lastColumn="0" w:oddVBand="0" w:evenVBand="0" w:oddHBand="0" w:evenHBand="1" w:firstRowFirstColumn="0" w:firstRowLastColumn="0" w:lastRowFirstColumn="0" w:lastRowLastColumn="0"/>
          <w:trHeight w:val="510"/>
        </w:trPr>
        <w:tc>
          <w:tcPr>
            <w:tcW w:w="2066" w:type="pct"/>
          </w:tcPr>
          <w:p w14:paraId="45D82CB6" w14:textId="0EFC19AF" w:rsidR="00FB46C5" w:rsidRPr="009E4A66" w:rsidRDefault="00FB46C5" w:rsidP="00FB46C5">
            <w:pPr>
              <w:pStyle w:val="TableNText"/>
            </w:pPr>
            <w:r>
              <w:t>BCR</w:t>
            </w:r>
          </w:p>
        </w:tc>
        <w:tc>
          <w:tcPr>
            <w:tcW w:w="2934" w:type="pct"/>
          </w:tcPr>
          <w:p w14:paraId="11380FF9" w14:textId="320AB4AD" w:rsidR="00FB46C5" w:rsidRPr="009E4A66" w:rsidRDefault="00FB46C5" w:rsidP="00FB46C5">
            <w:pPr>
              <w:pStyle w:val="TableNText"/>
            </w:pPr>
            <w:r>
              <w:t>Benefit</w:t>
            </w:r>
            <w:r w:rsidR="00F5577F">
              <w:t xml:space="preserve"> to </w:t>
            </w:r>
            <w:r>
              <w:t>Cost Ratio</w:t>
            </w:r>
          </w:p>
        </w:tc>
      </w:tr>
      <w:tr w:rsidR="00FB46C5" w:rsidRPr="002A11D9" w14:paraId="2FD43C01" w14:textId="77777777" w:rsidTr="00D07CE5">
        <w:trPr>
          <w:cnfStyle w:val="000000100000" w:firstRow="0" w:lastRow="0" w:firstColumn="0" w:lastColumn="0" w:oddVBand="0" w:evenVBand="0" w:oddHBand="1" w:evenHBand="0" w:firstRowFirstColumn="0" w:firstRowLastColumn="0" w:lastRowFirstColumn="0" w:lastRowLastColumn="0"/>
          <w:trHeight w:val="510"/>
        </w:trPr>
        <w:tc>
          <w:tcPr>
            <w:tcW w:w="2066" w:type="pct"/>
          </w:tcPr>
          <w:p w14:paraId="1D50E1D4" w14:textId="3EFC9F3D" w:rsidR="00FB46C5" w:rsidRPr="009E4A66" w:rsidRDefault="00FB46C5" w:rsidP="00FB46C5">
            <w:pPr>
              <w:pStyle w:val="TableNText"/>
            </w:pPr>
            <w:r w:rsidRPr="009E4A66">
              <w:t>BRII</w:t>
            </w:r>
          </w:p>
        </w:tc>
        <w:tc>
          <w:tcPr>
            <w:tcW w:w="2934" w:type="pct"/>
          </w:tcPr>
          <w:p w14:paraId="42F443A7" w14:textId="7C75BB87" w:rsidR="00FB46C5" w:rsidRPr="009E4A66" w:rsidRDefault="00FB46C5" w:rsidP="00FB46C5">
            <w:pPr>
              <w:pStyle w:val="TableNText"/>
            </w:pPr>
            <w:r w:rsidRPr="009E4A66">
              <w:t>Business Research and Innovation Initiative</w:t>
            </w:r>
          </w:p>
        </w:tc>
      </w:tr>
      <w:tr w:rsidR="00FB46C5" w:rsidRPr="002A11D9" w14:paraId="2703873D" w14:textId="77777777" w:rsidTr="00D07CE5">
        <w:trPr>
          <w:cnfStyle w:val="000000010000" w:firstRow="0" w:lastRow="0" w:firstColumn="0" w:lastColumn="0" w:oddVBand="0" w:evenVBand="0" w:oddHBand="0" w:evenHBand="1" w:firstRowFirstColumn="0" w:firstRowLastColumn="0" w:lastRowFirstColumn="0" w:lastRowLastColumn="0"/>
          <w:trHeight w:val="510"/>
        </w:trPr>
        <w:tc>
          <w:tcPr>
            <w:tcW w:w="2066" w:type="pct"/>
          </w:tcPr>
          <w:p w14:paraId="14E6B719" w14:textId="1F5F3A25" w:rsidR="00FB46C5" w:rsidRPr="009E4A66" w:rsidRDefault="00FB46C5" w:rsidP="00FB46C5">
            <w:pPr>
              <w:pStyle w:val="TableNText"/>
            </w:pPr>
            <w:r w:rsidRPr="009E4A66">
              <w:t>CBA</w:t>
            </w:r>
          </w:p>
        </w:tc>
        <w:tc>
          <w:tcPr>
            <w:tcW w:w="2934" w:type="pct"/>
          </w:tcPr>
          <w:p w14:paraId="720AE517" w14:textId="2651BC95" w:rsidR="00FB46C5" w:rsidRPr="009E4A66" w:rsidRDefault="00FB46C5" w:rsidP="00FB46C5">
            <w:pPr>
              <w:pStyle w:val="TableNText"/>
            </w:pPr>
            <w:r w:rsidRPr="009E4A66">
              <w:t xml:space="preserve">Cost Benefit Analysis </w:t>
            </w:r>
          </w:p>
        </w:tc>
      </w:tr>
      <w:tr w:rsidR="00FB46C5" w:rsidRPr="002A11D9" w14:paraId="69438254" w14:textId="77777777" w:rsidTr="00D07CE5">
        <w:trPr>
          <w:cnfStyle w:val="000000100000" w:firstRow="0" w:lastRow="0" w:firstColumn="0" w:lastColumn="0" w:oddVBand="0" w:evenVBand="0" w:oddHBand="1" w:evenHBand="0" w:firstRowFirstColumn="0" w:firstRowLastColumn="0" w:lastRowFirstColumn="0" w:lastRowLastColumn="0"/>
          <w:trHeight w:val="510"/>
        </w:trPr>
        <w:tc>
          <w:tcPr>
            <w:tcW w:w="2066" w:type="pct"/>
          </w:tcPr>
          <w:p w14:paraId="29AA2AAE" w14:textId="538D8BF9" w:rsidR="00FB46C5" w:rsidRPr="009E4A66" w:rsidRDefault="00FB46C5" w:rsidP="00FB46C5">
            <w:pPr>
              <w:pStyle w:val="TableNText"/>
            </w:pPr>
            <w:r>
              <w:t>CBI</w:t>
            </w:r>
          </w:p>
        </w:tc>
        <w:tc>
          <w:tcPr>
            <w:tcW w:w="2934" w:type="pct"/>
          </w:tcPr>
          <w:p w14:paraId="0034162E" w14:textId="18B800AC" w:rsidR="00FB46C5" w:rsidRPr="009E4A66" w:rsidRDefault="00FB46C5" w:rsidP="00FB46C5">
            <w:pPr>
              <w:pStyle w:val="TableNText"/>
            </w:pPr>
            <w:r>
              <w:t>Challenge Based Innovation</w:t>
            </w:r>
          </w:p>
        </w:tc>
      </w:tr>
      <w:tr w:rsidR="00FB46C5" w:rsidRPr="002A11D9" w14:paraId="62902E17" w14:textId="77777777" w:rsidTr="00D07CE5">
        <w:trPr>
          <w:cnfStyle w:val="000000010000" w:firstRow="0" w:lastRow="0" w:firstColumn="0" w:lastColumn="0" w:oddVBand="0" w:evenVBand="0" w:oddHBand="0" w:evenHBand="1" w:firstRowFirstColumn="0" w:firstRowLastColumn="0" w:lastRowFirstColumn="0" w:lastRowLastColumn="0"/>
          <w:trHeight w:val="510"/>
        </w:trPr>
        <w:tc>
          <w:tcPr>
            <w:tcW w:w="2066" w:type="pct"/>
          </w:tcPr>
          <w:p w14:paraId="76D59475" w14:textId="116A2FB9" w:rsidR="00FB46C5" w:rsidRPr="009E4A66" w:rsidRDefault="00FB46C5" w:rsidP="00FB46C5">
            <w:pPr>
              <w:pStyle w:val="TableNText"/>
            </w:pPr>
            <w:r w:rsidRPr="009E4A66">
              <w:t>CGE</w:t>
            </w:r>
          </w:p>
        </w:tc>
        <w:tc>
          <w:tcPr>
            <w:tcW w:w="2934" w:type="pct"/>
          </w:tcPr>
          <w:p w14:paraId="7AAD39D2" w14:textId="50450B7C" w:rsidR="00FB46C5" w:rsidRPr="009E4A66" w:rsidRDefault="00FB46C5" w:rsidP="00FB46C5">
            <w:pPr>
              <w:pStyle w:val="TableNText"/>
            </w:pPr>
            <w:r>
              <w:t>C</w:t>
            </w:r>
            <w:r w:rsidRPr="00F91F12">
              <w:t xml:space="preserve">omputational </w:t>
            </w:r>
            <w:r>
              <w:t>G</w:t>
            </w:r>
            <w:r w:rsidRPr="00F91F12">
              <w:t xml:space="preserve">eneral </w:t>
            </w:r>
            <w:r>
              <w:t>E</w:t>
            </w:r>
            <w:r w:rsidRPr="00F91F12">
              <w:t>quilibrium</w:t>
            </w:r>
          </w:p>
        </w:tc>
      </w:tr>
      <w:tr w:rsidR="00FB46C5" w:rsidRPr="002A11D9" w14:paraId="6D4517DF" w14:textId="77777777" w:rsidTr="00D07CE5">
        <w:trPr>
          <w:cnfStyle w:val="000000100000" w:firstRow="0" w:lastRow="0" w:firstColumn="0" w:lastColumn="0" w:oddVBand="0" w:evenVBand="0" w:oddHBand="1" w:evenHBand="0" w:firstRowFirstColumn="0" w:firstRowLastColumn="0" w:lastRowFirstColumn="0" w:lastRowLastColumn="0"/>
          <w:trHeight w:val="510"/>
        </w:trPr>
        <w:tc>
          <w:tcPr>
            <w:tcW w:w="2066" w:type="pct"/>
          </w:tcPr>
          <w:p w14:paraId="5AF1C5BB" w14:textId="58DC81FD" w:rsidR="00FB46C5" w:rsidRPr="009E4A66" w:rsidRDefault="00FB46C5" w:rsidP="00FB46C5">
            <w:pPr>
              <w:pStyle w:val="TableNText"/>
            </w:pPr>
            <w:r w:rsidRPr="009E4A66">
              <w:t>CAGR</w:t>
            </w:r>
          </w:p>
        </w:tc>
        <w:tc>
          <w:tcPr>
            <w:tcW w:w="2934" w:type="pct"/>
          </w:tcPr>
          <w:p w14:paraId="083B7D5D" w14:textId="3E682921" w:rsidR="00FB46C5" w:rsidRPr="009E4A66" w:rsidRDefault="00FB46C5" w:rsidP="00FB46C5">
            <w:pPr>
              <w:pStyle w:val="TableNText"/>
            </w:pPr>
            <w:r w:rsidRPr="009E4A66">
              <w:t xml:space="preserve">Compared Annual Growth Rate </w:t>
            </w:r>
          </w:p>
        </w:tc>
      </w:tr>
      <w:tr w:rsidR="00E508A2" w:rsidRPr="002A11D9" w14:paraId="2D4D0216" w14:textId="77777777" w:rsidTr="00D07CE5">
        <w:trPr>
          <w:cnfStyle w:val="000000010000" w:firstRow="0" w:lastRow="0" w:firstColumn="0" w:lastColumn="0" w:oddVBand="0" w:evenVBand="0" w:oddHBand="0" w:evenHBand="1" w:firstRowFirstColumn="0" w:firstRowLastColumn="0" w:lastRowFirstColumn="0" w:lastRowLastColumn="0"/>
          <w:trHeight w:val="510"/>
        </w:trPr>
        <w:tc>
          <w:tcPr>
            <w:tcW w:w="2066" w:type="pct"/>
          </w:tcPr>
          <w:p w14:paraId="7D4F66A5" w14:textId="3395545D" w:rsidR="00E508A2" w:rsidRPr="009E4A66" w:rsidRDefault="00E508A2" w:rsidP="00FB46C5">
            <w:pPr>
              <w:pStyle w:val="TableNText"/>
            </w:pPr>
            <w:r>
              <w:t>DISER</w:t>
            </w:r>
          </w:p>
        </w:tc>
        <w:tc>
          <w:tcPr>
            <w:tcW w:w="2934" w:type="pct"/>
          </w:tcPr>
          <w:p w14:paraId="6A21C9F1" w14:textId="02102B09" w:rsidR="00E508A2" w:rsidRPr="009E4A66" w:rsidRDefault="00E508A2" w:rsidP="00FB46C5">
            <w:pPr>
              <w:pStyle w:val="TableNText"/>
            </w:pPr>
            <w:r>
              <w:t>Department of Industry, Science, Energy and Resources</w:t>
            </w:r>
          </w:p>
        </w:tc>
      </w:tr>
      <w:tr w:rsidR="00FB46C5" w:rsidRPr="002A11D9" w14:paraId="45784CF9" w14:textId="77777777" w:rsidTr="00D07CE5">
        <w:trPr>
          <w:cnfStyle w:val="000000100000" w:firstRow="0" w:lastRow="0" w:firstColumn="0" w:lastColumn="0" w:oddVBand="0" w:evenVBand="0" w:oddHBand="1" w:evenHBand="0" w:firstRowFirstColumn="0" w:firstRowLastColumn="0" w:lastRowFirstColumn="0" w:lastRowLastColumn="0"/>
          <w:trHeight w:val="510"/>
        </w:trPr>
        <w:tc>
          <w:tcPr>
            <w:tcW w:w="2066" w:type="pct"/>
            <w:hideMark/>
          </w:tcPr>
          <w:p w14:paraId="3F5B68FA" w14:textId="77777777" w:rsidR="00FB46C5" w:rsidRPr="009E4A66" w:rsidRDefault="00FB46C5" w:rsidP="00FB46C5">
            <w:pPr>
              <w:pStyle w:val="TableNText"/>
            </w:pPr>
            <w:r w:rsidRPr="009E4A66">
              <w:t>EPC</w:t>
            </w:r>
          </w:p>
        </w:tc>
        <w:tc>
          <w:tcPr>
            <w:tcW w:w="2934" w:type="pct"/>
            <w:hideMark/>
          </w:tcPr>
          <w:p w14:paraId="30D70F72" w14:textId="77777777" w:rsidR="00FB46C5" w:rsidRPr="009E4A66" w:rsidRDefault="00FB46C5" w:rsidP="00FB46C5">
            <w:pPr>
              <w:pStyle w:val="TableNText"/>
            </w:pPr>
            <w:r w:rsidRPr="009E4A66">
              <w:t>Entrepreneurs’ Programme Committee</w:t>
            </w:r>
          </w:p>
        </w:tc>
      </w:tr>
      <w:tr w:rsidR="00FB46C5" w:rsidRPr="002A11D9" w14:paraId="07FBE5DA" w14:textId="77777777" w:rsidTr="00D07CE5">
        <w:trPr>
          <w:cnfStyle w:val="000000010000" w:firstRow="0" w:lastRow="0" w:firstColumn="0" w:lastColumn="0" w:oddVBand="0" w:evenVBand="0" w:oddHBand="0" w:evenHBand="1" w:firstRowFirstColumn="0" w:firstRowLastColumn="0" w:lastRowFirstColumn="0" w:lastRowLastColumn="0"/>
          <w:trHeight w:val="510"/>
        </w:trPr>
        <w:tc>
          <w:tcPr>
            <w:tcW w:w="2066" w:type="pct"/>
          </w:tcPr>
          <w:p w14:paraId="0F596D7D" w14:textId="0312D02B" w:rsidR="00FB46C5" w:rsidRPr="009E4A66" w:rsidRDefault="00FB46C5" w:rsidP="00FB46C5">
            <w:pPr>
              <w:pStyle w:val="TableNText"/>
            </w:pPr>
            <w:r w:rsidRPr="009E4A66">
              <w:t>GVA</w:t>
            </w:r>
          </w:p>
        </w:tc>
        <w:tc>
          <w:tcPr>
            <w:tcW w:w="2934" w:type="pct"/>
          </w:tcPr>
          <w:p w14:paraId="74CA17B1" w14:textId="40C22FE1" w:rsidR="00FB46C5" w:rsidRPr="009E4A66" w:rsidRDefault="00FB46C5" w:rsidP="00FB46C5">
            <w:pPr>
              <w:pStyle w:val="TableNText"/>
            </w:pPr>
            <w:r w:rsidRPr="009E4A66">
              <w:t>Gross Value Add</w:t>
            </w:r>
          </w:p>
        </w:tc>
      </w:tr>
      <w:tr w:rsidR="003856AF" w:rsidRPr="002A11D9" w14:paraId="5B3A84C7" w14:textId="77777777" w:rsidTr="00D07CE5">
        <w:trPr>
          <w:cnfStyle w:val="000000100000" w:firstRow="0" w:lastRow="0" w:firstColumn="0" w:lastColumn="0" w:oddVBand="0" w:evenVBand="0" w:oddHBand="1" w:evenHBand="0" w:firstRowFirstColumn="0" w:firstRowLastColumn="0" w:lastRowFirstColumn="0" w:lastRowLastColumn="0"/>
          <w:trHeight w:val="510"/>
        </w:trPr>
        <w:tc>
          <w:tcPr>
            <w:tcW w:w="2066" w:type="pct"/>
          </w:tcPr>
          <w:p w14:paraId="1D141041" w14:textId="2018632C" w:rsidR="003856AF" w:rsidRPr="009E4A66" w:rsidRDefault="003856AF" w:rsidP="00FB46C5">
            <w:pPr>
              <w:pStyle w:val="TableNText"/>
            </w:pPr>
            <w:r>
              <w:t>IP</w:t>
            </w:r>
          </w:p>
        </w:tc>
        <w:tc>
          <w:tcPr>
            <w:tcW w:w="2934" w:type="pct"/>
          </w:tcPr>
          <w:p w14:paraId="25C03EEB" w14:textId="2C951CAB" w:rsidR="003856AF" w:rsidRPr="009E4A66" w:rsidRDefault="003856AF" w:rsidP="00FB46C5">
            <w:pPr>
              <w:pStyle w:val="TableNText"/>
            </w:pPr>
            <w:r>
              <w:t>Intellectual Property</w:t>
            </w:r>
          </w:p>
        </w:tc>
      </w:tr>
      <w:tr w:rsidR="00FB46C5" w:rsidRPr="002A11D9" w14:paraId="1D33F549" w14:textId="77777777" w:rsidTr="00D07CE5">
        <w:trPr>
          <w:cnfStyle w:val="000000010000" w:firstRow="0" w:lastRow="0" w:firstColumn="0" w:lastColumn="0" w:oddVBand="0" w:evenVBand="0" w:oddHBand="0" w:evenHBand="1" w:firstRowFirstColumn="0" w:firstRowLastColumn="0" w:lastRowFirstColumn="0" w:lastRowLastColumn="0"/>
          <w:trHeight w:val="510"/>
        </w:trPr>
        <w:tc>
          <w:tcPr>
            <w:tcW w:w="2066" w:type="pct"/>
            <w:hideMark/>
          </w:tcPr>
          <w:p w14:paraId="332DCE04" w14:textId="0B100908" w:rsidR="00FB46C5" w:rsidRPr="009E4A66" w:rsidRDefault="00FB46C5" w:rsidP="00FB46C5">
            <w:pPr>
              <w:pStyle w:val="TableNText"/>
            </w:pPr>
            <w:r w:rsidRPr="009E4A66">
              <w:t>I</w:t>
            </w:r>
            <w:r w:rsidR="004E2FAC">
              <w:t>I</w:t>
            </w:r>
            <w:r w:rsidRPr="009E4A66">
              <w:t>SA</w:t>
            </w:r>
          </w:p>
        </w:tc>
        <w:tc>
          <w:tcPr>
            <w:tcW w:w="2934" w:type="pct"/>
            <w:hideMark/>
          </w:tcPr>
          <w:p w14:paraId="7F4535F5" w14:textId="725B150A" w:rsidR="00FB46C5" w:rsidRPr="009E4A66" w:rsidRDefault="004E2FAC" w:rsidP="00FB46C5">
            <w:pPr>
              <w:pStyle w:val="TableNText"/>
            </w:pPr>
            <w:r>
              <w:t xml:space="preserve">Industry </w:t>
            </w:r>
            <w:r w:rsidR="00FB46C5" w:rsidRPr="009E4A66">
              <w:t>Innovation and Science Australia</w:t>
            </w:r>
          </w:p>
        </w:tc>
      </w:tr>
      <w:tr w:rsidR="00FB46C5" w:rsidRPr="002A11D9" w14:paraId="112944E1" w14:textId="77777777" w:rsidTr="00D07CE5">
        <w:trPr>
          <w:cnfStyle w:val="000000100000" w:firstRow="0" w:lastRow="0" w:firstColumn="0" w:lastColumn="0" w:oddVBand="0" w:evenVBand="0" w:oddHBand="1" w:evenHBand="0" w:firstRowFirstColumn="0" w:firstRowLastColumn="0" w:lastRowFirstColumn="0" w:lastRowLastColumn="0"/>
          <w:trHeight w:val="510"/>
        </w:trPr>
        <w:tc>
          <w:tcPr>
            <w:tcW w:w="2066" w:type="pct"/>
            <w:hideMark/>
          </w:tcPr>
          <w:p w14:paraId="6D55BFF8" w14:textId="77777777" w:rsidR="00FB46C5" w:rsidRPr="009E4A66" w:rsidRDefault="00FB46C5" w:rsidP="00FB46C5">
            <w:pPr>
              <w:pStyle w:val="TableNText"/>
            </w:pPr>
            <w:r w:rsidRPr="009E4A66">
              <w:t>ISC</w:t>
            </w:r>
          </w:p>
        </w:tc>
        <w:tc>
          <w:tcPr>
            <w:tcW w:w="2934" w:type="pct"/>
            <w:hideMark/>
          </w:tcPr>
          <w:p w14:paraId="0DB26DC1" w14:textId="77777777" w:rsidR="00FB46C5" w:rsidRPr="009E4A66" w:rsidRDefault="00FB46C5" w:rsidP="00FB46C5">
            <w:pPr>
              <w:pStyle w:val="TableNText"/>
            </w:pPr>
            <w:r w:rsidRPr="009E4A66">
              <w:t>Innovation Solutions Canada</w:t>
            </w:r>
          </w:p>
        </w:tc>
      </w:tr>
      <w:tr w:rsidR="00FB46C5" w:rsidRPr="002A11D9" w14:paraId="3589AFE1" w14:textId="77777777" w:rsidTr="00D07CE5">
        <w:trPr>
          <w:cnfStyle w:val="000000010000" w:firstRow="0" w:lastRow="0" w:firstColumn="0" w:lastColumn="0" w:oddVBand="0" w:evenVBand="0" w:oddHBand="0" w:evenHBand="1" w:firstRowFirstColumn="0" w:firstRowLastColumn="0" w:lastRowFirstColumn="0" w:lastRowLastColumn="0"/>
          <w:trHeight w:val="510"/>
        </w:trPr>
        <w:tc>
          <w:tcPr>
            <w:tcW w:w="2066" w:type="pct"/>
            <w:hideMark/>
          </w:tcPr>
          <w:p w14:paraId="77443551" w14:textId="77777777" w:rsidR="00FB46C5" w:rsidRPr="009E4A66" w:rsidRDefault="00FB46C5" w:rsidP="00FB46C5">
            <w:pPr>
              <w:pStyle w:val="TableNText"/>
            </w:pPr>
            <w:r w:rsidRPr="009E4A66">
              <w:lastRenderedPageBreak/>
              <w:t>NISA</w:t>
            </w:r>
          </w:p>
        </w:tc>
        <w:tc>
          <w:tcPr>
            <w:tcW w:w="2934" w:type="pct"/>
            <w:hideMark/>
          </w:tcPr>
          <w:p w14:paraId="0EBE4C81" w14:textId="77777777" w:rsidR="00FB46C5" w:rsidRPr="009E4A66" w:rsidRDefault="00FB46C5" w:rsidP="00FB46C5">
            <w:pPr>
              <w:pStyle w:val="TableNText"/>
            </w:pPr>
            <w:r w:rsidRPr="009E4A66">
              <w:t>National Innovation and Science Agenda</w:t>
            </w:r>
          </w:p>
        </w:tc>
      </w:tr>
      <w:tr w:rsidR="003C4E35" w:rsidRPr="002A11D9" w14:paraId="0420998D" w14:textId="77777777" w:rsidTr="00D07CE5">
        <w:trPr>
          <w:cnfStyle w:val="000000100000" w:firstRow="0" w:lastRow="0" w:firstColumn="0" w:lastColumn="0" w:oddVBand="0" w:evenVBand="0" w:oddHBand="1" w:evenHBand="0" w:firstRowFirstColumn="0" w:firstRowLastColumn="0" w:lastRowFirstColumn="0" w:lastRowLastColumn="0"/>
          <w:trHeight w:val="510"/>
        </w:trPr>
        <w:tc>
          <w:tcPr>
            <w:tcW w:w="2066" w:type="pct"/>
          </w:tcPr>
          <w:p w14:paraId="744EA813" w14:textId="32A825EA" w:rsidR="003C4E35" w:rsidRPr="009E4A66" w:rsidRDefault="003C4E35" w:rsidP="00FB46C5">
            <w:pPr>
              <w:pStyle w:val="TableNText"/>
            </w:pPr>
            <w:r>
              <w:t>NPV</w:t>
            </w:r>
          </w:p>
        </w:tc>
        <w:tc>
          <w:tcPr>
            <w:tcW w:w="2934" w:type="pct"/>
          </w:tcPr>
          <w:p w14:paraId="0892D5CC" w14:textId="541FF48E" w:rsidR="003C4E35" w:rsidRPr="009E4A66" w:rsidRDefault="003C4E35" w:rsidP="00FB46C5">
            <w:pPr>
              <w:pStyle w:val="TableNText"/>
            </w:pPr>
            <w:r>
              <w:t>Net Present Value</w:t>
            </w:r>
          </w:p>
        </w:tc>
      </w:tr>
      <w:tr w:rsidR="00FB46C5" w:rsidRPr="002A11D9" w14:paraId="14CDD7EE" w14:textId="77777777" w:rsidTr="00D07CE5">
        <w:trPr>
          <w:cnfStyle w:val="000000010000" w:firstRow="0" w:lastRow="0" w:firstColumn="0" w:lastColumn="0" w:oddVBand="0" w:evenVBand="0" w:oddHBand="0" w:evenHBand="1" w:firstRowFirstColumn="0" w:firstRowLastColumn="0" w:lastRowFirstColumn="0" w:lastRowLastColumn="0"/>
          <w:trHeight w:val="510"/>
        </w:trPr>
        <w:tc>
          <w:tcPr>
            <w:tcW w:w="2066" w:type="pct"/>
          </w:tcPr>
          <w:p w14:paraId="218E3ACE" w14:textId="1F13D42D" w:rsidR="00FB46C5" w:rsidRPr="009E4A66" w:rsidRDefault="00FB46C5" w:rsidP="00FB46C5">
            <w:pPr>
              <w:pStyle w:val="TableNText"/>
            </w:pPr>
            <w:r w:rsidRPr="009E4A66">
              <w:t>OECD</w:t>
            </w:r>
          </w:p>
        </w:tc>
        <w:tc>
          <w:tcPr>
            <w:tcW w:w="2934" w:type="pct"/>
          </w:tcPr>
          <w:p w14:paraId="6872BD1C" w14:textId="0E699F35" w:rsidR="00FB46C5" w:rsidRPr="009E4A66" w:rsidRDefault="00FB46C5" w:rsidP="00FB46C5">
            <w:pPr>
              <w:pStyle w:val="TableNText"/>
            </w:pPr>
            <w:r w:rsidRPr="009E4A66">
              <w:t>Organisation for Economic Co-operation and Development</w:t>
            </w:r>
          </w:p>
        </w:tc>
      </w:tr>
      <w:tr w:rsidR="00A019AE" w:rsidRPr="002A11D9" w14:paraId="2568D936" w14:textId="77777777" w:rsidTr="00D07CE5">
        <w:trPr>
          <w:cnfStyle w:val="000000100000" w:firstRow="0" w:lastRow="0" w:firstColumn="0" w:lastColumn="0" w:oddVBand="0" w:evenVBand="0" w:oddHBand="1" w:evenHBand="0" w:firstRowFirstColumn="0" w:firstRowLastColumn="0" w:lastRowFirstColumn="0" w:lastRowLastColumn="0"/>
          <w:trHeight w:val="510"/>
        </w:trPr>
        <w:tc>
          <w:tcPr>
            <w:tcW w:w="2066" w:type="pct"/>
          </w:tcPr>
          <w:p w14:paraId="1ECFDCE0" w14:textId="7F1E44A0" w:rsidR="00A019AE" w:rsidRPr="009E4A66" w:rsidRDefault="00A019AE" w:rsidP="00FB46C5">
            <w:pPr>
              <w:pStyle w:val="TableNText"/>
            </w:pPr>
            <w:r>
              <w:t>R&amp;D</w:t>
            </w:r>
          </w:p>
        </w:tc>
        <w:tc>
          <w:tcPr>
            <w:tcW w:w="2934" w:type="pct"/>
          </w:tcPr>
          <w:p w14:paraId="27593C3E" w14:textId="157C1275" w:rsidR="00A019AE" w:rsidRPr="009E4A66" w:rsidRDefault="00A019AE" w:rsidP="00FB46C5">
            <w:pPr>
              <w:pStyle w:val="TableNText"/>
            </w:pPr>
            <w:r>
              <w:t>Research and Development</w:t>
            </w:r>
          </w:p>
        </w:tc>
      </w:tr>
      <w:tr w:rsidR="00FB46C5" w:rsidRPr="002A11D9" w14:paraId="402684F6" w14:textId="77777777" w:rsidTr="00D07CE5">
        <w:trPr>
          <w:cnfStyle w:val="000000010000" w:firstRow="0" w:lastRow="0" w:firstColumn="0" w:lastColumn="0" w:oddVBand="0" w:evenVBand="0" w:oddHBand="0" w:evenHBand="1" w:firstRowFirstColumn="0" w:firstRowLastColumn="0" w:lastRowFirstColumn="0" w:lastRowLastColumn="0"/>
          <w:trHeight w:val="510"/>
        </w:trPr>
        <w:tc>
          <w:tcPr>
            <w:tcW w:w="2066" w:type="pct"/>
          </w:tcPr>
          <w:p w14:paraId="41AEC125" w14:textId="7DB140EE" w:rsidR="00FB46C5" w:rsidRPr="009E4A66" w:rsidRDefault="00FB46C5" w:rsidP="00FB46C5">
            <w:pPr>
              <w:pStyle w:val="TableNText"/>
            </w:pPr>
            <w:r w:rsidRPr="009E4A66">
              <w:t>RUN</w:t>
            </w:r>
          </w:p>
        </w:tc>
        <w:tc>
          <w:tcPr>
            <w:tcW w:w="2934" w:type="pct"/>
          </w:tcPr>
          <w:p w14:paraId="68347983" w14:textId="59C47193" w:rsidR="00FB46C5" w:rsidRPr="009E4A66" w:rsidRDefault="00FB46C5" w:rsidP="00FB46C5">
            <w:pPr>
              <w:pStyle w:val="TableNText"/>
            </w:pPr>
            <w:r w:rsidRPr="009E4A66">
              <w:t>Regional Universities Network</w:t>
            </w:r>
          </w:p>
        </w:tc>
      </w:tr>
      <w:tr w:rsidR="00FB46C5" w:rsidRPr="002A11D9" w14:paraId="6DDEA899" w14:textId="77777777" w:rsidTr="00D07CE5">
        <w:trPr>
          <w:cnfStyle w:val="000000100000" w:firstRow="0" w:lastRow="0" w:firstColumn="0" w:lastColumn="0" w:oddVBand="0" w:evenVBand="0" w:oddHBand="1" w:evenHBand="0" w:firstRowFirstColumn="0" w:firstRowLastColumn="0" w:lastRowFirstColumn="0" w:lastRowLastColumn="0"/>
          <w:trHeight w:val="510"/>
        </w:trPr>
        <w:tc>
          <w:tcPr>
            <w:tcW w:w="2066" w:type="pct"/>
            <w:hideMark/>
          </w:tcPr>
          <w:p w14:paraId="7E2D1B5C" w14:textId="77777777" w:rsidR="00FB46C5" w:rsidRPr="009E4A66" w:rsidRDefault="00FB46C5" w:rsidP="00FB46C5">
            <w:pPr>
              <w:pStyle w:val="TableNText"/>
            </w:pPr>
            <w:r w:rsidRPr="009E4A66">
              <w:t>SBIR</w:t>
            </w:r>
          </w:p>
        </w:tc>
        <w:tc>
          <w:tcPr>
            <w:tcW w:w="2934" w:type="pct"/>
            <w:hideMark/>
          </w:tcPr>
          <w:p w14:paraId="237F8359" w14:textId="77777777" w:rsidR="00FB46C5" w:rsidRPr="009E4A66" w:rsidRDefault="00FB46C5" w:rsidP="00FB46C5">
            <w:pPr>
              <w:pStyle w:val="TableNText"/>
            </w:pPr>
            <w:r w:rsidRPr="009E4A66">
              <w:t>Small Business Innovation Research program</w:t>
            </w:r>
          </w:p>
        </w:tc>
      </w:tr>
      <w:tr w:rsidR="00FB46C5" w:rsidRPr="002A11D9" w14:paraId="7ECB6C78" w14:textId="77777777" w:rsidTr="00D07CE5">
        <w:trPr>
          <w:cnfStyle w:val="000000010000" w:firstRow="0" w:lastRow="0" w:firstColumn="0" w:lastColumn="0" w:oddVBand="0" w:evenVBand="0" w:oddHBand="0" w:evenHBand="1" w:firstRowFirstColumn="0" w:firstRowLastColumn="0" w:lastRowFirstColumn="0" w:lastRowLastColumn="0"/>
          <w:trHeight w:val="510"/>
        </w:trPr>
        <w:tc>
          <w:tcPr>
            <w:tcW w:w="2066" w:type="pct"/>
            <w:hideMark/>
          </w:tcPr>
          <w:p w14:paraId="11F6E96D" w14:textId="77777777" w:rsidR="00FB46C5" w:rsidRPr="009E4A66" w:rsidRDefault="00FB46C5" w:rsidP="00FB46C5">
            <w:pPr>
              <w:pStyle w:val="TableNText"/>
            </w:pPr>
            <w:r w:rsidRPr="009E4A66">
              <w:t>SBRI</w:t>
            </w:r>
          </w:p>
        </w:tc>
        <w:tc>
          <w:tcPr>
            <w:tcW w:w="2934" w:type="pct"/>
            <w:hideMark/>
          </w:tcPr>
          <w:p w14:paraId="4865A72E" w14:textId="77777777" w:rsidR="00FB46C5" w:rsidRPr="009E4A66" w:rsidRDefault="00FB46C5" w:rsidP="00FB46C5">
            <w:pPr>
              <w:pStyle w:val="TableNText"/>
            </w:pPr>
            <w:r w:rsidRPr="009E4A66">
              <w:t>Small Business Research Initiative</w:t>
            </w:r>
          </w:p>
        </w:tc>
      </w:tr>
      <w:tr w:rsidR="00FB46C5" w:rsidRPr="002A11D9" w14:paraId="56768B22" w14:textId="77777777" w:rsidTr="00D07CE5">
        <w:trPr>
          <w:cnfStyle w:val="000000100000" w:firstRow="0" w:lastRow="0" w:firstColumn="0" w:lastColumn="0" w:oddVBand="0" w:evenVBand="0" w:oddHBand="1" w:evenHBand="0" w:firstRowFirstColumn="0" w:firstRowLastColumn="0" w:lastRowFirstColumn="0" w:lastRowLastColumn="0"/>
          <w:trHeight w:val="510"/>
        </w:trPr>
        <w:tc>
          <w:tcPr>
            <w:tcW w:w="2066" w:type="pct"/>
            <w:hideMark/>
          </w:tcPr>
          <w:p w14:paraId="5D0D32D9" w14:textId="77777777" w:rsidR="00FB46C5" w:rsidRPr="002A11D9" w:rsidRDefault="00FB46C5" w:rsidP="00FB46C5">
            <w:pPr>
              <w:pStyle w:val="TableNText"/>
              <w:rPr>
                <w:lang w:eastAsia="en-AU"/>
              </w:rPr>
            </w:pPr>
            <w:r w:rsidRPr="002A11D9">
              <w:rPr>
                <w:lang w:eastAsia="en-AU"/>
              </w:rPr>
              <w:t>SME</w:t>
            </w:r>
          </w:p>
        </w:tc>
        <w:tc>
          <w:tcPr>
            <w:tcW w:w="2934" w:type="pct"/>
            <w:hideMark/>
          </w:tcPr>
          <w:p w14:paraId="5E64A764" w14:textId="54B4B183" w:rsidR="00FB46C5" w:rsidRPr="002A11D9" w:rsidRDefault="00FB46C5" w:rsidP="00FB46C5">
            <w:pPr>
              <w:pStyle w:val="TableNText"/>
              <w:rPr>
                <w:lang w:eastAsia="en-AU"/>
              </w:rPr>
            </w:pPr>
            <w:r w:rsidRPr="002A11D9">
              <w:rPr>
                <w:lang w:eastAsia="en-AU"/>
              </w:rPr>
              <w:t>Small</w:t>
            </w:r>
            <w:r w:rsidR="007F6254">
              <w:rPr>
                <w:lang w:eastAsia="en-AU"/>
              </w:rPr>
              <w:t xml:space="preserve"> to </w:t>
            </w:r>
            <w:r w:rsidRPr="002A11D9">
              <w:rPr>
                <w:lang w:eastAsia="en-AU"/>
              </w:rPr>
              <w:t>Medium Enterprise</w:t>
            </w:r>
          </w:p>
        </w:tc>
      </w:tr>
    </w:tbl>
    <w:p w14:paraId="47300353" w14:textId="26DC8A4B" w:rsidR="002A11D9" w:rsidRPr="003852EB" w:rsidRDefault="003852EB">
      <w:pPr>
        <w:pStyle w:val="xAppendixLevel1"/>
        <w:ind w:left="2694" w:hanging="2694"/>
        <w:rPr>
          <w:color w:val="00264D" w:themeColor="background2"/>
        </w:rPr>
      </w:pPr>
      <w:bookmarkStart w:id="226" w:name="_Ref75986305"/>
      <w:bookmarkStart w:id="227" w:name="_Toc124435186"/>
      <w:r>
        <w:rPr>
          <w:color w:val="00264D" w:themeColor="background2"/>
        </w:rPr>
        <w:lastRenderedPageBreak/>
        <w:drawing>
          <wp:anchor distT="0" distB="0" distL="114300" distR="114300" simplePos="0" relativeHeight="251686400" behindDoc="0" locked="0" layoutInCell="1" allowOverlap="1" wp14:anchorId="73943865" wp14:editId="3255C603">
            <wp:simplePos x="0" y="0"/>
            <wp:positionH relativeFrom="margin">
              <wp:posOffset>-985462</wp:posOffset>
            </wp:positionH>
            <wp:positionV relativeFrom="paragraph">
              <wp:posOffset>-786130</wp:posOffset>
            </wp:positionV>
            <wp:extent cx="7626985" cy="1524000"/>
            <wp:effectExtent l="0" t="0" r="0" b="0"/>
            <wp:wrapNone/>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extLst>
                        <a:ext uri="{C183D7F6-B498-43B3-948B-1728B52AA6E4}">
                          <adec:decorative xmlns:adec="http://schemas.microsoft.com/office/drawing/2017/decorative" val="1"/>
                        </a:ext>
                      </a:extLs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7626985" cy="1524000"/>
                    </a:xfrm>
                    <a:prstGeom prst="rect">
                      <a:avLst/>
                    </a:prstGeom>
                    <a:noFill/>
                  </pic:spPr>
                </pic:pic>
              </a:graphicData>
            </a:graphic>
          </wp:anchor>
        </w:drawing>
      </w:r>
      <w:r w:rsidR="00C45506" w:rsidRPr="003852EB">
        <w:rPr>
          <w:color w:val="00264D" w:themeColor="background2"/>
        </w:rPr>
        <w:t>Post-commencement evaluation recommendations</w:t>
      </w:r>
      <w:bookmarkEnd w:id="226"/>
      <w:bookmarkEnd w:id="227"/>
    </w:p>
    <w:p w14:paraId="0EE769AE" w14:textId="7D4819F9" w:rsidR="00C45506" w:rsidRDefault="00C45506">
      <w:pPr>
        <w:pStyle w:val="Listnumbered"/>
        <w:numPr>
          <w:ilvl w:val="0"/>
          <w:numId w:val="29"/>
        </w:numPr>
        <w:rPr>
          <w:lang w:eastAsia="en-AU"/>
        </w:rPr>
      </w:pPr>
      <w:r>
        <w:rPr>
          <w:lang w:eastAsia="en-AU"/>
        </w:rPr>
        <w:t>The Department works with each challenge agency to increase the visibility of BRII’s outcomes to date across Government and other key stakeholders between now and the conclusion of the pilot, to further enable the program’s intended outcomes for Government.</w:t>
      </w:r>
    </w:p>
    <w:p w14:paraId="33FC79BA" w14:textId="12C413C7" w:rsidR="00C45506" w:rsidRDefault="00C45506">
      <w:pPr>
        <w:pStyle w:val="Listnumbered"/>
        <w:numPr>
          <w:ilvl w:val="0"/>
          <w:numId w:val="29"/>
        </w:numPr>
        <w:rPr>
          <w:lang w:eastAsia="en-AU"/>
        </w:rPr>
      </w:pPr>
      <w:r>
        <w:rPr>
          <w:lang w:eastAsia="en-AU"/>
        </w:rPr>
        <w:t>The Department maintains an active role in working with agencies to identify, scope and design challenges for any future rounds of BRII to maintain a consistently high quality of challenge scope and design.</w:t>
      </w:r>
    </w:p>
    <w:p w14:paraId="7F220404" w14:textId="50706523" w:rsidR="00C45506" w:rsidRDefault="00C45506">
      <w:pPr>
        <w:pStyle w:val="Listnumbered"/>
        <w:numPr>
          <w:ilvl w:val="0"/>
          <w:numId w:val="29"/>
        </w:numPr>
        <w:rPr>
          <w:lang w:eastAsia="en-AU"/>
        </w:rPr>
      </w:pPr>
      <w:r>
        <w:rPr>
          <w:lang w:eastAsia="en-AU"/>
        </w:rPr>
        <w:t>The Department provides agencies with forewarning about forthcoming rounds and allows at least ten weeks for challenge applications to be developed.</w:t>
      </w:r>
    </w:p>
    <w:p w14:paraId="5CF4891B" w14:textId="525E3B6D" w:rsidR="00C45506" w:rsidRDefault="00C45506">
      <w:pPr>
        <w:pStyle w:val="Listnumbered"/>
        <w:numPr>
          <w:ilvl w:val="0"/>
          <w:numId w:val="29"/>
        </w:numPr>
        <w:rPr>
          <w:lang w:eastAsia="en-AU"/>
        </w:rPr>
      </w:pPr>
      <w:r>
        <w:rPr>
          <w:lang w:eastAsia="en-AU"/>
        </w:rPr>
        <w:t xml:space="preserve">The Department reconsiders the timeframes for subsequent rounds of BRII, with a specific focus on streamlining the feasibility study application assessment process. </w:t>
      </w:r>
    </w:p>
    <w:p w14:paraId="40A6CB71" w14:textId="40C32B93" w:rsidR="00C45506" w:rsidRDefault="00C45506">
      <w:pPr>
        <w:pStyle w:val="Listnumbered"/>
        <w:numPr>
          <w:ilvl w:val="0"/>
          <w:numId w:val="29"/>
        </w:numPr>
        <w:rPr>
          <w:lang w:eastAsia="en-AU"/>
        </w:rPr>
      </w:pPr>
      <w:r>
        <w:rPr>
          <w:lang w:eastAsia="en-AU"/>
        </w:rPr>
        <w:t>The Department works more actively with challenge agencies to understand and – where possible – measure these benefits ahead of the BRII impact evaluation (which is scheduled for 2020-21). This will also help to communicate the potential benefits of BRII to other agencies that could be involved in future rounds of BRII.</w:t>
      </w:r>
    </w:p>
    <w:p w14:paraId="2B117F19" w14:textId="1FEBB4FC" w:rsidR="00C45506" w:rsidRDefault="00C45506">
      <w:pPr>
        <w:pStyle w:val="Listnumbered"/>
        <w:numPr>
          <w:ilvl w:val="0"/>
          <w:numId w:val="29"/>
        </w:numPr>
        <w:rPr>
          <w:lang w:eastAsia="en-AU"/>
        </w:rPr>
      </w:pPr>
      <w:r>
        <w:rPr>
          <w:lang w:eastAsia="en-AU"/>
        </w:rPr>
        <w:t>The Department investigates the feasibility and potential benefits of more closely linking SMEs that participate in any future rounds of BRII with other relevant government programs including AusIndustry programs.</w:t>
      </w:r>
    </w:p>
    <w:p w14:paraId="0FD40D21" w14:textId="14A7E62E" w:rsidR="00C45506" w:rsidRDefault="00C45506">
      <w:pPr>
        <w:pStyle w:val="Listnumbered"/>
        <w:numPr>
          <w:ilvl w:val="0"/>
          <w:numId w:val="29"/>
        </w:numPr>
        <w:rPr>
          <w:lang w:eastAsia="en-AU"/>
        </w:rPr>
      </w:pPr>
      <w:r>
        <w:rPr>
          <w:lang w:eastAsia="en-AU"/>
        </w:rPr>
        <w:t>The Department ensures that the knowledge base developed through the BRII pilot is appropriately captured and packaged so that it can be easily accessed by any future BRII participants and potentially used to supplement other related resources for SMEs.</w:t>
      </w:r>
    </w:p>
    <w:p w14:paraId="145C6BCE" w14:textId="2B8BA012" w:rsidR="00C45506" w:rsidRPr="00C45506" w:rsidRDefault="00C45506">
      <w:pPr>
        <w:pStyle w:val="Listnumbered"/>
        <w:numPr>
          <w:ilvl w:val="0"/>
          <w:numId w:val="29"/>
        </w:numPr>
        <w:rPr>
          <w:lang w:eastAsia="en-AU"/>
        </w:rPr>
      </w:pPr>
      <w:r>
        <w:rPr>
          <w:lang w:eastAsia="en-AU"/>
        </w:rPr>
        <w:t xml:space="preserve">The Department clearly articulates the features and rationale of the BRII </w:t>
      </w:r>
      <w:r w:rsidR="00A940D5">
        <w:rPr>
          <w:lang w:eastAsia="en-AU"/>
        </w:rPr>
        <w:t>model,</w:t>
      </w:r>
      <w:r>
        <w:rPr>
          <w:lang w:eastAsia="en-AU"/>
        </w:rPr>
        <w:t xml:space="preserve"> and any key lessons learned at the conclusion of the pilot. This will ensure that any other agencies that may wish to adopt a similar challenge-based model can, while preserving the intent and integrity of the program.</w:t>
      </w:r>
    </w:p>
    <w:p w14:paraId="538099A8" w14:textId="6C24D7D4" w:rsidR="00AA62B5" w:rsidRPr="003852EB" w:rsidRDefault="003852EB">
      <w:pPr>
        <w:pStyle w:val="xAppendixLevel1"/>
        <w:rPr>
          <w:color w:val="00264D" w:themeColor="background2"/>
        </w:rPr>
      </w:pPr>
      <w:bookmarkStart w:id="228" w:name="_Ref76056850"/>
      <w:bookmarkStart w:id="229" w:name="_Toc124435187"/>
      <w:r>
        <w:rPr>
          <w:color w:val="00264D" w:themeColor="background2"/>
        </w:rPr>
        <w:lastRenderedPageBreak/>
        <w:drawing>
          <wp:anchor distT="0" distB="0" distL="114300" distR="114300" simplePos="0" relativeHeight="251687424" behindDoc="0" locked="0" layoutInCell="1" allowOverlap="1" wp14:anchorId="499957D3" wp14:editId="5FB93389">
            <wp:simplePos x="0" y="0"/>
            <wp:positionH relativeFrom="margin">
              <wp:posOffset>-978535</wp:posOffset>
            </wp:positionH>
            <wp:positionV relativeFrom="paragraph">
              <wp:posOffset>-786130</wp:posOffset>
            </wp:positionV>
            <wp:extent cx="7626985" cy="1530350"/>
            <wp:effectExtent l="0" t="0" r="0" b="0"/>
            <wp:wrapNone/>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7626985" cy="1530350"/>
                    </a:xfrm>
                    <a:prstGeom prst="rect">
                      <a:avLst/>
                    </a:prstGeom>
                    <a:noFill/>
                  </pic:spPr>
                </pic:pic>
              </a:graphicData>
            </a:graphic>
          </wp:anchor>
        </w:drawing>
      </w:r>
      <w:r w:rsidR="004D7568" w:rsidRPr="003852EB">
        <w:rPr>
          <w:color w:val="00264D" w:themeColor="background2"/>
        </w:rPr>
        <w:t xml:space="preserve">CBA </w:t>
      </w:r>
      <w:r w:rsidR="008E1C4F" w:rsidRPr="003852EB">
        <w:rPr>
          <w:color w:val="00264D" w:themeColor="background2"/>
        </w:rPr>
        <w:t>T</w:t>
      </w:r>
      <w:r w:rsidR="008F4E1E" w:rsidRPr="003852EB">
        <w:rPr>
          <w:color w:val="00264D" w:themeColor="background2"/>
        </w:rPr>
        <w:t xml:space="preserve">echnical </w:t>
      </w:r>
      <w:r w:rsidR="008E1C4F" w:rsidRPr="003852EB">
        <w:rPr>
          <w:color w:val="00264D" w:themeColor="background2"/>
        </w:rPr>
        <w:t>A</w:t>
      </w:r>
      <w:r w:rsidR="008F4E1E" w:rsidRPr="003852EB">
        <w:rPr>
          <w:color w:val="00264D" w:themeColor="background2"/>
        </w:rPr>
        <w:t>ppendix</w:t>
      </w:r>
      <w:bookmarkEnd w:id="228"/>
      <w:bookmarkEnd w:id="229"/>
    </w:p>
    <w:p w14:paraId="2DA6B503" w14:textId="6D8A32C6" w:rsidR="00E769F0" w:rsidRDefault="00AC11F4" w:rsidP="00093F2C">
      <w:pPr>
        <w:rPr>
          <w:lang w:eastAsia="en-AU"/>
        </w:rPr>
      </w:pPr>
      <w:r>
        <w:rPr>
          <w:lang w:eastAsia="en-AU"/>
        </w:rPr>
        <w:br/>
      </w:r>
      <w:r w:rsidR="008E1C4F">
        <w:rPr>
          <w:lang w:eastAsia="en-AU"/>
        </w:rPr>
        <w:t>This CBA Technical Appendix provides a more detailed account of the CBA approach and methodology presented earlier.</w:t>
      </w:r>
    </w:p>
    <w:p w14:paraId="69E9A843" w14:textId="2645C61E" w:rsidR="00EC75A8" w:rsidRDefault="00EC75A8">
      <w:pPr>
        <w:pStyle w:val="xAppendixLevel2"/>
      </w:pPr>
      <w:bookmarkStart w:id="230" w:name="_Toc124435188"/>
      <w:r>
        <w:t>Defining the CBA scope</w:t>
      </w:r>
      <w:bookmarkEnd w:id="230"/>
    </w:p>
    <w:p w14:paraId="6EAC83E1" w14:textId="3DDB3F17" w:rsidR="00A23162" w:rsidRDefault="00B65F8D" w:rsidP="00B65F8D">
      <w:pPr>
        <w:rPr>
          <w:szCs w:val="19"/>
          <w:lang w:eastAsia="en-AU"/>
        </w:rPr>
      </w:pPr>
      <w:r w:rsidRPr="00F91F12">
        <w:rPr>
          <w:szCs w:val="19"/>
          <w:lang w:eastAsia="en-AU"/>
        </w:rPr>
        <w:t>The BRII has now been active for over four years</w:t>
      </w:r>
      <w:r w:rsidR="00BA04B9">
        <w:rPr>
          <w:szCs w:val="19"/>
          <w:lang w:eastAsia="en-AU"/>
        </w:rPr>
        <w:t>. T</w:t>
      </w:r>
      <w:r w:rsidRPr="00F91F12">
        <w:rPr>
          <w:szCs w:val="19"/>
          <w:lang w:eastAsia="en-AU"/>
        </w:rPr>
        <w:t xml:space="preserve">he first allocation of funding provided to round one recipients </w:t>
      </w:r>
      <w:r w:rsidR="00BA04B9">
        <w:rPr>
          <w:szCs w:val="19"/>
          <w:lang w:eastAsia="en-AU"/>
        </w:rPr>
        <w:t>was in FY16/17</w:t>
      </w:r>
      <w:r w:rsidRPr="00F91F12">
        <w:rPr>
          <w:szCs w:val="19"/>
          <w:lang w:eastAsia="en-AU"/>
        </w:rPr>
        <w:t>.</w:t>
      </w:r>
      <w:r>
        <w:rPr>
          <w:szCs w:val="19"/>
          <w:lang w:eastAsia="en-AU"/>
        </w:rPr>
        <w:t xml:space="preserve"> </w:t>
      </w:r>
      <w:r w:rsidRPr="00F91F12">
        <w:rPr>
          <w:szCs w:val="19"/>
          <w:lang w:eastAsia="en-AU"/>
        </w:rPr>
        <w:t>Since that time</w:t>
      </w:r>
      <w:r w:rsidR="00F46751">
        <w:rPr>
          <w:szCs w:val="19"/>
          <w:lang w:eastAsia="en-AU"/>
        </w:rPr>
        <w:t>,</w:t>
      </w:r>
      <w:r w:rsidRPr="00F91F12">
        <w:rPr>
          <w:szCs w:val="19"/>
          <w:lang w:eastAsia="en-AU"/>
        </w:rPr>
        <w:t xml:space="preserve"> </w:t>
      </w:r>
      <w:r w:rsidR="00BA04B9">
        <w:rPr>
          <w:szCs w:val="19"/>
          <w:lang w:eastAsia="en-AU"/>
        </w:rPr>
        <w:t xml:space="preserve">the </w:t>
      </w:r>
      <w:r w:rsidRPr="00F91F12">
        <w:rPr>
          <w:szCs w:val="19"/>
          <w:lang w:eastAsia="en-AU"/>
        </w:rPr>
        <w:t xml:space="preserve">BRII costs and benefits </w:t>
      </w:r>
      <w:r w:rsidR="00F46751">
        <w:rPr>
          <w:szCs w:val="19"/>
          <w:lang w:eastAsia="en-AU"/>
        </w:rPr>
        <w:t>has</w:t>
      </w:r>
      <w:r w:rsidRPr="00F91F12">
        <w:rPr>
          <w:szCs w:val="19"/>
          <w:lang w:eastAsia="en-AU"/>
        </w:rPr>
        <w:t xml:space="preserve"> </w:t>
      </w:r>
      <w:r w:rsidR="00BA04B9">
        <w:rPr>
          <w:szCs w:val="19"/>
          <w:lang w:eastAsia="en-AU"/>
        </w:rPr>
        <w:t xml:space="preserve">become increasingly well </w:t>
      </w:r>
      <w:r w:rsidR="00586973">
        <w:rPr>
          <w:szCs w:val="19"/>
          <w:lang w:eastAsia="en-AU"/>
        </w:rPr>
        <w:t>understood as they are demonstrated in the performance of SMEs and the implementation of solutions.</w:t>
      </w:r>
    </w:p>
    <w:p w14:paraId="6F5DB0C6" w14:textId="112A05ED" w:rsidR="00477428" w:rsidRPr="00711764" w:rsidRDefault="00A45195" w:rsidP="00711764">
      <w:pPr>
        <w:rPr>
          <w:szCs w:val="19"/>
          <w:lang w:eastAsia="en-AU"/>
        </w:rPr>
      </w:pPr>
      <w:r>
        <w:rPr>
          <w:szCs w:val="19"/>
          <w:lang w:eastAsia="en-AU"/>
        </w:rPr>
        <w:t>The</w:t>
      </w:r>
      <w:r w:rsidR="00A23162">
        <w:rPr>
          <w:szCs w:val="19"/>
          <w:lang w:eastAsia="en-AU"/>
        </w:rPr>
        <w:t>re</w:t>
      </w:r>
      <w:r>
        <w:rPr>
          <w:szCs w:val="19"/>
          <w:lang w:eastAsia="en-AU"/>
        </w:rPr>
        <w:t xml:space="preserve"> is </w:t>
      </w:r>
      <w:r w:rsidR="00B65F8D" w:rsidRPr="00F91F12">
        <w:rPr>
          <w:szCs w:val="19"/>
          <w:lang w:eastAsia="en-AU"/>
        </w:rPr>
        <w:t>now sufficient evidence</w:t>
      </w:r>
      <w:r>
        <w:rPr>
          <w:szCs w:val="19"/>
          <w:lang w:eastAsia="en-AU"/>
        </w:rPr>
        <w:t xml:space="preserve"> of costs and some benefits </w:t>
      </w:r>
      <w:r w:rsidR="00B65F8D" w:rsidRPr="00F91F12">
        <w:rPr>
          <w:szCs w:val="19"/>
          <w:lang w:eastAsia="en-AU"/>
        </w:rPr>
        <w:t xml:space="preserve">to provide a robust </w:t>
      </w:r>
      <w:r w:rsidR="00B65F8D">
        <w:rPr>
          <w:szCs w:val="19"/>
          <w:lang w:eastAsia="en-AU"/>
        </w:rPr>
        <w:t xml:space="preserve">ex-post </w:t>
      </w:r>
      <w:r w:rsidR="00B65F8D" w:rsidRPr="00F91F12">
        <w:rPr>
          <w:szCs w:val="19"/>
          <w:lang w:eastAsia="en-AU"/>
        </w:rPr>
        <w:t>assessment of the program’s impact as a result of funding round one proof of concept SMEs.</w:t>
      </w:r>
      <w:r w:rsidR="00A23162">
        <w:rPr>
          <w:szCs w:val="19"/>
          <w:lang w:eastAsia="en-AU"/>
        </w:rPr>
        <w:t xml:space="preserve"> </w:t>
      </w:r>
      <w:r w:rsidR="00B65F8D" w:rsidRPr="4A9AC73B">
        <w:rPr>
          <w:lang w:eastAsia="en-AU"/>
        </w:rPr>
        <w:t xml:space="preserve">However, it is still too early to determine the impact of BRII through subsequent rounds. Therefore, the scope of this CBA is focused exclusively on the costs and benefits relating to round one SME’s that progressed to the </w:t>
      </w:r>
      <w:r w:rsidR="004F1887" w:rsidRPr="4A9AC73B">
        <w:rPr>
          <w:lang w:eastAsia="en-AU"/>
        </w:rPr>
        <w:t>proof of concept</w:t>
      </w:r>
      <w:r w:rsidR="00B65F8D" w:rsidRPr="4A9AC73B">
        <w:rPr>
          <w:lang w:eastAsia="en-AU"/>
        </w:rPr>
        <w:t xml:space="preserve"> funding stage</w:t>
      </w:r>
      <w:r w:rsidR="003536E4" w:rsidRPr="4A9AC73B">
        <w:rPr>
          <w:lang w:eastAsia="en-AU"/>
        </w:rPr>
        <w:t xml:space="preserve"> (see </w:t>
      </w:r>
      <w:r w:rsidR="00711764" w:rsidRPr="4A9AC73B">
        <w:rPr>
          <w:lang w:eastAsia="en-AU"/>
        </w:rPr>
        <w:fldChar w:fldCharType="begin"/>
      </w:r>
      <w:r w:rsidR="00711764" w:rsidRPr="4A9AC73B">
        <w:rPr>
          <w:lang w:eastAsia="en-AU"/>
        </w:rPr>
        <w:instrText xml:space="preserve"> REF _Ref75872066 \h </w:instrText>
      </w:r>
      <w:r w:rsidR="00B6268B" w:rsidRPr="4A9AC73B">
        <w:rPr>
          <w:lang w:eastAsia="en-AU"/>
        </w:rPr>
        <w:instrText xml:space="preserve"> \* MERGEFORMAT </w:instrText>
      </w:r>
      <w:r w:rsidR="00711764" w:rsidRPr="4A9AC73B">
        <w:rPr>
          <w:lang w:eastAsia="en-AU"/>
        </w:rPr>
      </w:r>
      <w:r w:rsidR="00711764" w:rsidRPr="4A9AC73B">
        <w:rPr>
          <w:lang w:eastAsia="en-AU"/>
        </w:rPr>
        <w:fldChar w:fldCharType="separate"/>
      </w:r>
      <w:r w:rsidR="00AE607F">
        <w:t xml:space="preserve">Table </w:t>
      </w:r>
      <w:r w:rsidR="00AE607F">
        <w:rPr>
          <w:noProof/>
        </w:rPr>
        <w:t>19</w:t>
      </w:r>
      <w:r w:rsidR="00711764" w:rsidRPr="4A9AC73B">
        <w:rPr>
          <w:lang w:eastAsia="en-AU"/>
        </w:rPr>
        <w:fldChar w:fldCharType="end"/>
      </w:r>
      <w:r w:rsidR="003536E4" w:rsidRPr="4A9AC73B">
        <w:rPr>
          <w:lang w:eastAsia="en-AU"/>
        </w:rPr>
        <w:t>)</w:t>
      </w:r>
      <w:r w:rsidR="00B65F8D" w:rsidRPr="4A9AC73B">
        <w:rPr>
          <w:lang w:eastAsia="en-AU"/>
        </w:rPr>
        <w:t>.</w:t>
      </w:r>
      <w:r w:rsidR="00B65F8D" w:rsidRPr="4A9AC73B">
        <w:rPr>
          <w:rStyle w:val="FootnoteReference"/>
          <w:lang w:eastAsia="en-AU"/>
        </w:rPr>
        <w:footnoteReference w:id="88"/>
      </w:r>
    </w:p>
    <w:p w14:paraId="3C9D2A8E" w14:textId="32DB102C" w:rsidR="00711764" w:rsidRDefault="00711764" w:rsidP="00711764">
      <w:pPr>
        <w:pStyle w:val="Caption"/>
      </w:pPr>
      <w:bookmarkStart w:id="231" w:name="_Ref75872066"/>
      <w:r>
        <w:t xml:space="preserve">Table </w:t>
      </w:r>
      <w:r>
        <w:fldChar w:fldCharType="begin"/>
      </w:r>
      <w:r>
        <w:instrText xml:space="preserve"> SEQ Table \* ARABIC </w:instrText>
      </w:r>
      <w:r>
        <w:fldChar w:fldCharType="separate"/>
      </w:r>
      <w:r w:rsidR="00AE607F">
        <w:rPr>
          <w:noProof/>
        </w:rPr>
        <w:t>19</w:t>
      </w:r>
      <w:r>
        <w:fldChar w:fldCharType="end"/>
      </w:r>
      <w:bookmarkEnd w:id="231"/>
      <w:r>
        <w:t xml:space="preserve"> | </w:t>
      </w:r>
      <w:r w:rsidRPr="006558FB">
        <w:t xml:space="preserve">Round one </w:t>
      </w:r>
      <w:r w:rsidR="008F3C07">
        <w:t>proof of concept</w:t>
      </w:r>
      <w:r w:rsidRPr="006558FB">
        <w:t xml:space="preserve"> SMEs in scope for the CBA</w:t>
      </w:r>
    </w:p>
    <w:tbl>
      <w:tblPr>
        <w:tblStyle w:val="TableGrid"/>
        <w:tblW w:w="5000" w:type="pct"/>
        <w:tblBorders>
          <w:top w:val="single" w:sz="4" w:space="0" w:color="00264D" w:themeColor="background2"/>
          <w:left w:val="single" w:sz="4" w:space="0" w:color="00264D" w:themeColor="background2"/>
          <w:bottom w:val="single" w:sz="4" w:space="0" w:color="00264D" w:themeColor="background2"/>
          <w:right w:val="single" w:sz="4" w:space="0" w:color="00264D" w:themeColor="background2"/>
          <w:insideH w:val="single" w:sz="4" w:space="0" w:color="00264D" w:themeColor="background2"/>
          <w:insideV w:val="single" w:sz="4" w:space="0" w:color="00264D" w:themeColor="background2"/>
        </w:tblBorders>
        <w:tblLook w:val="04A0" w:firstRow="1" w:lastRow="0" w:firstColumn="1" w:lastColumn="0" w:noHBand="0" w:noVBand="1"/>
      </w:tblPr>
      <w:tblGrid>
        <w:gridCol w:w="3070"/>
        <w:gridCol w:w="5850"/>
      </w:tblGrid>
      <w:tr w:rsidR="00E00681" w14:paraId="69855C9F" w14:textId="77777777" w:rsidTr="00EF2D2C">
        <w:trPr>
          <w:cnfStyle w:val="100000000000" w:firstRow="1" w:lastRow="0" w:firstColumn="0" w:lastColumn="0" w:oddVBand="0" w:evenVBand="0" w:oddHBand="0" w:evenHBand="0" w:firstRowFirstColumn="0" w:firstRowLastColumn="0" w:lastRowFirstColumn="0" w:lastRowLastColumn="0"/>
          <w:trHeight w:val="24"/>
        </w:trPr>
        <w:tc>
          <w:tcPr>
            <w:tcW w:w="1721" w:type="pct"/>
            <w:tcBorders>
              <w:top w:val="none" w:sz="0" w:space="0" w:color="auto"/>
              <w:left w:val="none" w:sz="0" w:space="0" w:color="auto"/>
              <w:bottom w:val="none" w:sz="0" w:space="0" w:color="auto"/>
              <w:right w:val="single" w:sz="4" w:space="0" w:color="FFFFFF" w:themeColor="background1"/>
              <w:tl2br w:val="none" w:sz="0" w:space="0" w:color="auto"/>
              <w:tr2bl w:val="none" w:sz="0" w:space="0" w:color="auto"/>
            </w:tcBorders>
            <w:shd w:val="clear" w:color="auto" w:fill="00264D" w:themeFill="background2"/>
          </w:tcPr>
          <w:p w14:paraId="0A16834F" w14:textId="1D5917DC" w:rsidR="007B4D87" w:rsidRPr="00EF2D2C" w:rsidRDefault="007B4D87" w:rsidP="00EF2D2C">
            <w:pPr>
              <w:pStyle w:val="TableNheader"/>
              <w:rPr>
                <w:color w:val="FFFFFF" w:themeColor="background1"/>
              </w:rPr>
            </w:pPr>
            <w:r w:rsidRPr="00EF2D2C">
              <w:rPr>
                <w:color w:val="FFFFFF" w:themeColor="background1"/>
              </w:rPr>
              <w:t>Applicant SME</w:t>
            </w:r>
          </w:p>
        </w:tc>
        <w:tc>
          <w:tcPr>
            <w:tcW w:w="3279" w:type="pct"/>
            <w:tcBorders>
              <w:top w:val="none" w:sz="0" w:space="0" w:color="auto"/>
              <w:left w:val="single" w:sz="4" w:space="0" w:color="FFFFFF" w:themeColor="background1"/>
              <w:bottom w:val="none" w:sz="0" w:space="0" w:color="auto"/>
              <w:right w:val="none" w:sz="0" w:space="0" w:color="auto"/>
              <w:tl2br w:val="none" w:sz="0" w:space="0" w:color="auto"/>
              <w:tr2bl w:val="none" w:sz="0" w:space="0" w:color="auto"/>
            </w:tcBorders>
            <w:shd w:val="clear" w:color="auto" w:fill="00264D" w:themeFill="background2"/>
          </w:tcPr>
          <w:p w14:paraId="14E0E9C6" w14:textId="0784F003" w:rsidR="007B4D87" w:rsidRPr="00EF2D2C" w:rsidRDefault="007B4D87" w:rsidP="00EF2D2C">
            <w:pPr>
              <w:pStyle w:val="TableNheader"/>
              <w:rPr>
                <w:color w:val="FFFFFF" w:themeColor="background1"/>
              </w:rPr>
            </w:pPr>
            <w:r w:rsidRPr="00EF2D2C">
              <w:rPr>
                <w:color w:val="FFFFFF" w:themeColor="background1"/>
              </w:rPr>
              <w:t>Challenge</w:t>
            </w:r>
          </w:p>
        </w:tc>
      </w:tr>
      <w:tr w:rsidR="007B4D87" w14:paraId="3C006977" w14:textId="77777777" w:rsidTr="00EF2D2C">
        <w:trPr>
          <w:cnfStyle w:val="000000100000" w:firstRow="0" w:lastRow="0" w:firstColumn="0" w:lastColumn="0" w:oddVBand="0" w:evenVBand="0" w:oddHBand="1" w:evenHBand="0" w:firstRowFirstColumn="0" w:firstRowLastColumn="0" w:lastRowFirstColumn="0" w:lastRowLastColumn="0"/>
          <w:trHeight w:val="40"/>
        </w:trPr>
        <w:tc>
          <w:tcPr>
            <w:tcW w:w="1721" w:type="pct"/>
            <w:vAlign w:val="top"/>
          </w:tcPr>
          <w:p w14:paraId="5F738CAF" w14:textId="7DF51262" w:rsidR="007B4D87" w:rsidRPr="00B5551A" w:rsidRDefault="007B4D87" w:rsidP="00EF2D2C">
            <w:pPr>
              <w:pStyle w:val="TableNText"/>
            </w:pPr>
            <w:r w:rsidRPr="00B5551A">
              <w:t>Atamo P/L</w:t>
            </w:r>
          </w:p>
        </w:tc>
        <w:tc>
          <w:tcPr>
            <w:tcW w:w="3279" w:type="pct"/>
            <w:vAlign w:val="top"/>
          </w:tcPr>
          <w:p w14:paraId="235F21D1" w14:textId="15F480A4" w:rsidR="007B4D87" w:rsidRPr="0079629B" w:rsidRDefault="007B4D87" w:rsidP="00EF2D2C">
            <w:pPr>
              <w:pStyle w:val="TableNText"/>
            </w:pPr>
            <w:r w:rsidRPr="007B4D87">
              <w:t>On-the-spot technology for measuring pyrethroid surface residue</w:t>
            </w:r>
          </w:p>
        </w:tc>
      </w:tr>
      <w:tr w:rsidR="007B4D87" w14:paraId="738882CF" w14:textId="77777777" w:rsidTr="00EF2D2C">
        <w:trPr>
          <w:cnfStyle w:val="000000010000" w:firstRow="0" w:lastRow="0" w:firstColumn="0" w:lastColumn="0" w:oddVBand="0" w:evenVBand="0" w:oddHBand="0" w:evenHBand="1" w:firstRowFirstColumn="0" w:firstRowLastColumn="0" w:lastRowFirstColumn="0" w:lastRowLastColumn="0"/>
          <w:trHeight w:val="40"/>
        </w:trPr>
        <w:tc>
          <w:tcPr>
            <w:tcW w:w="1721" w:type="pct"/>
            <w:vAlign w:val="top"/>
          </w:tcPr>
          <w:p w14:paraId="3015DE18" w14:textId="3DCF3409" w:rsidR="007B4D87" w:rsidRPr="00B5551A" w:rsidRDefault="007B4D87" w:rsidP="00EF2D2C">
            <w:pPr>
              <w:pStyle w:val="TableNText"/>
            </w:pPr>
            <w:r w:rsidRPr="00B5551A">
              <w:t>Atraxium P/L</w:t>
            </w:r>
          </w:p>
        </w:tc>
        <w:tc>
          <w:tcPr>
            <w:tcW w:w="3279" w:type="pct"/>
            <w:vAlign w:val="top"/>
          </w:tcPr>
          <w:p w14:paraId="0C1EF1F0" w14:textId="4572FB68" w:rsidR="007B4D87" w:rsidRPr="0079629B" w:rsidRDefault="007B4D87" w:rsidP="00EF2D2C">
            <w:pPr>
              <w:pStyle w:val="TableNText"/>
            </w:pPr>
            <w:r w:rsidRPr="007B4D87">
              <w:t>Tracking the effect and value of information products</w:t>
            </w:r>
          </w:p>
        </w:tc>
      </w:tr>
      <w:tr w:rsidR="007B4D87" w14:paraId="51A23C12" w14:textId="77777777" w:rsidTr="00EF2D2C">
        <w:trPr>
          <w:cnfStyle w:val="000000100000" w:firstRow="0" w:lastRow="0" w:firstColumn="0" w:lastColumn="0" w:oddVBand="0" w:evenVBand="0" w:oddHBand="1" w:evenHBand="0" w:firstRowFirstColumn="0" w:firstRowLastColumn="0" w:lastRowFirstColumn="0" w:lastRowLastColumn="0"/>
          <w:trHeight w:val="40"/>
        </w:trPr>
        <w:tc>
          <w:tcPr>
            <w:tcW w:w="1721" w:type="pct"/>
            <w:vAlign w:val="top"/>
          </w:tcPr>
          <w:p w14:paraId="517F622C" w14:textId="510C0F9D" w:rsidR="007B4D87" w:rsidRPr="00B5551A" w:rsidRDefault="007B4D87" w:rsidP="00EF2D2C">
            <w:pPr>
              <w:pStyle w:val="TableNText"/>
            </w:pPr>
            <w:r w:rsidRPr="00B5551A">
              <w:t>Collabforge P/L</w:t>
            </w:r>
          </w:p>
        </w:tc>
        <w:tc>
          <w:tcPr>
            <w:tcW w:w="3279" w:type="pct"/>
            <w:vAlign w:val="top"/>
          </w:tcPr>
          <w:p w14:paraId="633F67A2" w14:textId="4ECFFAF0" w:rsidR="007B4D87" w:rsidRPr="0079629B" w:rsidRDefault="007B4D87" w:rsidP="00EF2D2C">
            <w:pPr>
              <w:pStyle w:val="TableNText"/>
            </w:pPr>
            <w:r w:rsidRPr="007B4D87">
              <w:t>Digitally enable community engagement in policy and program design</w:t>
            </w:r>
          </w:p>
        </w:tc>
      </w:tr>
      <w:tr w:rsidR="007B4D87" w14:paraId="20CEF82D" w14:textId="77777777" w:rsidTr="00EF2D2C">
        <w:trPr>
          <w:cnfStyle w:val="000000010000" w:firstRow="0" w:lastRow="0" w:firstColumn="0" w:lastColumn="0" w:oddVBand="0" w:evenVBand="0" w:oddHBand="0" w:evenHBand="1" w:firstRowFirstColumn="0" w:firstRowLastColumn="0" w:lastRowFirstColumn="0" w:lastRowLastColumn="0"/>
          <w:trHeight w:val="57"/>
        </w:trPr>
        <w:tc>
          <w:tcPr>
            <w:tcW w:w="1721" w:type="pct"/>
            <w:vAlign w:val="top"/>
          </w:tcPr>
          <w:p w14:paraId="1E04B3FA" w14:textId="56BFEBC6" w:rsidR="007B4D87" w:rsidRPr="00B5551A" w:rsidRDefault="007B4D87" w:rsidP="00EF2D2C">
            <w:pPr>
              <w:pStyle w:val="TableNText"/>
            </w:pPr>
            <w:r w:rsidRPr="00B5551A">
              <w:t>Factil P/L (previously Infinuendo P/L)</w:t>
            </w:r>
          </w:p>
        </w:tc>
        <w:tc>
          <w:tcPr>
            <w:tcW w:w="3279" w:type="pct"/>
            <w:vAlign w:val="top"/>
          </w:tcPr>
          <w:p w14:paraId="3C627874" w14:textId="6E4543EA" w:rsidR="007B4D87" w:rsidRPr="0079629B" w:rsidRDefault="007B4D87" w:rsidP="00EF2D2C">
            <w:pPr>
              <w:pStyle w:val="TableNText"/>
            </w:pPr>
            <w:r w:rsidRPr="007B4D87">
              <w:t>Sharing information nationally to ensure child safety</w:t>
            </w:r>
          </w:p>
        </w:tc>
      </w:tr>
      <w:tr w:rsidR="007B4D87" w14:paraId="58FDDE02" w14:textId="77777777" w:rsidTr="00EF2D2C">
        <w:trPr>
          <w:cnfStyle w:val="000000100000" w:firstRow="0" w:lastRow="0" w:firstColumn="0" w:lastColumn="0" w:oddVBand="0" w:evenVBand="0" w:oddHBand="1" w:evenHBand="0" w:firstRowFirstColumn="0" w:firstRowLastColumn="0" w:lastRowFirstColumn="0" w:lastRowLastColumn="0"/>
          <w:trHeight w:val="40"/>
        </w:trPr>
        <w:tc>
          <w:tcPr>
            <w:tcW w:w="1721" w:type="pct"/>
            <w:vAlign w:val="top"/>
          </w:tcPr>
          <w:p w14:paraId="0AB675CB" w14:textId="1BC500CB" w:rsidR="007B4D87" w:rsidRPr="00B5551A" w:rsidRDefault="007B4D87" w:rsidP="00EF2D2C">
            <w:pPr>
              <w:pStyle w:val="TableNText"/>
            </w:pPr>
            <w:r w:rsidRPr="00B5551A">
              <w:t>Houston Kemp P/L</w:t>
            </w:r>
          </w:p>
        </w:tc>
        <w:tc>
          <w:tcPr>
            <w:tcW w:w="3279" w:type="pct"/>
            <w:vAlign w:val="top"/>
          </w:tcPr>
          <w:p w14:paraId="64FCCBC7" w14:textId="1AA9536F" w:rsidR="007B4D87" w:rsidRPr="0079629B" w:rsidRDefault="007B4D87" w:rsidP="00EF2D2C">
            <w:pPr>
              <w:pStyle w:val="TableNText"/>
            </w:pPr>
            <w:r w:rsidRPr="007B4D87">
              <w:t>Tracking the effect and value of information products</w:t>
            </w:r>
          </w:p>
        </w:tc>
      </w:tr>
      <w:tr w:rsidR="007B4D87" w14:paraId="7F960C7A" w14:textId="77777777" w:rsidTr="00EF2D2C">
        <w:trPr>
          <w:cnfStyle w:val="000000010000" w:firstRow="0" w:lastRow="0" w:firstColumn="0" w:lastColumn="0" w:oddVBand="0" w:evenVBand="0" w:oddHBand="0" w:evenHBand="1" w:firstRowFirstColumn="0" w:firstRowLastColumn="0" w:lastRowFirstColumn="0" w:lastRowLastColumn="0"/>
          <w:trHeight w:val="40"/>
        </w:trPr>
        <w:tc>
          <w:tcPr>
            <w:tcW w:w="1721" w:type="pct"/>
            <w:vAlign w:val="top"/>
          </w:tcPr>
          <w:p w14:paraId="39B4EC08" w14:textId="35A2EC40" w:rsidR="007B4D87" w:rsidRPr="00B5551A" w:rsidRDefault="007B4D87" w:rsidP="00EF2D2C">
            <w:pPr>
              <w:pStyle w:val="TableNText"/>
            </w:pPr>
            <w:r w:rsidRPr="00B5551A">
              <w:t>Itree P/L (Objective RegTec</w:t>
            </w:r>
            <w:r w:rsidR="007E3A05">
              <w:t>h</w:t>
            </w:r>
            <w:r w:rsidRPr="00B5551A">
              <w:t>)</w:t>
            </w:r>
          </w:p>
        </w:tc>
        <w:tc>
          <w:tcPr>
            <w:tcW w:w="3279" w:type="pct"/>
            <w:vAlign w:val="top"/>
          </w:tcPr>
          <w:p w14:paraId="31BA924F" w14:textId="5AC83332" w:rsidR="007B4D87" w:rsidRPr="0079629B" w:rsidRDefault="007B4D87" w:rsidP="00EF2D2C">
            <w:pPr>
              <w:pStyle w:val="TableNText"/>
            </w:pPr>
            <w:r w:rsidRPr="007B4D87">
              <w:t>Sharing information nationally to ensure child safety</w:t>
            </w:r>
          </w:p>
        </w:tc>
      </w:tr>
      <w:tr w:rsidR="007B4D87" w14:paraId="2E2FCFCE" w14:textId="77777777" w:rsidTr="00EF2D2C">
        <w:trPr>
          <w:cnfStyle w:val="000000100000" w:firstRow="0" w:lastRow="0" w:firstColumn="0" w:lastColumn="0" w:oddVBand="0" w:evenVBand="0" w:oddHBand="1" w:evenHBand="0" w:firstRowFirstColumn="0" w:firstRowLastColumn="0" w:lastRowFirstColumn="0" w:lastRowLastColumn="0"/>
          <w:trHeight w:val="24"/>
        </w:trPr>
        <w:tc>
          <w:tcPr>
            <w:tcW w:w="1721" w:type="pct"/>
            <w:vAlign w:val="top"/>
          </w:tcPr>
          <w:p w14:paraId="3521772F" w14:textId="232B4FA9" w:rsidR="007B4D87" w:rsidRPr="00B5551A" w:rsidRDefault="007B4D87" w:rsidP="00EF2D2C">
            <w:pPr>
              <w:pStyle w:val="TableNText"/>
            </w:pPr>
            <w:r w:rsidRPr="00B5551A">
              <w:t>Iugotec P/L</w:t>
            </w:r>
          </w:p>
        </w:tc>
        <w:tc>
          <w:tcPr>
            <w:tcW w:w="3279" w:type="pct"/>
            <w:vAlign w:val="top"/>
          </w:tcPr>
          <w:p w14:paraId="2A072B5B" w14:textId="43B85360" w:rsidR="007B4D87" w:rsidRPr="0079629B" w:rsidRDefault="007B4D87" w:rsidP="00EF2D2C">
            <w:pPr>
              <w:pStyle w:val="TableNText"/>
            </w:pPr>
            <w:r w:rsidRPr="007B4D87">
              <w:t>On-the-spot technology for measuring pyrethroid surface residue</w:t>
            </w:r>
          </w:p>
        </w:tc>
      </w:tr>
      <w:tr w:rsidR="007B4D87" w14:paraId="3F97DB66" w14:textId="77777777" w:rsidTr="00EF2D2C">
        <w:trPr>
          <w:cnfStyle w:val="000000010000" w:firstRow="0" w:lastRow="0" w:firstColumn="0" w:lastColumn="0" w:oddVBand="0" w:evenVBand="0" w:oddHBand="0" w:evenHBand="1" w:firstRowFirstColumn="0" w:firstRowLastColumn="0" w:lastRowFirstColumn="0" w:lastRowLastColumn="0"/>
          <w:trHeight w:val="40"/>
        </w:trPr>
        <w:tc>
          <w:tcPr>
            <w:tcW w:w="1721" w:type="pct"/>
            <w:vAlign w:val="top"/>
          </w:tcPr>
          <w:p w14:paraId="1E25588E" w14:textId="4F9BC75B" w:rsidR="007B4D87" w:rsidRPr="00B5551A" w:rsidRDefault="007B4D87" w:rsidP="00EF2D2C">
            <w:pPr>
              <w:pStyle w:val="TableNText"/>
            </w:pPr>
            <w:r w:rsidRPr="00B5551A">
              <w:lastRenderedPageBreak/>
              <w:t>Likely Theory P/L</w:t>
            </w:r>
          </w:p>
        </w:tc>
        <w:tc>
          <w:tcPr>
            <w:tcW w:w="3279" w:type="pct"/>
            <w:vAlign w:val="top"/>
          </w:tcPr>
          <w:p w14:paraId="532B269D" w14:textId="50CC2158" w:rsidR="007B4D87" w:rsidRPr="00111D92" w:rsidRDefault="007B4D87" w:rsidP="00EF2D2C">
            <w:pPr>
              <w:pStyle w:val="TableNText"/>
            </w:pPr>
            <w:r w:rsidRPr="007B4D87">
              <w:t>Digitally enable community engagement in policy and program design</w:t>
            </w:r>
          </w:p>
        </w:tc>
      </w:tr>
      <w:tr w:rsidR="007B4D87" w14:paraId="1A11F9C6" w14:textId="77777777" w:rsidTr="00EF2D2C">
        <w:trPr>
          <w:cnfStyle w:val="000000100000" w:firstRow="0" w:lastRow="0" w:firstColumn="0" w:lastColumn="0" w:oddVBand="0" w:evenVBand="0" w:oddHBand="1" w:evenHBand="0" w:firstRowFirstColumn="0" w:firstRowLastColumn="0" w:lastRowFirstColumn="0" w:lastRowLastColumn="0"/>
          <w:trHeight w:val="40"/>
        </w:trPr>
        <w:tc>
          <w:tcPr>
            <w:tcW w:w="1721" w:type="pct"/>
            <w:vAlign w:val="top"/>
          </w:tcPr>
          <w:p w14:paraId="04B49688" w14:textId="263BDA68" w:rsidR="007B4D87" w:rsidRPr="00B5551A" w:rsidRDefault="007B4D87" w:rsidP="00EF2D2C">
            <w:pPr>
              <w:pStyle w:val="TableNText"/>
            </w:pPr>
            <w:r w:rsidRPr="00B5551A">
              <w:t>The Marsden Jacob Unit Trust</w:t>
            </w:r>
          </w:p>
        </w:tc>
        <w:tc>
          <w:tcPr>
            <w:tcW w:w="3279" w:type="pct"/>
            <w:vAlign w:val="top"/>
          </w:tcPr>
          <w:p w14:paraId="1257ED3E" w14:textId="6791581C" w:rsidR="007B4D87" w:rsidRPr="00111D92" w:rsidRDefault="007B4D87" w:rsidP="00EF2D2C">
            <w:pPr>
              <w:pStyle w:val="TableNText"/>
            </w:pPr>
            <w:r w:rsidRPr="007B4D87">
              <w:t>Improve transparency and reliability of water market information</w:t>
            </w:r>
          </w:p>
        </w:tc>
      </w:tr>
    </w:tbl>
    <w:p w14:paraId="1C4DFF72" w14:textId="4D2A564C" w:rsidR="00B65F8D" w:rsidRPr="00E90329" w:rsidRDefault="00713AA8" w:rsidP="00874A7F">
      <w:r w:rsidRPr="00E90329">
        <w:br/>
      </w:r>
      <w:r w:rsidR="00A23162">
        <w:t>Eight</w:t>
      </w:r>
      <w:r w:rsidR="00B65F8D" w:rsidRPr="00E90329">
        <w:t xml:space="preserve"> out of </w:t>
      </w:r>
      <w:r w:rsidR="00A23162">
        <w:t xml:space="preserve">the </w:t>
      </w:r>
      <w:r w:rsidR="00B65F8D" w:rsidRPr="00E90329">
        <w:t xml:space="preserve">nine round one </w:t>
      </w:r>
      <w:r w:rsidR="008F3C07">
        <w:t>proof of concept</w:t>
      </w:r>
      <w:r w:rsidR="00B65F8D" w:rsidRPr="00E90329">
        <w:t xml:space="preserve"> SMEs have provided financial information </w:t>
      </w:r>
      <w:r w:rsidR="00B6294A">
        <w:t>to enable modelling of business performance</w:t>
      </w:r>
      <w:r w:rsidR="00B65F8D" w:rsidRPr="00E90329">
        <w:t xml:space="preserve">. </w:t>
      </w:r>
      <w:r w:rsidR="00E90329" w:rsidRPr="00E90329">
        <w:t xml:space="preserve">As a result, </w:t>
      </w:r>
      <w:r w:rsidR="009F32BB">
        <w:t>a</w:t>
      </w:r>
      <w:r w:rsidR="00E90329" w:rsidRPr="00E90329">
        <w:t xml:space="preserve"> non-response factor of 1.</w:t>
      </w:r>
      <w:r w:rsidR="000C3D6A">
        <w:t xml:space="preserve">13 (or 9 / 8) </w:t>
      </w:r>
      <w:r w:rsidR="00E90329" w:rsidRPr="00E90329">
        <w:t xml:space="preserve">has been applied to </w:t>
      </w:r>
      <w:r w:rsidR="000339EA">
        <w:t>accommodate the missing financial data of one SME</w:t>
      </w:r>
      <w:r w:rsidR="00E90329" w:rsidRPr="00E90329">
        <w:t>.</w:t>
      </w:r>
    </w:p>
    <w:p w14:paraId="03BD4A4C" w14:textId="636B0D6B" w:rsidR="00EC75A8" w:rsidRDefault="00EC75A8">
      <w:pPr>
        <w:pStyle w:val="xAppendixLevel2"/>
      </w:pPr>
      <w:bookmarkStart w:id="232" w:name="_Toc124435189"/>
      <w:r>
        <w:t xml:space="preserve">Estimating the effects of </w:t>
      </w:r>
      <w:r w:rsidR="003D7657">
        <w:t xml:space="preserve">the </w:t>
      </w:r>
      <w:r>
        <w:t>BRII on the performance of SMEs that participated</w:t>
      </w:r>
      <w:bookmarkEnd w:id="232"/>
    </w:p>
    <w:p w14:paraId="78203F98" w14:textId="2F0DDB9C" w:rsidR="00C173E5" w:rsidRPr="00F91F12" w:rsidRDefault="003D7657" w:rsidP="00874A7F">
      <w:r>
        <w:t xml:space="preserve">The </w:t>
      </w:r>
      <w:r w:rsidR="00C173E5" w:rsidRPr="00F91F12">
        <w:t>BRII has a direct impact on the performance of SMEs. Interviews conducted as part of this evaluation indicated that the BRII can improve performance for SMEs through new product development, greater connections to buyers in the market</w:t>
      </w:r>
      <w:r w:rsidR="00A67EBB">
        <w:t>,</w:t>
      </w:r>
      <w:r w:rsidR="00C173E5" w:rsidRPr="00F91F12">
        <w:t xml:space="preserve"> and growth of an innovative mindset within the organisation.</w:t>
      </w:r>
    </w:p>
    <w:p w14:paraId="0834A82E" w14:textId="75EA860C" w:rsidR="001A5879" w:rsidRPr="00F91F12" w:rsidRDefault="001A5879" w:rsidP="001A5879">
      <w:r w:rsidRPr="00F91F12">
        <w:t xml:space="preserve">The impact of </w:t>
      </w:r>
      <w:r>
        <w:t xml:space="preserve">the </w:t>
      </w:r>
      <w:r w:rsidRPr="00F91F12">
        <w:t xml:space="preserve">BRII on SME performance is most clearly evidenced through changes in revenue (i.e. turnover) </w:t>
      </w:r>
      <w:r w:rsidR="00444262" w:rsidRPr="00F91F12">
        <w:t>because of</w:t>
      </w:r>
      <w:r w:rsidRPr="00F91F12">
        <w:t xml:space="preserve"> solution commercialisation and changes in organisation strategy. The methodology presented below draws on research conducted by the University of Manchester for the United Kingdom’s SBRI in 2017</w:t>
      </w:r>
      <w:r>
        <w:t>.</w:t>
      </w:r>
      <w:r w:rsidRPr="00ED21BF">
        <w:rPr>
          <w:rStyle w:val="FootnoteReference"/>
        </w:rPr>
        <w:footnoteReference w:id="89"/>
      </w:r>
      <w:r w:rsidRPr="00ED21BF">
        <w:t xml:space="preserve"> </w:t>
      </w:r>
      <w:r w:rsidRPr="00F91F12">
        <w:t xml:space="preserve">The research is extended and modified to meet the unique needs of </w:t>
      </w:r>
      <w:r>
        <w:t xml:space="preserve">the </w:t>
      </w:r>
      <w:r w:rsidRPr="00F91F12">
        <w:t>BRII.</w:t>
      </w:r>
      <w:r>
        <w:t xml:space="preserve"> The method used includes five steps</w:t>
      </w:r>
      <w:r w:rsidR="00A909BC">
        <w:t xml:space="preserve"> presented below.</w:t>
      </w:r>
    </w:p>
    <w:p w14:paraId="67249DC9" w14:textId="46B8D4A1" w:rsidR="001A5879" w:rsidRPr="001E2AF7" w:rsidRDefault="001A5879" w:rsidP="001E2AF7">
      <w:pPr>
        <w:rPr>
          <w:b/>
          <w:bCs/>
          <w:i/>
          <w:iCs/>
        </w:rPr>
      </w:pPr>
      <w:r w:rsidRPr="001E2AF7">
        <w:rPr>
          <w:b/>
          <w:bCs/>
          <w:i/>
          <w:iCs/>
        </w:rPr>
        <w:t xml:space="preserve">Step one - Design and develop a quasi-experimental control group for isolating the impact of </w:t>
      </w:r>
      <w:r w:rsidR="00CE5E0F" w:rsidRPr="001E2AF7">
        <w:rPr>
          <w:b/>
          <w:bCs/>
          <w:i/>
          <w:iCs/>
        </w:rPr>
        <w:t xml:space="preserve">the </w:t>
      </w:r>
      <w:r w:rsidRPr="001E2AF7">
        <w:rPr>
          <w:b/>
          <w:bCs/>
          <w:i/>
          <w:iCs/>
        </w:rPr>
        <w:t xml:space="preserve">BRII for SMEs. </w:t>
      </w:r>
    </w:p>
    <w:p w14:paraId="02C62740" w14:textId="61B16DE6" w:rsidR="001A5879" w:rsidRDefault="001A5879" w:rsidP="001A5879">
      <w:r>
        <w:t xml:space="preserve">A critical objective of a CBA is to understand the net impact of a program, that is, how much of the benefits are related to the program itself. In the case of the BRII it was necessary to design and develop a quasi-experimental control group to compare </w:t>
      </w:r>
      <w:r w:rsidRPr="00924CBF">
        <w:t>the performance of BRII SMEs against the market</w:t>
      </w:r>
      <w:r>
        <w:t>.</w:t>
      </w:r>
      <w:r w:rsidRPr="00924CBF">
        <w:t xml:space="preserve"> </w:t>
      </w:r>
      <w:r w:rsidRPr="00163AF3">
        <w:t>The CBA included two distinct approaches to develop a control group that isolated the impact of BRII on SME performance over and above underlying trend growth in SMEs</w:t>
      </w:r>
      <w:r>
        <w:t xml:space="preserve"> (see </w:t>
      </w:r>
      <w:r w:rsidRPr="0041755A">
        <w:fldChar w:fldCharType="begin"/>
      </w:r>
      <w:r w:rsidRPr="0041755A">
        <w:instrText xml:space="preserve"> REF _Ref75816406 \h </w:instrText>
      </w:r>
      <w:r>
        <w:instrText xml:space="preserve"> \* MERGEFORMAT </w:instrText>
      </w:r>
      <w:r w:rsidRPr="0041755A">
        <w:fldChar w:fldCharType="separate"/>
      </w:r>
      <w:r w:rsidR="00AE607F">
        <w:t xml:space="preserve">Table </w:t>
      </w:r>
      <w:r w:rsidR="00AE607F">
        <w:rPr>
          <w:noProof/>
        </w:rPr>
        <w:t>20</w:t>
      </w:r>
      <w:r w:rsidRPr="0041755A">
        <w:fldChar w:fldCharType="end"/>
      </w:r>
      <w:r w:rsidRPr="0041755A">
        <w:t>).</w:t>
      </w:r>
    </w:p>
    <w:p w14:paraId="06DC8610" w14:textId="16670827" w:rsidR="001A5879" w:rsidRDefault="001A5879" w:rsidP="001A5879">
      <w:pPr>
        <w:pStyle w:val="Caption"/>
      </w:pPr>
      <w:bookmarkStart w:id="233" w:name="_Ref75816406"/>
      <w:r>
        <w:lastRenderedPageBreak/>
        <w:t xml:space="preserve">Table </w:t>
      </w:r>
      <w:r>
        <w:fldChar w:fldCharType="begin"/>
      </w:r>
      <w:r>
        <w:instrText xml:space="preserve"> SEQ Table \* ARABIC </w:instrText>
      </w:r>
      <w:r>
        <w:fldChar w:fldCharType="separate"/>
      </w:r>
      <w:r w:rsidR="00AE607F">
        <w:rPr>
          <w:noProof/>
        </w:rPr>
        <w:t>20</w:t>
      </w:r>
      <w:r>
        <w:fldChar w:fldCharType="end"/>
      </w:r>
      <w:bookmarkEnd w:id="233"/>
      <w:r>
        <w:t xml:space="preserve"> | Two approaches to designing a quasi-experimental control group</w:t>
      </w:r>
    </w:p>
    <w:tbl>
      <w:tblPr>
        <w:tblStyle w:val="NousTableSide"/>
        <w:tblW w:w="5000" w:type="pct"/>
        <w:tblBorders>
          <w:top w:val="single" w:sz="4" w:space="0" w:color="00264D" w:themeColor="background2"/>
          <w:left w:val="single" w:sz="4" w:space="0" w:color="00264D" w:themeColor="background2"/>
          <w:bottom w:val="single" w:sz="4" w:space="0" w:color="00264D" w:themeColor="background2"/>
          <w:right w:val="single" w:sz="4" w:space="0" w:color="00264D" w:themeColor="background2"/>
          <w:insideH w:val="single" w:sz="4" w:space="0" w:color="00264D" w:themeColor="background2"/>
          <w:insideV w:val="single" w:sz="4" w:space="0" w:color="00264D" w:themeColor="background2"/>
        </w:tblBorders>
        <w:tblLook w:val="04A0" w:firstRow="1" w:lastRow="0" w:firstColumn="1" w:lastColumn="0" w:noHBand="0" w:noVBand="1"/>
      </w:tblPr>
      <w:tblGrid>
        <w:gridCol w:w="1841"/>
        <w:gridCol w:w="7079"/>
      </w:tblGrid>
      <w:tr w:rsidR="001A5879" w14:paraId="473140B9" w14:textId="77777777" w:rsidTr="005A35A2">
        <w:tc>
          <w:tcPr>
            <w:cnfStyle w:val="001000000000" w:firstRow="0" w:lastRow="0" w:firstColumn="1" w:lastColumn="0" w:oddVBand="0" w:evenVBand="0" w:oddHBand="0" w:evenHBand="0" w:firstRowFirstColumn="0" w:firstRowLastColumn="0" w:lastRowFirstColumn="0" w:lastRowLastColumn="0"/>
            <w:tcW w:w="1032" w:type="pct"/>
            <w:tcBorders>
              <w:top w:val="none" w:sz="0" w:space="0" w:color="auto"/>
              <w:left w:val="none" w:sz="0" w:space="0" w:color="auto"/>
              <w:bottom w:val="single" w:sz="4" w:space="0" w:color="FFFFFF" w:themeColor="background1"/>
              <w:right w:val="none" w:sz="0" w:space="0" w:color="auto"/>
              <w:tl2br w:val="none" w:sz="0" w:space="0" w:color="auto"/>
              <w:tr2bl w:val="none" w:sz="0" w:space="0" w:color="auto"/>
            </w:tcBorders>
            <w:shd w:val="clear" w:color="auto" w:fill="00264D" w:themeFill="background2"/>
          </w:tcPr>
          <w:p w14:paraId="550FD60D" w14:textId="77777777" w:rsidR="001A5879" w:rsidRPr="005A35A2" w:rsidRDefault="001A5879" w:rsidP="005E4698">
            <w:pPr>
              <w:pStyle w:val="TableNheader"/>
              <w:rPr>
                <w:color w:val="FFFFFF" w:themeColor="background1"/>
              </w:rPr>
            </w:pPr>
            <w:r w:rsidRPr="005A35A2">
              <w:rPr>
                <w:rFonts w:asciiTheme="majorHAnsi" w:hAnsiTheme="majorHAnsi" w:cstheme="majorHAnsi"/>
                <w:color w:val="FFFFFF" w:themeColor="background1"/>
              </w:rPr>
              <w:t>Approach one</w:t>
            </w:r>
            <w:r w:rsidRPr="005A35A2">
              <w:rPr>
                <w:color w:val="FFFFFF" w:themeColor="background1"/>
              </w:rPr>
              <w:br/>
            </w:r>
            <w:r w:rsidRPr="005A35A2">
              <w:rPr>
                <w:rFonts w:asciiTheme="minorHAnsi" w:hAnsiTheme="minorHAnsi" w:cstheme="minorHAnsi"/>
                <w:color w:val="FFFFFF" w:themeColor="background1"/>
              </w:rPr>
              <w:t>Nearest neighbour matching</w:t>
            </w:r>
          </w:p>
        </w:tc>
        <w:tc>
          <w:tcPr>
            <w:tcW w:w="3968" w:type="pct"/>
          </w:tcPr>
          <w:p w14:paraId="5B939112" w14:textId="62ABE988" w:rsidR="001A5879" w:rsidRDefault="005C3F6C" w:rsidP="005E4698">
            <w:pPr>
              <w:pStyle w:val="TableNText"/>
              <w:cnfStyle w:val="000000000000" w:firstRow="0" w:lastRow="0" w:firstColumn="0" w:lastColumn="0" w:oddVBand="0" w:evenVBand="0" w:oddHBand="0" w:evenHBand="0" w:firstRowFirstColumn="0" w:firstRowLastColumn="0" w:lastRowFirstColumn="0" w:lastRowLastColumn="0"/>
            </w:pPr>
            <w:r w:rsidRPr="005C3F6C">
              <w:t xml:space="preserve">A non-parametric nearest neighbour matching approach matches each SME against an anonymised list of businesses sourced from the DISER’s ‘Lighthouse’ data asset. The ‘Lighthouse’ data set provides longitudinal financial information for over 12,000 </w:t>
            </w:r>
            <w:r w:rsidR="00A940D5" w:rsidRPr="005C3F6C">
              <w:t>SMEs that</w:t>
            </w:r>
            <w:r w:rsidRPr="005C3F6C">
              <w:t xml:space="preserve"> have engaged with the Department at any point since FY</w:t>
            </w:r>
            <w:r w:rsidR="00871CCD">
              <w:t>16/</w:t>
            </w:r>
            <w:r w:rsidRPr="005C3F6C">
              <w:t xml:space="preserve">17. SMEs were matched to a ‘basket’ of nearest neighbours </w:t>
            </w:r>
            <w:r w:rsidR="00444262" w:rsidRPr="005C3F6C">
              <w:t>based on</w:t>
            </w:r>
            <w:r w:rsidRPr="005C3F6C">
              <w:t xml:space="preserve"> key business characteristics such as (and in order of priority) ANZSIC division codes, turnover (band), employee count (band) and year of establishment (i.e. ABN registration date). A minimum of four nearest neighbours was needed for each basket. Where the minimum basket could not be achieved, or if the results showed too much volatility year to year, then the search criteria business characterises were relaxed in order of lowest priority until a suitable mix was achieved.</w:t>
            </w:r>
          </w:p>
        </w:tc>
      </w:tr>
      <w:tr w:rsidR="001A5879" w14:paraId="4920D65E" w14:textId="77777777" w:rsidTr="005A35A2">
        <w:tc>
          <w:tcPr>
            <w:cnfStyle w:val="001000000000" w:firstRow="0" w:lastRow="0" w:firstColumn="1" w:lastColumn="0" w:oddVBand="0" w:evenVBand="0" w:oddHBand="0" w:evenHBand="0" w:firstRowFirstColumn="0" w:firstRowLastColumn="0" w:lastRowFirstColumn="0" w:lastRowLastColumn="0"/>
            <w:tcW w:w="1032" w:type="pct"/>
            <w:tcBorders>
              <w:top w:val="single" w:sz="4" w:space="0" w:color="FFFFFF" w:themeColor="background1"/>
              <w:left w:val="none" w:sz="0" w:space="0" w:color="auto"/>
              <w:bottom w:val="none" w:sz="0" w:space="0" w:color="auto"/>
              <w:right w:val="none" w:sz="0" w:space="0" w:color="auto"/>
              <w:tl2br w:val="none" w:sz="0" w:space="0" w:color="auto"/>
              <w:tr2bl w:val="none" w:sz="0" w:space="0" w:color="auto"/>
            </w:tcBorders>
            <w:shd w:val="clear" w:color="auto" w:fill="00264D" w:themeFill="background2"/>
          </w:tcPr>
          <w:p w14:paraId="478CC33C" w14:textId="77777777" w:rsidR="001A5879" w:rsidRPr="005A35A2" w:rsidRDefault="001A5879" w:rsidP="005E4698">
            <w:pPr>
              <w:pStyle w:val="TableNheader"/>
              <w:rPr>
                <w:color w:val="FFFFFF" w:themeColor="background1"/>
              </w:rPr>
            </w:pPr>
            <w:r w:rsidRPr="005A35A2">
              <w:rPr>
                <w:rFonts w:asciiTheme="majorHAnsi" w:hAnsiTheme="majorHAnsi" w:cstheme="majorHAnsi"/>
                <w:color w:val="FFFFFF" w:themeColor="background1"/>
              </w:rPr>
              <w:t>Approach two</w:t>
            </w:r>
            <w:r w:rsidRPr="005A35A2">
              <w:rPr>
                <w:color w:val="FFFFFF" w:themeColor="background1"/>
              </w:rPr>
              <w:br/>
            </w:r>
            <w:r w:rsidRPr="005A35A2">
              <w:rPr>
                <w:rFonts w:asciiTheme="minorHAnsi" w:hAnsiTheme="minorHAnsi" w:cstheme="minorHAnsi"/>
                <w:color w:val="FFFFFF" w:themeColor="background1"/>
              </w:rPr>
              <w:t>Modelling of ABS data</w:t>
            </w:r>
          </w:p>
        </w:tc>
        <w:tc>
          <w:tcPr>
            <w:tcW w:w="3968" w:type="pct"/>
          </w:tcPr>
          <w:p w14:paraId="7E2AC051" w14:textId="07ABCB68" w:rsidR="001A5879" w:rsidRDefault="00683286" w:rsidP="005E4698">
            <w:pPr>
              <w:pStyle w:val="TableNText"/>
              <w:cnfStyle w:val="000000000000" w:firstRow="0" w:lastRow="0" w:firstColumn="0" w:lastColumn="0" w:oddVBand="0" w:evenVBand="0" w:oddHBand="0" w:evenHBand="0" w:firstRowFirstColumn="0" w:firstRowLastColumn="0" w:lastRowFirstColumn="0" w:lastRowLastColumn="0"/>
            </w:pPr>
            <w:r w:rsidRPr="00683286">
              <w:t xml:space="preserve">Estimating market growth </w:t>
            </w:r>
            <w:r w:rsidR="00444262" w:rsidRPr="00683286">
              <w:t>based on</w:t>
            </w:r>
            <w:r w:rsidRPr="00683286">
              <w:t xml:space="preserve"> ANSZIC division using ABS data. A continuous distribution is estimated from binned (histogram) data by fitting a log normal distribution to ABS data</w:t>
            </w:r>
            <w:r w:rsidRPr="00132CF6">
              <w:t>.</w:t>
            </w:r>
            <w:r>
              <w:rPr>
                <w:rStyle w:val="FootnoteReference"/>
              </w:rPr>
              <w:footnoteReference w:id="90"/>
            </w:r>
            <w:r>
              <w:t xml:space="preserve"> </w:t>
            </w:r>
            <w:r w:rsidRPr="00683286">
              <w:t xml:space="preserve">This approximated distribution is then used to estimate the average revenue in a given financial year for each </w:t>
            </w:r>
            <w:r w:rsidRPr="002A11D9">
              <w:rPr>
                <w:lang w:eastAsia="en-AU"/>
              </w:rPr>
              <w:t>Australian and New Zealand Standard Industrial Classification</w:t>
            </w:r>
            <w:r w:rsidRPr="00132CF6">
              <w:t xml:space="preserve"> </w:t>
            </w:r>
            <w:r>
              <w:t>(</w:t>
            </w:r>
            <w:r w:rsidRPr="00132CF6">
              <w:t>ANSZIC</w:t>
            </w:r>
            <w:r>
              <w:t>)</w:t>
            </w:r>
            <w:r w:rsidRPr="00132CF6">
              <w:t xml:space="preserve"> </w:t>
            </w:r>
            <w:r w:rsidR="00532272">
              <w:t>D</w:t>
            </w:r>
            <w:r w:rsidRPr="00683286">
              <w:t>ivision.</w:t>
            </w:r>
          </w:p>
        </w:tc>
      </w:tr>
    </w:tbl>
    <w:p w14:paraId="5E0F841B" w14:textId="627BC6C5" w:rsidR="001C0799" w:rsidRPr="00F91F12" w:rsidRDefault="001C0799" w:rsidP="001E23EB">
      <w:r w:rsidRPr="00F91F12">
        <w:t xml:space="preserve">In both cases, a </w:t>
      </w:r>
      <w:r>
        <w:t>C</w:t>
      </w:r>
      <w:r w:rsidRPr="00F91F12">
        <w:t xml:space="preserve">ompound </w:t>
      </w:r>
      <w:r>
        <w:t>A</w:t>
      </w:r>
      <w:r w:rsidRPr="00F91F12">
        <w:t xml:space="preserve">nnual </w:t>
      </w:r>
      <w:r>
        <w:t>G</w:t>
      </w:r>
      <w:r w:rsidRPr="00F91F12">
        <w:t xml:space="preserve">rowth </w:t>
      </w:r>
      <w:r>
        <w:t>R</w:t>
      </w:r>
      <w:r w:rsidRPr="00F91F12">
        <w:t>ate (</w:t>
      </w:r>
      <w:r>
        <w:t>CAGR</w:t>
      </w:r>
      <w:r w:rsidRPr="00F91F12">
        <w:t>) for the market between FY</w:t>
      </w:r>
      <w:r w:rsidR="00871CCD">
        <w:t>16/</w:t>
      </w:r>
      <w:r w:rsidRPr="00F91F12">
        <w:t>17 and FY</w:t>
      </w:r>
      <w:r w:rsidR="00871CCD">
        <w:t>19/</w:t>
      </w:r>
      <w:r w:rsidRPr="00F91F12">
        <w:t>20 is used to estimate underlying growth, which helped to reduce noise in the data resulting from revenue fluctuations year on year.</w:t>
      </w:r>
    </w:p>
    <w:p w14:paraId="0BCCA034" w14:textId="2CA58E75" w:rsidR="001A5879" w:rsidRPr="00232903" w:rsidRDefault="001A5879" w:rsidP="001E23EB">
      <w:r w:rsidRPr="00232903">
        <w:t xml:space="preserve">Combining the relevant control group estimates in both approaches for each SME provides an overall compound annual growth rate (CAGR) for underlying market growth </w:t>
      </w:r>
      <w:r w:rsidR="00E54E8A">
        <w:t xml:space="preserve">averaging 4.7 per cent for the </w:t>
      </w:r>
      <w:r w:rsidR="001C0799">
        <w:t>group (</w:t>
      </w:r>
      <w:r w:rsidRPr="00232903">
        <w:t xml:space="preserve">ranging between </w:t>
      </w:r>
      <w:r w:rsidRPr="0041755A">
        <w:t>3.4</w:t>
      </w:r>
      <w:r w:rsidRPr="00232903">
        <w:t xml:space="preserve"> per cent and </w:t>
      </w:r>
      <w:r w:rsidRPr="0041755A">
        <w:t>6.4</w:t>
      </w:r>
      <w:r w:rsidRPr="00232903">
        <w:t xml:space="preserve"> per cent</w:t>
      </w:r>
      <w:r w:rsidR="001C0799">
        <w:t xml:space="preserve">) </w:t>
      </w:r>
      <w:r w:rsidRPr="00232903">
        <w:t xml:space="preserve">(see </w:t>
      </w:r>
      <w:r w:rsidR="000D1FE5">
        <w:fldChar w:fldCharType="begin"/>
      </w:r>
      <w:r w:rsidR="000D1FE5">
        <w:instrText xml:space="preserve"> REF _Ref75872116 \h </w:instrText>
      </w:r>
      <w:r w:rsidR="000D1FE5">
        <w:fldChar w:fldCharType="separate"/>
      </w:r>
      <w:r w:rsidR="00AE607F">
        <w:t xml:space="preserve">Table </w:t>
      </w:r>
      <w:r w:rsidR="00AE607F">
        <w:rPr>
          <w:noProof/>
        </w:rPr>
        <w:t>21</w:t>
      </w:r>
      <w:r w:rsidR="000D1FE5">
        <w:fldChar w:fldCharType="end"/>
      </w:r>
      <w:r w:rsidR="001C0799">
        <w:t xml:space="preserve">). </w:t>
      </w:r>
      <w:r w:rsidRPr="00232903">
        <w:t xml:space="preserve">These estimates of underlying growth are broadly in line with nominal GDP growth of </w:t>
      </w:r>
      <w:r>
        <w:t>5.1 per cent</w:t>
      </w:r>
      <w:r w:rsidRPr="00232903">
        <w:t xml:space="preserve"> per cent </w:t>
      </w:r>
      <w:r>
        <w:t xml:space="preserve">per annum </w:t>
      </w:r>
      <w:r w:rsidRPr="00232903">
        <w:t>reported by the ABS over the same period</w:t>
      </w:r>
      <w:r>
        <w:t xml:space="preserve"> (prior to COVID, three year growth to March 2020)</w:t>
      </w:r>
      <w:r w:rsidRPr="00F91F12">
        <w:t>.</w:t>
      </w:r>
      <w:r w:rsidRPr="00F91F12">
        <w:rPr>
          <w:rStyle w:val="FootnoteReference"/>
        </w:rPr>
        <w:footnoteReference w:id="91"/>
      </w:r>
    </w:p>
    <w:p w14:paraId="1DABC779" w14:textId="6AB5B032" w:rsidR="001E0ACD" w:rsidRDefault="001E0ACD" w:rsidP="001E0ACD">
      <w:pPr>
        <w:pStyle w:val="Caption"/>
      </w:pPr>
      <w:bookmarkStart w:id="234" w:name="_Ref75872116"/>
      <w:r>
        <w:lastRenderedPageBreak/>
        <w:t xml:space="preserve">Table </w:t>
      </w:r>
      <w:r>
        <w:fldChar w:fldCharType="begin"/>
      </w:r>
      <w:r>
        <w:instrText xml:space="preserve"> SEQ Table \* ARABIC </w:instrText>
      </w:r>
      <w:r>
        <w:fldChar w:fldCharType="separate"/>
      </w:r>
      <w:r w:rsidR="00AE607F">
        <w:rPr>
          <w:noProof/>
        </w:rPr>
        <w:t>21</w:t>
      </w:r>
      <w:r>
        <w:fldChar w:fldCharType="end"/>
      </w:r>
      <w:bookmarkEnd w:id="234"/>
      <w:r>
        <w:t xml:space="preserve"> | </w:t>
      </w:r>
      <w:r w:rsidRPr="00F67441">
        <w:t>Combined CAGR methods for SMEs in scope</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460"/>
        <w:gridCol w:w="4460"/>
      </w:tblGrid>
      <w:tr w:rsidR="005A35A2" w14:paraId="186639E9" w14:textId="77777777" w:rsidTr="005A35A2">
        <w:trPr>
          <w:cnfStyle w:val="100000000000" w:firstRow="1" w:lastRow="0" w:firstColumn="0" w:lastColumn="0" w:oddVBand="0" w:evenVBand="0" w:oddHBand="0" w:evenHBand="0" w:firstRowFirstColumn="0" w:firstRowLastColumn="0" w:lastRowFirstColumn="0" w:lastRowLastColumn="0"/>
        </w:trPr>
        <w:tc>
          <w:tcPr>
            <w:tcW w:w="4460" w:type="dxa"/>
            <w:tcBorders>
              <w:top w:val="none" w:sz="0" w:space="0" w:color="auto"/>
              <w:left w:val="none" w:sz="0" w:space="0" w:color="auto"/>
              <w:bottom w:val="single" w:sz="4" w:space="0" w:color="00264D" w:themeColor="background2"/>
              <w:right w:val="none" w:sz="0" w:space="0" w:color="auto"/>
              <w:tl2br w:val="none" w:sz="0" w:space="0" w:color="auto"/>
              <w:tr2bl w:val="none" w:sz="0" w:space="0" w:color="auto"/>
            </w:tcBorders>
            <w:shd w:val="clear" w:color="auto" w:fill="00264D" w:themeFill="background2"/>
            <w:vAlign w:val="top"/>
          </w:tcPr>
          <w:p w14:paraId="23AC9508" w14:textId="6E3E6A31" w:rsidR="005A35A2" w:rsidRPr="005A35A2" w:rsidRDefault="005A35A2" w:rsidP="005A35A2">
            <w:pPr>
              <w:pStyle w:val="TableNheader"/>
              <w:rPr>
                <w:color w:val="FFFFFF" w:themeColor="background1"/>
              </w:rPr>
            </w:pPr>
            <w:r w:rsidRPr="005A35A2">
              <w:rPr>
                <w:color w:val="FFFFFF" w:themeColor="background1"/>
              </w:rPr>
              <w:t>Applicant SME</w:t>
            </w:r>
          </w:p>
        </w:tc>
        <w:tc>
          <w:tcPr>
            <w:tcW w:w="4460" w:type="dxa"/>
            <w:tcBorders>
              <w:top w:val="none" w:sz="0" w:space="0" w:color="auto"/>
              <w:left w:val="none" w:sz="0" w:space="0" w:color="auto"/>
              <w:bottom w:val="single" w:sz="4" w:space="0" w:color="00264D" w:themeColor="background2"/>
              <w:right w:val="none" w:sz="0" w:space="0" w:color="auto"/>
              <w:tl2br w:val="none" w:sz="0" w:space="0" w:color="auto"/>
              <w:tr2bl w:val="none" w:sz="0" w:space="0" w:color="auto"/>
            </w:tcBorders>
            <w:shd w:val="clear" w:color="auto" w:fill="00264D" w:themeFill="background2"/>
            <w:vAlign w:val="top"/>
          </w:tcPr>
          <w:p w14:paraId="2EDE1206" w14:textId="6B7CB92F" w:rsidR="005A35A2" w:rsidRPr="005A35A2" w:rsidRDefault="005A35A2" w:rsidP="005A35A2">
            <w:pPr>
              <w:pStyle w:val="TableNheader"/>
              <w:rPr>
                <w:color w:val="FFFFFF" w:themeColor="background1"/>
              </w:rPr>
            </w:pPr>
            <w:r w:rsidRPr="005A35A2">
              <w:rPr>
                <w:color w:val="FFFFFF" w:themeColor="background1"/>
              </w:rPr>
              <w:t>Estimated underlying growth FY16/17 to FY19/20</w:t>
            </w:r>
          </w:p>
        </w:tc>
      </w:tr>
      <w:tr w:rsidR="005A35A2" w14:paraId="33083A1B" w14:textId="77777777" w:rsidTr="005A35A2">
        <w:trPr>
          <w:cnfStyle w:val="000000100000" w:firstRow="0" w:lastRow="0" w:firstColumn="0" w:lastColumn="0" w:oddVBand="0" w:evenVBand="0" w:oddHBand="1" w:evenHBand="0" w:firstRowFirstColumn="0" w:firstRowLastColumn="0" w:lastRowFirstColumn="0" w:lastRowLastColumn="0"/>
        </w:trPr>
        <w:tc>
          <w:tcPr>
            <w:tcW w:w="4460"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tcPr>
          <w:p w14:paraId="24C86F4C" w14:textId="2AD922C2" w:rsidR="005A35A2" w:rsidRDefault="005A35A2" w:rsidP="005A35A2">
            <w:pPr>
              <w:pStyle w:val="TableNText"/>
            </w:pPr>
            <w:r w:rsidRPr="008464A5">
              <w:t>Atamo P/L</w:t>
            </w:r>
          </w:p>
        </w:tc>
        <w:tc>
          <w:tcPr>
            <w:tcW w:w="4460"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tcPr>
          <w:p w14:paraId="38626D4F" w14:textId="6717287E" w:rsidR="005A35A2" w:rsidRDefault="005A35A2" w:rsidP="005A35A2">
            <w:pPr>
              <w:pStyle w:val="TableNText"/>
            </w:pPr>
            <w:r w:rsidRPr="008464A5">
              <w:t>5.0 per cent</w:t>
            </w:r>
          </w:p>
        </w:tc>
      </w:tr>
      <w:tr w:rsidR="005A35A2" w14:paraId="3C1FF187" w14:textId="77777777" w:rsidTr="005A35A2">
        <w:trPr>
          <w:cnfStyle w:val="000000010000" w:firstRow="0" w:lastRow="0" w:firstColumn="0" w:lastColumn="0" w:oddVBand="0" w:evenVBand="0" w:oddHBand="0" w:evenHBand="1" w:firstRowFirstColumn="0" w:firstRowLastColumn="0" w:lastRowFirstColumn="0" w:lastRowLastColumn="0"/>
        </w:trPr>
        <w:tc>
          <w:tcPr>
            <w:tcW w:w="4460"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tcPr>
          <w:p w14:paraId="5DA9DF72" w14:textId="7E795691" w:rsidR="005A35A2" w:rsidRDefault="005A35A2" w:rsidP="005A35A2">
            <w:pPr>
              <w:pStyle w:val="TableNText"/>
            </w:pPr>
            <w:r w:rsidRPr="008464A5">
              <w:t>Atraxium P/L</w:t>
            </w:r>
          </w:p>
        </w:tc>
        <w:tc>
          <w:tcPr>
            <w:tcW w:w="4460"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tcPr>
          <w:p w14:paraId="58EDF6BF" w14:textId="0FFAEEFE" w:rsidR="005A35A2" w:rsidRDefault="005A35A2" w:rsidP="005A35A2">
            <w:pPr>
              <w:pStyle w:val="TableNText"/>
            </w:pPr>
            <w:r w:rsidRPr="008464A5">
              <w:t>4.8 per cent</w:t>
            </w:r>
          </w:p>
        </w:tc>
      </w:tr>
      <w:tr w:rsidR="005A35A2" w14:paraId="0561B6E8" w14:textId="77777777" w:rsidTr="005A35A2">
        <w:trPr>
          <w:cnfStyle w:val="000000100000" w:firstRow="0" w:lastRow="0" w:firstColumn="0" w:lastColumn="0" w:oddVBand="0" w:evenVBand="0" w:oddHBand="1" w:evenHBand="0" w:firstRowFirstColumn="0" w:firstRowLastColumn="0" w:lastRowFirstColumn="0" w:lastRowLastColumn="0"/>
        </w:trPr>
        <w:tc>
          <w:tcPr>
            <w:tcW w:w="4460"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tcPr>
          <w:p w14:paraId="3081905A" w14:textId="28AF328F" w:rsidR="005A35A2" w:rsidRDefault="005A35A2" w:rsidP="005A35A2">
            <w:pPr>
              <w:pStyle w:val="TableNText"/>
            </w:pPr>
            <w:r w:rsidRPr="008464A5">
              <w:t>Collabforge P/L</w:t>
            </w:r>
          </w:p>
        </w:tc>
        <w:tc>
          <w:tcPr>
            <w:tcW w:w="4460"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tcPr>
          <w:p w14:paraId="758B8B08" w14:textId="643358D6" w:rsidR="005A35A2" w:rsidRDefault="005A35A2" w:rsidP="005A35A2">
            <w:pPr>
              <w:pStyle w:val="TableNText"/>
            </w:pPr>
            <w:r w:rsidRPr="008464A5">
              <w:t>5.0 per cent</w:t>
            </w:r>
          </w:p>
        </w:tc>
      </w:tr>
      <w:tr w:rsidR="005A35A2" w14:paraId="22AA0D04" w14:textId="77777777" w:rsidTr="005A35A2">
        <w:trPr>
          <w:cnfStyle w:val="000000010000" w:firstRow="0" w:lastRow="0" w:firstColumn="0" w:lastColumn="0" w:oddVBand="0" w:evenVBand="0" w:oddHBand="0" w:evenHBand="1" w:firstRowFirstColumn="0" w:firstRowLastColumn="0" w:lastRowFirstColumn="0" w:lastRowLastColumn="0"/>
        </w:trPr>
        <w:tc>
          <w:tcPr>
            <w:tcW w:w="4460"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tcPr>
          <w:p w14:paraId="10B2A5A5" w14:textId="20E3EF1F" w:rsidR="005A35A2" w:rsidRDefault="005A35A2" w:rsidP="005A35A2">
            <w:pPr>
              <w:pStyle w:val="TableNText"/>
            </w:pPr>
            <w:r w:rsidRPr="008464A5">
              <w:t>Factil P/L (previously Infinuendo P/L)</w:t>
            </w:r>
          </w:p>
        </w:tc>
        <w:tc>
          <w:tcPr>
            <w:tcW w:w="4460"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tcPr>
          <w:p w14:paraId="308969BC" w14:textId="635948E2" w:rsidR="005A35A2" w:rsidRDefault="005A35A2" w:rsidP="005A35A2">
            <w:pPr>
              <w:pStyle w:val="TableNText"/>
            </w:pPr>
            <w:r w:rsidRPr="008464A5">
              <w:t>3.4 per cent</w:t>
            </w:r>
          </w:p>
        </w:tc>
      </w:tr>
      <w:tr w:rsidR="005A35A2" w14:paraId="793679D8" w14:textId="77777777" w:rsidTr="005A35A2">
        <w:trPr>
          <w:cnfStyle w:val="000000100000" w:firstRow="0" w:lastRow="0" w:firstColumn="0" w:lastColumn="0" w:oddVBand="0" w:evenVBand="0" w:oddHBand="1" w:evenHBand="0" w:firstRowFirstColumn="0" w:firstRowLastColumn="0" w:lastRowFirstColumn="0" w:lastRowLastColumn="0"/>
        </w:trPr>
        <w:tc>
          <w:tcPr>
            <w:tcW w:w="4460"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tcPr>
          <w:p w14:paraId="70C2235F" w14:textId="734DF105" w:rsidR="005A35A2" w:rsidRDefault="005A35A2" w:rsidP="005A35A2">
            <w:pPr>
              <w:pStyle w:val="TableNText"/>
            </w:pPr>
            <w:r w:rsidRPr="008464A5">
              <w:t>Houston Kemp P/L</w:t>
            </w:r>
          </w:p>
        </w:tc>
        <w:tc>
          <w:tcPr>
            <w:tcW w:w="4460"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tcPr>
          <w:p w14:paraId="62D3FA4E" w14:textId="102454BD" w:rsidR="005A35A2" w:rsidRDefault="005A35A2" w:rsidP="005A35A2">
            <w:pPr>
              <w:pStyle w:val="TableNText"/>
            </w:pPr>
            <w:r w:rsidRPr="008464A5">
              <w:t>4.7 per cent</w:t>
            </w:r>
          </w:p>
        </w:tc>
      </w:tr>
      <w:tr w:rsidR="005A35A2" w14:paraId="5B690084" w14:textId="77777777" w:rsidTr="005A35A2">
        <w:trPr>
          <w:cnfStyle w:val="000000010000" w:firstRow="0" w:lastRow="0" w:firstColumn="0" w:lastColumn="0" w:oddVBand="0" w:evenVBand="0" w:oddHBand="0" w:evenHBand="1" w:firstRowFirstColumn="0" w:firstRowLastColumn="0" w:lastRowFirstColumn="0" w:lastRowLastColumn="0"/>
        </w:trPr>
        <w:tc>
          <w:tcPr>
            <w:tcW w:w="4460"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tcPr>
          <w:p w14:paraId="39ED48CF" w14:textId="5CD39D51" w:rsidR="005A35A2" w:rsidRDefault="005A35A2" w:rsidP="005A35A2">
            <w:pPr>
              <w:pStyle w:val="TableNText"/>
            </w:pPr>
            <w:r w:rsidRPr="008464A5">
              <w:t>Itree P/L (Objective RegTech)</w:t>
            </w:r>
          </w:p>
        </w:tc>
        <w:tc>
          <w:tcPr>
            <w:tcW w:w="4460"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tcPr>
          <w:p w14:paraId="5F0EF20F" w14:textId="3D471148" w:rsidR="005A35A2" w:rsidRDefault="005A35A2" w:rsidP="005A35A2">
            <w:pPr>
              <w:pStyle w:val="TableNText"/>
            </w:pPr>
            <w:r w:rsidRPr="008464A5">
              <w:t>3.4 per cent</w:t>
            </w:r>
          </w:p>
        </w:tc>
      </w:tr>
      <w:tr w:rsidR="005A35A2" w14:paraId="5DC2848B" w14:textId="77777777" w:rsidTr="005A35A2">
        <w:trPr>
          <w:cnfStyle w:val="000000100000" w:firstRow="0" w:lastRow="0" w:firstColumn="0" w:lastColumn="0" w:oddVBand="0" w:evenVBand="0" w:oddHBand="1" w:evenHBand="0" w:firstRowFirstColumn="0" w:firstRowLastColumn="0" w:lastRowFirstColumn="0" w:lastRowLastColumn="0"/>
        </w:trPr>
        <w:tc>
          <w:tcPr>
            <w:tcW w:w="4460"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tcPr>
          <w:p w14:paraId="6645A456" w14:textId="6A6EBD5D" w:rsidR="005A35A2" w:rsidRDefault="005A35A2" w:rsidP="005A35A2">
            <w:pPr>
              <w:pStyle w:val="TableNText"/>
            </w:pPr>
            <w:r w:rsidRPr="008464A5">
              <w:t>Iugotec P/L</w:t>
            </w:r>
          </w:p>
        </w:tc>
        <w:tc>
          <w:tcPr>
            <w:tcW w:w="4460"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tcPr>
          <w:p w14:paraId="18BE7606" w14:textId="35637A31" w:rsidR="005A35A2" w:rsidRDefault="005A35A2" w:rsidP="005A35A2">
            <w:pPr>
              <w:pStyle w:val="TableNText"/>
            </w:pPr>
            <w:r w:rsidRPr="008464A5">
              <w:t>6.4 per cent</w:t>
            </w:r>
          </w:p>
        </w:tc>
      </w:tr>
      <w:tr w:rsidR="005A35A2" w14:paraId="4F32B4C2" w14:textId="77777777" w:rsidTr="005A35A2">
        <w:trPr>
          <w:cnfStyle w:val="000000010000" w:firstRow="0" w:lastRow="0" w:firstColumn="0" w:lastColumn="0" w:oddVBand="0" w:evenVBand="0" w:oddHBand="0" w:evenHBand="1" w:firstRowFirstColumn="0" w:firstRowLastColumn="0" w:lastRowFirstColumn="0" w:lastRowLastColumn="0"/>
        </w:trPr>
        <w:tc>
          <w:tcPr>
            <w:tcW w:w="4460"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tcPr>
          <w:p w14:paraId="0A63A376" w14:textId="445388BC" w:rsidR="005A35A2" w:rsidRDefault="005A35A2" w:rsidP="005A35A2">
            <w:pPr>
              <w:pStyle w:val="TableNText"/>
            </w:pPr>
            <w:r w:rsidRPr="008464A5">
              <w:t>Likely Theory P/L</w:t>
            </w:r>
          </w:p>
        </w:tc>
        <w:tc>
          <w:tcPr>
            <w:tcW w:w="4460"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tcPr>
          <w:p w14:paraId="2B82ACFA" w14:textId="53B17374" w:rsidR="005A35A2" w:rsidRDefault="005A35A2" w:rsidP="005A35A2">
            <w:pPr>
              <w:pStyle w:val="TableNText"/>
            </w:pPr>
            <w:r w:rsidRPr="008464A5">
              <w:t>4.8 per cent</w:t>
            </w:r>
          </w:p>
        </w:tc>
      </w:tr>
      <w:tr w:rsidR="005A35A2" w14:paraId="11425239" w14:textId="77777777" w:rsidTr="005A35A2">
        <w:trPr>
          <w:cnfStyle w:val="000000100000" w:firstRow="0" w:lastRow="0" w:firstColumn="0" w:lastColumn="0" w:oddVBand="0" w:evenVBand="0" w:oddHBand="1" w:evenHBand="0" w:firstRowFirstColumn="0" w:firstRowLastColumn="0" w:lastRowFirstColumn="0" w:lastRowLastColumn="0"/>
        </w:trPr>
        <w:tc>
          <w:tcPr>
            <w:tcW w:w="4460"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tcPr>
          <w:p w14:paraId="674D4A52" w14:textId="59A71D34" w:rsidR="005A35A2" w:rsidRDefault="005A35A2" w:rsidP="005A35A2">
            <w:pPr>
              <w:pStyle w:val="TableNText"/>
            </w:pPr>
            <w:r w:rsidRPr="008464A5">
              <w:t>The Marsden Jacob Unit Trust</w:t>
            </w:r>
          </w:p>
        </w:tc>
        <w:tc>
          <w:tcPr>
            <w:tcW w:w="4460"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tcPr>
          <w:p w14:paraId="1B290F72" w14:textId="7B183B97" w:rsidR="005A35A2" w:rsidRDefault="005A35A2" w:rsidP="005A35A2">
            <w:pPr>
              <w:pStyle w:val="TableNText"/>
            </w:pPr>
            <w:r w:rsidRPr="008464A5">
              <w:t>4.8 per cent</w:t>
            </w:r>
          </w:p>
        </w:tc>
      </w:tr>
      <w:tr w:rsidR="005A35A2" w14:paraId="4F03E37A" w14:textId="77777777" w:rsidTr="005A35A2">
        <w:trPr>
          <w:cnfStyle w:val="000000010000" w:firstRow="0" w:lastRow="0" w:firstColumn="0" w:lastColumn="0" w:oddVBand="0" w:evenVBand="0" w:oddHBand="0" w:evenHBand="1" w:firstRowFirstColumn="0" w:firstRowLastColumn="0" w:lastRowFirstColumn="0" w:lastRowLastColumn="0"/>
        </w:trPr>
        <w:tc>
          <w:tcPr>
            <w:tcW w:w="4460"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tcPr>
          <w:p w14:paraId="385904F6" w14:textId="6BB2F8AE" w:rsidR="005A35A2" w:rsidRDefault="005A35A2" w:rsidP="005A35A2">
            <w:pPr>
              <w:pStyle w:val="TableNText"/>
            </w:pPr>
            <w:r w:rsidRPr="008464A5">
              <w:t>Average</w:t>
            </w:r>
          </w:p>
        </w:tc>
        <w:tc>
          <w:tcPr>
            <w:tcW w:w="4460" w:type="dxa"/>
            <w:tcBorders>
              <w:top w:val="single" w:sz="4" w:space="0" w:color="00264D" w:themeColor="background2"/>
              <w:left w:val="single" w:sz="4" w:space="0" w:color="00264D" w:themeColor="background2"/>
              <w:bottom w:val="single" w:sz="4" w:space="0" w:color="00264D" w:themeColor="background2"/>
              <w:right w:val="single" w:sz="4" w:space="0" w:color="00264D" w:themeColor="background2"/>
            </w:tcBorders>
            <w:vAlign w:val="top"/>
          </w:tcPr>
          <w:p w14:paraId="4A202A4F" w14:textId="4BFB098C" w:rsidR="005A35A2" w:rsidRDefault="005A35A2" w:rsidP="005A35A2">
            <w:pPr>
              <w:pStyle w:val="TableNText"/>
            </w:pPr>
            <w:r w:rsidRPr="008464A5">
              <w:t>4.7 per cent</w:t>
            </w:r>
          </w:p>
        </w:tc>
      </w:tr>
    </w:tbl>
    <w:p w14:paraId="62347B56" w14:textId="77777777" w:rsidR="005A35A2" w:rsidRPr="005A35A2" w:rsidRDefault="005A35A2" w:rsidP="005A35A2"/>
    <w:p w14:paraId="3A8D5B21" w14:textId="0DF114A1" w:rsidR="006C4E1F" w:rsidRPr="001E2AF7" w:rsidRDefault="006C4E1F" w:rsidP="001E2AF7">
      <w:pPr>
        <w:rPr>
          <w:b/>
          <w:bCs/>
          <w:i/>
          <w:iCs/>
        </w:rPr>
      </w:pPr>
      <w:r w:rsidRPr="001E2AF7">
        <w:rPr>
          <w:b/>
          <w:bCs/>
          <w:i/>
          <w:iCs/>
        </w:rPr>
        <w:t xml:space="preserve">Step </w:t>
      </w:r>
      <w:r w:rsidR="005D6C65" w:rsidRPr="001E2AF7">
        <w:rPr>
          <w:b/>
          <w:bCs/>
          <w:i/>
          <w:iCs/>
        </w:rPr>
        <w:t>two</w:t>
      </w:r>
      <w:r w:rsidRPr="001E2AF7">
        <w:rPr>
          <w:b/>
          <w:bCs/>
          <w:i/>
          <w:iCs/>
        </w:rPr>
        <w:t xml:space="preserve"> – Estimate the incremental revenue attributed to </w:t>
      </w:r>
      <w:r w:rsidR="009D29E5" w:rsidRPr="001E2AF7">
        <w:rPr>
          <w:b/>
          <w:bCs/>
          <w:i/>
          <w:iCs/>
        </w:rPr>
        <w:t xml:space="preserve">the </w:t>
      </w:r>
      <w:r w:rsidRPr="001E2AF7">
        <w:rPr>
          <w:b/>
          <w:bCs/>
          <w:i/>
          <w:iCs/>
        </w:rPr>
        <w:t>BRII to show SME performance.</w:t>
      </w:r>
    </w:p>
    <w:p w14:paraId="48800B0B" w14:textId="7637A375" w:rsidR="00C173E5" w:rsidRPr="00F91F12" w:rsidRDefault="00C173E5" w:rsidP="00737C3E">
      <w:r w:rsidRPr="00F91F12">
        <w:t>Annual turnover for the period FY</w:t>
      </w:r>
      <w:r w:rsidR="00602B99">
        <w:t>16/</w:t>
      </w:r>
      <w:r w:rsidRPr="00F91F12">
        <w:t>17 to FY</w:t>
      </w:r>
      <w:r w:rsidR="00602B99">
        <w:t>19/</w:t>
      </w:r>
      <w:r w:rsidRPr="00F91F12">
        <w:t>20 for each of the SMEs in scope is captured as part of the evaluation survey. It should be noted that this information is self-reported and therefore cannot be verified</w:t>
      </w:r>
      <w:r w:rsidR="00602B99">
        <w:t>.</w:t>
      </w:r>
      <w:r>
        <w:t xml:space="preserve"> </w:t>
      </w:r>
      <w:r w:rsidR="00602B99">
        <w:t>T</w:t>
      </w:r>
      <w:r>
        <w:t>hat noted, annual turnover is not a subjective concept and is readily able to be reported</w:t>
      </w:r>
      <w:r w:rsidRPr="00F91F12">
        <w:t xml:space="preserve">. Other questions about financial performance, business characteristics and the impact of </w:t>
      </w:r>
      <w:r w:rsidR="005D6C65">
        <w:t xml:space="preserve">the </w:t>
      </w:r>
      <w:r w:rsidRPr="00F91F12">
        <w:t>BRII on business behaviours are also captured.</w:t>
      </w:r>
    </w:p>
    <w:p w14:paraId="341FBFCC" w14:textId="2ECAEEC8" w:rsidR="00FA682A" w:rsidRDefault="00C173E5" w:rsidP="00737C3E">
      <w:r w:rsidRPr="00F91F12">
        <w:t xml:space="preserve">Actuals of financial performance are then converted to incremental revenue by netting off underlying growth </w:t>
      </w:r>
      <w:r>
        <w:t xml:space="preserve">from SME </w:t>
      </w:r>
      <w:r w:rsidRPr="00F91F12">
        <w:t>revenue growth</w:t>
      </w:r>
      <w:r w:rsidR="00EA1C8B">
        <w:t xml:space="preserve"> according to the control group growth rates pre</w:t>
      </w:r>
      <w:r w:rsidR="00002045">
        <w:t>s</w:t>
      </w:r>
      <w:r w:rsidR="00EA1C8B">
        <w:t>ented above</w:t>
      </w:r>
      <w:r w:rsidRPr="00F91F12">
        <w:t>.</w:t>
      </w:r>
      <w:r w:rsidR="00EA1C8B">
        <w:t xml:space="preserve"> </w:t>
      </w:r>
      <w:r w:rsidR="00643B23">
        <w:fldChar w:fldCharType="begin"/>
      </w:r>
      <w:r w:rsidR="00643B23">
        <w:instrText xml:space="preserve"> REF _Ref79418153 \h </w:instrText>
      </w:r>
      <w:r w:rsidR="00737C3E">
        <w:instrText xml:space="preserve"> \* MERGEFORMAT </w:instrText>
      </w:r>
      <w:r w:rsidR="00643B23">
        <w:fldChar w:fldCharType="separate"/>
      </w:r>
      <w:r w:rsidR="00AE607F">
        <w:t xml:space="preserve">Table </w:t>
      </w:r>
      <w:r w:rsidR="00AE607F">
        <w:rPr>
          <w:noProof/>
        </w:rPr>
        <w:t>22</w:t>
      </w:r>
      <w:r w:rsidR="00643B23">
        <w:fldChar w:fldCharType="end"/>
      </w:r>
      <w:r w:rsidR="00EA1C8B">
        <w:t xml:space="preserve"> shows the </w:t>
      </w:r>
      <w:r w:rsidR="00BE7124">
        <w:t xml:space="preserve">combined revenue for round one proof of concept SMEs compared to the estimated market growth without </w:t>
      </w:r>
      <w:r w:rsidR="00CE5E0F">
        <w:t xml:space="preserve">the </w:t>
      </w:r>
      <w:r w:rsidR="00BE7124">
        <w:t>BRII (i.e. the counterfactual).</w:t>
      </w:r>
    </w:p>
    <w:p w14:paraId="7E945EE1" w14:textId="1B6FF28E" w:rsidR="00F558BD" w:rsidRDefault="00F558BD" w:rsidP="00F558BD">
      <w:pPr>
        <w:pStyle w:val="Caption"/>
      </w:pPr>
      <w:bookmarkStart w:id="235" w:name="_Ref79418153"/>
      <w:r>
        <w:t xml:space="preserve">Table </w:t>
      </w:r>
      <w:r>
        <w:fldChar w:fldCharType="begin"/>
      </w:r>
      <w:r>
        <w:instrText xml:space="preserve"> SEQ Table \* ARABIC </w:instrText>
      </w:r>
      <w:r>
        <w:fldChar w:fldCharType="separate"/>
      </w:r>
      <w:r w:rsidR="00AE607F">
        <w:rPr>
          <w:noProof/>
        </w:rPr>
        <w:t>22</w:t>
      </w:r>
      <w:r>
        <w:fldChar w:fldCharType="end"/>
      </w:r>
      <w:bookmarkEnd w:id="235"/>
      <w:r>
        <w:t xml:space="preserve"> | Modelled revenue FY16/17 to FY19/20</w:t>
      </w:r>
    </w:p>
    <w:tbl>
      <w:tblPr>
        <w:tblStyle w:val="TableGrid"/>
        <w:tblW w:w="0" w:type="auto"/>
        <w:tblBorders>
          <w:top w:val="single" w:sz="4" w:space="0" w:color="00264D" w:themeColor="background2"/>
          <w:left w:val="single" w:sz="4" w:space="0" w:color="00264D" w:themeColor="background2"/>
          <w:bottom w:val="single" w:sz="4" w:space="0" w:color="00264D" w:themeColor="background2"/>
          <w:right w:val="single" w:sz="4" w:space="0" w:color="00264D" w:themeColor="background2"/>
          <w:insideH w:val="single" w:sz="4" w:space="0" w:color="00264D" w:themeColor="background2"/>
          <w:insideV w:val="single" w:sz="4" w:space="0" w:color="00264D" w:themeColor="background2"/>
        </w:tblBorders>
        <w:tblLook w:val="04A0" w:firstRow="1" w:lastRow="0" w:firstColumn="1" w:lastColumn="0" w:noHBand="0" w:noVBand="1"/>
      </w:tblPr>
      <w:tblGrid>
        <w:gridCol w:w="1784"/>
        <w:gridCol w:w="1784"/>
        <w:gridCol w:w="1784"/>
        <w:gridCol w:w="1784"/>
        <w:gridCol w:w="1784"/>
      </w:tblGrid>
      <w:tr w:rsidR="009B0C0B" w14:paraId="78798F2E" w14:textId="77777777" w:rsidTr="009B0C0B">
        <w:trPr>
          <w:cnfStyle w:val="100000000000" w:firstRow="1" w:lastRow="0" w:firstColumn="0" w:lastColumn="0" w:oddVBand="0" w:evenVBand="0" w:oddHBand="0" w:evenHBand="0" w:firstRowFirstColumn="0" w:firstRowLastColumn="0" w:lastRowFirstColumn="0" w:lastRowLastColumn="0"/>
        </w:trPr>
        <w:tc>
          <w:tcPr>
            <w:tcW w:w="1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264D" w:themeFill="background2"/>
            <w:vAlign w:val="top"/>
          </w:tcPr>
          <w:p w14:paraId="1664FA0A" w14:textId="0C9D2128" w:rsidR="009B0C0B" w:rsidRPr="009B0C0B" w:rsidRDefault="009B0C0B" w:rsidP="009B0C0B">
            <w:pPr>
              <w:pStyle w:val="TableNheader"/>
              <w:rPr>
                <w:color w:val="FFFFFF" w:themeColor="background1"/>
              </w:rPr>
            </w:pPr>
            <w:r w:rsidRPr="009B0C0B">
              <w:rPr>
                <w:color w:val="FFFFFF" w:themeColor="background1"/>
              </w:rPr>
              <w:t>Revenue type</w:t>
            </w:r>
          </w:p>
        </w:tc>
        <w:tc>
          <w:tcPr>
            <w:tcW w:w="1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264D" w:themeFill="background2"/>
            <w:vAlign w:val="top"/>
          </w:tcPr>
          <w:p w14:paraId="3AD91FA2" w14:textId="030DAB6A" w:rsidR="009B0C0B" w:rsidRPr="009B0C0B" w:rsidRDefault="009B0C0B" w:rsidP="009B0C0B">
            <w:pPr>
              <w:pStyle w:val="TableNheader"/>
              <w:rPr>
                <w:color w:val="FFFFFF" w:themeColor="background1"/>
              </w:rPr>
            </w:pPr>
            <w:r w:rsidRPr="009B0C0B">
              <w:rPr>
                <w:color w:val="FFFFFF" w:themeColor="background1"/>
              </w:rPr>
              <w:t>FY16/17</w:t>
            </w:r>
          </w:p>
        </w:tc>
        <w:tc>
          <w:tcPr>
            <w:tcW w:w="1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264D" w:themeFill="background2"/>
            <w:vAlign w:val="top"/>
          </w:tcPr>
          <w:p w14:paraId="369F6710" w14:textId="3E75B79B" w:rsidR="009B0C0B" w:rsidRPr="009B0C0B" w:rsidRDefault="009B0C0B" w:rsidP="009B0C0B">
            <w:pPr>
              <w:pStyle w:val="TableNheader"/>
              <w:rPr>
                <w:color w:val="FFFFFF" w:themeColor="background1"/>
              </w:rPr>
            </w:pPr>
            <w:r w:rsidRPr="009B0C0B">
              <w:rPr>
                <w:color w:val="FFFFFF" w:themeColor="background1"/>
              </w:rPr>
              <w:t>FY17/18</w:t>
            </w:r>
          </w:p>
        </w:tc>
        <w:tc>
          <w:tcPr>
            <w:tcW w:w="1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264D" w:themeFill="background2"/>
            <w:vAlign w:val="top"/>
          </w:tcPr>
          <w:p w14:paraId="1C41A928" w14:textId="451194B2" w:rsidR="009B0C0B" w:rsidRPr="009B0C0B" w:rsidRDefault="009B0C0B" w:rsidP="009B0C0B">
            <w:pPr>
              <w:pStyle w:val="TableNheader"/>
              <w:rPr>
                <w:color w:val="FFFFFF" w:themeColor="background1"/>
              </w:rPr>
            </w:pPr>
            <w:r w:rsidRPr="009B0C0B">
              <w:rPr>
                <w:color w:val="FFFFFF" w:themeColor="background1"/>
              </w:rPr>
              <w:t>FY18/19</w:t>
            </w:r>
          </w:p>
        </w:tc>
        <w:tc>
          <w:tcPr>
            <w:tcW w:w="1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264D" w:themeFill="background2"/>
            <w:vAlign w:val="top"/>
          </w:tcPr>
          <w:p w14:paraId="1E031CEE" w14:textId="4E8243E9" w:rsidR="009B0C0B" w:rsidRPr="009B0C0B" w:rsidRDefault="009B0C0B" w:rsidP="009B0C0B">
            <w:pPr>
              <w:pStyle w:val="TableNheader"/>
              <w:rPr>
                <w:color w:val="FFFFFF" w:themeColor="background1"/>
              </w:rPr>
            </w:pPr>
            <w:r w:rsidRPr="009B0C0B">
              <w:rPr>
                <w:color w:val="FFFFFF" w:themeColor="background1"/>
              </w:rPr>
              <w:t>FY19/20</w:t>
            </w:r>
          </w:p>
        </w:tc>
      </w:tr>
      <w:tr w:rsidR="009B0C0B" w14:paraId="4123EB5E" w14:textId="77777777" w:rsidTr="009B0C0B">
        <w:trPr>
          <w:cnfStyle w:val="000000100000" w:firstRow="0" w:lastRow="0" w:firstColumn="0" w:lastColumn="0" w:oddVBand="0" w:evenVBand="0" w:oddHBand="1" w:evenHBand="0" w:firstRowFirstColumn="0" w:firstRowLastColumn="0" w:lastRowFirstColumn="0" w:lastRowLastColumn="0"/>
        </w:trPr>
        <w:tc>
          <w:tcPr>
            <w:tcW w:w="1784" w:type="dxa"/>
            <w:vAlign w:val="top"/>
          </w:tcPr>
          <w:p w14:paraId="6A76C4CE" w14:textId="767413EA" w:rsidR="009B0C0B" w:rsidRDefault="009B0C0B" w:rsidP="009B0C0B">
            <w:pPr>
              <w:pStyle w:val="TableNText"/>
            </w:pPr>
            <w:r w:rsidRPr="00A81ECE">
              <w:t>Total revenue with the BRII (actuals)</w:t>
            </w:r>
          </w:p>
        </w:tc>
        <w:tc>
          <w:tcPr>
            <w:tcW w:w="1784" w:type="dxa"/>
            <w:vAlign w:val="top"/>
          </w:tcPr>
          <w:p w14:paraId="6968FEA8" w14:textId="5E2CE2C7" w:rsidR="009B0C0B" w:rsidRDefault="009B0C0B" w:rsidP="009B0C0B">
            <w:pPr>
              <w:pStyle w:val="TableNText"/>
            </w:pPr>
            <w:r w:rsidRPr="00A81ECE">
              <w:t>$24,070,977</w:t>
            </w:r>
          </w:p>
        </w:tc>
        <w:tc>
          <w:tcPr>
            <w:tcW w:w="1784" w:type="dxa"/>
            <w:vAlign w:val="top"/>
          </w:tcPr>
          <w:p w14:paraId="7BFE5B7A" w14:textId="7B04E659" w:rsidR="009B0C0B" w:rsidRDefault="009B0C0B" w:rsidP="009B0C0B">
            <w:pPr>
              <w:pStyle w:val="TableNText"/>
            </w:pPr>
            <w:r w:rsidRPr="00A81ECE">
              <w:t>$26,144,399</w:t>
            </w:r>
          </w:p>
        </w:tc>
        <w:tc>
          <w:tcPr>
            <w:tcW w:w="1784" w:type="dxa"/>
            <w:vAlign w:val="top"/>
          </w:tcPr>
          <w:p w14:paraId="68085F77" w14:textId="0605E06B" w:rsidR="009B0C0B" w:rsidRDefault="009B0C0B" w:rsidP="009B0C0B">
            <w:pPr>
              <w:pStyle w:val="TableNText"/>
            </w:pPr>
            <w:r w:rsidRPr="00A81ECE">
              <w:t>$27,995,608</w:t>
            </w:r>
          </w:p>
        </w:tc>
        <w:tc>
          <w:tcPr>
            <w:tcW w:w="1784" w:type="dxa"/>
            <w:vAlign w:val="top"/>
          </w:tcPr>
          <w:p w14:paraId="244333B8" w14:textId="2A7F148E" w:rsidR="009B0C0B" w:rsidRDefault="009B0C0B" w:rsidP="009B0C0B">
            <w:pPr>
              <w:pStyle w:val="TableNText"/>
            </w:pPr>
            <w:r w:rsidRPr="00A81ECE">
              <w:t>$32,275,293</w:t>
            </w:r>
          </w:p>
        </w:tc>
      </w:tr>
      <w:tr w:rsidR="009B0C0B" w14:paraId="5C861D14" w14:textId="77777777" w:rsidTr="009B0C0B">
        <w:trPr>
          <w:cnfStyle w:val="000000010000" w:firstRow="0" w:lastRow="0" w:firstColumn="0" w:lastColumn="0" w:oddVBand="0" w:evenVBand="0" w:oddHBand="0" w:evenHBand="1" w:firstRowFirstColumn="0" w:firstRowLastColumn="0" w:lastRowFirstColumn="0" w:lastRowLastColumn="0"/>
        </w:trPr>
        <w:tc>
          <w:tcPr>
            <w:tcW w:w="1784" w:type="dxa"/>
            <w:vAlign w:val="top"/>
          </w:tcPr>
          <w:p w14:paraId="1A09409B" w14:textId="68446174" w:rsidR="009B0C0B" w:rsidRDefault="009B0C0B" w:rsidP="009B0C0B">
            <w:pPr>
              <w:pStyle w:val="TableNText"/>
            </w:pPr>
            <w:r w:rsidRPr="00A81ECE">
              <w:lastRenderedPageBreak/>
              <w:t>Total revenue without the BRII (estimated)</w:t>
            </w:r>
          </w:p>
        </w:tc>
        <w:tc>
          <w:tcPr>
            <w:tcW w:w="1784" w:type="dxa"/>
            <w:vAlign w:val="top"/>
          </w:tcPr>
          <w:p w14:paraId="70002A69" w14:textId="225B7F20" w:rsidR="009B0C0B" w:rsidRDefault="009B0C0B" w:rsidP="009B0C0B">
            <w:pPr>
              <w:pStyle w:val="TableNText"/>
            </w:pPr>
            <w:r w:rsidRPr="00A81ECE">
              <w:t>$24,070,977</w:t>
            </w:r>
          </w:p>
        </w:tc>
        <w:tc>
          <w:tcPr>
            <w:tcW w:w="1784" w:type="dxa"/>
            <w:vAlign w:val="top"/>
          </w:tcPr>
          <w:p w14:paraId="5167EF83" w14:textId="2B28BC41" w:rsidR="009B0C0B" w:rsidRDefault="009B0C0B" w:rsidP="009B0C0B">
            <w:pPr>
              <w:pStyle w:val="TableNText"/>
            </w:pPr>
            <w:r w:rsidRPr="00A81ECE">
              <w:t>$25,050,045</w:t>
            </w:r>
          </w:p>
        </w:tc>
        <w:tc>
          <w:tcPr>
            <w:tcW w:w="1784" w:type="dxa"/>
            <w:vAlign w:val="top"/>
          </w:tcPr>
          <w:p w14:paraId="1B5C47B0" w14:textId="54CAC3FB" w:rsidR="009B0C0B" w:rsidRDefault="009B0C0B" w:rsidP="009B0C0B">
            <w:pPr>
              <w:pStyle w:val="TableNText"/>
            </w:pPr>
            <w:r w:rsidRPr="00A81ECE">
              <w:t>$26,070,208</w:t>
            </w:r>
          </w:p>
        </w:tc>
        <w:tc>
          <w:tcPr>
            <w:tcW w:w="1784" w:type="dxa"/>
            <w:vAlign w:val="top"/>
          </w:tcPr>
          <w:p w14:paraId="3E36EF46" w14:textId="01CD6122" w:rsidR="009B0C0B" w:rsidRDefault="009B0C0B" w:rsidP="009B0C0B">
            <w:pPr>
              <w:pStyle w:val="TableNText"/>
            </w:pPr>
            <w:r w:rsidRPr="00A81ECE">
              <w:t>$27,133,243</w:t>
            </w:r>
          </w:p>
        </w:tc>
      </w:tr>
      <w:tr w:rsidR="009B0C0B" w14:paraId="0ADA1DF4" w14:textId="77777777" w:rsidTr="009B0C0B">
        <w:trPr>
          <w:cnfStyle w:val="000000100000" w:firstRow="0" w:lastRow="0" w:firstColumn="0" w:lastColumn="0" w:oddVBand="0" w:evenVBand="0" w:oddHBand="1" w:evenHBand="0" w:firstRowFirstColumn="0" w:firstRowLastColumn="0" w:lastRowFirstColumn="0" w:lastRowLastColumn="0"/>
        </w:trPr>
        <w:tc>
          <w:tcPr>
            <w:tcW w:w="1784" w:type="dxa"/>
            <w:vAlign w:val="top"/>
          </w:tcPr>
          <w:p w14:paraId="20168180" w14:textId="3F140CE0" w:rsidR="009B0C0B" w:rsidRPr="009B0C0B" w:rsidRDefault="009B0C0B" w:rsidP="009B0C0B">
            <w:pPr>
              <w:pStyle w:val="TableNText"/>
              <w:rPr>
                <w:rFonts w:asciiTheme="majorHAnsi" w:hAnsiTheme="majorHAnsi" w:cstheme="majorHAnsi"/>
              </w:rPr>
            </w:pPr>
            <w:r w:rsidRPr="009B0C0B">
              <w:rPr>
                <w:rFonts w:asciiTheme="majorHAnsi" w:hAnsiTheme="majorHAnsi" w:cstheme="majorHAnsi"/>
              </w:rPr>
              <w:t>Total incremental revenue</w:t>
            </w:r>
          </w:p>
        </w:tc>
        <w:tc>
          <w:tcPr>
            <w:tcW w:w="1784" w:type="dxa"/>
            <w:vAlign w:val="top"/>
          </w:tcPr>
          <w:p w14:paraId="1A72E14C" w14:textId="7F3EB7B4" w:rsidR="009B0C0B" w:rsidRPr="009B0C0B" w:rsidRDefault="009B0C0B" w:rsidP="009B0C0B">
            <w:pPr>
              <w:pStyle w:val="TableNText"/>
              <w:rPr>
                <w:rFonts w:asciiTheme="majorHAnsi" w:hAnsiTheme="majorHAnsi" w:cstheme="majorHAnsi"/>
              </w:rPr>
            </w:pPr>
            <w:r w:rsidRPr="009B0C0B">
              <w:rPr>
                <w:rFonts w:asciiTheme="majorHAnsi" w:hAnsiTheme="majorHAnsi" w:cstheme="majorHAnsi"/>
              </w:rPr>
              <w:t>-</w:t>
            </w:r>
          </w:p>
        </w:tc>
        <w:tc>
          <w:tcPr>
            <w:tcW w:w="1784" w:type="dxa"/>
            <w:vAlign w:val="top"/>
          </w:tcPr>
          <w:p w14:paraId="4439D343" w14:textId="241A6C6E" w:rsidR="009B0C0B" w:rsidRPr="009B0C0B" w:rsidRDefault="009B0C0B" w:rsidP="009B0C0B">
            <w:pPr>
              <w:pStyle w:val="TableNText"/>
              <w:rPr>
                <w:rFonts w:asciiTheme="majorHAnsi" w:hAnsiTheme="majorHAnsi" w:cstheme="majorHAnsi"/>
              </w:rPr>
            </w:pPr>
            <w:r w:rsidRPr="009B0C0B">
              <w:rPr>
                <w:rFonts w:asciiTheme="majorHAnsi" w:hAnsiTheme="majorHAnsi" w:cstheme="majorHAnsi"/>
              </w:rPr>
              <w:t>$1,094,353</w:t>
            </w:r>
          </w:p>
        </w:tc>
        <w:tc>
          <w:tcPr>
            <w:tcW w:w="1784" w:type="dxa"/>
            <w:vAlign w:val="top"/>
          </w:tcPr>
          <w:p w14:paraId="796A8315" w14:textId="24BE6B24" w:rsidR="009B0C0B" w:rsidRPr="009B0C0B" w:rsidRDefault="009B0C0B" w:rsidP="009B0C0B">
            <w:pPr>
              <w:pStyle w:val="TableNText"/>
              <w:rPr>
                <w:rFonts w:asciiTheme="majorHAnsi" w:hAnsiTheme="majorHAnsi" w:cstheme="majorHAnsi"/>
              </w:rPr>
            </w:pPr>
            <w:r w:rsidRPr="009B0C0B">
              <w:rPr>
                <w:rFonts w:asciiTheme="majorHAnsi" w:hAnsiTheme="majorHAnsi" w:cstheme="majorHAnsi"/>
              </w:rPr>
              <w:t>$1,925,399</w:t>
            </w:r>
          </w:p>
        </w:tc>
        <w:tc>
          <w:tcPr>
            <w:tcW w:w="1784" w:type="dxa"/>
            <w:vAlign w:val="top"/>
          </w:tcPr>
          <w:p w14:paraId="0633C35B" w14:textId="3820F9E1" w:rsidR="009B0C0B" w:rsidRPr="009B0C0B" w:rsidRDefault="009B0C0B" w:rsidP="009B0C0B">
            <w:pPr>
              <w:pStyle w:val="TableNText"/>
              <w:rPr>
                <w:rFonts w:asciiTheme="majorHAnsi" w:hAnsiTheme="majorHAnsi" w:cstheme="majorHAnsi"/>
              </w:rPr>
            </w:pPr>
            <w:r w:rsidRPr="009B0C0B">
              <w:rPr>
                <w:rFonts w:asciiTheme="majorHAnsi" w:hAnsiTheme="majorHAnsi" w:cstheme="majorHAnsi"/>
              </w:rPr>
              <w:t>$5,142,050</w:t>
            </w:r>
          </w:p>
        </w:tc>
      </w:tr>
    </w:tbl>
    <w:p w14:paraId="525E8A23" w14:textId="77777777" w:rsidR="005A35A2" w:rsidRPr="005A35A2" w:rsidRDefault="005A35A2" w:rsidP="005A35A2"/>
    <w:p w14:paraId="18DBB9DD" w14:textId="73BB5B26" w:rsidR="004D4CC8" w:rsidRPr="001E2AF7" w:rsidRDefault="004D4CC8" w:rsidP="001E2AF7">
      <w:pPr>
        <w:spacing w:before="240"/>
        <w:rPr>
          <w:b/>
          <w:bCs/>
          <w:i/>
          <w:iCs/>
        </w:rPr>
      </w:pPr>
      <w:r w:rsidRPr="001E2AF7">
        <w:rPr>
          <w:b/>
          <w:bCs/>
          <w:i/>
          <w:iCs/>
        </w:rPr>
        <w:t xml:space="preserve">Step </w:t>
      </w:r>
      <w:r w:rsidR="005D6C65" w:rsidRPr="001E2AF7">
        <w:rPr>
          <w:b/>
          <w:bCs/>
          <w:i/>
          <w:iCs/>
        </w:rPr>
        <w:t>three</w:t>
      </w:r>
      <w:r w:rsidRPr="001E2AF7">
        <w:rPr>
          <w:b/>
          <w:bCs/>
          <w:i/>
          <w:iCs/>
        </w:rPr>
        <w:t xml:space="preserve"> - Forecast the impact of </w:t>
      </w:r>
      <w:r w:rsidR="009D29E5" w:rsidRPr="001E2AF7">
        <w:rPr>
          <w:b/>
          <w:bCs/>
          <w:i/>
          <w:iCs/>
        </w:rPr>
        <w:t xml:space="preserve">the </w:t>
      </w:r>
      <w:r w:rsidRPr="001E2AF7">
        <w:rPr>
          <w:b/>
          <w:bCs/>
          <w:i/>
          <w:iCs/>
        </w:rPr>
        <w:t>BRII beyond FY</w:t>
      </w:r>
      <w:r w:rsidR="006E588E" w:rsidRPr="001E2AF7">
        <w:rPr>
          <w:b/>
          <w:bCs/>
          <w:i/>
          <w:iCs/>
        </w:rPr>
        <w:t>19/</w:t>
      </w:r>
      <w:r w:rsidRPr="001E2AF7">
        <w:rPr>
          <w:b/>
          <w:bCs/>
          <w:i/>
          <w:iCs/>
        </w:rPr>
        <w:t xml:space="preserve">20 to account for persistence of impact. </w:t>
      </w:r>
    </w:p>
    <w:p w14:paraId="061AA891" w14:textId="76C69FB7" w:rsidR="00C173E5" w:rsidRPr="00F91F12" w:rsidRDefault="005D6C65" w:rsidP="006D1C15">
      <w:r>
        <w:t xml:space="preserve">The </w:t>
      </w:r>
      <w:r w:rsidR="00C173E5" w:rsidRPr="4A9AC73B">
        <w:t>BRII has a persisting impact on SME performance that lasts beyond the FY</w:t>
      </w:r>
      <w:r w:rsidR="00D25435">
        <w:t>16/</w:t>
      </w:r>
      <w:r w:rsidR="00210DA8" w:rsidRPr="4A9AC73B">
        <w:t>1</w:t>
      </w:r>
      <w:r w:rsidR="00C173E5" w:rsidRPr="4A9AC73B">
        <w:t>7 to FY</w:t>
      </w:r>
      <w:r w:rsidR="00D25435">
        <w:t>19/</w:t>
      </w:r>
      <w:r w:rsidR="00C173E5" w:rsidRPr="4A9AC73B">
        <w:t xml:space="preserve">20 period. As part of the evaluation survey respondents were asked to self-assess how long they expect increased revenue </w:t>
      </w:r>
      <w:r w:rsidR="00444262" w:rsidRPr="4A9AC73B">
        <w:t>because of</w:t>
      </w:r>
      <w:r w:rsidR="00C173E5" w:rsidRPr="4A9AC73B">
        <w:t xml:space="preserve"> BRII to last. On average SMEs indicated that </w:t>
      </w:r>
      <w:r w:rsidR="00532272">
        <w:t xml:space="preserve">the </w:t>
      </w:r>
      <w:r w:rsidR="00C173E5" w:rsidRPr="4A9AC73B">
        <w:t xml:space="preserve">BRII would continue to have (or has had) </w:t>
      </w:r>
      <w:r w:rsidR="0002182D">
        <w:t>4.75</w:t>
      </w:r>
      <w:r w:rsidR="00C173E5" w:rsidRPr="4A9AC73B">
        <w:t xml:space="preserve"> years of impact – which is comparable with the UK SBRI result of 3.78 years.</w:t>
      </w:r>
      <w:r w:rsidR="00C173E5" w:rsidRPr="4A9AC73B">
        <w:rPr>
          <w:rStyle w:val="FootnoteReference"/>
          <w:rFonts w:eastAsiaTheme="minorEastAsia"/>
        </w:rPr>
        <w:footnoteReference w:id="92"/>
      </w:r>
    </w:p>
    <w:p w14:paraId="1FC4DD52" w14:textId="0BB79A5B" w:rsidR="002909C4" w:rsidRDefault="002909C4" w:rsidP="006D1C15">
      <w:r>
        <w:t xml:space="preserve">It is unknown what the growth trajectory of SMEs will be for the next </w:t>
      </w:r>
      <w:r w:rsidR="00F105B3">
        <w:t>five</w:t>
      </w:r>
      <w:r>
        <w:t xml:space="preserve"> years.</w:t>
      </w:r>
      <w:r w:rsidR="00F105B3">
        <w:t xml:space="preserve"> This is particularly true of the BRII round one proof of concept SME group which includes a diverse mix of </w:t>
      </w:r>
      <w:r w:rsidR="00063123">
        <w:t>start</w:t>
      </w:r>
      <w:r w:rsidR="003C0848">
        <w:t>-</w:t>
      </w:r>
      <w:r w:rsidR="00063123">
        <w:t xml:space="preserve">ups and established businesses. Modelling assumes that the best estimate of future revenue growth year on year will be equal to the average control group </w:t>
      </w:r>
      <w:r w:rsidR="00ED2686">
        <w:t xml:space="preserve">CAGR of 4.7 per cent. Future </w:t>
      </w:r>
      <w:r w:rsidR="002D2C4E">
        <w:t xml:space="preserve">incremental revenue therefore </w:t>
      </w:r>
      <w:r w:rsidR="000B533C">
        <w:t>continues</w:t>
      </w:r>
      <w:r w:rsidR="002D2C4E">
        <w:t xml:space="preserve"> to grow for the SME group out until FY</w:t>
      </w:r>
      <w:r w:rsidR="00F558BD">
        <w:t>24/25</w:t>
      </w:r>
      <w:r w:rsidR="00244B00">
        <w:t xml:space="preserve"> (see Table 21 below)</w:t>
      </w:r>
      <w:r w:rsidR="007F5E53">
        <w:t>.</w:t>
      </w:r>
    </w:p>
    <w:p w14:paraId="2486E5B7" w14:textId="093ABAF6" w:rsidR="00244B00" w:rsidRDefault="00244B00" w:rsidP="00244B00">
      <w:pPr>
        <w:pStyle w:val="Caption"/>
      </w:pPr>
      <w:r>
        <w:t xml:space="preserve">Table </w:t>
      </w:r>
      <w:r>
        <w:fldChar w:fldCharType="begin"/>
      </w:r>
      <w:r>
        <w:instrText xml:space="preserve"> SEQ Table \* ARABIC </w:instrText>
      </w:r>
      <w:r>
        <w:fldChar w:fldCharType="separate"/>
      </w:r>
      <w:r w:rsidR="00AE607F">
        <w:rPr>
          <w:noProof/>
        </w:rPr>
        <w:t>23</w:t>
      </w:r>
      <w:r>
        <w:fldChar w:fldCharType="end"/>
      </w:r>
      <w:r>
        <w:t xml:space="preserve"> | Modelled revenue FY20/21 to FY24/25</w:t>
      </w:r>
    </w:p>
    <w:tbl>
      <w:tblPr>
        <w:tblStyle w:val="TableGrid"/>
        <w:tblW w:w="0" w:type="auto"/>
        <w:tblBorders>
          <w:top w:val="single" w:sz="4" w:space="0" w:color="00264D" w:themeColor="background2"/>
          <w:left w:val="single" w:sz="4" w:space="0" w:color="00264D" w:themeColor="background2"/>
          <w:bottom w:val="single" w:sz="4" w:space="0" w:color="00264D" w:themeColor="background2"/>
          <w:right w:val="single" w:sz="4" w:space="0" w:color="00264D" w:themeColor="background2"/>
          <w:insideH w:val="single" w:sz="4" w:space="0" w:color="00264D" w:themeColor="background2"/>
          <w:insideV w:val="single" w:sz="4" w:space="0" w:color="00264D" w:themeColor="background2"/>
        </w:tblBorders>
        <w:tblLook w:val="04A0" w:firstRow="1" w:lastRow="0" w:firstColumn="1" w:lastColumn="0" w:noHBand="0" w:noVBand="1"/>
      </w:tblPr>
      <w:tblGrid>
        <w:gridCol w:w="1487"/>
        <w:gridCol w:w="1487"/>
        <w:gridCol w:w="1486"/>
        <w:gridCol w:w="1486"/>
        <w:gridCol w:w="1487"/>
        <w:gridCol w:w="1487"/>
      </w:tblGrid>
      <w:tr w:rsidR="009B0C0B" w14:paraId="6933850F" w14:textId="77777777" w:rsidTr="009B0C0B">
        <w:trPr>
          <w:cnfStyle w:val="100000000000" w:firstRow="1" w:lastRow="0" w:firstColumn="0" w:lastColumn="0" w:oddVBand="0" w:evenVBand="0" w:oddHBand="0" w:evenHBand="0" w:firstRowFirstColumn="0" w:firstRowLastColumn="0" w:lastRowFirstColumn="0" w:lastRowLastColumn="0"/>
        </w:trPr>
        <w:tc>
          <w:tcPr>
            <w:tcW w:w="1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l2br w:val="none" w:sz="0" w:space="0" w:color="auto"/>
              <w:tr2bl w:val="none" w:sz="0" w:space="0" w:color="auto"/>
            </w:tcBorders>
            <w:shd w:val="clear" w:color="auto" w:fill="00264D" w:themeFill="background2"/>
            <w:vAlign w:val="top"/>
          </w:tcPr>
          <w:p w14:paraId="0088D05B" w14:textId="08AF2C28" w:rsidR="009B0C0B" w:rsidRPr="009B0C0B" w:rsidRDefault="009B0C0B" w:rsidP="009B0C0B">
            <w:pPr>
              <w:pStyle w:val="TableNheader"/>
              <w:rPr>
                <w:color w:val="FFFFFF" w:themeColor="background1"/>
              </w:rPr>
            </w:pPr>
            <w:r w:rsidRPr="009B0C0B">
              <w:rPr>
                <w:color w:val="FFFFFF" w:themeColor="background1"/>
              </w:rPr>
              <w:t>Revenue type</w:t>
            </w:r>
          </w:p>
        </w:tc>
        <w:tc>
          <w:tcPr>
            <w:tcW w:w="1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l2br w:val="none" w:sz="0" w:space="0" w:color="auto"/>
              <w:tr2bl w:val="none" w:sz="0" w:space="0" w:color="auto"/>
            </w:tcBorders>
            <w:shd w:val="clear" w:color="auto" w:fill="00264D" w:themeFill="background2"/>
            <w:vAlign w:val="top"/>
          </w:tcPr>
          <w:p w14:paraId="1BADEBEF" w14:textId="433DBCEB" w:rsidR="009B0C0B" w:rsidRPr="009B0C0B" w:rsidRDefault="009B0C0B" w:rsidP="009B0C0B">
            <w:pPr>
              <w:pStyle w:val="TableNheader"/>
              <w:rPr>
                <w:color w:val="FFFFFF" w:themeColor="background1"/>
              </w:rPr>
            </w:pPr>
            <w:r w:rsidRPr="009B0C0B">
              <w:rPr>
                <w:color w:val="FFFFFF" w:themeColor="background1"/>
              </w:rPr>
              <w:t>FY20/21</w:t>
            </w:r>
          </w:p>
        </w:tc>
        <w:tc>
          <w:tcPr>
            <w:tcW w:w="1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l2br w:val="none" w:sz="0" w:space="0" w:color="auto"/>
              <w:tr2bl w:val="none" w:sz="0" w:space="0" w:color="auto"/>
            </w:tcBorders>
            <w:shd w:val="clear" w:color="auto" w:fill="00264D" w:themeFill="background2"/>
            <w:vAlign w:val="top"/>
          </w:tcPr>
          <w:p w14:paraId="7A40DE21" w14:textId="32855AAA" w:rsidR="009B0C0B" w:rsidRPr="009B0C0B" w:rsidRDefault="009B0C0B" w:rsidP="009B0C0B">
            <w:pPr>
              <w:pStyle w:val="TableNheader"/>
              <w:rPr>
                <w:color w:val="FFFFFF" w:themeColor="background1"/>
              </w:rPr>
            </w:pPr>
            <w:r w:rsidRPr="009B0C0B">
              <w:rPr>
                <w:color w:val="FFFFFF" w:themeColor="background1"/>
              </w:rPr>
              <w:t>FY21/22</w:t>
            </w:r>
          </w:p>
        </w:tc>
        <w:tc>
          <w:tcPr>
            <w:tcW w:w="1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l2br w:val="none" w:sz="0" w:space="0" w:color="auto"/>
              <w:tr2bl w:val="none" w:sz="0" w:space="0" w:color="auto"/>
            </w:tcBorders>
            <w:shd w:val="clear" w:color="auto" w:fill="00264D" w:themeFill="background2"/>
            <w:vAlign w:val="top"/>
          </w:tcPr>
          <w:p w14:paraId="25968712" w14:textId="40F3F6B0" w:rsidR="009B0C0B" w:rsidRPr="009B0C0B" w:rsidRDefault="009B0C0B" w:rsidP="009B0C0B">
            <w:pPr>
              <w:pStyle w:val="TableNheader"/>
              <w:rPr>
                <w:color w:val="FFFFFF" w:themeColor="background1"/>
              </w:rPr>
            </w:pPr>
            <w:r w:rsidRPr="009B0C0B">
              <w:rPr>
                <w:color w:val="FFFFFF" w:themeColor="background1"/>
              </w:rPr>
              <w:t>FY22/23</w:t>
            </w:r>
          </w:p>
        </w:tc>
        <w:tc>
          <w:tcPr>
            <w:tcW w:w="1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l2br w:val="none" w:sz="0" w:space="0" w:color="auto"/>
              <w:tr2bl w:val="none" w:sz="0" w:space="0" w:color="auto"/>
            </w:tcBorders>
            <w:shd w:val="clear" w:color="auto" w:fill="00264D" w:themeFill="background2"/>
            <w:vAlign w:val="top"/>
          </w:tcPr>
          <w:p w14:paraId="1AC88F23" w14:textId="6A4B89FD" w:rsidR="009B0C0B" w:rsidRPr="009B0C0B" w:rsidRDefault="009B0C0B" w:rsidP="009B0C0B">
            <w:pPr>
              <w:pStyle w:val="TableNheader"/>
              <w:rPr>
                <w:color w:val="FFFFFF" w:themeColor="background1"/>
              </w:rPr>
            </w:pPr>
            <w:r w:rsidRPr="009B0C0B">
              <w:rPr>
                <w:color w:val="FFFFFF" w:themeColor="background1"/>
              </w:rPr>
              <w:t>FY23/24</w:t>
            </w:r>
          </w:p>
        </w:tc>
        <w:tc>
          <w:tcPr>
            <w:tcW w:w="1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l2br w:val="none" w:sz="0" w:space="0" w:color="auto"/>
              <w:tr2bl w:val="none" w:sz="0" w:space="0" w:color="auto"/>
            </w:tcBorders>
            <w:shd w:val="clear" w:color="auto" w:fill="00264D" w:themeFill="background2"/>
            <w:vAlign w:val="top"/>
          </w:tcPr>
          <w:p w14:paraId="1B280423" w14:textId="6EF996C2" w:rsidR="009B0C0B" w:rsidRPr="009B0C0B" w:rsidRDefault="009B0C0B" w:rsidP="009B0C0B">
            <w:pPr>
              <w:pStyle w:val="TableNheader"/>
              <w:rPr>
                <w:color w:val="FFFFFF" w:themeColor="background1"/>
              </w:rPr>
            </w:pPr>
            <w:r w:rsidRPr="009B0C0B">
              <w:rPr>
                <w:color w:val="FFFFFF" w:themeColor="background1"/>
              </w:rPr>
              <w:t>FY24/25</w:t>
            </w:r>
          </w:p>
        </w:tc>
      </w:tr>
      <w:tr w:rsidR="009B0C0B" w14:paraId="1D0BD21E" w14:textId="77777777" w:rsidTr="009B0C0B">
        <w:trPr>
          <w:cnfStyle w:val="000000100000" w:firstRow="0" w:lastRow="0" w:firstColumn="0" w:lastColumn="0" w:oddVBand="0" w:evenVBand="0" w:oddHBand="1" w:evenHBand="0" w:firstRowFirstColumn="0" w:firstRowLastColumn="0" w:lastRowFirstColumn="0" w:lastRowLastColumn="0"/>
        </w:trPr>
        <w:tc>
          <w:tcPr>
            <w:tcW w:w="1488" w:type="dxa"/>
            <w:tcBorders>
              <w:top w:val="single" w:sz="4" w:space="0" w:color="FFFFFF" w:themeColor="background1"/>
            </w:tcBorders>
            <w:vAlign w:val="top"/>
          </w:tcPr>
          <w:p w14:paraId="78848230" w14:textId="7819873C" w:rsidR="009B0C0B" w:rsidRDefault="009B0C0B" w:rsidP="009B0C0B">
            <w:pPr>
              <w:pStyle w:val="TableNText"/>
            </w:pPr>
            <w:r w:rsidRPr="007C64C6">
              <w:t>Total revenue with the BRII (estimated)</w:t>
            </w:r>
          </w:p>
        </w:tc>
        <w:tc>
          <w:tcPr>
            <w:tcW w:w="1488" w:type="dxa"/>
            <w:tcBorders>
              <w:top w:val="single" w:sz="4" w:space="0" w:color="FFFFFF" w:themeColor="background1"/>
            </w:tcBorders>
            <w:vAlign w:val="top"/>
          </w:tcPr>
          <w:p w14:paraId="0E83614E" w14:textId="06660542" w:rsidR="009B0C0B" w:rsidRDefault="009B0C0B" w:rsidP="009B0C0B">
            <w:pPr>
              <w:pStyle w:val="TableNText"/>
            </w:pPr>
            <w:r w:rsidRPr="007C64C6">
              <w:t>$33,792,232</w:t>
            </w:r>
          </w:p>
        </w:tc>
        <w:tc>
          <w:tcPr>
            <w:tcW w:w="1488" w:type="dxa"/>
            <w:tcBorders>
              <w:top w:val="single" w:sz="4" w:space="0" w:color="FFFFFF" w:themeColor="background1"/>
            </w:tcBorders>
            <w:vAlign w:val="top"/>
          </w:tcPr>
          <w:p w14:paraId="6138962C" w14:textId="12E45D37" w:rsidR="009B0C0B" w:rsidRDefault="009B0C0B" w:rsidP="009B0C0B">
            <w:pPr>
              <w:pStyle w:val="TableNText"/>
            </w:pPr>
            <w:r w:rsidRPr="007C64C6">
              <w:t>$35,380,467</w:t>
            </w:r>
          </w:p>
        </w:tc>
        <w:tc>
          <w:tcPr>
            <w:tcW w:w="1488" w:type="dxa"/>
            <w:tcBorders>
              <w:top w:val="single" w:sz="4" w:space="0" w:color="FFFFFF" w:themeColor="background1"/>
            </w:tcBorders>
            <w:vAlign w:val="top"/>
          </w:tcPr>
          <w:p w14:paraId="52E5EF99" w14:textId="5DD8CF36" w:rsidR="009B0C0B" w:rsidRDefault="009B0C0B" w:rsidP="009B0C0B">
            <w:pPr>
              <w:pStyle w:val="TableNText"/>
            </w:pPr>
            <w:r w:rsidRPr="007C64C6">
              <w:t>$37,043,349</w:t>
            </w:r>
          </w:p>
        </w:tc>
        <w:tc>
          <w:tcPr>
            <w:tcW w:w="1489" w:type="dxa"/>
            <w:tcBorders>
              <w:top w:val="single" w:sz="4" w:space="0" w:color="FFFFFF" w:themeColor="background1"/>
            </w:tcBorders>
            <w:vAlign w:val="top"/>
          </w:tcPr>
          <w:p w14:paraId="5A25A3B6" w14:textId="6192285A" w:rsidR="009B0C0B" w:rsidRDefault="009B0C0B" w:rsidP="009B0C0B">
            <w:pPr>
              <w:pStyle w:val="TableNText"/>
            </w:pPr>
            <w:r w:rsidRPr="007C64C6">
              <w:t>$38,784,387</w:t>
            </w:r>
          </w:p>
        </w:tc>
        <w:tc>
          <w:tcPr>
            <w:tcW w:w="1489" w:type="dxa"/>
            <w:tcBorders>
              <w:top w:val="single" w:sz="4" w:space="0" w:color="FFFFFF" w:themeColor="background1"/>
            </w:tcBorders>
            <w:vAlign w:val="top"/>
          </w:tcPr>
          <w:p w14:paraId="710662DE" w14:textId="3F22E774" w:rsidR="009B0C0B" w:rsidRDefault="009B0C0B" w:rsidP="009B0C0B">
            <w:pPr>
              <w:pStyle w:val="TableNText"/>
            </w:pPr>
            <w:r w:rsidRPr="007C64C6">
              <w:t>$40,607,253</w:t>
            </w:r>
          </w:p>
        </w:tc>
      </w:tr>
      <w:tr w:rsidR="009B0C0B" w14:paraId="5F5D8662" w14:textId="77777777" w:rsidTr="009B0C0B">
        <w:trPr>
          <w:cnfStyle w:val="000000010000" w:firstRow="0" w:lastRow="0" w:firstColumn="0" w:lastColumn="0" w:oddVBand="0" w:evenVBand="0" w:oddHBand="0" w:evenHBand="1" w:firstRowFirstColumn="0" w:firstRowLastColumn="0" w:lastRowFirstColumn="0" w:lastRowLastColumn="0"/>
        </w:trPr>
        <w:tc>
          <w:tcPr>
            <w:tcW w:w="1488" w:type="dxa"/>
            <w:vAlign w:val="top"/>
          </w:tcPr>
          <w:p w14:paraId="698878ED" w14:textId="3916100D" w:rsidR="009B0C0B" w:rsidRDefault="009B0C0B" w:rsidP="009B0C0B">
            <w:pPr>
              <w:pStyle w:val="TableNText"/>
            </w:pPr>
            <w:r w:rsidRPr="007C64C6">
              <w:t>Total revenue without the BRII (estimated)</w:t>
            </w:r>
          </w:p>
        </w:tc>
        <w:tc>
          <w:tcPr>
            <w:tcW w:w="1488" w:type="dxa"/>
            <w:vAlign w:val="top"/>
          </w:tcPr>
          <w:p w14:paraId="3394067F" w14:textId="1E72A46E" w:rsidR="009B0C0B" w:rsidRDefault="009B0C0B" w:rsidP="009B0C0B">
            <w:pPr>
              <w:pStyle w:val="TableNText"/>
            </w:pPr>
            <w:r w:rsidRPr="007C64C6">
              <w:t>$28,408,506</w:t>
            </w:r>
          </w:p>
        </w:tc>
        <w:tc>
          <w:tcPr>
            <w:tcW w:w="1488" w:type="dxa"/>
            <w:vAlign w:val="top"/>
          </w:tcPr>
          <w:p w14:paraId="50CA0D47" w14:textId="2F1AE468" w:rsidR="009B0C0B" w:rsidRDefault="009B0C0B" w:rsidP="009B0C0B">
            <w:pPr>
              <w:pStyle w:val="TableNText"/>
            </w:pPr>
            <w:r w:rsidRPr="007C64C6">
              <w:t>$29,743,705</w:t>
            </w:r>
          </w:p>
        </w:tc>
        <w:tc>
          <w:tcPr>
            <w:tcW w:w="1488" w:type="dxa"/>
            <w:vAlign w:val="top"/>
          </w:tcPr>
          <w:p w14:paraId="726C4025" w14:textId="35B93875" w:rsidR="009B0C0B" w:rsidRDefault="009B0C0B" w:rsidP="009B0C0B">
            <w:pPr>
              <w:pStyle w:val="TableNText"/>
            </w:pPr>
            <w:r w:rsidRPr="007C64C6">
              <w:t>$31,141,659</w:t>
            </w:r>
          </w:p>
        </w:tc>
        <w:tc>
          <w:tcPr>
            <w:tcW w:w="1489" w:type="dxa"/>
            <w:vAlign w:val="top"/>
          </w:tcPr>
          <w:p w14:paraId="3DE5C619" w14:textId="1DB7AFB5" w:rsidR="009B0C0B" w:rsidRDefault="009B0C0B" w:rsidP="009B0C0B">
            <w:pPr>
              <w:pStyle w:val="TableNText"/>
            </w:pPr>
            <w:r w:rsidRPr="007C64C6">
              <w:t>$32,605,317</w:t>
            </w:r>
          </w:p>
        </w:tc>
        <w:tc>
          <w:tcPr>
            <w:tcW w:w="1489" w:type="dxa"/>
            <w:vAlign w:val="top"/>
          </w:tcPr>
          <w:p w14:paraId="32ED9442" w14:textId="2ADC6602" w:rsidR="009B0C0B" w:rsidRDefault="009B0C0B" w:rsidP="009B0C0B">
            <w:pPr>
              <w:pStyle w:val="TableNText"/>
            </w:pPr>
            <w:r w:rsidRPr="007C64C6">
              <w:t>$34,137,767</w:t>
            </w:r>
          </w:p>
        </w:tc>
      </w:tr>
      <w:tr w:rsidR="009B0C0B" w14:paraId="4F33D710" w14:textId="77777777" w:rsidTr="009B0C0B">
        <w:trPr>
          <w:cnfStyle w:val="000000100000" w:firstRow="0" w:lastRow="0" w:firstColumn="0" w:lastColumn="0" w:oddVBand="0" w:evenVBand="0" w:oddHBand="1" w:evenHBand="0" w:firstRowFirstColumn="0" w:firstRowLastColumn="0" w:lastRowFirstColumn="0" w:lastRowLastColumn="0"/>
        </w:trPr>
        <w:tc>
          <w:tcPr>
            <w:tcW w:w="1488" w:type="dxa"/>
            <w:vAlign w:val="top"/>
          </w:tcPr>
          <w:p w14:paraId="21F958B6" w14:textId="6442177E" w:rsidR="009B0C0B" w:rsidRPr="009B0C0B" w:rsidRDefault="009B0C0B" w:rsidP="009B0C0B">
            <w:pPr>
              <w:pStyle w:val="TableNText"/>
              <w:rPr>
                <w:rFonts w:asciiTheme="majorHAnsi" w:hAnsiTheme="majorHAnsi" w:cstheme="majorHAnsi"/>
              </w:rPr>
            </w:pPr>
            <w:r w:rsidRPr="009B0C0B">
              <w:rPr>
                <w:rFonts w:asciiTheme="majorHAnsi" w:hAnsiTheme="majorHAnsi" w:cstheme="majorHAnsi"/>
              </w:rPr>
              <w:lastRenderedPageBreak/>
              <w:t>Total incremental revenue</w:t>
            </w:r>
          </w:p>
        </w:tc>
        <w:tc>
          <w:tcPr>
            <w:tcW w:w="1488" w:type="dxa"/>
            <w:vAlign w:val="top"/>
          </w:tcPr>
          <w:p w14:paraId="75CD024D" w14:textId="568C2286" w:rsidR="009B0C0B" w:rsidRPr="009B0C0B" w:rsidRDefault="009B0C0B" w:rsidP="009B0C0B">
            <w:pPr>
              <w:pStyle w:val="TableNText"/>
              <w:rPr>
                <w:rFonts w:asciiTheme="majorHAnsi" w:hAnsiTheme="majorHAnsi" w:cstheme="majorHAnsi"/>
              </w:rPr>
            </w:pPr>
            <w:r w:rsidRPr="009B0C0B">
              <w:rPr>
                <w:rFonts w:asciiTheme="majorHAnsi" w:hAnsiTheme="majorHAnsi" w:cstheme="majorHAnsi"/>
              </w:rPr>
              <w:t>$5,383,727</w:t>
            </w:r>
          </w:p>
        </w:tc>
        <w:tc>
          <w:tcPr>
            <w:tcW w:w="1488" w:type="dxa"/>
            <w:vAlign w:val="top"/>
          </w:tcPr>
          <w:p w14:paraId="54DE290D" w14:textId="59156225" w:rsidR="009B0C0B" w:rsidRPr="009B0C0B" w:rsidRDefault="009B0C0B" w:rsidP="009B0C0B">
            <w:pPr>
              <w:pStyle w:val="TableNText"/>
              <w:rPr>
                <w:rFonts w:asciiTheme="majorHAnsi" w:hAnsiTheme="majorHAnsi" w:cstheme="majorHAnsi"/>
              </w:rPr>
            </w:pPr>
            <w:r w:rsidRPr="009B0C0B">
              <w:rPr>
                <w:rFonts w:asciiTheme="majorHAnsi" w:hAnsiTheme="majorHAnsi" w:cstheme="majorHAnsi"/>
              </w:rPr>
              <w:t>$5,636,762</w:t>
            </w:r>
          </w:p>
        </w:tc>
        <w:tc>
          <w:tcPr>
            <w:tcW w:w="1488" w:type="dxa"/>
            <w:vAlign w:val="top"/>
          </w:tcPr>
          <w:p w14:paraId="69D9B2E8" w14:textId="2462FBC3" w:rsidR="009B0C0B" w:rsidRPr="009B0C0B" w:rsidRDefault="009B0C0B" w:rsidP="009B0C0B">
            <w:pPr>
              <w:pStyle w:val="TableNText"/>
              <w:rPr>
                <w:rFonts w:asciiTheme="majorHAnsi" w:hAnsiTheme="majorHAnsi" w:cstheme="majorHAnsi"/>
              </w:rPr>
            </w:pPr>
            <w:r w:rsidRPr="009B0C0B">
              <w:rPr>
                <w:rFonts w:asciiTheme="majorHAnsi" w:hAnsiTheme="majorHAnsi" w:cstheme="majorHAnsi"/>
              </w:rPr>
              <w:t>$5,901,690</w:t>
            </w:r>
          </w:p>
        </w:tc>
        <w:tc>
          <w:tcPr>
            <w:tcW w:w="1489" w:type="dxa"/>
            <w:vAlign w:val="top"/>
          </w:tcPr>
          <w:p w14:paraId="5FB170A8" w14:textId="046124E9" w:rsidR="009B0C0B" w:rsidRPr="009B0C0B" w:rsidRDefault="009B0C0B" w:rsidP="009B0C0B">
            <w:pPr>
              <w:pStyle w:val="TableNText"/>
              <w:rPr>
                <w:rFonts w:asciiTheme="majorHAnsi" w:hAnsiTheme="majorHAnsi" w:cstheme="majorHAnsi"/>
              </w:rPr>
            </w:pPr>
            <w:r w:rsidRPr="009B0C0B">
              <w:rPr>
                <w:rFonts w:asciiTheme="majorHAnsi" w:hAnsiTheme="majorHAnsi" w:cstheme="majorHAnsi"/>
              </w:rPr>
              <w:t>$6,179,069</w:t>
            </w:r>
          </w:p>
        </w:tc>
        <w:tc>
          <w:tcPr>
            <w:tcW w:w="1489" w:type="dxa"/>
            <w:vAlign w:val="top"/>
          </w:tcPr>
          <w:p w14:paraId="353BB8F8" w14:textId="1DD1B38C" w:rsidR="009B0C0B" w:rsidRPr="009B0C0B" w:rsidRDefault="009B0C0B" w:rsidP="009B0C0B">
            <w:pPr>
              <w:pStyle w:val="TableNText"/>
              <w:rPr>
                <w:rFonts w:asciiTheme="majorHAnsi" w:hAnsiTheme="majorHAnsi" w:cstheme="majorHAnsi"/>
              </w:rPr>
            </w:pPr>
            <w:r w:rsidRPr="009B0C0B">
              <w:rPr>
                <w:rFonts w:asciiTheme="majorHAnsi" w:hAnsiTheme="majorHAnsi" w:cstheme="majorHAnsi"/>
              </w:rPr>
              <w:t>$6,469,485</w:t>
            </w:r>
          </w:p>
        </w:tc>
      </w:tr>
    </w:tbl>
    <w:p w14:paraId="2D232431" w14:textId="383047D0" w:rsidR="009B0C0B" w:rsidRDefault="009B0C0B" w:rsidP="009B0C0B"/>
    <w:p w14:paraId="2F3FD280" w14:textId="77777777" w:rsidR="009B0C0B" w:rsidRPr="009B0C0B" w:rsidRDefault="009B0C0B" w:rsidP="009B0C0B"/>
    <w:p w14:paraId="795FDC39" w14:textId="77777777" w:rsidR="00332C9A" w:rsidRPr="001E2AF7" w:rsidRDefault="00332C9A" w:rsidP="00C173E5">
      <w:pPr>
        <w:pStyle w:val="TableNBullet"/>
        <w:numPr>
          <w:ilvl w:val="0"/>
          <w:numId w:val="0"/>
        </w:numPr>
        <w:rPr>
          <w:rFonts w:eastAsiaTheme="minorHAnsi"/>
          <w:i/>
          <w:iCs/>
          <w:sz w:val="19"/>
        </w:rPr>
      </w:pPr>
    </w:p>
    <w:p w14:paraId="79537D07" w14:textId="3CA6A1BC" w:rsidR="00E7314E" w:rsidRPr="001E2AF7" w:rsidRDefault="00E7314E" w:rsidP="001E2AF7">
      <w:pPr>
        <w:rPr>
          <w:b/>
          <w:bCs/>
          <w:i/>
          <w:iCs/>
        </w:rPr>
      </w:pPr>
      <w:r w:rsidRPr="001E2AF7">
        <w:rPr>
          <w:b/>
          <w:bCs/>
          <w:i/>
          <w:iCs/>
        </w:rPr>
        <w:t xml:space="preserve">Step </w:t>
      </w:r>
      <w:r w:rsidR="005D6C65" w:rsidRPr="001E2AF7">
        <w:rPr>
          <w:b/>
          <w:bCs/>
          <w:i/>
          <w:iCs/>
        </w:rPr>
        <w:t>four</w:t>
      </w:r>
      <w:r w:rsidRPr="001E2AF7">
        <w:rPr>
          <w:b/>
          <w:bCs/>
          <w:i/>
          <w:iCs/>
        </w:rPr>
        <w:t xml:space="preserve"> - Estimate GVA created by changes in SMEs performance. </w:t>
      </w:r>
    </w:p>
    <w:p w14:paraId="096B50FC" w14:textId="19F3977B" w:rsidR="00C173E5" w:rsidRPr="00F91F12" w:rsidRDefault="00C173E5" w:rsidP="00C173E5">
      <w:pPr>
        <w:pStyle w:val="TableNBullet"/>
        <w:numPr>
          <w:ilvl w:val="0"/>
          <w:numId w:val="0"/>
        </w:numPr>
        <w:rPr>
          <w:rFonts w:eastAsiaTheme="minorHAnsi"/>
          <w:sz w:val="19"/>
        </w:rPr>
      </w:pPr>
      <w:r w:rsidRPr="00F91F12">
        <w:rPr>
          <w:rFonts w:eastAsiaTheme="minorHAnsi"/>
          <w:sz w:val="19"/>
        </w:rPr>
        <w:t xml:space="preserve">Incremental revenue attributed to </w:t>
      </w:r>
      <w:r w:rsidR="00B77E41">
        <w:rPr>
          <w:rFonts w:eastAsiaTheme="minorHAnsi"/>
          <w:sz w:val="19"/>
        </w:rPr>
        <w:t xml:space="preserve">the </w:t>
      </w:r>
      <w:r w:rsidRPr="00F91F12">
        <w:rPr>
          <w:rFonts w:eastAsiaTheme="minorHAnsi"/>
          <w:sz w:val="19"/>
        </w:rPr>
        <w:t>BRII between FY</w:t>
      </w:r>
      <w:r w:rsidR="00797664">
        <w:rPr>
          <w:rFonts w:eastAsiaTheme="minorHAnsi"/>
          <w:sz w:val="19"/>
        </w:rPr>
        <w:t>16/</w:t>
      </w:r>
      <w:r w:rsidRPr="00F91F12">
        <w:rPr>
          <w:rFonts w:eastAsiaTheme="minorHAnsi"/>
          <w:sz w:val="19"/>
        </w:rPr>
        <w:t>17 an</w:t>
      </w:r>
      <w:r>
        <w:rPr>
          <w:rFonts w:eastAsiaTheme="minorHAnsi"/>
          <w:sz w:val="19"/>
        </w:rPr>
        <w:t>d</w:t>
      </w:r>
      <w:r w:rsidRPr="00F91F12">
        <w:rPr>
          <w:rFonts w:eastAsiaTheme="minorHAnsi"/>
          <w:sz w:val="19"/>
        </w:rPr>
        <w:t xml:space="preserve"> FY24</w:t>
      </w:r>
      <w:r w:rsidR="00797664">
        <w:rPr>
          <w:rFonts w:eastAsiaTheme="minorHAnsi"/>
          <w:sz w:val="19"/>
        </w:rPr>
        <w:t>/25</w:t>
      </w:r>
      <w:r w:rsidRPr="00F91F12">
        <w:rPr>
          <w:rFonts w:eastAsiaTheme="minorHAnsi"/>
          <w:sz w:val="19"/>
        </w:rPr>
        <w:t xml:space="preserve"> is converted into </w:t>
      </w:r>
      <w:r w:rsidR="00116FDD">
        <w:rPr>
          <w:rFonts w:eastAsiaTheme="minorHAnsi"/>
          <w:sz w:val="19"/>
        </w:rPr>
        <w:t>GVA</w:t>
      </w:r>
      <w:r w:rsidRPr="00F91F12">
        <w:rPr>
          <w:rFonts w:eastAsiaTheme="minorHAnsi"/>
          <w:sz w:val="19"/>
        </w:rPr>
        <w:t xml:space="preserve"> using a GVA to revenue ratio. ABS Input-Outputs tables are used to estimate weighted average GVA: revenue ratio of </w:t>
      </w:r>
      <w:r w:rsidRPr="00B6268B">
        <w:rPr>
          <w:rFonts w:eastAsiaTheme="minorHAnsi"/>
          <w:sz w:val="19"/>
        </w:rPr>
        <w:t>0.5</w:t>
      </w:r>
      <w:r w:rsidRPr="00F91F12">
        <w:rPr>
          <w:rFonts w:eastAsiaTheme="minorHAnsi"/>
          <w:sz w:val="19"/>
        </w:rPr>
        <w:t xml:space="preserve"> for BRII SMEs based on the relevant ANZSIC </w:t>
      </w:r>
      <w:r w:rsidR="00116FDD">
        <w:rPr>
          <w:rFonts w:eastAsiaTheme="minorHAnsi"/>
          <w:sz w:val="19"/>
        </w:rPr>
        <w:t>D</w:t>
      </w:r>
      <w:r w:rsidRPr="00F91F12">
        <w:rPr>
          <w:rFonts w:eastAsiaTheme="minorHAnsi"/>
          <w:sz w:val="19"/>
        </w:rPr>
        <w:t>ivision.</w:t>
      </w:r>
      <w:r w:rsidR="00AE5B8E">
        <w:rPr>
          <w:rStyle w:val="FootnoteReference"/>
          <w:rFonts w:eastAsiaTheme="minorHAnsi"/>
          <w:sz w:val="19"/>
        </w:rPr>
        <w:footnoteReference w:id="93"/>
      </w:r>
      <w:r w:rsidRPr="00F91F12">
        <w:rPr>
          <w:rFonts w:eastAsiaTheme="minorHAnsi"/>
          <w:sz w:val="19"/>
        </w:rPr>
        <w:t xml:space="preserve"> That is, for </w:t>
      </w:r>
      <w:r w:rsidR="00A940D5">
        <w:rPr>
          <w:rFonts w:eastAsiaTheme="minorHAnsi"/>
          <w:sz w:val="19"/>
        </w:rPr>
        <w:t>each</w:t>
      </w:r>
      <w:r w:rsidRPr="00F91F12">
        <w:rPr>
          <w:rFonts w:eastAsiaTheme="minorHAnsi"/>
          <w:sz w:val="19"/>
        </w:rPr>
        <w:t xml:space="preserve"> one additional dollar in SME revenue that is created by BRII there is approximately 50 cents in GVA after accounting for inputs. These are the ‘first round’ benefits.</w:t>
      </w:r>
    </w:p>
    <w:p w14:paraId="750E7E54" w14:textId="5F327BB7" w:rsidR="00C173E5" w:rsidRPr="00F91F12" w:rsidRDefault="00C173E5" w:rsidP="00C173E5">
      <w:pPr>
        <w:pStyle w:val="TableNBullet"/>
        <w:numPr>
          <w:ilvl w:val="0"/>
          <w:numId w:val="0"/>
        </w:numPr>
        <w:rPr>
          <w:rFonts w:eastAsiaTheme="minorHAnsi"/>
          <w:sz w:val="19"/>
        </w:rPr>
      </w:pPr>
      <w:r>
        <w:rPr>
          <w:rFonts w:eastAsiaTheme="minorHAnsi"/>
          <w:sz w:val="19"/>
        </w:rPr>
        <w:t>Note that Nous only used Input-Output tables for the purpose of estimating GVA:</w:t>
      </w:r>
      <w:r w:rsidR="00B77E41">
        <w:rPr>
          <w:rFonts w:eastAsiaTheme="minorHAnsi"/>
          <w:sz w:val="19"/>
        </w:rPr>
        <w:t xml:space="preserve"> </w:t>
      </w:r>
      <w:r>
        <w:rPr>
          <w:rFonts w:eastAsiaTheme="minorHAnsi"/>
          <w:sz w:val="19"/>
        </w:rPr>
        <w:t>Revenue by industry, and not for the purpose of using the infamous ‘I-O multipliers’.</w:t>
      </w:r>
    </w:p>
    <w:p w14:paraId="08121998" w14:textId="4D56975B" w:rsidR="000E3170" w:rsidRPr="001E2AF7" w:rsidRDefault="000E3170" w:rsidP="001E2AF7">
      <w:pPr>
        <w:spacing w:before="240"/>
        <w:rPr>
          <w:b/>
          <w:bCs/>
          <w:i/>
          <w:iCs/>
        </w:rPr>
      </w:pPr>
      <w:r w:rsidRPr="001E2AF7">
        <w:rPr>
          <w:b/>
          <w:bCs/>
          <w:i/>
          <w:iCs/>
        </w:rPr>
        <w:t xml:space="preserve">Step </w:t>
      </w:r>
      <w:r w:rsidR="005D6C65" w:rsidRPr="001E2AF7">
        <w:rPr>
          <w:b/>
          <w:bCs/>
          <w:i/>
          <w:iCs/>
        </w:rPr>
        <w:t>five</w:t>
      </w:r>
      <w:r w:rsidRPr="001E2AF7">
        <w:rPr>
          <w:b/>
          <w:bCs/>
          <w:i/>
          <w:iCs/>
        </w:rPr>
        <w:t xml:space="preserve"> - Adjust GVA for displacement and ‘spill over’ effects</w:t>
      </w:r>
      <w:r w:rsidR="001A1BF1" w:rsidRPr="001E2AF7">
        <w:rPr>
          <w:b/>
          <w:bCs/>
          <w:i/>
          <w:iCs/>
        </w:rPr>
        <w:t xml:space="preserve"> to estimated value added</w:t>
      </w:r>
      <w:r w:rsidRPr="001E2AF7">
        <w:rPr>
          <w:b/>
          <w:bCs/>
          <w:i/>
          <w:iCs/>
        </w:rPr>
        <w:t xml:space="preserve">. </w:t>
      </w:r>
    </w:p>
    <w:p w14:paraId="5B7E036B" w14:textId="35D4BF37" w:rsidR="00C173E5" w:rsidRPr="00F91F12" w:rsidRDefault="00C173E5" w:rsidP="00C173E5">
      <w:pPr>
        <w:pStyle w:val="TableNBullet"/>
        <w:numPr>
          <w:ilvl w:val="0"/>
          <w:numId w:val="0"/>
        </w:numPr>
        <w:ind w:left="227" w:hanging="227"/>
        <w:rPr>
          <w:rFonts w:eastAsiaTheme="minorHAnsi"/>
          <w:sz w:val="19"/>
        </w:rPr>
      </w:pPr>
      <w:r w:rsidRPr="00F91F12">
        <w:rPr>
          <w:rFonts w:eastAsiaTheme="minorHAnsi"/>
          <w:sz w:val="19"/>
        </w:rPr>
        <w:t xml:space="preserve">Second round benefits are estimated by adjusting GVA for both displacement and </w:t>
      </w:r>
      <w:r w:rsidR="005D380C">
        <w:rPr>
          <w:rFonts w:eastAsiaTheme="minorHAnsi"/>
          <w:sz w:val="19"/>
        </w:rPr>
        <w:t>‘</w:t>
      </w:r>
      <w:r w:rsidRPr="00F91F12">
        <w:rPr>
          <w:rFonts w:eastAsiaTheme="minorHAnsi"/>
          <w:sz w:val="19"/>
        </w:rPr>
        <w:t>spill over</w:t>
      </w:r>
      <w:r w:rsidR="005D380C">
        <w:rPr>
          <w:rFonts w:eastAsiaTheme="minorHAnsi"/>
          <w:sz w:val="19"/>
        </w:rPr>
        <w:t>’</w:t>
      </w:r>
      <w:r w:rsidRPr="00F91F12">
        <w:rPr>
          <w:rFonts w:eastAsiaTheme="minorHAnsi"/>
          <w:sz w:val="19"/>
        </w:rPr>
        <w:t xml:space="preserve"> effects:</w:t>
      </w:r>
    </w:p>
    <w:p w14:paraId="0C55F6F1" w14:textId="1F8C6421" w:rsidR="00C173E5" w:rsidRPr="00F91F12" w:rsidRDefault="00C173E5">
      <w:pPr>
        <w:pStyle w:val="Bullet"/>
        <w:rPr>
          <w:rFonts w:eastAsiaTheme="minorHAnsi"/>
        </w:rPr>
      </w:pPr>
      <w:r w:rsidRPr="00F91F12">
        <w:rPr>
          <w:rFonts w:eastAsiaTheme="minorHAnsi"/>
        </w:rPr>
        <w:t xml:space="preserve">Displacement of </w:t>
      </w:r>
      <w:r w:rsidRPr="00B6268B">
        <w:rPr>
          <w:rFonts w:eastAsiaTheme="minorHAnsi"/>
        </w:rPr>
        <w:t>25</w:t>
      </w:r>
      <w:r w:rsidRPr="00F91F12">
        <w:rPr>
          <w:rFonts w:eastAsiaTheme="minorHAnsi"/>
        </w:rPr>
        <w:t xml:space="preserve"> per cent (downward adjustment) is assumed. SMEs reported that between </w:t>
      </w:r>
      <w:r w:rsidRPr="00B6268B">
        <w:rPr>
          <w:rFonts w:eastAsiaTheme="minorHAnsi"/>
        </w:rPr>
        <w:t>zero</w:t>
      </w:r>
      <w:r w:rsidRPr="00F91F12">
        <w:rPr>
          <w:rFonts w:eastAsiaTheme="minorHAnsi"/>
        </w:rPr>
        <w:t xml:space="preserve"> and </w:t>
      </w:r>
      <w:r w:rsidRPr="00B6268B">
        <w:rPr>
          <w:rFonts w:eastAsiaTheme="minorHAnsi"/>
        </w:rPr>
        <w:t>100</w:t>
      </w:r>
      <w:r w:rsidRPr="00F91F12">
        <w:rPr>
          <w:rFonts w:eastAsiaTheme="minorHAnsi"/>
        </w:rPr>
        <w:t xml:space="preserve"> per cent of current sales revenue comes from Australian markets. This wide range suggests that displacement of other producers vary on a case-by-case basis for each SME. However, </w:t>
      </w:r>
      <w:r w:rsidR="000F3B20">
        <w:rPr>
          <w:rFonts w:eastAsiaTheme="minorHAnsi"/>
        </w:rPr>
        <w:t>the</w:t>
      </w:r>
      <w:r>
        <w:rPr>
          <w:rFonts w:eastAsiaTheme="minorHAnsi"/>
        </w:rPr>
        <w:t xml:space="preserve"> </w:t>
      </w:r>
      <w:r w:rsidRPr="00F91F12">
        <w:rPr>
          <w:rFonts w:eastAsiaTheme="minorHAnsi"/>
        </w:rPr>
        <w:t>BRII solutions are intended to solve a problem for which there is no provider in the market already and hence displacement of existing local suppliers should be limited in most cases.</w:t>
      </w:r>
    </w:p>
    <w:p w14:paraId="58EF3193" w14:textId="44F9E78D" w:rsidR="00C173E5" w:rsidRPr="00F91F12" w:rsidRDefault="00C173E5">
      <w:pPr>
        <w:pStyle w:val="Bullet"/>
        <w:rPr>
          <w:rFonts w:eastAsiaTheme="minorHAnsi"/>
        </w:rPr>
      </w:pPr>
      <w:r w:rsidRPr="00F91F12">
        <w:rPr>
          <w:rFonts w:eastAsiaTheme="minorHAnsi"/>
        </w:rPr>
        <w:t xml:space="preserve">Spill over of </w:t>
      </w:r>
      <w:r w:rsidRPr="00B6268B">
        <w:rPr>
          <w:rFonts w:eastAsiaTheme="minorHAnsi"/>
        </w:rPr>
        <w:t>75</w:t>
      </w:r>
      <w:r w:rsidRPr="00F91F12">
        <w:rPr>
          <w:rFonts w:eastAsiaTheme="minorHAnsi"/>
        </w:rPr>
        <w:t xml:space="preserve"> per cent (upward adjustment) is assumed. Most SMEs reported that </w:t>
      </w:r>
      <w:r w:rsidRPr="00B6268B">
        <w:rPr>
          <w:rFonts w:eastAsiaTheme="minorHAnsi"/>
        </w:rPr>
        <w:t>more than half</w:t>
      </w:r>
      <w:r w:rsidRPr="00F91F12">
        <w:rPr>
          <w:rFonts w:eastAsiaTheme="minorHAnsi"/>
        </w:rPr>
        <w:t xml:space="preserve"> of their business inputs were sourced locally from within Australia. </w:t>
      </w:r>
      <w:r w:rsidR="00F85180">
        <w:rPr>
          <w:rFonts w:eastAsiaTheme="minorHAnsi"/>
        </w:rPr>
        <w:t xml:space="preserve">The </w:t>
      </w:r>
      <w:r w:rsidRPr="00F91F12">
        <w:rPr>
          <w:rFonts w:eastAsiaTheme="minorHAnsi"/>
        </w:rPr>
        <w:t>BRII businesses are therefore more likely to generate second round flow on effects from increased production.</w:t>
      </w:r>
    </w:p>
    <w:p w14:paraId="73F0DA9B" w14:textId="3C2EC549" w:rsidR="00640C00" w:rsidRPr="001E2AF7" w:rsidRDefault="00C173E5" w:rsidP="001E2AF7">
      <w:pPr>
        <w:rPr>
          <w:b/>
          <w:bCs/>
          <w:i/>
          <w:iCs/>
        </w:rPr>
      </w:pPr>
      <w:r w:rsidRPr="001E2AF7">
        <w:rPr>
          <w:b/>
          <w:bCs/>
          <w:i/>
          <w:iCs/>
        </w:rPr>
        <w:t xml:space="preserve">Accounting for both the first and second round benefits as described above provides an adjusted GVA: revenue ratio of </w:t>
      </w:r>
      <w:r w:rsidR="006C3DB3" w:rsidRPr="001E2AF7">
        <w:rPr>
          <w:b/>
          <w:bCs/>
          <w:i/>
          <w:iCs/>
        </w:rPr>
        <w:t>77</w:t>
      </w:r>
      <w:r w:rsidRPr="001E2AF7">
        <w:rPr>
          <w:b/>
          <w:bCs/>
          <w:i/>
          <w:iCs/>
        </w:rPr>
        <w:t xml:space="preserve"> per cent.</w:t>
      </w:r>
    </w:p>
    <w:p w14:paraId="21631D37" w14:textId="2693C8CF" w:rsidR="00F60CA9" w:rsidRPr="00F91F12" w:rsidRDefault="00F60CA9" w:rsidP="00F60CA9">
      <w:r w:rsidRPr="00F91F12">
        <w:t xml:space="preserve">That is, for </w:t>
      </w:r>
      <w:r w:rsidR="008A231F">
        <w:t>each</w:t>
      </w:r>
      <w:r w:rsidRPr="00F91F12">
        <w:t xml:space="preserve"> one additional dollar in SME revenue that is created by </w:t>
      </w:r>
      <w:r w:rsidR="00F85180">
        <w:t xml:space="preserve">the </w:t>
      </w:r>
      <w:r w:rsidRPr="00F91F12">
        <w:t>BRII</w:t>
      </w:r>
      <w:r w:rsidR="00F85180">
        <w:t>,</w:t>
      </w:r>
      <w:r w:rsidRPr="00F91F12">
        <w:t xml:space="preserve"> there is approximately </w:t>
      </w:r>
      <w:r w:rsidR="00CE31DF">
        <w:t>77</w:t>
      </w:r>
      <w:r w:rsidRPr="00F91F12">
        <w:t xml:space="preserve"> cents in value added after all adjustments are considered. This estimate </w:t>
      </w:r>
      <w:r>
        <w:t>was cross-checked</w:t>
      </w:r>
      <w:r w:rsidRPr="00F91F12">
        <w:t xml:space="preserve"> with comparable </w:t>
      </w:r>
      <w:r>
        <w:t>C</w:t>
      </w:r>
      <w:r w:rsidRPr="00F91F12">
        <w:t xml:space="preserve">omputational </w:t>
      </w:r>
      <w:r>
        <w:t>G</w:t>
      </w:r>
      <w:r w:rsidRPr="00F91F12">
        <w:t xml:space="preserve">eneral </w:t>
      </w:r>
      <w:r>
        <w:t>E</w:t>
      </w:r>
      <w:r w:rsidRPr="00F91F12">
        <w:t xml:space="preserve">quilibrium (CGE) modelling recently conducted for </w:t>
      </w:r>
      <w:r>
        <w:t xml:space="preserve">the Regional Universities Network (RUN) of </w:t>
      </w:r>
      <w:r w:rsidRPr="00F91F12">
        <w:t xml:space="preserve">Australian universities to determine </w:t>
      </w:r>
      <w:r w:rsidRPr="00F91F12">
        <w:lastRenderedPageBreak/>
        <w:t xml:space="preserve">the </w:t>
      </w:r>
      <w:r>
        <w:t xml:space="preserve">flow on </w:t>
      </w:r>
      <w:r w:rsidRPr="00F91F12">
        <w:t>value created by increased research spending</w:t>
      </w:r>
      <w:r>
        <w:t xml:space="preserve"> at regional campuses</w:t>
      </w:r>
      <w:r w:rsidRPr="00F91F12">
        <w:t>.</w:t>
      </w:r>
      <w:r w:rsidRPr="00F91F12">
        <w:rPr>
          <w:rStyle w:val="FootnoteReference"/>
        </w:rPr>
        <w:footnoteReference w:id="94"/>
      </w:r>
      <w:r>
        <w:t xml:space="preserve"> The resulting ‘spill overs’ included here are thus much less than an ‘I-O multiplier’ approach would give.</w:t>
      </w:r>
    </w:p>
    <w:p w14:paraId="632038F7" w14:textId="55E450E4" w:rsidR="0077223C" w:rsidRPr="0077223C" w:rsidRDefault="0077223C">
      <w:pPr>
        <w:pStyle w:val="xAppendixLevel2"/>
        <w:rPr>
          <w:rFonts w:eastAsiaTheme="minorHAnsi"/>
        </w:rPr>
      </w:pPr>
      <w:bookmarkStart w:id="236" w:name="_Toc124435190"/>
      <w:r>
        <w:t xml:space="preserve">Estimating outcomes to government and society more broadly from the implementation of </w:t>
      </w:r>
      <w:r w:rsidR="007A4269">
        <w:t xml:space="preserve">the </w:t>
      </w:r>
      <w:r>
        <w:t>BRII solutions in different contexts</w:t>
      </w:r>
      <w:r w:rsidR="00364CFF">
        <w:t>.</w:t>
      </w:r>
      <w:bookmarkEnd w:id="236"/>
    </w:p>
    <w:p w14:paraId="25B493C5" w14:textId="1D1349E3" w:rsidR="00390ADC" w:rsidRPr="001E2AF7" w:rsidRDefault="00390ADC" w:rsidP="001E2AF7">
      <w:pPr>
        <w:rPr>
          <w:b/>
          <w:bCs/>
        </w:rPr>
      </w:pPr>
      <w:r w:rsidRPr="001E2AF7">
        <w:rPr>
          <w:b/>
          <w:bCs/>
        </w:rPr>
        <w:t>The methodology described above is the core CBA component, but it is limited by the ‘impact’ it captures.</w:t>
      </w:r>
    </w:p>
    <w:p w14:paraId="6DF68761" w14:textId="068788DA" w:rsidR="00390ADC" w:rsidRDefault="00390ADC" w:rsidP="00390ADC">
      <w:r w:rsidRPr="00F91F12">
        <w:t xml:space="preserve">The BRII aims to </w:t>
      </w:r>
      <w:r w:rsidR="007011FA" w:rsidRPr="00F91F12">
        <w:t>provide</w:t>
      </w:r>
      <w:r w:rsidRPr="00F91F12">
        <w:t xml:space="preserve"> outcomes to wicked problems that have impact beyond </w:t>
      </w:r>
      <w:r w:rsidR="007011FA" w:rsidRPr="00F91F12">
        <w:t>a</w:t>
      </w:r>
      <w:r w:rsidRPr="00F91F12">
        <w:t xml:space="preserve"> SMEs bottom line alone. With that in mind, this CBA has supplemented the above </w:t>
      </w:r>
      <w:r w:rsidR="00FA3D12">
        <w:t xml:space="preserve">methodology </w:t>
      </w:r>
      <w:r>
        <w:t xml:space="preserve">with </w:t>
      </w:r>
      <w:r w:rsidR="00C5774E">
        <w:t xml:space="preserve">a discrete analysis approach for quantifying </w:t>
      </w:r>
      <w:r>
        <w:t xml:space="preserve">the benefits from challenge </w:t>
      </w:r>
      <w:r w:rsidR="00C5774E">
        <w:t>solutions</w:t>
      </w:r>
      <w:r>
        <w:t>,</w:t>
      </w:r>
      <w:r w:rsidRPr="00F91F12">
        <w:t xml:space="preserve"> </w:t>
      </w:r>
      <w:r>
        <w:t>by</w:t>
      </w:r>
      <w:r w:rsidRPr="00F91F12">
        <w:t xml:space="preserve"> estimating the outcomes of</w:t>
      </w:r>
      <w:r>
        <w:t xml:space="preserve"> the</w:t>
      </w:r>
      <w:r w:rsidRPr="00F91F12">
        <w:t xml:space="preserve"> BRII solutions for government and society more broadly. Specifically, asking how the implementation of </w:t>
      </w:r>
      <w:r>
        <w:t xml:space="preserve">the </w:t>
      </w:r>
      <w:r w:rsidRPr="00F91F12">
        <w:t xml:space="preserve">BRII solutions have </w:t>
      </w:r>
      <w:r>
        <w:t>avoided costs</w:t>
      </w:r>
      <w:r w:rsidRPr="00F91F12">
        <w:t xml:space="preserve">, </w:t>
      </w:r>
      <w:r>
        <w:t>increased</w:t>
      </w:r>
      <w:r w:rsidRPr="00F91F12">
        <w:t xml:space="preserve"> outputs or </w:t>
      </w:r>
      <w:r>
        <w:t xml:space="preserve">improved </w:t>
      </w:r>
      <w:r w:rsidRPr="00F91F12">
        <w:t>outcomes for different stakeholders.</w:t>
      </w:r>
    </w:p>
    <w:p w14:paraId="1A0F4BCD" w14:textId="2B888240" w:rsidR="00390ADC" w:rsidRPr="001E2AF7" w:rsidRDefault="00390ADC" w:rsidP="001E2AF7">
      <w:pPr>
        <w:rPr>
          <w:b/>
          <w:bCs/>
        </w:rPr>
      </w:pPr>
      <w:r w:rsidRPr="001E2AF7">
        <w:rPr>
          <w:b/>
          <w:bCs/>
        </w:rPr>
        <w:t>Where possible, high-level modelling of outcomes is conducted using</w:t>
      </w:r>
      <w:r w:rsidR="002F07A6" w:rsidRPr="001E2AF7">
        <w:rPr>
          <w:b/>
          <w:bCs/>
        </w:rPr>
        <w:t xml:space="preserve"> scenarios based on </w:t>
      </w:r>
      <w:r w:rsidRPr="001E2AF7">
        <w:rPr>
          <w:b/>
          <w:bCs/>
        </w:rPr>
        <w:t xml:space="preserve">broad estimates provided </w:t>
      </w:r>
      <w:r w:rsidR="002F07A6" w:rsidRPr="001E2AF7">
        <w:rPr>
          <w:b/>
          <w:bCs/>
        </w:rPr>
        <w:t>by</w:t>
      </w:r>
      <w:r w:rsidRPr="001E2AF7">
        <w:rPr>
          <w:b/>
          <w:bCs/>
        </w:rPr>
        <w:t xml:space="preserve"> government and SME interviewees with demonstrated experience in implementing the BRII solutions.</w:t>
      </w:r>
    </w:p>
    <w:p w14:paraId="299D19ED" w14:textId="19DDED53" w:rsidR="00C173E5" w:rsidRPr="00F91F12" w:rsidRDefault="00C173E5" w:rsidP="00F25EE0">
      <w:r w:rsidRPr="00F91F12">
        <w:t xml:space="preserve">In most cases, high-level modelling of outcomes is conducted using broad estimates provided </w:t>
      </w:r>
      <w:r w:rsidR="00857C47">
        <w:t xml:space="preserve">by a combination of </w:t>
      </w:r>
      <w:r w:rsidRPr="00F91F12">
        <w:t xml:space="preserve">both government and SME interviewees with demonstrated experience in implementing BRII solutions. Demonstrating the benefit of </w:t>
      </w:r>
      <w:r w:rsidR="00857C47">
        <w:t xml:space="preserve">the </w:t>
      </w:r>
      <w:r w:rsidRPr="00F91F12">
        <w:t>BRII in this way requires a set of key assumptions about how solutions have changed the outcomes for users because of the new technology or process innovation. Changes in inputs and outputs for solution users typically came in the form of costs avoided through reduced labour, time or other resources needed to achieve an outcome that is as good (or better) than could be achieved before the BRII solution was implemented.</w:t>
      </w:r>
      <w:r w:rsidR="00710950">
        <w:t xml:space="preserve"> In some cases</w:t>
      </w:r>
      <w:r w:rsidR="00734A1B">
        <w:t>,</w:t>
      </w:r>
      <w:r w:rsidR="00710950">
        <w:t xml:space="preserve"> u</w:t>
      </w:r>
      <w:r w:rsidR="00710950" w:rsidRPr="00710950">
        <w:t xml:space="preserve">nverified </w:t>
      </w:r>
      <w:r w:rsidR="00790266">
        <w:t xml:space="preserve">best </w:t>
      </w:r>
      <w:r w:rsidR="00710950" w:rsidRPr="00710950">
        <w:t>estimate</w:t>
      </w:r>
      <w:r w:rsidR="00710950">
        <w:t>s</w:t>
      </w:r>
      <w:r w:rsidR="00710950" w:rsidRPr="00710950">
        <w:t xml:space="preserve"> </w:t>
      </w:r>
      <w:r w:rsidR="00710950">
        <w:t xml:space="preserve">are </w:t>
      </w:r>
      <w:r w:rsidR="00710950" w:rsidRPr="00710950">
        <w:t xml:space="preserve">used </w:t>
      </w:r>
      <w:r w:rsidR="00710950">
        <w:t xml:space="preserve">to </w:t>
      </w:r>
      <w:r w:rsidR="00790266">
        <w:t>round out a</w:t>
      </w:r>
      <w:r w:rsidR="00710950" w:rsidRPr="00710950">
        <w:t xml:space="preserve"> scenario model.</w:t>
      </w:r>
    </w:p>
    <w:p w14:paraId="0AF84F46" w14:textId="3C050072" w:rsidR="00C173E5" w:rsidRPr="00F91F12" w:rsidRDefault="00C173E5" w:rsidP="00F25EE0">
      <w:r w:rsidRPr="00F91F12">
        <w:t xml:space="preserve">There are </w:t>
      </w:r>
      <w:r w:rsidRPr="00B6268B">
        <w:t>three</w:t>
      </w:r>
      <w:r w:rsidRPr="00F91F12">
        <w:t xml:space="preserve"> examples which were identified as part of the CBA as having sufficient evidence of implementation to enable </w:t>
      </w:r>
      <w:r>
        <w:t>quantification</w:t>
      </w:r>
      <w:r w:rsidRPr="00F91F12">
        <w:t>.</w:t>
      </w:r>
    </w:p>
    <w:p w14:paraId="7305F06A" w14:textId="77777777" w:rsidR="00C173E5" w:rsidRPr="00F91F12" w:rsidRDefault="00C173E5">
      <w:pPr>
        <w:pStyle w:val="Bullet"/>
        <w:rPr>
          <w:rFonts w:eastAsiaTheme="minorHAnsi"/>
        </w:rPr>
      </w:pPr>
      <w:r w:rsidRPr="00F91F12">
        <w:rPr>
          <w:rFonts w:eastAsiaTheme="minorHAnsi"/>
        </w:rPr>
        <w:t>A device for on-the-spot technology for measuring pyrethroid surface residue.</w:t>
      </w:r>
    </w:p>
    <w:p w14:paraId="45E5175B" w14:textId="77777777" w:rsidR="00C173E5" w:rsidRPr="00F91F12" w:rsidRDefault="00C173E5">
      <w:pPr>
        <w:pStyle w:val="Bullet"/>
        <w:rPr>
          <w:rFonts w:eastAsiaTheme="minorHAnsi"/>
        </w:rPr>
      </w:pPr>
      <w:r w:rsidRPr="00F91F12">
        <w:rPr>
          <w:rFonts w:eastAsiaTheme="minorHAnsi"/>
        </w:rPr>
        <w:t>Waterflow digital tool to improve transparency and reliability of water market information.</w:t>
      </w:r>
      <w:r w:rsidRPr="00734A1B">
        <w:rPr>
          <w:rFonts w:eastAsiaTheme="minorEastAsia"/>
        </w:rPr>
        <w:t xml:space="preserve"> </w:t>
      </w:r>
    </w:p>
    <w:p w14:paraId="00BDD9DA" w14:textId="4263A4BD" w:rsidR="00C173E5" w:rsidRPr="00F91F12" w:rsidRDefault="00C173E5">
      <w:pPr>
        <w:pStyle w:val="Bullet"/>
        <w:rPr>
          <w:rFonts w:eastAsiaTheme="minorHAnsi"/>
        </w:rPr>
      </w:pPr>
      <w:r w:rsidRPr="00123149">
        <w:rPr>
          <w:rFonts w:eastAsiaTheme="minorHAnsi"/>
        </w:rPr>
        <w:t>Converlens digital tool</w:t>
      </w:r>
      <w:r w:rsidRPr="00F91F12">
        <w:rPr>
          <w:rFonts w:eastAsiaTheme="minorHAnsi"/>
        </w:rPr>
        <w:t xml:space="preserve"> for digitally enable</w:t>
      </w:r>
      <w:r w:rsidR="00A25ECA">
        <w:rPr>
          <w:rFonts w:eastAsiaTheme="minorHAnsi"/>
        </w:rPr>
        <w:t>d</w:t>
      </w:r>
      <w:r w:rsidRPr="00F91F12">
        <w:rPr>
          <w:rFonts w:eastAsiaTheme="minorHAnsi"/>
        </w:rPr>
        <w:t xml:space="preserve"> community engagement in policy and program design. </w:t>
      </w:r>
    </w:p>
    <w:p w14:paraId="31262DF2" w14:textId="13C10736" w:rsidR="00C6739A" w:rsidRPr="001E2AF7" w:rsidRDefault="00C173E5" w:rsidP="001E2AF7">
      <w:pPr>
        <w:rPr>
          <w:b/>
          <w:bCs/>
        </w:rPr>
      </w:pPr>
      <w:r w:rsidRPr="001E2AF7">
        <w:rPr>
          <w:b/>
          <w:bCs/>
        </w:rPr>
        <w:lastRenderedPageBreak/>
        <w:t>Implementation of technology solution (Atamo) to address on-the-spot measurement of pyrethroid surface residue is estimated to contribute $</w:t>
      </w:r>
      <w:r w:rsidR="0087325E" w:rsidRPr="001E2AF7">
        <w:rPr>
          <w:b/>
          <w:bCs/>
        </w:rPr>
        <w:t>755</w:t>
      </w:r>
      <w:r w:rsidR="002C7CBB" w:rsidRPr="001E2AF7">
        <w:rPr>
          <w:b/>
          <w:bCs/>
        </w:rPr>
        <w:t>,</w:t>
      </w:r>
      <w:r w:rsidR="0087325E" w:rsidRPr="001E2AF7">
        <w:rPr>
          <w:b/>
          <w:bCs/>
        </w:rPr>
        <w:t>508</w:t>
      </w:r>
      <w:r w:rsidRPr="001E2AF7">
        <w:rPr>
          <w:b/>
          <w:bCs/>
        </w:rPr>
        <w:t xml:space="preserve"> in avoided costs (cost savings from a much faster method). </w:t>
      </w:r>
    </w:p>
    <w:p w14:paraId="475F33E4" w14:textId="211EAED7" w:rsidR="00C173E5" w:rsidRPr="006E06A0" w:rsidRDefault="00C173E5" w:rsidP="00E00FDF">
      <w:r>
        <w:t>This analysis assumes:</w:t>
      </w:r>
    </w:p>
    <w:p w14:paraId="2A5698B5" w14:textId="3373D95A" w:rsidR="00C173E5" w:rsidRPr="003B15AB" w:rsidRDefault="00C173E5">
      <w:pPr>
        <w:pStyle w:val="Bullet"/>
        <w:rPr>
          <w:rFonts w:eastAsiaTheme="minorEastAsia"/>
        </w:rPr>
      </w:pPr>
      <w:r w:rsidRPr="003B15AB">
        <w:t xml:space="preserve">Prior to </w:t>
      </w:r>
      <w:r w:rsidR="00CD2F90">
        <w:t>the</w:t>
      </w:r>
      <w:r w:rsidRPr="003B15AB">
        <w:t xml:space="preserve"> BRII, fly bioassays were the default option for sampling planes for evidence of pyrethroid surface residue.</w:t>
      </w:r>
      <w:r w:rsidRPr="00DC7DD7">
        <w:rPr>
          <w:rStyle w:val="FootnoteReference"/>
        </w:rPr>
        <w:footnoteReference w:id="95"/>
      </w:r>
    </w:p>
    <w:p w14:paraId="572D1A4A" w14:textId="24889F9D" w:rsidR="00C173E5" w:rsidRPr="003B15AB" w:rsidRDefault="00C173E5">
      <w:pPr>
        <w:pStyle w:val="Bullet"/>
        <w:rPr>
          <w:rFonts w:eastAsiaTheme="minorHAnsi"/>
        </w:rPr>
      </w:pPr>
      <w:r w:rsidRPr="003B15AB">
        <w:t>Biosecurity officers sample 250 per year for evidence of pyrethroid surface residue.</w:t>
      </w:r>
      <w:r w:rsidR="00B665DA">
        <w:t xml:space="preserve"> </w:t>
      </w:r>
      <w:r w:rsidR="00D849BB">
        <w:t>Unverified e</w:t>
      </w:r>
      <w:r w:rsidR="00B665DA">
        <w:t>stimate used for scenario modelling only.</w:t>
      </w:r>
    </w:p>
    <w:p w14:paraId="78566E1C" w14:textId="3188D0A4" w:rsidR="00C173E5" w:rsidRPr="003B15AB" w:rsidRDefault="00C173E5">
      <w:pPr>
        <w:pStyle w:val="Bullet"/>
        <w:rPr>
          <w:rFonts w:eastAsiaTheme="minorHAnsi"/>
        </w:rPr>
      </w:pPr>
      <w:r w:rsidRPr="003B15AB">
        <w:t>Fly bioassays cost $200 per sample and approximately four hours of a biosecurity officer’s time (valued at $140 per hour) to complete.</w:t>
      </w:r>
      <w:r w:rsidR="00863FBF">
        <w:rPr>
          <w:rStyle w:val="FootnoteReference"/>
        </w:rPr>
        <w:footnoteReference w:id="96"/>
      </w:r>
    </w:p>
    <w:p w14:paraId="26CB1139" w14:textId="620DC5FB" w:rsidR="00C173E5" w:rsidRPr="003B15AB" w:rsidRDefault="00C173E5">
      <w:pPr>
        <w:pStyle w:val="Bullet"/>
        <w:rPr>
          <w:rFonts w:eastAsiaTheme="minorHAnsi"/>
        </w:rPr>
      </w:pPr>
      <w:r w:rsidRPr="003B15AB">
        <w:t>The BRII technology solution requires only 20 minutes of a biosecurity officer’s time to run a sample to the same effectiveness as the previous method of fly bioassays.</w:t>
      </w:r>
      <w:r w:rsidR="00A022A6">
        <w:rPr>
          <w:rStyle w:val="FootnoteReference"/>
        </w:rPr>
        <w:footnoteReference w:id="97"/>
      </w:r>
    </w:p>
    <w:p w14:paraId="576084A8" w14:textId="17F12583" w:rsidR="00C173E5" w:rsidRPr="003B15AB" w:rsidRDefault="00C173E5">
      <w:pPr>
        <w:pStyle w:val="Bullet"/>
        <w:rPr>
          <w:rFonts w:eastAsiaTheme="minorHAnsi"/>
        </w:rPr>
      </w:pPr>
      <w:r w:rsidRPr="003B15AB">
        <w:t>The technology costs $20,000 and has a useful life of 10 years.</w:t>
      </w:r>
      <w:r w:rsidR="00A022A6">
        <w:t xml:space="preserve"> </w:t>
      </w:r>
      <w:r w:rsidR="00D849BB">
        <w:t>Unverified e</w:t>
      </w:r>
      <w:r w:rsidR="00A022A6">
        <w:t>stimate used for scenario modelling only.</w:t>
      </w:r>
    </w:p>
    <w:p w14:paraId="5CFE47DA" w14:textId="778D7512" w:rsidR="00C6739A" w:rsidRPr="001E2AF7" w:rsidRDefault="00C173E5" w:rsidP="001E2AF7">
      <w:pPr>
        <w:rPr>
          <w:b/>
          <w:bCs/>
        </w:rPr>
      </w:pPr>
      <w:r w:rsidRPr="001E2AF7">
        <w:rPr>
          <w:b/>
          <w:bCs/>
        </w:rPr>
        <w:t>Implementation of a solution (Converlens) to digitally enable community engagement in policy and program design is estimated to contribute $</w:t>
      </w:r>
      <w:r w:rsidR="00974C73" w:rsidRPr="001E2AF7">
        <w:rPr>
          <w:b/>
          <w:bCs/>
        </w:rPr>
        <w:t>12</w:t>
      </w:r>
      <w:r w:rsidR="00612982" w:rsidRPr="001E2AF7">
        <w:rPr>
          <w:b/>
          <w:bCs/>
        </w:rPr>
        <w:t>9</w:t>
      </w:r>
      <w:r w:rsidR="002C7CBB" w:rsidRPr="001E2AF7">
        <w:rPr>
          <w:b/>
          <w:bCs/>
        </w:rPr>
        <w:t>,</w:t>
      </w:r>
      <w:r w:rsidR="00612982" w:rsidRPr="001E2AF7">
        <w:rPr>
          <w:b/>
          <w:bCs/>
        </w:rPr>
        <w:t>314</w:t>
      </w:r>
      <w:r w:rsidRPr="001E2AF7">
        <w:rPr>
          <w:b/>
          <w:bCs/>
        </w:rPr>
        <w:t xml:space="preserve"> in avoided costs (reduced time to analyse consultation data).</w:t>
      </w:r>
    </w:p>
    <w:p w14:paraId="2CCE0FC7" w14:textId="3C81DCBE" w:rsidR="00C173E5" w:rsidRDefault="00C173E5" w:rsidP="00D92E79">
      <w:r>
        <w:t xml:space="preserve">Consultation as part of this evaluation indicated that </w:t>
      </w:r>
      <w:r w:rsidRPr="003D05EE">
        <w:t xml:space="preserve">the </w:t>
      </w:r>
      <w:r>
        <w:t>solution</w:t>
      </w:r>
      <w:r w:rsidRPr="003D05EE">
        <w:t xml:space="preserve"> saves time for government users in the 'back end'</w:t>
      </w:r>
      <w:r>
        <w:t xml:space="preserve"> working with qualitative data captured through engagement with the pubic</w:t>
      </w:r>
      <w:r w:rsidRPr="003D05EE">
        <w:t xml:space="preserve">. </w:t>
      </w:r>
      <w:r>
        <w:t>For example, each</w:t>
      </w:r>
      <w:r w:rsidRPr="003D05EE">
        <w:t xml:space="preserve"> time </w:t>
      </w:r>
      <w:r>
        <w:t>a public servant</w:t>
      </w:r>
      <w:r w:rsidRPr="003D05EE">
        <w:t xml:space="preserve"> </w:t>
      </w:r>
      <w:r>
        <w:t>wants</w:t>
      </w:r>
      <w:r w:rsidRPr="003D05EE">
        <w:t xml:space="preserve"> to explore a question using qualitative data then a query </w:t>
      </w:r>
      <w:r>
        <w:t xml:space="preserve">of that data </w:t>
      </w:r>
      <w:r w:rsidRPr="003D05EE">
        <w:t>is needed.</w:t>
      </w:r>
      <w:r>
        <w:t xml:space="preserve"> This analysis assumes:</w:t>
      </w:r>
    </w:p>
    <w:p w14:paraId="78400A99" w14:textId="1786964D" w:rsidR="00C173E5" w:rsidRPr="003B15AB" w:rsidRDefault="005E7AFC">
      <w:pPr>
        <w:pStyle w:val="Bullet"/>
      </w:pPr>
      <w:r w:rsidRPr="003B15AB">
        <w:t>DISER</w:t>
      </w:r>
      <w:r w:rsidR="00C173E5" w:rsidRPr="003B15AB">
        <w:t xml:space="preserve"> runs one query per week (i.e. 52 queries per year) to answer a </w:t>
      </w:r>
      <w:r w:rsidR="008A231F" w:rsidRPr="003B15AB">
        <w:t>policy question</w:t>
      </w:r>
      <w:r w:rsidR="00C173E5" w:rsidRPr="003B15AB">
        <w:t xml:space="preserve"> using qualitative consultation data.</w:t>
      </w:r>
      <w:r w:rsidR="002E1898">
        <w:t xml:space="preserve"> </w:t>
      </w:r>
      <w:r w:rsidR="00D849BB">
        <w:t xml:space="preserve">Unverified </w:t>
      </w:r>
      <w:r w:rsidR="009700DA">
        <w:t>estimate</w:t>
      </w:r>
      <w:r w:rsidR="002E1898">
        <w:t xml:space="preserve"> used for scenario modelling only</w:t>
      </w:r>
      <w:r w:rsidR="0066629A">
        <w:t xml:space="preserve">. Higher </w:t>
      </w:r>
      <w:r w:rsidR="009700DA">
        <w:t>query</w:t>
      </w:r>
      <w:r w:rsidR="007C4F54">
        <w:t xml:space="preserve"> demands would result in greater savings.</w:t>
      </w:r>
    </w:p>
    <w:p w14:paraId="4BE39075" w14:textId="4AEEA7A9" w:rsidR="00C173E5" w:rsidRPr="003B15AB" w:rsidRDefault="00C173E5">
      <w:pPr>
        <w:pStyle w:val="Bullet"/>
      </w:pPr>
      <w:r w:rsidRPr="003B15AB">
        <w:t>Manual querying of this data takes four hours of staff time (valued at $48.63 per hour)</w:t>
      </w:r>
      <w:r w:rsidR="001E3974" w:rsidRPr="000B059E">
        <w:rPr>
          <w:rStyle w:val="FootnoteReference"/>
        </w:rPr>
        <w:footnoteReference w:id="98"/>
      </w:r>
      <w:r w:rsidR="00171808">
        <w:t xml:space="preserve"> o</w:t>
      </w:r>
      <w:r w:rsidRPr="003B15AB">
        <w:t>n average using current methods.</w:t>
      </w:r>
      <w:r w:rsidR="00BB4728" w:rsidRPr="000B059E">
        <w:rPr>
          <w:rStyle w:val="FootnoteReference"/>
        </w:rPr>
        <w:footnoteReference w:id="99"/>
      </w:r>
    </w:p>
    <w:p w14:paraId="7429C286" w14:textId="3091AEA3" w:rsidR="00C173E5" w:rsidRPr="003B15AB" w:rsidRDefault="00C173E5">
      <w:pPr>
        <w:pStyle w:val="Bullet"/>
      </w:pPr>
      <w:r w:rsidRPr="003B15AB">
        <w:t xml:space="preserve">The BRII solution provides the </w:t>
      </w:r>
      <w:r w:rsidR="00874A7F" w:rsidRPr="003B15AB">
        <w:t>DISER</w:t>
      </w:r>
      <w:r w:rsidRPr="003B15AB">
        <w:t xml:space="preserve"> with an efficiency gain of 90 per cent to produce reports of equal quality (or better) than those produced with a manual search.</w:t>
      </w:r>
      <w:r w:rsidR="00BB4728" w:rsidRPr="00F1756A">
        <w:rPr>
          <w:rStyle w:val="FootnoteReference"/>
        </w:rPr>
        <w:footnoteReference w:id="100"/>
      </w:r>
    </w:p>
    <w:p w14:paraId="2F085DF1" w14:textId="6DCB0F25" w:rsidR="00C6739A" w:rsidRPr="001E2AF7" w:rsidRDefault="00C173E5" w:rsidP="001E2AF7">
      <w:pPr>
        <w:rPr>
          <w:b/>
          <w:bCs/>
        </w:rPr>
      </w:pPr>
      <w:r w:rsidRPr="001E2AF7">
        <w:rPr>
          <w:b/>
          <w:bCs/>
        </w:rPr>
        <w:t>Implementation of a solution (Marsden Jacob’s Waterflow) to improve transparency and reliability of water market information is estimated to contribute $</w:t>
      </w:r>
      <w:r w:rsidR="00386739" w:rsidRPr="001E2AF7">
        <w:rPr>
          <w:b/>
          <w:bCs/>
        </w:rPr>
        <w:t>1</w:t>
      </w:r>
      <w:r w:rsidR="000900C1" w:rsidRPr="001E2AF7">
        <w:rPr>
          <w:b/>
          <w:bCs/>
        </w:rPr>
        <w:t>7</w:t>
      </w:r>
      <w:r w:rsidR="00386739" w:rsidRPr="001E2AF7">
        <w:rPr>
          <w:b/>
          <w:bCs/>
        </w:rPr>
        <w:t>9</w:t>
      </w:r>
      <w:r w:rsidR="00810AE1" w:rsidRPr="001E2AF7">
        <w:rPr>
          <w:b/>
          <w:bCs/>
        </w:rPr>
        <w:t>,</w:t>
      </w:r>
      <w:r w:rsidR="000900C1" w:rsidRPr="001E2AF7">
        <w:rPr>
          <w:b/>
          <w:bCs/>
        </w:rPr>
        <w:t>794</w:t>
      </w:r>
      <w:r w:rsidRPr="001E2AF7">
        <w:rPr>
          <w:b/>
          <w:bCs/>
        </w:rPr>
        <w:t xml:space="preserve"> in costs avoided.</w:t>
      </w:r>
    </w:p>
    <w:p w14:paraId="264DE481" w14:textId="769E3947" w:rsidR="00C173E5" w:rsidRPr="00821C85" w:rsidRDefault="00C173E5" w:rsidP="00F1756A">
      <w:r w:rsidRPr="00821C85">
        <w:lastRenderedPageBreak/>
        <w:t>This analysis assumes:</w:t>
      </w:r>
    </w:p>
    <w:p w14:paraId="1543E2DD" w14:textId="176E7AC6" w:rsidR="00C173E5" w:rsidRPr="00821C85" w:rsidRDefault="00C173E5">
      <w:pPr>
        <w:pStyle w:val="Bullet"/>
      </w:pPr>
      <w:r w:rsidRPr="00821C85">
        <w:t>Prior to Marsden Jacobs designing Water</w:t>
      </w:r>
      <w:r>
        <w:t>f</w:t>
      </w:r>
      <w:r w:rsidRPr="00821C85">
        <w:t xml:space="preserve">low, water market users searched multiple different sites for buy and trade opportunities. This process required on average </w:t>
      </w:r>
      <w:r w:rsidRPr="00B6268B">
        <w:t>10</w:t>
      </w:r>
      <w:r w:rsidRPr="00821C85">
        <w:t xml:space="preserve"> minutes for expert users (e.g. brokers) and as much as </w:t>
      </w:r>
      <w:r w:rsidRPr="00B6268B">
        <w:t>30</w:t>
      </w:r>
      <w:r w:rsidRPr="00821C85">
        <w:t xml:space="preserve"> minutes for non-expert users (e.g. some farmers).</w:t>
      </w:r>
      <w:r w:rsidR="00D04A74">
        <w:rPr>
          <w:rStyle w:val="FootnoteReference"/>
        </w:rPr>
        <w:footnoteReference w:id="101"/>
      </w:r>
    </w:p>
    <w:p w14:paraId="6862E786" w14:textId="5E7AFD9A" w:rsidR="00C173E5" w:rsidRPr="00821C85" w:rsidRDefault="00C173E5">
      <w:pPr>
        <w:pStyle w:val="Bullet"/>
      </w:pPr>
      <w:r w:rsidRPr="00821C85">
        <w:t xml:space="preserve">An hour of </w:t>
      </w:r>
      <w:r>
        <w:t>user</w:t>
      </w:r>
      <w:r w:rsidRPr="00821C85">
        <w:t xml:space="preserve"> time is valued at $</w:t>
      </w:r>
      <w:r w:rsidRPr="00B6268B">
        <w:t>48.63</w:t>
      </w:r>
      <w:r w:rsidRPr="00821C85">
        <w:t xml:space="preserve"> per hour.</w:t>
      </w:r>
      <w:r w:rsidRPr="00821C85">
        <w:rPr>
          <w:rStyle w:val="FootnoteReference"/>
        </w:rPr>
        <w:footnoteReference w:id="102"/>
      </w:r>
    </w:p>
    <w:p w14:paraId="355900D2" w14:textId="2EE5B299" w:rsidR="00C173E5" w:rsidRPr="00821C85" w:rsidRDefault="00C173E5">
      <w:pPr>
        <w:pStyle w:val="Bullet"/>
      </w:pPr>
      <w:r w:rsidRPr="00821C85">
        <w:t xml:space="preserve">The BRII solution enables water market users to find buy and trade opportunities in as little </w:t>
      </w:r>
      <w:r w:rsidR="00D04A74">
        <w:t xml:space="preserve">as </w:t>
      </w:r>
      <w:r w:rsidRPr="00B6268B">
        <w:t>one</w:t>
      </w:r>
      <w:r w:rsidRPr="00821C85">
        <w:t xml:space="preserve"> minute.</w:t>
      </w:r>
      <w:r w:rsidR="00D04A74">
        <w:rPr>
          <w:rStyle w:val="FootnoteReference"/>
        </w:rPr>
        <w:footnoteReference w:id="103"/>
      </w:r>
    </w:p>
    <w:p w14:paraId="3FC5B8A5" w14:textId="68249088" w:rsidR="00C173E5" w:rsidRPr="00821C85" w:rsidRDefault="00C173E5">
      <w:pPr>
        <w:pStyle w:val="Bullet"/>
      </w:pPr>
      <w:r w:rsidRPr="00821C85">
        <w:t xml:space="preserve">The expert to non-expert user ratio for the solution is </w:t>
      </w:r>
      <w:r w:rsidRPr="00B6268B">
        <w:t>0.75</w:t>
      </w:r>
      <w:r w:rsidRPr="00821C85">
        <w:t>.</w:t>
      </w:r>
      <w:r w:rsidR="00D849BB">
        <w:t xml:space="preserve"> Unverified estimate used for scenario modelling only.</w:t>
      </w:r>
    </w:p>
    <w:p w14:paraId="62AA3CF2" w14:textId="44905070" w:rsidR="00073B58" w:rsidRDefault="00073B58">
      <w:pPr>
        <w:pStyle w:val="xAppendixLevel2"/>
      </w:pPr>
      <w:bookmarkStart w:id="237" w:name="_Toc124435191"/>
      <w:r>
        <w:t>Summary of benefits included in CBA</w:t>
      </w:r>
      <w:bookmarkEnd w:id="237"/>
    </w:p>
    <w:p w14:paraId="48C4E107" w14:textId="15118D16" w:rsidR="00DB7FF6" w:rsidRDefault="00DB7FF6" w:rsidP="00DB7FF6">
      <w:pPr>
        <w:pStyle w:val="Caption"/>
      </w:pPr>
      <w:r>
        <w:t xml:space="preserve">Table </w:t>
      </w:r>
      <w:r>
        <w:fldChar w:fldCharType="begin"/>
      </w:r>
      <w:r>
        <w:instrText xml:space="preserve"> SEQ Table \* ARABIC </w:instrText>
      </w:r>
      <w:r>
        <w:fldChar w:fldCharType="separate"/>
      </w:r>
      <w:r w:rsidR="00AE607F">
        <w:rPr>
          <w:noProof/>
        </w:rPr>
        <w:t>24</w:t>
      </w:r>
      <w:r>
        <w:fldChar w:fldCharType="end"/>
      </w:r>
      <w:r>
        <w:t xml:space="preserve"> | </w:t>
      </w:r>
      <w:r w:rsidR="004B05A1">
        <w:t>CBA b</w:t>
      </w:r>
      <w:r>
        <w:t xml:space="preserve">enefits </w:t>
      </w:r>
      <w:r w:rsidR="008A231F">
        <w:t>captured,</w:t>
      </w:r>
      <w:r>
        <w:t xml:space="preserve"> </w:t>
      </w:r>
      <w:r>
        <w:rPr>
          <w:noProof/>
        </w:rPr>
        <w:t xml:space="preserve">and </w:t>
      </w:r>
      <w:r w:rsidR="004B05A1">
        <w:rPr>
          <w:noProof/>
        </w:rPr>
        <w:t xml:space="preserve">their </w:t>
      </w:r>
      <w:r>
        <w:rPr>
          <w:noProof/>
        </w:rPr>
        <w:t>future considerations</w:t>
      </w:r>
      <w:r w:rsidR="00D43A5D">
        <w:rPr>
          <w:noProof/>
        </w:rPr>
        <w:t xml:space="preserve"> </w:t>
      </w:r>
      <w:r w:rsidR="007F5A6B">
        <w:rPr>
          <w:noProof/>
        </w:rPr>
        <w:t>aligned</w:t>
      </w:r>
      <w:r>
        <w:rPr>
          <w:noProof/>
        </w:rPr>
        <w:t xml:space="preserve"> to th</w:t>
      </w:r>
      <w:r w:rsidR="00D43A5D">
        <w:rPr>
          <w:noProof/>
        </w:rPr>
        <w:t>e</w:t>
      </w:r>
      <w:r>
        <w:rPr>
          <w:noProof/>
        </w:rPr>
        <w:t xml:space="preserve"> BRII Program Logic</w:t>
      </w:r>
    </w:p>
    <w:tbl>
      <w:tblPr>
        <w:tblStyle w:val="TableGrid"/>
        <w:tblW w:w="5082" w:type="pct"/>
        <w:tblBorders>
          <w:top w:val="single" w:sz="4" w:space="0" w:color="00264D" w:themeColor="background2"/>
          <w:left w:val="single" w:sz="4" w:space="0" w:color="00264D" w:themeColor="background2"/>
          <w:bottom w:val="single" w:sz="4" w:space="0" w:color="00264D" w:themeColor="background2"/>
          <w:right w:val="single" w:sz="4" w:space="0" w:color="00264D" w:themeColor="background2"/>
          <w:insideH w:val="single" w:sz="4" w:space="0" w:color="00264D" w:themeColor="background2"/>
          <w:insideV w:val="single" w:sz="4" w:space="0" w:color="00264D" w:themeColor="background2"/>
        </w:tblBorders>
        <w:tblLook w:val="04A0" w:firstRow="1" w:lastRow="0" w:firstColumn="1" w:lastColumn="0" w:noHBand="0" w:noVBand="1"/>
      </w:tblPr>
      <w:tblGrid>
        <w:gridCol w:w="2182"/>
        <w:gridCol w:w="3047"/>
        <w:gridCol w:w="3837"/>
      </w:tblGrid>
      <w:tr w:rsidR="00F56561" w14:paraId="546138A4" w14:textId="77777777" w:rsidTr="005A35A2">
        <w:trPr>
          <w:cnfStyle w:val="100000000000" w:firstRow="1" w:lastRow="0" w:firstColumn="0" w:lastColumn="0" w:oddVBand="0" w:evenVBand="0" w:oddHBand="0" w:evenHBand="0" w:firstRowFirstColumn="0" w:firstRowLastColumn="0" w:lastRowFirstColumn="0" w:lastRowLastColumn="0"/>
        </w:trPr>
        <w:tc>
          <w:tcPr>
            <w:tcW w:w="1203"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264D" w:themeFill="background2"/>
          </w:tcPr>
          <w:p w14:paraId="66EB9966" w14:textId="77777777" w:rsidR="00DB7FF6" w:rsidRPr="005A35A2" w:rsidRDefault="00DB7FF6" w:rsidP="005A35A2">
            <w:pPr>
              <w:pStyle w:val="TableNheader"/>
              <w:rPr>
                <w:color w:val="FFFFFF" w:themeColor="background1"/>
              </w:rPr>
            </w:pPr>
            <w:r w:rsidRPr="005A35A2">
              <w:rPr>
                <w:color w:val="FFFFFF" w:themeColor="background1"/>
              </w:rPr>
              <w:t>Benefit</w:t>
            </w:r>
          </w:p>
        </w:tc>
        <w:tc>
          <w:tcPr>
            <w:tcW w:w="168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264D" w:themeFill="background2"/>
          </w:tcPr>
          <w:p w14:paraId="7768C2FB" w14:textId="77777777" w:rsidR="00DB7FF6" w:rsidRPr="005A35A2" w:rsidRDefault="00DB7FF6" w:rsidP="005A35A2">
            <w:pPr>
              <w:pStyle w:val="TableNheader"/>
              <w:rPr>
                <w:color w:val="FFFFFF" w:themeColor="background1"/>
              </w:rPr>
            </w:pPr>
            <w:r w:rsidRPr="005A35A2">
              <w:rPr>
                <w:color w:val="FFFFFF" w:themeColor="background1"/>
              </w:rPr>
              <w:t>Representation in CBA</w:t>
            </w:r>
          </w:p>
        </w:tc>
        <w:tc>
          <w:tcPr>
            <w:tcW w:w="2116"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264D" w:themeFill="background2"/>
          </w:tcPr>
          <w:p w14:paraId="090D0ABA" w14:textId="77777777" w:rsidR="00DB7FF6" w:rsidRPr="005A35A2" w:rsidRDefault="00DB7FF6" w:rsidP="005A35A2">
            <w:pPr>
              <w:pStyle w:val="TableNheader"/>
              <w:rPr>
                <w:color w:val="FFFFFF" w:themeColor="background1"/>
              </w:rPr>
            </w:pPr>
            <w:r w:rsidRPr="005A35A2">
              <w:rPr>
                <w:color w:val="FFFFFF" w:themeColor="background1"/>
              </w:rPr>
              <w:t>Considerations</w:t>
            </w:r>
          </w:p>
        </w:tc>
      </w:tr>
      <w:tr w:rsidR="00DB7FF6" w14:paraId="25B0D335" w14:textId="77777777" w:rsidTr="005A35A2">
        <w:trPr>
          <w:cnfStyle w:val="000000100000" w:firstRow="0" w:lastRow="0" w:firstColumn="0" w:lastColumn="0" w:oddVBand="0" w:evenVBand="0" w:oddHBand="1" w:evenHBand="0" w:firstRowFirstColumn="0" w:firstRowLastColumn="0" w:lastRowFirstColumn="0" w:lastRowLastColumn="0"/>
        </w:trPr>
        <w:tc>
          <w:tcPr>
            <w:tcW w:w="1203" w:type="pct"/>
            <w:vAlign w:val="top"/>
          </w:tcPr>
          <w:p w14:paraId="30C6D8D3" w14:textId="77777777" w:rsidR="00DB7FF6" w:rsidRDefault="00DB7FF6" w:rsidP="005A35A2">
            <w:pPr>
              <w:pStyle w:val="TableNText"/>
            </w:pPr>
            <w:r>
              <w:t>Increased SME awareness of opportunities to supply government</w:t>
            </w:r>
          </w:p>
        </w:tc>
        <w:tc>
          <w:tcPr>
            <w:tcW w:w="1680" w:type="pct"/>
            <w:vAlign w:val="top"/>
          </w:tcPr>
          <w:p w14:paraId="5778EA0C" w14:textId="7C5C96AD" w:rsidR="00DB7FF6" w:rsidRDefault="00DB7FF6" w:rsidP="005A35A2">
            <w:pPr>
              <w:pStyle w:val="TableNText"/>
            </w:pPr>
            <w:r>
              <w:t>Yes. Benefit captured in improved SME performance as measured by revenue change</w:t>
            </w:r>
          </w:p>
        </w:tc>
        <w:tc>
          <w:tcPr>
            <w:tcW w:w="2116" w:type="pct"/>
            <w:vAlign w:val="top"/>
          </w:tcPr>
          <w:p w14:paraId="54B7AE91" w14:textId="4C53E19A" w:rsidR="00DB7FF6" w:rsidRDefault="00DB7FF6" w:rsidP="005A35A2">
            <w:pPr>
              <w:pStyle w:val="TableNText"/>
            </w:pPr>
            <w:r>
              <w:t xml:space="preserve">Only round one proof of concept SMEs are included. Performance of feasibility SMEs and unsuccessful SMEs could be accounted for in </w:t>
            </w:r>
            <w:r w:rsidR="001D7B18">
              <w:t xml:space="preserve">the </w:t>
            </w:r>
            <w:r>
              <w:t>future</w:t>
            </w:r>
          </w:p>
        </w:tc>
      </w:tr>
      <w:tr w:rsidR="00DB7FF6" w14:paraId="7A865744" w14:textId="77777777" w:rsidTr="005A35A2">
        <w:trPr>
          <w:cnfStyle w:val="000000010000" w:firstRow="0" w:lastRow="0" w:firstColumn="0" w:lastColumn="0" w:oddVBand="0" w:evenVBand="0" w:oddHBand="0" w:evenHBand="1" w:firstRowFirstColumn="0" w:firstRowLastColumn="0" w:lastRowFirstColumn="0" w:lastRowLastColumn="0"/>
        </w:trPr>
        <w:tc>
          <w:tcPr>
            <w:tcW w:w="1203" w:type="pct"/>
            <w:vAlign w:val="top"/>
          </w:tcPr>
          <w:p w14:paraId="0BA36CA0" w14:textId="77777777" w:rsidR="00DB7FF6" w:rsidRDefault="00DB7FF6" w:rsidP="005A35A2">
            <w:pPr>
              <w:pStyle w:val="TableNText"/>
            </w:pPr>
            <w:r>
              <w:t>Increased tender responses from SMEs</w:t>
            </w:r>
          </w:p>
        </w:tc>
        <w:tc>
          <w:tcPr>
            <w:tcW w:w="1680" w:type="pct"/>
            <w:vAlign w:val="top"/>
          </w:tcPr>
          <w:p w14:paraId="178AFDD6" w14:textId="070D57F2" w:rsidR="00DB7FF6" w:rsidRDefault="00DB7FF6" w:rsidP="005A35A2">
            <w:pPr>
              <w:pStyle w:val="TableNText"/>
            </w:pPr>
            <w:r>
              <w:t>Yes. Benefit captured in improved SME performance as measured by revenue change</w:t>
            </w:r>
          </w:p>
        </w:tc>
        <w:tc>
          <w:tcPr>
            <w:tcW w:w="2116" w:type="pct"/>
            <w:vAlign w:val="top"/>
          </w:tcPr>
          <w:p w14:paraId="4A38A7B3" w14:textId="2799A4CC" w:rsidR="00DB7FF6" w:rsidRDefault="00DB7FF6" w:rsidP="005A35A2">
            <w:pPr>
              <w:pStyle w:val="TableNText"/>
            </w:pPr>
            <w:r>
              <w:t xml:space="preserve">Only round one proof of concept SMEs are included. Performance of feasibility SMEs and unsuccessful SMEs could be accounted for in </w:t>
            </w:r>
            <w:r w:rsidR="00E25419" w:rsidRPr="00B22EEB">
              <w:t xml:space="preserve">the </w:t>
            </w:r>
            <w:r>
              <w:t>future</w:t>
            </w:r>
          </w:p>
        </w:tc>
      </w:tr>
      <w:tr w:rsidR="00DB7FF6" w14:paraId="17A275C6" w14:textId="77777777" w:rsidTr="005A35A2">
        <w:trPr>
          <w:cnfStyle w:val="000000100000" w:firstRow="0" w:lastRow="0" w:firstColumn="0" w:lastColumn="0" w:oddVBand="0" w:evenVBand="0" w:oddHBand="1" w:evenHBand="0" w:firstRowFirstColumn="0" w:firstRowLastColumn="0" w:lastRowFirstColumn="0" w:lastRowLastColumn="0"/>
        </w:trPr>
        <w:tc>
          <w:tcPr>
            <w:tcW w:w="1203" w:type="pct"/>
            <w:vAlign w:val="top"/>
          </w:tcPr>
          <w:p w14:paraId="0ECEB25C" w14:textId="77777777" w:rsidR="00DB7FF6" w:rsidRDefault="00DB7FF6" w:rsidP="005A35A2">
            <w:pPr>
              <w:pStyle w:val="TableNText"/>
            </w:pPr>
            <w:r>
              <w:t>Increased SME confidence working with agencies</w:t>
            </w:r>
          </w:p>
        </w:tc>
        <w:tc>
          <w:tcPr>
            <w:tcW w:w="1680" w:type="pct"/>
            <w:vAlign w:val="top"/>
          </w:tcPr>
          <w:p w14:paraId="2A9D2134" w14:textId="25F3A460" w:rsidR="00DB7FF6" w:rsidRDefault="00DB7FF6" w:rsidP="005A35A2">
            <w:pPr>
              <w:pStyle w:val="TableNText"/>
            </w:pPr>
            <w:r>
              <w:t>Yes. Benefit captured in improved SME performance as measured by revenue change</w:t>
            </w:r>
          </w:p>
        </w:tc>
        <w:tc>
          <w:tcPr>
            <w:tcW w:w="2116" w:type="pct"/>
            <w:vAlign w:val="top"/>
          </w:tcPr>
          <w:p w14:paraId="690FA10E" w14:textId="35CA2928" w:rsidR="00DB7FF6" w:rsidRDefault="00DB7FF6" w:rsidP="005A35A2">
            <w:pPr>
              <w:pStyle w:val="TableNText"/>
            </w:pPr>
            <w:r>
              <w:t xml:space="preserve">Only round one proof of concept SMEs are included. Performance of feasibility SMEs and unsuccessful SMEs could be accounted for in </w:t>
            </w:r>
            <w:r w:rsidR="00E25419" w:rsidRPr="00B22EEB">
              <w:t xml:space="preserve">the </w:t>
            </w:r>
            <w:r>
              <w:t>future</w:t>
            </w:r>
          </w:p>
        </w:tc>
      </w:tr>
      <w:tr w:rsidR="00DB7FF6" w14:paraId="781BA8F7" w14:textId="77777777" w:rsidTr="005A35A2">
        <w:trPr>
          <w:cnfStyle w:val="000000010000" w:firstRow="0" w:lastRow="0" w:firstColumn="0" w:lastColumn="0" w:oddVBand="0" w:evenVBand="0" w:oddHBand="0" w:evenHBand="1" w:firstRowFirstColumn="0" w:firstRowLastColumn="0" w:lastRowFirstColumn="0" w:lastRowLastColumn="0"/>
        </w:trPr>
        <w:tc>
          <w:tcPr>
            <w:tcW w:w="1203" w:type="pct"/>
            <w:vAlign w:val="top"/>
          </w:tcPr>
          <w:p w14:paraId="4E8CDEAE" w14:textId="77777777" w:rsidR="00DB7FF6" w:rsidRDefault="00DB7FF6" w:rsidP="005A35A2">
            <w:pPr>
              <w:pStyle w:val="TableNText"/>
            </w:pPr>
            <w:r>
              <w:lastRenderedPageBreak/>
              <w:t>Increased SME access to national and international markets</w:t>
            </w:r>
          </w:p>
        </w:tc>
        <w:tc>
          <w:tcPr>
            <w:tcW w:w="1680" w:type="pct"/>
            <w:vAlign w:val="top"/>
          </w:tcPr>
          <w:p w14:paraId="0D47AA6E" w14:textId="0EF5B8F7" w:rsidR="00DB7FF6" w:rsidRDefault="00DB7FF6" w:rsidP="005A35A2">
            <w:pPr>
              <w:pStyle w:val="TableNText"/>
            </w:pPr>
            <w:r>
              <w:t>Yes. Benefit captured in improved SME performance as measured by revenue change</w:t>
            </w:r>
          </w:p>
        </w:tc>
        <w:tc>
          <w:tcPr>
            <w:tcW w:w="2116" w:type="pct"/>
            <w:vAlign w:val="top"/>
          </w:tcPr>
          <w:p w14:paraId="1162030C" w14:textId="68F5B914" w:rsidR="00DB7FF6" w:rsidRDefault="00DB7FF6" w:rsidP="005A35A2">
            <w:pPr>
              <w:pStyle w:val="TableNText"/>
            </w:pPr>
            <w:r>
              <w:t>Benefits may not be fully realised yet. Persistence revenue change included in CBA to account for future impact</w:t>
            </w:r>
          </w:p>
        </w:tc>
      </w:tr>
      <w:tr w:rsidR="00DB7FF6" w14:paraId="625624DB" w14:textId="77777777" w:rsidTr="005A35A2">
        <w:trPr>
          <w:cnfStyle w:val="000000100000" w:firstRow="0" w:lastRow="0" w:firstColumn="0" w:lastColumn="0" w:oddVBand="0" w:evenVBand="0" w:oddHBand="1" w:evenHBand="0" w:firstRowFirstColumn="0" w:firstRowLastColumn="0" w:lastRowFirstColumn="0" w:lastRowLastColumn="0"/>
        </w:trPr>
        <w:tc>
          <w:tcPr>
            <w:tcW w:w="1203" w:type="pct"/>
            <w:vAlign w:val="top"/>
          </w:tcPr>
          <w:p w14:paraId="582E021E" w14:textId="77777777" w:rsidR="00DB7FF6" w:rsidRDefault="00DB7FF6" w:rsidP="005A35A2">
            <w:pPr>
              <w:pStyle w:val="TableNText"/>
            </w:pPr>
            <w:r>
              <w:t>Increased innovative capacity of SMEs</w:t>
            </w:r>
          </w:p>
        </w:tc>
        <w:tc>
          <w:tcPr>
            <w:tcW w:w="1680" w:type="pct"/>
            <w:vAlign w:val="top"/>
          </w:tcPr>
          <w:p w14:paraId="7814126F" w14:textId="03C59727" w:rsidR="00DB7FF6" w:rsidRDefault="00DB7FF6" w:rsidP="005A35A2">
            <w:pPr>
              <w:pStyle w:val="TableNText"/>
            </w:pPr>
            <w:r>
              <w:t>Yes. Benefit captured in improved SME performance as measured by revenue change</w:t>
            </w:r>
          </w:p>
        </w:tc>
        <w:tc>
          <w:tcPr>
            <w:tcW w:w="2116" w:type="pct"/>
            <w:vAlign w:val="top"/>
          </w:tcPr>
          <w:p w14:paraId="35142EDA" w14:textId="2332A521" w:rsidR="00DB7FF6" w:rsidRDefault="00DB7FF6" w:rsidP="005A35A2">
            <w:pPr>
              <w:pStyle w:val="TableNText"/>
            </w:pPr>
            <w:r>
              <w:t>Benefits may not be fully realised yet. Persistence revenue change included in CBA to account for future impact</w:t>
            </w:r>
          </w:p>
        </w:tc>
      </w:tr>
      <w:tr w:rsidR="00DB7FF6" w14:paraId="2E221AD3" w14:textId="77777777" w:rsidTr="005A35A2">
        <w:trPr>
          <w:cnfStyle w:val="000000010000" w:firstRow="0" w:lastRow="0" w:firstColumn="0" w:lastColumn="0" w:oddVBand="0" w:evenVBand="0" w:oddHBand="0" w:evenHBand="1" w:firstRowFirstColumn="0" w:firstRowLastColumn="0" w:lastRowFirstColumn="0" w:lastRowLastColumn="0"/>
        </w:trPr>
        <w:tc>
          <w:tcPr>
            <w:tcW w:w="1203" w:type="pct"/>
            <w:vAlign w:val="top"/>
          </w:tcPr>
          <w:p w14:paraId="1DD0C039" w14:textId="6B974139" w:rsidR="00DB7FF6" w:rsidRDefault="00DB7FF6" w:rsidP="005A35A2">
            <w:pPr>
              <w:pStyle w:val="TableNText"/>
            </w:pPr>
            <w:r>
              <w:t xml:space="preserve">Commercialisation of </w:t>
            </w:r>
            <w:r w:rsidR="00303E40">
              <w:t xml:space="preserve">the </w:t>
            </w:r>
            <w:r>
              <w:t>BRII solutions</w:t>
            </w:r>
          </w:p>
        </w:tc>
        <w:tc>
          <w:tcPr>
            <w:tcW w:w="1680" w:type="pct"/>
            <w:vAlign w:val="top"/>
          </w:tcPr>
          <w:p w14:paraId="6C6B1C4D" w14:textId="4E446837" w:rsidR="00DB7FF6" w:rsidRDefault="00DB7FF6" w:rsidP="005A35A2">
            <w:pPr>
              <w:pStyle w:val="TableNText"/>
            </w:pPr>
            <w:r>
              <w:t>Yes. Benefit captured in improved SME performance as measured by revenue change</w:t>
            </w:r>
          </w:p>
        </w:tc>
        <w:tc>
          <w:tcPr>
            <w:tcW w:w="2116" w:type="pct"/>
            <w:vAlign w:val="top"/>
          </w:tcPr>
          <w:p w14:paraId="6429AEC1" w14:textId="315EF6E6" w:rsidR="00DB7FF6" w:rsidRDefault="00DB7FF6" w:rsidP="005A35A2">
            <w:pPr>
              <w:pStyle w:val="TableNText"/>
            </w:pPr>
            <w:r>
              <w:t>Benefits may not be fully realised yet. Persistence revenue change included in CBA to account for future impact</w:t>
            </w:r>
          </w:p>
        </w:tc>
      </w:tr>
      <w:tr w:rsidR="00DB7FF6" w14:paraId="79CFA8CB" w14:textId="77777777" w:rsidTr="005A35A2">
        <w:trPr>
          <w:cnfStyle w:val="000000100000" w:firstRow="0" w:lastRow="0" w:firstColumn="0" w:lastColumn="0" w:oddVBand="0" w:evenVBand="0" w:oddHBand="1" w:evenHBand="0" w:firstRowFirstColumn="0" w:firstRowLastColumn="0" w:lastRowFirstColumn="0" w:lastRowLastColumn="0"/>
        </w:trPr>
        <w:tc>
          <w:tcPr>
            <w:tcW w:w="1203" w:type="pct"/>
            <w:vAlign w:val="top"/>
          </w:tcPr>
          <w:p w14:paraId="6D6BDC07" w14:textId="77777777" w:rsidR="00DB7FF6" w:rsidRDefault="00DB7FF6" w:rsidP="005A35A2">
            <w:pPr>
              <w:pStyle w:val="TableNText"/>
            </w:pPr>
            <w:r>
              <w:t>Increased innovative capacity of challenge agencies</w:t>
            </w:r>
          </w:p>
        </w:tc>
        <w:tc>
          <w:tcPr>
            <w:tcW w:w="1680" w:type="pct"/>
            <w:vAlign w:val="top"/>
          </w:tcPr>
          <w:p w14:paraId="5DE4EE67" w14:textId="4902B353" w:rsidR="00DB7FF6" w:rsidRDefault="00DB7FF6" w:rsidP="005A35A2">
            <w:pPr>
              <w:pStyle w:val="TableNText"/>
            </w:pPr>
            <w:r>
              <w:t>No. Non-monetary benefit not represented in CBA</w:t>
            </w:r>
          </w:p>
        </w:tc>
        <w:tc>
          <w:tcPr>
            <w:tcW w:w="2116" w:type="pct"/>
            <w:vAlign w:val="top"/>
          </w:tcPr>
          <w:p w14:paraId="329ADAFB" w14:textId="2E9D7B14" w:rsidR="00DB7FF6" w:rsidRDefault="009A3772" w:rsidP="005A35A2">
            <w:pPr>
              <w:pStyle w:val="TableNText"/>
            </w:pPr>
            <w:r>
              <w:t xml:space="preserve">Qualitative findings included in the final report. </w:t>
            </w:r>
            <w:r w:rsidR="00190D48">
              <w:t>If the BRII were to scale</w:t>
            </w:r>
            <w:r w:rsidR="008C404E">
              <w:t>-</w:t>
            </w:r>
            <w:r w:rsidR="00190D48">
              <w:t xml:space="preserve">up the measurement of </w:t>
            </w:r>
            <w:r w:rsidR="003073A9">
              <w:t xml:space="preserve">the </w:t>
            </w:r>
            <w:r w:rsidR="00190D48">
              <w:t>BRII’s impact on</w:t>
            </w:r>
            <w:r w:rsidR="002260BE">
              <w:t xml:space="preserve"> </w:t>
            </w:r>
            <w:r>
              <w:t>APS innovative capacity will be important</w:t>
            </w:r>
          </w:p>
        </w:tc>
      </w:tr>
      <w:tr w:rsidR="00DB7FF6" w14:paraId="2E029A62" w14:textId="77777777" w:rsidTr="005A35A2">
        <w:trPr>
          <w:cnfStyle w:val="000000010000" w:firstRow="0" w:lastRow="0" w:firstColumn="0" w:lastColumn="0" w:oddVBand="0" w:evenVBand="0" w:oddHBand="0" w:evenHBand="1" w:firstRowFirstColumn="0" w:firstRowLastColumn="0" w:lastRowFirstColumn="0" w:lastRowLastColumn="0"/>
        </w:trPr>
        <w:tc>
          <w:tcPr>
            <w:tcW w:w="1203" w:type="pct"/>
            <w:vAlign w:val="top"/>
          </w:tcPr>
          <w:p w14:paraId="2E8B7D3E" w14:textId="77777777" w:rsidR="00DB7FF6" w:rsidRDefault="00DB7FF6" w:rsidP="005A35A2">
            <w:pPr>
              <w:pStyle w:val="TableNText"/>
            </w:pPr>
            <w:r>
              <w:t>Improved awareness of and collaboration between SMEs and government</w:t>
            </w:r>
          </w:p>
        </w:tc>
        <w:tc>
          <w:tcPr>
            <w:tcW w:w="1680" w:type="pct"/>
            <w:vAlign w:val="top"/>
          </w:tcPr>
          <w:p w14:paraId="385072FD" w14:textId="07A663F4" w:rsidR="00DB7FF6" w:rsidRDefault="00DB7FF6" w:rsidP="005A35A2">
            <w:pPr>
              <w:pStyle w:val="TableNText"/>
            </w:pPr>
            <w:r>
              <w:t>No. Non-monetary benefit not represented in CBA</w:t>
            </w:r>
          </w:p>
        </w:tc>
        <w:tc>
          <w:tcPr>
            <w:tcW w:w="2116" w:type="pct"/>
            <w:vAlign w:val="top"/>
          </w:tcPr>
          <w:p w14:paraId="015827FC" w14:textId="5AAF4BD3" w:rsidR="00DB7FF6" w:rsidRDefault="00DB7FF6" w:rsidP="005A35A2">
            <w:pPr>
              <w:pStyle w:val="TableNText"/>
            </w:pPr>
            <w:r>
              <w:t>AusTender procurement trends for challenge agencies used as a proxy for descriptive statistics</w:t>
            </w:r>
          </w:p>
        </w:tc>
      </w:tr>
      <w:tr w:rsidR="00DB7FF6" w14:paraId="0E8DAE37" w14:textId="77777777" w:rsidTr="005A35A2">
        <w:trPr>
          <w:cnfStyle w:val="000000100000" w:firstRow="0" w:lastRow="0" w:firstColumn="0" w:lastColumn="0" w:oddVBand="0" w:evenVBand="0" w:oddHBand="1" w:evenHBand="0" w:firstRowFirstColumn="0" w:firstRowLastColumn="0" w:lastRowFirstColumn="0" w:lastRowLastColumn="0"/>
        </w:trPr>
        <w:tc>
          <w:tcPr>
            <w:tcW w:w="1203" w:type="pct"/>
            <w:vAlign w:val="top"/>
          </w:tcPr>
          <w:p w14:paraId="34E95F0C" w14:textId="77777777" w:rsidR="00DB7FF6" w:rsidRDefault="00DB7FF6" w:rsidP="005A35A2">
            <w:pPr>
              <w:pStyle w:val="TableNText"/>
            </w:pPr>
            <w:r>
              <w:t>More informed policy decisions and continuous program improvement</w:t>
            </w:r>
          </w:p>
        </w:tc>
        <w:tc>
          <w:tcPr>
            <w:tcW w:w="1680" w:type="pct"/>
            <w:vAlign w:val="top"/>
          </w:tcPr>
          <w:p w14:paraId="77F00C3C" w14:textId="1555313B" w:rsidR="00DB7FF6" w:rsidRDefault="00DB7FF6" w:rsidP="005A35A2">
            <w:pPr>
              <w:pStyle w:val="TableNText"/>
            </w:pPr>
            <w:r>
              <w:t>No. Non-monetary benefit not represented in CBA</w:t>
            </w:r>
          </w:p>
        </w:tc>
        <w:tc>
          <w:tcPr>
            <w:tcW w:w="2116" w:type="pct"/>
            <w:vAlign w:val="top"/>
          </w:tcPr>
          <w:p w14:paraId="4F125D2F" w14:textId="095345F4" w:rsidR="00DB7FF6" w:rsidRDefault="00DB7FF6" w:rsidP="005A35A2">
            <w:pPr>
              <w:pStyle w:val="TableNText"/>
            </w:pPr>
            <w:r>
              <w:t>Longer term impact of policy decisions and program changes may be measurable in the future</w:t>
            </w:r>
          </w:p>
        </w:tc>
      </w:tr>
      <w:tr w:rsidR="00DB7FF6" w14:paraId="3FBEAE15" w14:textId="77777777" w:rsidTr="005A35A2">
        <w:trPr>
          <w:cnfStyle w:val="000000010000" w:firstRow="0" w:lastRow="0" w:firstColumn="0" w:lastColumn="0" w:oddVBand="0" w:evenVBand="0" w:oddHBand="0" w:evenHBand="1" w:firstRowFirstColumn="0" w:firstRowLastColumn="0" w:lastRowFirstColumn="0" w:lastRowLastColumn="0"/>
        </w:trPr>
        <w:tc>
          <w:tcPr>
            <w:tcW w:w="1203" w:type="pct"/>
            <w:vAlign w:val="top"/>
          </w:tcPr>
          <w:p w14:paraId="6C613B29" w14:textId="77777777" w:rsidR="00DB7FF6" w:rsidRDefault="00DB7FF6" w:rsidP="005A35A2">
            <w:pPr>
              <w:pStyle w:val="TableNText"/>
            </w:pPr>
            <w:r>
              <w:t>Potential solutions to challenges</w:t>
            </w:r>
          </w:p>
        </w:tc>
        <w:tc>
          <w:tcPr>
            <w:tcW w:w="1680" w:type="pct"/>
            <w:vAlign w:val="top"/>
          </w:tcPr>
          <w:p w14:paraId="69278329" w14:textId="004E50A5" w:rsidR="00DB7FF6" w:rsidRDefault="00DB7FF6" w:rsidP="005A35A2">
            <w:pPr>
              <w:pStyle w:val="TableNText"/>
            </w:pPr>
            <w:r>
              <w:t>Yes. Partially captured in CBA through scenario analysis of outcomes (i.e. to user inputs and outputs) for implementation of three BRII solutions</w:t>
            </w:r>
          </w:p>
        </w:tc>
        <w:tc>
          <w:tcPr>
            <w:tcW w:w="2116" w:type="pct"/>
            <w:vAlign w:val="top"/>
          </w:tcPr>
          <w:p w14:paraId="0B031C4D" w14:textId="5DE084CB" w:rsidR="008C28B0" w:rsidRDefault="008C6B2F" w:rsidP="005A35A2">
            <w:pPr>
              <w:pStyle w:val="TableNText"/>
            </w:pPr>
            <w:r>
              <w:t>Non-measured b</w:t>
            </w:r>
            <w:r w:rsidR="00DB7FF6">
              <w:t xml:space="preserve">enefits for </w:t>
            </w:r>
            <w:r>
              <w:t xml:space="preserve">the </w:t>
            </w:r>
            <w:r w:rsidR="00DB7FF6">
              <w:t>REACH</w:t>
            </w:r>
            <w:r>
              <w:t xml:space="preserve"> solution</w:t>
            </w:r>
            <w:r w:rsidR="00DB7FF6">
              <w:t xml:space="preserve"> </w:t>
            </w:r>
            <w:r>
              <w:t xml:space="preserve">will </w:t>
            </w:r>
            <w:r w:rsidR="00DB7FF6">
              <w:t xml:space="preserve">be </w:t>
            </w:r>
            <w:r w:rsidR="00C05F9F">
              <w:t xml:space="preserve">measured </w:t>
            </w:r>
            <w:r w:rsidR="00DB7FF6">
              <w:t xml:space="preserve">in the </w:t>
            </w:r>
            <w:r w:rsidR="00C05F9F">
              <w:t xml:space="preserve">near </w:t>
            </w:r>
            <w:r w:rsidR="00DB7FF6">
              <w:t xml:space="preserve">future. </w:t>
            </w:r>
            <w:r>
              <w:t xml:space="preserve">DISER should </w:t>
            </w:r>
            <w:r w:rsidR="00270914">
              <w:t xml:space="preserve">engage DSS and NSW DCJ to obtain the outcomes of the </w:t>
            </w:r>
            <w:r w:rsidR="00B351E9">
              <w:t>impact analysis when it is available</w:t>
            </w:r>
          </w:p>
          <w:p w14:paraId="2F209C7E" w14:textId="2E7F1F4C" w:rsidR="00DB7FF6" w:rsidRDefault="00DB7FF6" w:rsidP="005A35A2">
            <w:pPr>
              <w:pStyle w:val="TableNText"/>
            </w:pPr>
            <w:r>
              <w:t>There may also be o</w:t>
            </w:r>
            <w:r w:rsidRPr="001F2F6F">
              <w:t>ther benefits for government and society from the three case study solutions beyond those accounted for in the CBA</w:t>
            </w:r>
          </w:p>
          <w:p w14:paraId="2BDFB20F" w14:textId="2D83A5DF" w:rsidR="00DB7FF6" w:rsidRDefault="005C6E01" w:rsidP="005A35A2">
            <w:pPr>
              <w:pStyle w:val="TableNText"/>
            </w:pPr>
            <w:r>
              <w:t xml:space="preserve">As solutions from subsequent rounds mature DISER may consider using the </w:t>
            </w:r>
            <w:r w:rsidR="008F20FA">
              <w:t xml:space="preserve">method from this evaluation to </w:t>
            </w:r>
            <w:r w:rsidR="008F20FA">
              <w:lastRenderedPageBreak/>
              <w:t xml:space="preserve">measure the </w:t>
            </w:r>
            <w:r w:rsidR="00577D36">
              <w:t>economic impact of those solutions</w:t>
            </w:r>
          </w:p>
        </w:tc>
      </w:tr>
      <w:tr w:rsidR="00DB7FF6" w14:paraId="16166EC4" w14:textId="77777777" w:rsidTr="005A35A2">
        <w:trPr>
          <w:cnfStyle w:val="000000100000" w:firstRow="0" w:lastRow="0" w:firstColumn="0" w:lastColumn="0" w:oddVBand="0" w:evenVBand="0" w:oddHBand="1" w:evenHBand="0" w:firstRowFirstColumn="0" w:firstRowLastColumn="0" w:lastRowFirstColumn="0" w:lastRowLastColumn="0"/>
        </w:trPr>
        <w:tc>
          <w:tcPr>
            <w:tcW w:w="1203" w:type="pct"/>
            <w:vAlign w:val="top"/>
          </w:tcPr>
          <w:p w14:paraId="11294428" w14:textId="77777777" w:rsidR="00DB7FF6" w:rsidRDefault="00DB7FF6" w:rsidP="005A35A2">
            <w:pPr>
              <w:pStyle w:val="TableNText"/>
            </w:pPr>
            <w:r>
              <w:lastRenderedPageBreak/>
              <w:t>Agency confidence working with SMEs</w:t>
            </w:r>
          </w:p>
        </w:tc>
        <w:tc>
          <w:tcPr>
            <w:tcW w:w="1680" w:type="pct"/>
            <w:vAlign w:val="top"/>
          </w:tcPr>
          <w:p w14:paraId="772874EA" w14:textId="577883DC" w:rsidR="00DB7FF6" w:rsidRDefault="00DB7FF6" w:rsidP="005A35A2">
            <w:pPr>
              <w:pStyle w:val="TableNText"/>
            </w:pPr>
            <w:r>
              <w:t>No. Non-monetary benefit not represented in CBA</w:t>
            </w:r>
          </w:p>
        </w:tc>
        <w:tc>
          <w:tcPr>
            <w:tcW w:w="2116" w:type="pct"/>
            <w:vAlign w:val="top"/>
          </w:tcPr>
          <w:p w14:paraId="661A32A9" w14:textId="4567786C" w:rsidR="00DB7FF6" w:rsidRDefault="00DB7FF6" w:rsidP="005A35A2">
            <w:pPr>
              <w:pStyle w:val="TableNText"/>
            </w:pPr>
            <w:r>
              <w:t xml:space="preserve">Longer term impact to procurement trends of agency confidence working with SMEs on policy </w:t>
            </w:r>
            <w:r w:rsidR="00BE6131">
              <w:t xml:space="preserve">may </w:t>
            </w:r>
            <w:r>
              <w:t>be measurable in the future</w:t>
            </w:r>
          </w:p>
        </w:tc>
      </w:tr>
    </w:tbl>
    <w:p w14:paraId="50981293" w14:textId="4D864CBC" w:rsidR="00C173E5" w:rsidRDefault="00C173E5">
      <w:pPr>
        <w:pStyle w:val="xAppendixLevel2"/>
      </w:pPr>
      <w:bookmarkStart w:id="238" w:name="_Toc124435192"/>
      <w:r>
        <w:t xml:space="preserve">Costs associated with the delivery of </w:t>
      </w:r>
      <w:r w:rsidR="00634467">
        <w:t xml:space="preserve">the </w:t>
      </w:r>
      <w:r>
        <w:t>BRII</w:t>
      </w:r>
      <w:bookmarkEnd w:id="238"/>
    </w:p>
    <w:p w14:paraId="750D747E" w14:textId="375C922E" w:rsidR="00C173E5" w:rsidRPr="001E2AF7" w:rsidRDefault="0039401E" w:rsidP="001E2AF7">
      <w:pPr>
        <w:rPr>
          <w:b/>
          <w:bCs/>
        </w:rPr>
      </w:pPr>
      <w:r w:rsidRPr="001E2AF7">
        <w:rPr>
          <w:b/>
          <w:bCs/>
        </w:rPr>
        <w:t xml:space="preserve">The </w:t>
      </w:r>
      <w:r w:rsidR="00C173E5" w:rsidRPr="001E2AF7">
        <w:rPr>
          <w:b/>
          <w:bCs/>
        </w:rPr>
        <w:t>BRII is estimated to cost a total of $</w:t>
      </w:r>
      <w:r w:rsidR="002A0F58" w:rsidRPr="001E2AF7">
        <w:rPr>
          <w:b/>
          <w:bCs/>
        </w:rPr>
        <w:t>16.</w:t>
      </w:r>
      <w:r w:rsidR="005611B0" w:rsidRPr="001E2AF7">
        <w:rPr>
          <w:b/>
          <w:bCs/>
        </w:rPr>
        <w:t>4</w:t>
      </w:r>
      <w:r w:rsidR="00C173E5" w:rsidRPr="001E2AF7">
        <w:rPr>
          <w:b/>
          <w:bCs/>
        </w:rPr>
        <w:t xml:space="preserve"> million over the period FY</w:t>
      </w:r>
      <w:r w:rsidR="00622C5B" w:rsidRPr="001E2AF7">
        <w:rPr>
          <w:b/>
          <w:bCs/>
        </w:rPr>
        <w:t>16/</w:t>
      </w:r>
      <w:r w:rsidR="00C173E5" w:rsidRPr="001E2AF7">
        <w:rPr>
          <w:b/>
          <w:bCs/>
        </w:rPr>
        <w:t>17 to FY24</w:t>
      </w:r>
      <w:r w:rsidR="00622C5B" w:rsidRPr="001E2AF7">
        <w:rPr>
          <w:b/>
          <w:bCs/>
        </w:rPr>
        <w:t>/25</w:t>
      </w:r>
      <w:r w:rsidR="00C173E5" w:rsidRPr="001E2AF7">
        <w:rPr>
          <w:b/>
          <w:bCs/>
        </w:rPr>
        <w:t>.</w:t>
      </w:r>
    </w:p>
    <w:p w14:paraId="203AFB43" w14:textId="77777777" w:rsidR="00C173E5" w:rsidRPr="004A5F86" w:rsidRDefault="00C173E5" w:rsidP="0039401E">
      <w:r w:rsidRPr="004A5F86">
        <w:t>Most costs for the BRII program accrue to government, specifically the Department of Industry, Science, Energy and Resources (DISER) and the challenge agencies participating in BRII. The main cost components are outlined below:</w:t>
      </w:r>
    </w:p>
    <w:p w14:paraId="11C60BFD" w14:textId="5850E542" w:rsidR="00C173E5" w:rsidRPr="004A5F86" w:rsidRDefault="00C173E5">
      <w:pPr>
        <w:pStyle w:val="Bullet"/>
        <w:rPr>
          <w:rFonts w:eastAsiaTheme="minorHAnsi"/>
        </w:rPr>
      </w:pPr>
      <w:r w:rsidRPr="004A5F86">
        <w:rPr>
          <w:rFonts w:eastAsiaTheme="minorHAnsi"/>
        </w:rPr>
        <w:t>Funding costs totalling $</w:t>
      </w:r>
      <w:r w:rsidR="00644686">
        <w:rPr>
          <w:rFonts w:eastAsiaTheme="minorHAnsi"/>
        </w:rPr>
        <w:t>13.2</w:t>
      </w:r>
      <w:r w:rsidRPr="004A5F86">
        <w:rPr>
          <w:rFonts w:eastAsiaTheme="minorHAnsi"/>
        </w:rPr>
        <w:t xml:space="preserve"> million for round one </w:t>
      </w:r>
      <w:r w:rsidR="00D249DC">
        <w:rPr>
          <w:rFonts w:eastAsiaTheme="minorHAnsi"/>
        </w:rPr>
        <w:t xml:space="preserve">are </w:t>
      </w:r>
      <w:r w:rsidRPr="004A5F86">
        <w:rPr>
          <w:rFonts w:eastAsiaTheme="minorHAnsi"/>
        </w:rPr>
        <w:t>made up of $</w:t>
      </w:r>
      <w:r w:rsidR="00FE7ED6">
        <w:rPr>
          <w:rFonts w:eastAsiaTheme="minorHAnsi"/>
        </w:rPr>
        <w:t>2.4</w:t>
      </w:r>
      <w:r w:rsidRPr="004A5F86">
        <w:rPr>
          <w:rFonts w:eastAsiaTheme="minorHAnsi"/>
        </w:rPr>
        <w:t xml:space="preserve"> million in feasibility funding and $</w:t>
      </w:r>
      <w:r w:rsidR="002E48BF">
        <w:rPr>
          <w:rFonts w:eastAsiaTheme="minorHAnsi"/>
        </w:rPr>
        <w:t>10.7</w:t>
      </w:r>
      <w:r w:rsidRPr="004A5F86">
        <w:rPr>
          <w:rFonts w:eastAsiaTheme="minorHAnsi"/>
        </w:rPr>
        <w:t xml:space="preserve"> million in </w:t>
      </w:r>
      <w:r w:rsidR="00F04833">
        <w:rPr>
          <w:rFonts w:eastAsiaTheme="minorHAnsi"/>
        </w:rPr>
        <w:t>proof of concept</w:t>
      </w:r>
      <w:r w:rsidRPr="004A5F86">
        <w:rPr>
          <w:rFonts w:eastAsiaTheme="minorHAnsi"/>
        </w:rPr>
        <w:t xml:space="preserve"> funding.</w:t>
      </w:r>
      <w:r w:rsidR="009406A6">
        <w:rPr>
          <w:rFonts w:eastAsiaTheme="minorHAnsi"/>
        </w:rPr>
        <w:t xml:space="preserve"> </w:t>
      </w:r>
      <w:r w:rsidR="009406A6" w:rsidRPr="0041755A">
        <w:rPr>
          <w:rFonts w:eastAsiaTheme="minorHAnsi"/>
        </w:rPr>
        <w:t>Note that feasibility costs for all SMEs in round one are included to reflect that the BRII funding model assumes the costs of many to produce the solutions of a few</w:t>
      </w:r>
      <w:r w:rsidR="00975FDC">
        <w:rPr>
          <w:rFonts w:eastAsiaTheme="minorHAnsi"/>
        </w:rPr>
        <w:t xml:space="preserve"> (i.e. the venture capital model)</w:t>
      </w:r>
      <w:r w:rsidR="00AF7A2F" w:rsidRPr="00AF7A2F">
        <w:rPr>
          <w:rFonts w:eastAsiaTheme="minorHAnsi"/>
        </w:rPr>
        <w:t>.</w:t>
      </w:r>
    </w:p>
    <w:p w14:paraId="75C6A9CC" w14:textId="61CDCA95" w:rsidR="00C173E5" w:rsidRPr="004A5F86" w:rsidRDefault="00C173E5" w:rsidP="005A35A2">
      <w:pPr>
        <w:pStyle w:val="Bullet"/>
        <w:rPr>
          <w:rFonts w:eastAsiaTheme="minorHAnsi"/>
        </w:rPr>
      </w:pPr>
      <w:r w:rsidRPr="004A5F86">
        <w:rPr>
          <w:rFonts w:eastAsiaTheme="minorHAnsi"/>
        </w:rPr>
        <w:t xml:space="preserve">Program administration costs for running </w:t>
      </w:r>
      <w:r w:rsidR="0012609C">
        <w:rPr>
          <w:rFonts w:eastAsiaTheme="minorHAnsi"/>
        </w:rPr>
        <w:t xml:space="preserve">the </w:t>
      </w:r>
      <w:r w:rsidRPr="004A5F86">
        <w:rPr>
          <w:rFonts w:eastAsiaTheme="minorHAnsi"/>
        </w:rPr>
        <w:t>BRII at a total of $</w:t>
      </w:r>
      <w:r w:rsidR="00C14D78">
        <w:rPr>
          <w:rFonts w:eastAsiaTheme="minorHAnsi"/>
        </w:rPr>
        <w:t>3.</w:t>
      </w:r>
      <w:r w:rsidR="00414510">
        <w:rPr>
          <w:rFonts w:eastAsiaTheme="minorHAnsi"/>
        </w:rPr>
        <w:t>4</w:t>
      </w:r>
      <w:r w:rsidRPr="004A5F86">
        <w:rPr>
          <w:rFonts w:eastAsiaTheme="minorHAnsi"/>
        </w:rPr>
        <w:t xml:space="preserve"> million. Administration costs are made up of:</w:t>
      </w:r>
    </w:p>
    <w:p w14:paraId="616CDC7C" w14:textId="6A7D5DDC" w:rsidR="00C173E5" w:rsidRPr="004A5F86" w:rsidRDefault="00C173E5" w:rsidP="005A35A2">
      <w:pPr>
        <w:pStyle w:val="Bullet"/>
        <w:numPr>
          <w:ilvl w:val="1"/>
          <w:numId w:val="3"/>
        </w:numPr>
        <w:ind w:left="709"/>
        <w:rPr>
          <w:rFonts w:eastAsiaTheme="minorHAnsi"/>
        </w:rPr>
      </w:pPr>
      <w:r w:rsidRPr="4A9AC73B">
        <w:rPr>
          <w:rFonts w:eastAsiaTheme="minorEastAsia"/>
        </w:rPr>
        <w:t>$</w:t>
      </w:r>
      <w:r w:rsidR="00DE30E3">
        <w:rPr>
          <w:rFonts w:eastAsiaTheme="minorEastAsia"/>
        </w:rPr>
        <w:t>1.6</w:t>
      </w:r>
      <w:r w:rsidRPr="4A9AC73B">
        <w:rPr>
          <w:rFonts w:eastAsiaTheme="minorEastAsia"/>
        </w:rPr>
        <w:t xml:space="preserve"> million in DISER labour costs (using an average salary of $</w:t>
      </w:r>
      <w:r w:rsidR="004D5E30" w:rsidRPr="4A9AC73B">
        <w:rPr>
          <w:rFonts w:eastAsiaTheme="minorEastAsia"/>
        </w:rPr>
        <w:t>122,021</w:t>
      </w:r>
      <w:r w:rsidRPr="4A9AC73B">
        <w:rPr>
          <w:rFonts w:eastAsiaTheme="minorEastAsia"/>
        </w:rPr>
        <w:t xml:space="preserve"> which is the </w:t>
      </w:r>
      <w:r w:rsidR="007011FA" w:rsidRPr="4A9AC73B">
        <w:rPr>
          <w:rFonts w:eastAsiaTheme="minorEastAsia"/>
        </w:rPr>
        <w:t>mid</w:t>
      </w:r>
      <w:r w:rsidR="007011FA">
        <w:rPr>
          <w:rFonts w:eastAsiaTheme="minorEastAsia"/>
        </w:rPr>
        <w:t>-</w:t>
      </w:r>
      <w:r w:rsidRPr="4A9AC73B">
        <w:rPr>
          <w:rFonts w:eastAsiaTheme="minorEastAsia"/>
        </w:rPr>
        <w:t>point</w:t>
      </w:r>
      <w:r w:rsidRPr="004A5F86">
        <w:rPr>
          <w:rFonts w:eastAsiaTheme="minorHAnsi"/>
        </w:rPr>
        <w:t xml:space="preserve"> between the lower and upper bounds of </w:t>
      </w:r>
      <w:r w:rsidR="0039401E" w:rsidRPr="004A5F86">
        <w:rPr>
          <w:rFonts w:eastAsiaTheme="minorHAnsi"/>
        </w:rPr>
        <w:t>an</w:t>
      </w:r>
      <w:r w:rsidRPr="004A5F86">
        <w:rPr>
          <w:rFonts w:eastAsiaTheme="minorHAnsi"/>
        </w:rPr>
        <w:t xml:space="preserve"> Australian Government E</w:t>
      </w:r>
      <w:r w:rsidR="00065463">
        <w:rPr>
          <w:rFonts w:eastAsiaTheme="minorHAnsi"/>
        </w:rPr>
        <w:t>L</w:t>
      </w:r>
      <w:r w:rsidRPr="004A5F86">
        <w:rPr>
          <w:rFonts w:eastAsiaTheme="minorHAnsi"/>
        </w:rPr>
        <w:t>1 re</w:t>
      </w:r>
      <w:r w:rsidR="001348BE">
        <w:rPr>
          <w:rFonts w:eastAsiaTheme="minorHAnsi"/>
        </w:rPr>
        <w:t>m</w:t>
      </w:r>
      <w:r w:rsidRPr="004A5F86">
        <w:rPr>
          <w:rFonts w:eastAsiaTheme="minorHAnsi"/>
        </w:rPr>
        <w:t>u</w:t>
      </w:r>
      <w:r w:rsidR="001348BE">
        <w:rPr>
          <w:rFonts w:eastAsiaTheme="minorHAnsi"/>
        </w:rPr>
        <w:t>n</w:t>
      </w:r>
      <w:r w:rsidRPr="004A5F86">
        <w:rPr>
          <w:rFonts w:eastAsiaTheme="minorHAnsi"/>
        </w:rPr>
        <w:t>eration range)</w:t>
      </w:r>
      <w:r w:rsidR="001E3974" w:rsidRPr="00034906">
        <w:rPr>
          <w:rStyle w:val="FootnoteReference"/>
          <w:rFonts w:eastAsiaTheme="minorHAnsi"/>
        </w:rPr>
        <w:footnoteReference w:id="104"/>
      </w:r>
    </w:p>
    <w:p w14:paraId="2853781C" w14:textId="5DCD2D40" w:rsidR="00C173E5" w:rsidRPr="004A5F86" w:rsidRDefault="00C173E5" w:rsidP="005A35A2">
      <w:pPr>
        <w:pStyle w:val="Bullet"/>
        <w:numPr>
          <w:ilvl w:val="1"/>
          <w:numId w:val="3"/>
        </w:numPr>
        <w:ind w:left="709"/>
        <w:rPr>
          <w:rFonts w:eastAsiaTheme="minorHAnsi"/>
        </w:rPr>
      </w:pPr>
      <w:r w:rsidRPr="004A5F86">
        <w:rPr>
          <w:rFonts w:eastAsiaTheme="minorHAnsi"/>
        </w:rPr>
        <w:t>$</w:t>
      </w:r>
      <w:r w:rsidR="00EF05BC">
        <w:rPr>
          <w:rFonts w:eastAsiaTheme="minorHAnsi"/>
        </w:rPr>
        <w:t>0.</w:t>
      </w:r>
      <w:r w:rsidR="00E21726">
        <w:rPr>
          <w:rFonts w:eastAsiaTheme="minorHAnsi"/>
        </w:rPr>
        <w:t>4</w:t>
      </w:r>
      <w:r w:rsidRPr="004A5F86">
        <w:rPr>
          <w:rFonts w:eastAsiaTheme="minorHAnsi"/>
        </w:rPr>
        <w:t xml:space="preserve"> million in marketing expenses</w:t>
      </w:r>
    </w:p>
    <w:p w14:paraId="253395B4" w14:textId="635C25EF" w:rsidR="00C173E5" w:rsidRPr="004A5F86" w:rsidRDefault="00C173E5" w:rsidP="005A35A2">
      <w:pPr>
        <w:pStyle w:val="Bullet"/>
        <w:numPr>
          <w:ilvl w:val="1"/>
          <w:numId w:val="3"/>
        </w:numPr>
        <w:ind w:left="709"/>
        <w:rPr>
          <w:rFonts w:eastAsiaTheme="minorHAnsi"/>
        </w:rPr>
      </w:pPr>
      <w:r w:rsidRPr="004A5F86">
        <w:rPr>
          <w:rFonts w:eastAsiaTheme="minorHAnsi"/>
        </w:rPr>
        <w:t>$</w:t>
      </w:r>
      <w:r w:rsidR="000C4935">
        <w:rPr>
          <w:rFonts w:eastAsiaTheme="minorHAnsi"/>
        </w:rPr>
        <w:t>0.</w:t>
      </w:r>
      <w:r w:rsidR="00F56268">
        <w:rPr>
          <w:rFonts w:eastAsiaTheme="minorHAnsi"/>
        </w:rPr>
        <w:t>1</w:t>
      </w:r>
      <w:r w:rsidRPr="00B6268B">
        <w:rPr>
          <w:rFonts w:eastAsiaTheme="minorHAnsi"/>
        </w:rPr>
        <w:t xml:space="preserve"> </w:t>
      </w:r>
      <w:r w:rsidRPr="004A5F86">
        <w:rPr>
          <w:rFonts w:eastAsiaTheme="minorHAnsi"/>
        </w:rPr>
        <w:t>million in evaluation expenses</w:t>
      </w:r>
    </w:p>
    <w:p w14:paraId="4702D176" w14:textId="61284014" w:rsidR="00C173E5" w:rsidRPr="004A5F86" w:rsidRDefault="00C173E5" w:rsidP="005A35A2">
      <w:pPr>
        <w:pStyle w:val="Bullet"/>
        <w:numPr>
          <w:ilvl w:val="1"/>
          <w:numId w:val="3"/>
        </w:numPr>
        <w:ind w:left="709"/>
        <w:rPr>
          <w:rFonts w:eastAsiaTheme="minorHAnsi"/>
        </w:rPr>
      </w:pPr>
      <w:r w:rsidRPr="004A5F86">
        <w:rPr>
          <w:rFonts w:eastAsiaTheme="minorHAnsi"/>
        </w:rPr>
        <w:t>$</w:t>
      </w:r>
      <w:r w:rsidR="00EA54EE">
        <w:rPr>
          <w:rFonts w:eastAsiaTheme="minorHAnsi"/>
        </w:rPr>
        <w:t>0.7</w:t>
      </w:r>
      <w:r w:rsidRPr="00B6268B">
        <w:rPr>
          <w:rFonts w:eastAsiaTheme="minorHAnsi"/>
        </w:rPr>
        <w:t xml:space="preserve"> </w:t>
      </w:r>
      <w:r w:rsidR="000C4935">
        <w:rPr>
          <w:rFonts w:eastAsiaTheme="minorHAnsi"/>
        </w:rPr>
        <w:t xml:space="preserve">million </w:t>
      </w:r>
      <w:r w:rsidRPr="004A5F86">
        <w:rPr>
          <w:rFonts w:eastAsiaTheme="minorHAnsi"/>
        </w:rPr>
        <w:t>in member advisory panel meetings</w:t>
      </w:r>
    </w:p>
    <w:p w14:paraId="522A891D" w14:textId="2A8E2307" w:rsidR="00C173E5" w:rsidRPr="004A5F86" w:rsidRDefault="00C173E5" w:rsidP="005A35A2">
      <w:pPr>
        <w:pStyle w:val="Bullet"/>
        <w:numPr>
          <w:ilvl w:val="1"/>
          <w:numId w:val="3"/>
        </w:numPr>
        <w:ind w:left="709"/>
        <w:rPr>
          <w:rFonts w:eastAsiaTheme="minorHAnsi"/>
        </w:rPr>
      </w:pPr>
      <w:r w:rsidRPr="004A5F86">
        <w:rPr>
          <w:rFonts w:eastAsiaTheme="minorHAnsi"/>
        </w:rPr>
        <w:t>$</w:t>
      </w:r>
      <w:r w:rsidR="000E6A9F">
        <w:rPr>
          <w:rFonts w:eastAsiaTheme="minorHAnsi"/>
        </w:rPr>
        <w:t>0.1</w:t>
      </w:r>
      <w:r w:rsidR="000C4935">
        <w:rPr>
          <w:rFonts w:eastAsiaTheme="minorHAnsi"/>
        </w:rPr>
        <w:t xml:space="preserve"> </w:t>
      </w:r>
      <w:r w:rsidR="000E6A9F">
        <w:rPr>
          <w:rFonts w:eastAsiaTheme="minorHAnsi"/>
        </w:rPr>
        <w:t>m</w:t>
      </w:r>
      <w:r w:rsidR="000C4935">
        <w:rPr>
          <w:rFonts w:eastAsiaTheme="minorHAnsi"/>
        </w:rPr>
        <w:t>illion</w:t>
      </w:r>
      <w:r w:rsidRPr="00B6268B">
        <w:rPr>
          <w:rFonts w:eastAsiaTheme="minorHAnsi"/>
        </w:rPr>
        <w:t xml:space="preserve"> </w:t>
      </w:r>
      <w:r w:rsidRPr="004A5F86">
        <w:rPr>
          <w:rFonts w:eastAsiaTheme="minorHAnsi"/>
        </w:rPr>
        <w:t>for an IT upgrade.</w:t>
      </w:r>
    </w:p>
    <w:p w14:paraId="44DAF0EE" w14:textId="44531E2F" w:rsidR="00C173E5" w:rsidRPr="004A5F86" w:rsidRDefault="00C173E5">
      <w:pPr>
        <w:pStyle w:val="Bullet"/>
        <w:rPr>
          <w:rFonts w:eastAsiaTheme="minorHAnsi"/>
        </w:rPr>
      </w:pPr>
      <w:r w:rsidRPr="004A5F86">
        <w:rPr>
          <w:rFonts w:eastAsiaTheme="minorHAnsi"/>
        </w:rPr>
        <w:t xml:space="preserve">Only those program administration costs needed to support the delivery of </w:t>
      </w:r>
      <w:r w:rsidR="00AA430A">
        <w:rPr>
          <w:rFonts w:eastAsiaTheme="minorHAnsi"/>
        </w:rPr>
        <w:t xml:space="preserve">the </w:t>
      </w:r>
      <w:r w:rsidRPr="004A5F86">
        <w:rPr>
          <w:rFonts w:eastAsiaTheme="minorHAnsi"/>
        </w:rPr>
        <w:t xml:space="preserve">BRII round one are included. To isolate this cost component, </w:t>
      </w:r>
      <w:r w:rsidR="00C34EB2" w:rsidRPr="00C34EB2">
        <w:rPr>
          <w:rFonts w:eastAsiaTheme="minorHAnsi"/>
        </w:rPr>
        <w:t>100 per cent of administration costs accrued in years one and two of the BRII, 50 per cent of administration costs in year three (when round two had commenced) and 33 per cent of costs in year four (when both round two and three were in action) are allocated to round one</w:t>
      </w:r>
      <w:r w:rsidRPr="004A5F86">
        <w:rPr>
          <w:rFonts w:eastAsiaTheme="minorHAnsi"/>
        </w:rPr>
        <w:t>.</w:t>
      </w:r>
    </w:p>
    <w:p w14:paraId="1E59BAAC" w14:textId="60C1B25D" w:rsidR="00C173E5" w:rsidRPr="004A5F86" w:rsidRDefault="00C173E5">
      <w:pPr>
        <w:pStyle w:val="Bullet"/>
        <w:rPr>
          <w:rFonts w:eastAsiaTheme="minorHAnsi"/>
        </w:rPr>
      </w:pPr>
      <w:r w:rsidRPr="004A5F86">
        <w:rPr>
          <w:rFonts w:eastAsiaTheme="minorHAnsi"/>
        </w:rPr>
        <w:lastRenderedPageBreak/>
        <w:t>Labour costs of $</w:t>
      </w:r>
      <w:r w:rsidR="00E30DEB">
        <w:rPr>
          <w:rFonts w:eastAsiaTheme="minorHAnsi"/>
        </w:rPr>
        <w:t>0.1</w:t>
      </w:r>
      <w:r w:rsidRPr="004A5F86">
        <w:rPr>
          <w:rFonts w:eastAsiaTheme="minorHAnsi"/>
        </w:rPr>
        <w:t xml:space="preserve"> million accruing to </w:t>
      </w:r>
      <w:r w:rsidR="00671276">
        <w:rPr>
          <w:rFonts w:eastAsiaTheme="minorHAnsi"/>
        </w:rPr>
        <w:t xml:space="preserve">the </w:t>
      </w:r>
      <w:r w:rsidRPr="004A5F86">
        <w:rPr>
          <w:rFonts w:eastAsiaTheme="minorHAnsi"/>
        </w:rPr>
        <w:t xml:space="preserve">BRII challenge agencies </w:t>
      </w:r>
      <w:r w:rsidR="00671276">
        <w:rPr>
          <w:rFonts w:eastAsiaTheme="minorHAnsi"/>
        </w:rPr>
        <w:t xml:space="preserve">reflects the </w:t>
      </w:r>
      <w:r w:rsidRPr="004A5F86">
        <w:rPr>
          <w:rFonts w:eastAsiaTheme="minorHAnsi"/>
        </w:rPr>
        <w:t>require</w:t>
      </w:r>
      <w:r w:rsidR="00671276">
        <w:rPr>
          <w:rFonts w:eastAsiaTheme="minorHAnsi"/>
        </w:rPr>
        <w:t>ment</w:t>
      </w:r>
      <w:r w:rsidRPr="004A5F86">
        <w:rPr>
          <w:rFonts w:eastAsiaTheme="minorHAnsi"/>
        </w:rPr>
        <w:t xml:space="preserve"> to commit time to guiding SMEs in the development of the solution. Based on interviews with challenge agencies an assumption of </w:t>
      </w:r>
      <w:r w:rsidR="00813774">
        <w:rPr>
          <w:rFonts w:eastAsiaTheme="minorHAnsi"/>
        </w:rPr>
        <w:t>two</w:t>
      </w:r>
      <w:r w:rsidRPr="004A5F86">
        <w:rPr>
          <w:rFonts w:eastAsiaTheme="minorHAnsi"/>
        </w:rPr>
        <w:t xml:space="preserve"> weeks per year of a person’s time (again using an average salary of $</w:t>
      </w:r>
      <w:r w:rsidR="00E30DEB">
        <w:rPr>
          <w:rFonts w:eastAsiaTheme="minorHAnsi"/>
        </w:rPr>
        <w:t>122,021</w:t>
      </w:r>
      <w:r w:rsidRPr="004A5F86">
        <w:rPr>
          <w:rFonts w:eastAsiaTheme="minorHAnsi"/>
        </w:rPr>
        <w:t>) for the FY</w:t>
      </w:r>
      <w:r w:rsidR="00813774">
        <w:rPr>
          <w:rFonts w:eastAsiaTheme="minorHAnsi"/>
        </w:rPr>
        <w:t>16/</w:t>
      </w:r>
      <w:r w:rsidRPr="004A5F86">
        <w:rPr>
          <w:rFonts w:eastAsiaTheme="minorHAnsi"/>
        </w:rPr>
        <w:t>17 to FY</w:t>
      </w:r>
      <w:r w:rsidR="00813774">
        <w:rPr>
          <w:rFonts w:eastAsiaTheme="minorHAnsi"/>
        </w:rPr>
        <w:t>19/</w:t>
      </w:r>
      <w:r w:rsidRPr="004A5F86">
        <w:rPr>
          <w:rFonts w:eastAsiaTheme="minorHAnsi"/>
        </w:rPr>
        <w:t>20 period is used.</w:t>
      </w:r>
    </w:p>
    <w:p w14:paraId="056E3654" w14:textId="42F2EA42" w:rsidR="00D72CFD" w:rsidRDefault="00D72CFD" w:rsidP="0051000A">
      <w:pPr>
        <w:pStyle w:val="Caption"/>
      </w:pPr>
      <w:r>
        <w:t xml:space="preserve">Table </w:t>
      </w:r>
      <w:r>
        <w:fldChar w:fldCharType="begin"/>
      </w:r>
      <w:r>
        <w:instrText xml:space="preserve"> SEQ Table \* ARABIC </w:instrText>
      </w:r>
      <w:r>
        <w:fldChar w:fldCharType="separate"/>
      </w:r>
      <w:r w:rsidR="00AE607F">
        <w:rPr>
          <w:noProof/>
        </w:rPr>
        <w:t>25</w:t>
      </w:r>
      <w:r>
        <w:fldChar w:fldCharType="end"/>
      </w:r>
      <w:r>
        <w:t xml:space="preserve"> | Summary of the BRII costs over time (nominal) and presented in NPV</w:t>
      </w:r>
    </w:p>
    <w:tbl>
      <w:tblPr>
        <w:tblStyle w:val="TableGrid"/>
        <w:tblW w:w="5000" w:type="pct"/>
        <w:tblBorders>
          <w:top w:val="single" w:sz="4" w:space="0" w:color="00264D" w:themeColor="background2"/>
          <w:left w:val="single" w:sz="4" w:space="0" w:color="00264D" w:themeColor="background2"/>
          <w:bottom w:val="single" w:sz="4" w:space="0" w:color="00264D" w:themeColor="background2"/>
          <w:right w:val="single" w:sz="4" w:space="0" w:color="00264D" w:themeColor="background2"/>
          <w:insideH w:val="single" w:sz="4" w:space="0" w:color="00264D" w:themeColor="background2"/>
          <w:insideV w:val="single" w:sz="4" w:space="0" w:color="00264D" w:themeColor="background2"/>
        </w:tblBorders>
        <w:tblLook w:val="04A0" w:firstRow="1" w:lastRow="0" w:firstColumn="1" w:lastColumn="0" w:noHBand="0" w:noVBand="1"/>
      </w:tblPr>
      <w:tblGrid>
        <w:gridCol w:w="2128"/>
        <w:gridCol w:w="1360"/>
        <w:gridCol w:w="1360"/>
        <w:gridCol w:w="1362"/>
        <w:gridCol w:w="1359"/>
        <w:gridCol w:w="1361"/>
      </w:tblGrid>
      <w:tr w:rsidR="00A74844" w14:paraId="6067E4F0" w14:textId="77777777" w:rsidTr="005A35A2">
        <w:trPr>
          <w:cnfStyle w:val="100000000000" w:firstRow="1" w:lastRow="0" w:firstColumn="0" w:lastColumn="0" w:oddVBand="0" w:evenVBand="0" w:oddHBand="0" w:evenHBand="0" w:firstRowFirstColumn="0" w:firstRowLastColumn="0" w:lastRowFirstColumn="0" w:lastRowLastColumn="0"/>
          <w:trHeight w:val="313"/>
        </w:trPr>
        <w:tc>
          <w:tcPr>
            <w:tcW w:w="1191" w:type="pct"/>
            <w:tcBorders>
              <w:bottom w:val="single" w:sz="4" w:space="0" w:color="FFFFFF" w:themeColor="background1"/>
              <w:right w:val="single" w:sz="4" w:space="0" w:color="FFFFFF" w:themeColor="background1"/>
            </w:tcBorders>
            <w:shd w:val="clear" w:color="auto" w:fill="00264D" w:themeFill="background2"/>
            <w:vAlign w:val="top"/>
          </w:tcPr>
          <w:p w14:paraId="62FB4A40" w14:textId="2060DC22" w:rsidR="00F835D0" w:rsidRPr="005A35A2" w:rsidRDefault="00757DC3" w:rsidP="005A35A2">
            <w:pPr>
              <w:pStyle w:val="TableNheader"/>
              <w:rPr>
                <w:color w:val="FFFFFF" w:themeColor="background1"/>
              </w:rPr>
            </w:pPr>
            <w:r w:rsidRPr="005A35A2">
              <w:rPr>
                <w:color w:val="FFFFFF" w:themeColor="background1"/>
              </w:rPr>
              <w:t>Cost type</w:t>
            </w:r>
          </w:p>
        </w:tc>
        <w:tc>
          <w:tcPr>
            <w:tcW w:w="761" w:type="pct"/>
            <w:tcBorders>
              <w:left w:val="single" w:sz="4" w:space="0" w:color="FFFFFF" w:themeColor="background1"/>
              <w:right w:val="single" w:sz="4" w:space="0" w:color="FFFFFF" w:themeColor="background1"/>
            </w:tcBorders>
            <w:shd w:val="clear" w:color="auto" w:fill="00264D" w:themeFill="background2"/>
            <w:vAlign w:val="top"/>
          </w:tcPr>
          <w:p w14:paraId="5D5C5A95" w14:textId="7F2F1EF8" w:rsidR="00F835D0" w:rsidRPr="005A35A2" w:rsidRDefault="00F835D0" w:rsidP="005A35A2">
            <w:pPr>
              <w:pStyle w:val="TableNheader"/>
              <w:rPr>
                <w:color w:val="FFFFFF" w:themeColor="background1"/>
              </w:rPr>
            </w:pPr>
            <w:r w:rsidRPr="005A35A2">
              <w:rPr>
                <w:color w:val="FFFFFF" w:themeColor="background1"/>
              </w:rPr>
              <w:t>NPV (2020/21)</w:t>
            </w:r>
          </w:p>
        </w:tc>
        <w:tc>
          <w:tcPr>
            <w:tcW w:w="761" w:type="pct"/>
            <w:tcBorders>
              <w:left w:val="single" w:sz="4" w:space="0" w:color="FFFFFF" w:themeColor="background1"/>
              <w:right w:val="single" w:sz="4" w:space="0" w:color="FFFFFF" w:themeColor="background1"/>
            </w:tcBorders>
            <w:shd w:val="clear" w:color="auto" w:fill="00264D" w:themeFill="background2"/>
            <w:vAlign w:val="top"/>
          </w:tcPr>
          <w:p w14:paraId="3B0BDE18" w14:textId="640FFD96" w:rsidR="00F835D0" w:rsidRPr="005A35A2" w:rsidRDefault="00F835D0" w:rsidP="005A35A2">
            <w:pPr>
              <w:pStyle w:val="TableNheader"/>
              <w:rPr>
                <w:color w:val="FFFFFF" w:themeColor="background1"/>
              </w:rPr>
            </w:pPr>
            <w:r w:rsidRPr="005A35A2">
              <w:rPr>
                <w:color w:val="FFFFFF" w:themeColor="background1"/>
              </w:rPr>
              <w:t>FY16/17</w:t>
            </w:r>
          </w:p>
        </w:tc>
        <w:tc>
          <w:tcPr>
            <w:tcW w:w="762" w:type="pct"/>
            <w:tcBorders>
              <w:left w:val="single" w:sz="4" w:space="0" w:color="FFFFFF" w:themeColor="background1"/>
              <w:right w:val="single" w:sz="4" w:space="0" w:color="FFFFFF" w:themeColor="background1"/>
            </w:tcBorders>
            <w:shd w:val="clear" w:color="auto" w:fill="00264D" w:themeFill="background2"/>
            <w:vAlign w:val="top"/>
          </w:tcPr>
          <w:p w14:paraId="515421FF" w14:textId="54804100" w:rsidR="00F835D0" w:rsidRPr="005A35A2" w:rsidRDefault="00F835D0" w:rsidP="005A35A2">
            <w:pPr>
              <w:pStyle w:val="TableNheader"/>
              <w:rPr>
                <w:color w:val="FFFFFF" w:themeColor="background1"/>
              </w:rPr>
            </w:pPr>
            <w:r w:rsidRPr="005A35A2">
              <w:rPr>
                <w:color w:val="FFFFFF" w:themeColor="background1"/>
              </w:rPr>
              <w:t>FY17/18</w:t>
            </w:r>
          </w:p>
        </w:tc>
        <w:tc>
          <w:tcPr>
            <w:tcW w:w="761" w:type="pct"/>
            <w:tcBorders>
              <w:left w:val="single" w:sz="4" w:space="0" w:color="FFFFFF" w:themeColor="background1"/>
              <w:right w:val="single" w:sz="4" w:space="0" w:color="FFFFFF" w:themeColor="background1"/>
            </w:tcBorders>
            <w:shd w:val="clear" w:color="auto" w:fill="00264D" w:themeFill="background2"/>
            <w:vAlign w:val="top"/>
          </w:tcPr>
          <w:p w14:paraId="23A92754" w14:textId="574A9136" w:rsidR="00F835D0" w:rsidRPr="005A35A2" w:rsidRDefault="00F835D0" w:rsidP="005A35A2">
            <w:pPr>
              <w:pStyle w:val="TableNheader"/>
              <w:rPr>
                <w:color w:val="FFFFFF" w:themeColor="background1"/>
              </w:rPr>
            </w:pPr>
            <w:r w:rsidRPr="005A35A2">
              <w:rPr>
                <w:color w:val="FFFFFF" w:themeColor="background1"/>
              </w:rPr>
              <w:t>FY18/19</w:t>
            </w:r>
          </w:p>
        </w:tc>
        <w:tc>
          <w:tcPr>
            <w:tcW w:w="762" w:type="pct"/>
            <w:tcBorders>
              <w:left w:val="single" w:sz="4" w:space="0" w:color="FFFFFF" w:themeColor="background1"/>
            </w:tcBorders>
            <w:shd w:val="clear" w:color="auto" w:fill="00264D" w:themeFill="background2"/>
            <w:vAlign w:val="top"/>
          </w:tcPr>
          <w:p w14:paraId="2B568660" w14:textId="62B1BA41" w:rsidR="00F835D0" w:rsidRPr="005A35A2" w:rsidRDefault="00F835D0" w:rsidP="005A35A2">
            <w:pPr>
              <w:pStyle w:val="TableNheader"/>
              <w:rPr>
                <w:color w:val="FFFFFF" w:themeColor="background1"/>
              </w:rPr>
            </w:pPr>
            <w:r w:rsidRPr="005A35A2">
              <w:rPr>
                <w:color w:val="FFFFFF" w:themeColor="background1"/>
              </w:rPr>
              <w:t>FY19/20</w:t>
            </w:r>
          </w:p>
        </w:tc>
      </w:tr>
      <w:tr w:rsidR="00D46F25" w14:paraId="0722EF58" w14:textId="77777777" w:rsidTr="005A35A2">
        <w:trPr>
          <w:cnfStyle w:val="000000100000" w:firstRow="0" w:lastRow="0" w:firstColumn="0" w:lastColumn="0" w:oddVBand="0" w:evenVBand="0" w:oddHBand="1" w:evenHBand="0" w:firstRowFirstColumn="0" w:firstRowLastColumn="0" w:lastRowFirstColumn="0" w:lastRowLastColumn="0"/>
          <w:trHeight w:val="313"/>
        </w:trPr>
        <w:tc>
          <w:tcPr>
            <w:tcW w:w="1191" w:type="pct"/>
            <w:tcBorders>
              <w:top w:val="single" w:sz="4" w:space="0" w:color="FFFFFF" w:themeColor="background1"/>
              <w:bottom w:val="single" w:sz="4" w:space="0" w:color="FFFFFF" w:themeColor="background1"/>
            </w:tcBorders>
            <w:shd w:val="clear" w:color="auto" w:fill="00264D" w:themeFill="background2"/>
            <w:vAlign w:val="top"/>
          </w:tcPr>
          <w:p w14:paraId="7BC067BD" w14:textId="422778C5" w:rsidR="00D46F25" w:rsidRPr="005A35A2" w:rsidRDefault="00D46F25" w:rsidP="005A35A2">
            <w:pPr>
              <w:pStyle w:val="TableNheader"/>
              <w:rPr>
                <w:color w:val="FFFFFF" w:themeColor="background1"/>
              </w:rPr>
            </w:pPr>
            <w:r w:rsidRPr="005A35A2">
              <w:rPr>
                <w:color w:val="FFFFFF" w:themeColor="background1"/>
              </w:rPr>
              <w:t>Funding</w:t>
            </w:r>
          </w:p>
        </w:tc>
        <w:tc>
          <w:tcPr>
            <w:tcW w:w="761" w:type="pct"/>
          </w:tcPr>
          <w:p w14:paraId="1F58C3EF" w14:textId="063268DC" w:rsidR="00D46F25" w:rsidRPr="00012192" w:rsidRDefault="00D46F25" w:rsidP="005A35A2">
            <w:pPr>
              <w:pStyle w:val="TableNText"/>
            </w:pPr>
            <w:r w:rsidRPr="00012192">
              <w:t>$13,159,779</w:t>
            </w:r>
          </w:p>
        </w:tc>
        <w:tc>
          <w:tcPr>
            <w:tcW w:w="761" w:type="pct"/>
          </w:tcPr>
          <w:p w14:paraId="2B616E7C" w14:textId="56ED853B" w:rsidR="00D46F25" w:rsidRPr="00012192" w:rsidRDefault="00D46F25" w:rsidP="005A35A2">
            <w:pPr>
              <w:pStyle w:val="TableNText"/>
            </w:pPr>
            <w:r w:rsidRPr="00012192">
              <w:t>$1,864,021</w:t>
            </w:r>
          </w:p>
        </w:tc>
        <w:tc>
          <w:tcPr>
            <w:tcW w:w="762" w:type="pct"/>
          </w:tcPr>
          <w:p w14:paraId="53D84989" w14:textId="711D02F2" w:rsidR="00D46F25" w:rsidRPr="00012192" w:rsidRDefault="00D46F25" w:rsidP="005A35A2">
            <w:pPr>
              <w:pStyle w:val="TableNText"/>
            </w:pPr>
            <w:r w:rsidRPr="00012192">
              <w:t>$8,747,797</w:t>
            </w:r>
          </w:p>
        </w:tc>
        <w:tc>
          <w:tcPr>
            <w:tcW w:w="761" w:type="pct"/>
          </w:tcPr>
          <w:p w14:paraId="2B89F958" w14:textId="0106E7F1" w:rsidR="00D46F25" w:rsidRPr="00012192" w:rsidRDefault="00D46F25" w:rsidP="005A35A2">
            <w:pPr>
              <w:pStyle w:val="TableNText"/>
            </w:pPr>
            <w:r w:rsidRPr="00012192">
              <w:t>-</w:t>
            </w:r>
          </w:p>
        </w:tc>
        <w:tc>
          <w:tcPr>
            <w:tcW w:w="762" w:type="pct"/>
          </w:tcPr>
          <w:p w14:paraId="672F6003" w14:textId="3033AC76" w:rsidR="00D46F25" w:rsidRPr="00012192" w:rsidRDefault="00B47D95" w:rsidP="005A35A2">
            <w:pPr>
              <w:pStyle w:val="TableNText"/>
            </w:pPr>
            <w:r w:rsidRPr="00012192">
              <w:t>-</w:t>
            </w:r>
          </w:p>
        </w:tc>
      </w:tr>
      <w:tr w:rsidR="00D46F25" w14:paraId="1F95BC96" w14:textId="77777777" w:rsidTr="005A35A2">
        <w:trPr>
          <w:cnfStyle w:val="000000010000" w:firstRow="0" w:lastRow="0" w:firstColumn="0" w:lastColumn="0" w:oddVBand="0" w:evenVBand="0" w:oddHBand="0" w:evenHBand="1" w:firstRowFirstColumn="0" w:firstRowLastColumn="0" w:lastRowFirstColumn="0" w:lastRowLastColumn="0"/>
          <w:trHeight w:val="313"/>
        </w:trPr>
        <w:tc>
          <w:tcPr>
            <w:tcW w:w="1191" w:type="pct"/>
            <w:tcBorders>
              <w:top w:val="single" w:sz="4" w:space="0" w:color="FFFFFF" w:themeColor="background1"/>
              <w:bottom w:val="single" w:sz="4" w:space="0" w:color="FFFFFF" w:themeColor="background1"/>
            </w:tcBorders>
            <w:shd w:val="clear" w:color="auto" w:fill="00264D" w:themeFill="background2"/>
            <w:vAlign w:val="top"/>
          </w:tcPr>
          <w:p w14:paraId="6244AA4E" w14:textId="7F50F887" w:rsidR="00D46F25" w:rsidRPr="005A35A2" w:rsidRDefault="00D46F25" w:rsidP="005A35A2">
            <w:pPr>
              <w:pStyle w:val="TableNheader"/>
              <w:rPr>
                <w:color w:val="FFFFFF" w:themeColor="background1"/>
              </w:rPr>
            </w:pPr>
            <w:r w:rsidRPr="005A35A2">
              <w:rPr>
                <w:color w:val="FFFFFF" w:themeColor="background1"/>
              </w:rPr>
              <w:t>Feasibility funding</w:t>
            </w:r>
          </w:p>
        </w:tc>
        <w:tc>
          <w:tcPr>
            <w:tcW w:w="761" w:type="pct"/>
          </w:tcPr>
          <w:p w14:paraId="7F465A08" w14:textId="00FCBCEE" w:rsidR="00D46F25" w:rsidRPr="00012192" w:rsidRDefault="00D46F25" w:rsidP="005A35A2">
            <w:pPr>
              <w:pStyle w:val="TableNText"/>
            </w:pPr>
            <w:r w:rsidRPr="00012192">
              <w:t>$2,443,351</w:t>
            </w:r>
          </w:p>
        </w:tc>
        <w:tc>
          <w:tcPr>
            <w:tcW w:w="761" w:type="pct"/>
          </w:tcPr>
          <w:p w14:paraId="48F8F418" w14:textId="7AE8A8A9" w:rsidR="00D46F25" w:rsidRPr="00012192" w:rsidRDefault="00D46F25" w:rsidP="005A35A2">
            <w:pPr>
              <w:pStyle w:val="TableNText"/>
            </w:pPr>
            <w:r w:rsidRPr="00012192">
              <w:t>$1,864,021</w:t>
            </w:r>
          </w:p>
        </w:tc>
        <w:tc>
          <w:tcPr>
            <w:tcW w:w="762" w:type="pct"/>
          </w:tcPr>
          <w:p w14:paraId="11B91B0E" w14:textId="4A9B5B8F" w:rsidR="00D46F25" w:rsidRPr="00012192" w:rsidRDefault="00D46F25" w:rsidP="005A35A2">
            <w:pPr>
              <w:pStyle w:val="TableNText"/>
            </w:pPr>
            <w:r w:rsidRPr="00012192">
              <w:t>-</w:t>
            </w:r>
          </w:p>
        </w:tc>
        <w:tc>
          <w:tcPr>
            <w:tcW w:w="761" w:type="pct"/>
          </w:tcPr>
          <w:p w14:paraId="054FB5DE" w14:textId="4514475A" w:rsidR="00D46F25" w:rsidRPr="00012192" w:rsidRDefault="00D46F25" w:rsidP="005A35A2">
            <w:pPr>
              <w:pStyle w:val="TableNText"/>
            </w:pPr>
            <w:r w:rsidRPr="00012192">
              <w:t>-</w:t>
            </w:r>
          </w:p>
        </w:tc>
        <w:tc>
          <w:tcPr>
            <w:tcW w:w="762" w:type="pct"/>
          </w:tcPr>
          <w:p w14:paraId="5E00A797" w14:textId="496BEE01" w:rsidR="00D46F25" w:rsidRPr="00012192" w:rsidRDefault="00B47D95" w:rsidP="005A35A2">
            <w:pPr>
              <w:pStyle w:val="TableNText"/>
            </w:pPr>
            <w:r w:rsidRPr="00012192">
              <w:t>-</w:t>
            </w:r>
          </w:p>
        </w:tc>
      </w:tr>
      <w:tr w:rsidR="00D46F25" w14:paraId="10B93D87" w14:textId="77777777" w:rsidTr="005A35A2">
        <w:trPr>
          <w:cnfStyle w:val="000000100000" w:firstRow="0" w:lastRow="0" w:firstColumn="0" w:lastColumn="0" w:oddVBand="0" w:evenVBand="0" w:oddHBand="1" w:evenHBand="0" w:firstRowFirstColumn="0" w:firstRowLastColumn="0" w:lastRowFirstColumn="0" w:lastRowLastColumn="0"/>
          <w:trHeight w:val="313"/>
        </w:trPr>
        <w:tc>
          <w:tcPr>
            <w:tcW w:w="1191" w:type="pct"/>
            <w:tcBorders>
              <w:top w:val="single" w:sz="4" w:space="0" w:color="FFFFFF" w:themeColor="background1"/>
              <w:bottom w:val="single" w:sz="4" w:space="0" w:color="FFFFFF" w:themeColor="background1"/>
            </w:tcBorders>
            <w:shd w:val="clear" w:color="auto" w:fill="00264D" w:themeFill="background2"/>
            <w:vAlign w:val="top"/>
          </w:tcPr>
          <w:p w14:paraId="4E7089C7" w14:textId="605B4083" w:rsidR="00D46F25" w:rsidRPr="005A35A2" w:rsidRDefault="00D46F25" w:rsidP="005A35A2">
            <w:pPr>
              <w:pStyle w:val="TableNheader"/>
              <w:rPr>
                <w:color w:val="FFFFFF" w:themeColor="background1"/>
              </w:rPr>
            </w:pPr>
            <w:r w:rsidRPr="005A35A2">
              <w:rPr>
                <w:color w:val="FFFFFF" w:themeColor="background1"/>
              </w:rPr>
              <w:t>Proof of Concept funding</w:t>
            </w:r>
          </w:p>
        </w:tc>
        <w:tc>
          <w:tcPr>
            <w:tcW w:w="761" w:type="pct"/>
          </w:tcPr>
          <w:p w14:paraId="4E62757A" w14:textId="36022FB2" w:rsidR="00D46F25" w:rsidRPr="00012192" w:rsidRDefault="00D46F25" w:rsidP="005A35A2">
            <w:pPr>
              <w:pStyle w:val="TableNText"/>
            </w:pPr>
            <w:r w:rsidRPr="00012192">
              <w:t>$10,716,427</w:t>
            </w:r>
          </w:p>
        </w:tc>
        <w:tc>
          <w:tcPr>
            <w:tcW w:w="761" w:type="pct"/>
          </w:tcPr>
          <w:p w14:paraId="3241AF86" w14:textId="0CEC9E01" w:rsidR="00D46F25" w:rsidRPr="00012192" w:rsidRDefault="00D46F25" w:rsidP="005A35A2">
            <w:pPr>
              <w:pStyle w:val="TableNText"/>
            </w:pPr>
            <w:r w:rsidRPr="00012192">
              <w:t>-</w:t>
            </w:r>
          </w:p>
        </w:tc>
        <w:tc>
          <w:tcPr>
            <w:tcW w:w="762" w:type="pct"/>
          </w:tcPr>
          <w:p w14:paraId="1CF7783B" w14:textId="6C7633C6" w:rsidR="00D46F25" w:rsidRPr="00012192" w:rsidRDefault="00D46F25" w:rsidP="005A35A2">
            <w:pPr>
              <w:pStyle w:val="TableNText"/>
            </w:pPr>
            <w:r w:rsidRPr="00012192">
              <w:t>$8,747,797</w:t>
            </w:r>
          </w:p>
        </w:tc>
        <w:tc>
          <w:tcPr>
            <w:tcW w:w="761" w:type="pct"/>
          </w:tcPr>
          <w:p w14:paraId="5CCC2D06" w14:textId="0DAD219A" w:rsidR="00D46F25" w:rsidRPr="00012192" w:rsidRDefault="00D46F25" w:rsidP="005A35A2">
            <w:pPr>
              <w:pStyle w:val="TableNText"/>
            </w:pPr>
            <w:r w:rsidRPr="00012192">
              <w:t>-</w:t>
            </w:r>
          </w:p>
        </w:tc>
        <w:tc>
          <w:tcPr>
            <w:tcW w:w="762" w:type="pct"/>
          </w:tcPr>
          <w:p w14:paraId="1FE824DC" w14:textId="4C966C9C" w:rsidR="00D46F25" w:rsidRPr="00012192" w:rsidRDefault="00B47D95" w:rsidP="005A35A2">
            <w:pPr>
              <w:pStyle w:val="TableNText"/>
            </w:pPr>
            <w:r w:rsidRPr="00012192">
              <w:t>-</w:t>
            </w:r>
          </w:p>
        </w:tc>
      </w:tr>
      <w:tr w:rsidR="00C13453" w14:paraId="623E3BDB" w14:textId="77777777" w:rsidTr="005A35A2">
        <w:trPr>
          <w:cnfStyle w:val="000000010000" w:firstRow="0" w:lastRow="0" w:firstColumn="0" w:lastColumn="0" w:oddVBand="0" w:evenVBand="0" w:oddHBand="0" w:evenHBand="1" w:firstRowFirstColumn="0" w:firstRowLastColumn="0" w:lastRowFirstColumn="0" w:lastRowLastColumn="0"/>
          <w:trHeight w:val="313"/>
        </w:trPr>
        <w:tc>
          <w:tcPr>
            <w:tcW w:w="1191" w:type="pct"/>
            <w:tcBorders>
              <w:top w:val="single" w:sz="4" w:space="0" w:color="FFFFFF" w:themeColor="background1"/>
              <w:bottom w:val="single" w:sz="4" w:space="0" w:color="FFFFFF" w:themeColor="background1"/>
            </w:tcBorders>
            <w:shd w:val="clear" w:color="auto" w:fill="00264D" w:themeFill="background2"/>
            <w:vAlign w:val="top"/>
          </w:tcPr>
          <w:p w14:paraId="2D7A20BD" w14:textId="1B4860E7" w:rsidR="00C13453" w:rsidRPr="005A35A2" w:rsidRDefault="00C13453" w:rsidP="005A35A2">
            <w:pPr>
              <w:pStyle w:val="TableNheader"/>
              <w:rPr>
                <w:color w:val="FFFFFF" w:themeColor="background1"/>
              </w:rPr>
            </w:pPr>
            <w:r w:rsidRPr="005A35A2">
              <w:rPr>
                <w:color w:val="FFFFFF" w:themeColor="background1"/>
              </w:rPr>
              <w:t>BRII program costs</w:t>
            </w:r>
          </w:p>
        </w:tc>
        <w:tc>
          <w:tcPr>
            <w:tcW w:w="761" w:type="pct"/>
          </w:tcPr>
          <w:p w14:paraId="4146AB15" w14:textId="0CA3B8AB" w:rsidR="00C13453" w:rsidRPr="00C13453" w:rsidRDefault="00C13453" w:rsidP="005A35A2">
            <w:pPr>
              <w:pStyle w:val="TableNText"/>
            </w:pPr>
            <w:r w:rsidRPr="00C13453">
              <w:t>$3,088,014</w:t>
            </w:r>
          </w:p>
        </w:tc>
        <w:tc>
          <w:tcPr>
            <w:tcW w:w="761" w:type="pct"/>
          </w:tcPr>
          <w:p w14:paraId="4F1E15DA" w14:textId="3F37D68D" w:rsidR="00C13453" w:rsidRPr="00C13453" w:rsidRDefault="00C13453" w:rsidP="005A35A2">
            <w:pPr>
              <w:pStyle w:val="TableNText"/>
            </w:pPr>
            <w:r w:rsidRPr="00C13453">
              <w:t>$1,107,579</w:t>
            </w:r>
          </w:p>
        </w:tc>
        <w:tc>
          <w:tcPr>
            <w:tcW w:w="762" w:type="pct"/>
          </w:tcPr>
          <w:p w14:paraId="50392223" w14:textId="078FABB6" w:rsidR="00C13453" w:rsidRPr="00C13453" w:rsidRDefault="00C13453" w:rsidP="005A35A2">
            <w:pPr>
              <w:pStyle w:val="TableNText"/>
            </w:pPr>
            <w:r w:rsidRPr="00C13453">
              <w:t>$707,579</w:t>
            </w:r>
          </w:p>
        </w:tc>
        <w:tc>
          <w:tcPr>
            <w:tcW w:w="761" w:type="pct"/>
          </w:tcPr>
          <w:p w14:paraId="3ADF7FAB" w14:textId="7FA53A20" w:rsidR="00C13453" w:rsidRPr="00C13453" w:rsidRDefault="00C13453" w:rsidP="005A35A2">
            <w:pPr>
              <w:pStyle w:val="TableNText"/>
            </w:pPr>
            <w:r w:rsidRPr="00C13453">
              <w:t>$453,789</w:t>
            </w:r>
          </w:p>
        </w:tc>
        <w:tc>
          <w:tcPr>
            <w:tcW w:w="762" w:type="pct"/>
          </w:tcPr>
          <w:p w14:paraId="2B318CA1" w14:textId="0FCA9A55" w:rsidR="00C13453" w:rsidRPr="00C13453" w:rsidRDefault="00C13453" w:rsidP="005A35A2">
            <w:pPr>
              <w:pStyle w:val="TableNText"/>
            </w:pPr>
            <w:r w:rsidRPr="00C13453">
              <w:t>$233,501</w:t>
            </w:r>
          </w:p>
        </w:tc>
      </w:tr>
      <w:tr w:rsidR="00C13453" w14:paraId="32DD362E" w14:textId="77777777" w:rsidTr="005A35A2">
        <w:trPr>
          <w:cnfStyle w:val="000000100000" w:firstRow="0" w:lastRow="0" w:firstColumn="0" w:lastColumn="0" w:oddVBand="0" w:evenVBand="0" w:oddHBand="1" w:evenHBand="0" w:firstRowFirstColumn="0" w:firstRowLastColumn="0" w:lastRowFirstColumn="0" w:lastRowLastColumn="0"/>
          <w:trHeight w:val="313"/>
        </w:trPr>
        <w:tc>
          <w:tcPr>
            <w:tcW w:w="1191" w:type="pct"/>
            <w:tcBorders>
              <w:top w:val="single" w:sz="4" w:space="0" w:color="FFFFFF" w:themeColor="background1"/>
              <w:bottom w:val="single" w:sz="4" w:space="0" w:color="FFFFFF" w:themeColor="background1"/>
            </w:tcBorders>
            <w:shd w:val="clear" w:color="auto" w:fill="00264D" w:themeFill="background2"/>
            <w:vAlign w:val="top"/>
          </w:tcPr>
          <w:p w14:paraId="088B3035" w14:textId="103EE38C" w:rsidR="00C13453" w:rsidRPr="005A35A2" w:rsidRDefault="00C13453" w:rsidP="005A35A2">
            <w:pPr>
              <w:pStyle w:val="TableNheader"/>
              <w:rPr>
                <w:color w:val="FFFFFF" w:themeColor="background1"/>
              </w:rPr>
            </w:pPr>
            <w:r w:rsidRPr="005A35A2">
              <w:rPr>
                <w:color w:val="FFFFFF" w:themeColor="background1"/>
              </w:rPr>
              <w:t>DISER staff</w:t>
            </w:r>
          </w:p>
        </w:tc>
        <w:tc>
          <w:tcPr>
            <w:tcW w:w="761" w:type="pct"/>
          </w:tcPr>
          <w:p w14:paraId="5EC50717" w14:textId="1D85CEA7" w:rsidR="00C13453" w:rsidRPr="00C13453" w:rsidRDefault="00C13453" w:rsidP="005A35A2">
            <w:pPr>
              <w:pStyle w:val="TableNText"/>
            </w:pPr>
            <w:r w:rsidRPr="00C13453">
              <w:t>$1,583,858</w:t>
            </w:r>
          </w:p>
        </w:tc>
        <w:tc>
          <w:tcPr>
            <w:tcW w:w="761" w:type="pct"/>
          </w:tcPr>
          <w:p w14:paraId="47ADF325" w14:textId="3B81C1DD" w:rsidR="00C13453" w:rsidRPr="00C13453" w:rsidRDefault="00C13453" w:rsidP="005A35A2">
            <w:pPr>
              <w:pStyle w:val="TableNText"/>
            </w:pPr>
            <w:r w:rsidRPr="00C13453">
              <w:t>$457,579</w:t>
            </w:r>
          </w:p>
        </w:tc>
        <w:tc>
          <w:tcPr>
            <w:tcW w:w="762" w:type="pct"/>
          </w:tcPr>
          <w:p w14:paraId="77559A98" w14:textId="4EE435F7" w:rsidR="00C13453" w:rsidRPr="00C13453" w:rsidRDefault="00C13453" w:rsidP="005A35A2">
            <w:pPr>
              <w:pStyle w:val="TableNText"/>
            </w:pPr>
            <w:r w:rsidRPr="00C13453">
              <w:t>$457,579</w:t>
            </w:r>
          </w:p>
        </w:tc>
        <w:tc>
          <w:tcPr>
            <w:tcW w:w="761" w:type="pct"/>
          </w:tcPr>
          <w:p w14:paraId="2A18B65A" w14:textId="58572FFD" w:rsidR="00C13453" w:rsidRPr="00C13453" w:rsidRDefault="00C13453" w:rsidP="005A35A2">
            <w:pPr>
              <w:pStyle w:val="TableNText"/>
            </w:pPr>
            <w:r w:rsidRPr="00C13453">
              <w:t>$228,789</w:t>
            </w:r>
          </w:p>
        </w:tc>
        <w:tc>
          <w:tcPr>
            <w:tcW w:w="762" w:type="pct"/>
          </w:tcPr>
          <w:p w14:paraId="11185B5D" w14:textId="52907FF4" w:rsidR="00C13453" w:rsidRPr="00C13453" w:rsidRDefault="00C13453" w:rsidP="005A35A2">
            <w:pPr>
              <w:pStyle w:val="TableNText"/>
            </w:pPr>
            <w:r w:rsidRPr="00C13453">
              <w:t>$151,001</w:t>
            </w:r>
          </w:p>
        </w:tc>
      </w:tr>
      <w:tr w:rsidR="00D46F25" w14:paraId="0E4BFCE4" w14:textId="77777777" w:rsidTr="005A35A2">
        <w:trPr>
          <w:cnfStyle w:val="000000010000" w:firstRow="0" w:lastRow="0" w:firstColumn="0" w:lastColumn="0" w:oddVBand="0" w:evenVBand="0" w:oddHBand="0" w:evenHBand="1" w:firstRowFirstColumn="0" w:firstRowLastColumn="0" w:lastRowFirstColumn="0" w:lastRowLastColumn="0"/>
          <w:trHeight w:val="313"/>
        </w:trPr>
        <w:tc>
          <w:tcPr>
            <w:tcW w:w="1191" w:type="pct"/>
            <w:tcBorders>
              <w:top w:val="single" w:sz="4" w:space="0" w:color="FFFFFF" w:themeColor="background1"/>
              <w:bottom w:val="single" w:sz="4" w:space="0" w:color="FFFFFF" w:themeColor="background1"/>
            </w:tcBorders>
            <w:shd w:val="clear" w:color="auto" w:fill="00264D" w:themeFill="background2"/>
            <w:vAlign w:val="top"/>
          </w:tcPr>
          <w:p w14:paraId="6B744638" w14:textId="57AC2B07" w:rsidR="00D46F25" w:rsidRPr="005A35A2" w:rsidRDefault="00D46F25" w:rsidP="005A35A2">
            <w:pPr>
              <w:pStyle w:val="TableNheader"/>
              <w:rPr>
                <w:color w:val="FFFFFF" w:themeColor="background1"/>
              </w:rPr>
            </w:pPr>
            <w:r w:rsidRPr="005A35A2">
              <w:rPr>
                <w:color w:val="FFFFFF" w:themeColor="background1"/>
              </w:rPr>
              <w:t>Marketing</w:t>
            </w:r>
          </w:p>
        </w:tc>
        <w:tc>
          <w:tcPr>
            <w:tcW w:w="761" w:type="pct"/>
          </w:tcPr>
          <w:p w14:paraId="66B6C56E" w14:textId="582327A0" w:rsidR="00D46F25" w:rsidRPr="00C13453" w:rsidRDefault="00D46F25" w:rsidP="005A35A2">
            <w:pPr>
              <w:pStyle w:val="TableNText"/>
            </w:pPr>
            <w:r w:rsidRPr="00012192">
              <w:t>$376,649</w:t>
            </w:r>
          </w:p>
        </w:tc>
        <w:tc>
          <w:tcPr>
            <w:tcW w:w="761" w:type="pct"/>
          </w:tcPr>
          <w:p w14:paraId="0CC10D2B" w14:textId="57B40B2D" w:rsidR="00D46F25" w:rsidRPr="00C13453" w:rsidRDefault="00D46F25" w:rsidP="005A35A2">
            <w:pPr>
              <w:pStyle w:val="TableNText"/>
            </w:pPr>
            <w:r w:rsidRPr="00012192">
              <w:t>$200,000</w:t>
            </w:r>
          </w:p>
        </w:tc>
        <w:tc>
          <w:tcPr>
            <w:tcW w:w="762" w:type="pct"/>
          </w:tcPr>
          <w:p w14:paraId="6522D5ED" w14:textId="311DA653" w:rsidR="00D46F25" w:rsidRPr="00C13453" w:rsidRDefault="00D46F25" w:rsidP="005A35A2">
            <w:pPr>
              <w:pStyle w:val="TableNText"/>
            </w:pPr>
            <w:r w:rsidRPr="00012192">
              <w:t>-</w:t>
            </w:r>
          </w:p>
        </w:tc>
        <w:tc>
          <w:tcPr>
            <w:tcW w:w="761" w:type="pct"/>
          </w:tcPr>
          <w:p w14:paraId="0475E4DB" w14:textId="598283FC" w:rsidR="00D46F25" w:rsidRPr="00C13453" w:rsidRDefault="00D46F25" w:rsidP="005A35A2">
            <w:pPr>
              <w:pStyle w:val="TableNText"/>
            </w:pPr>
            <w:r w:rsidRPr="00012192">
              <w:t>$100,000</w:t>
            </w:r>
          </w:p>
        </w:tc>
        <w:tc>
          <w:tcPr>
            <w:tcW w:w="762" w:type="pct"/>
          </w:tcPr>
          <w:p w14:paraId="39D94D6C" w14:textId="6B137E9F" w:rsidR="00D46F25" w:rsidRPr="00C13453" w:rsidRDefault="00683463" w:rsidP="005A35A2">
            <w:pPr>
              <w:pStyle w:val="TableNText"/>
            </w:pPr>
            <w:r>
              <w:t>-</w:t>
            </w:r>
          </w:p>
        </w:tc>
      </w:tr>
      <w:tr w:rsidR="00D46F25" w14:paraId="0023A4C3" w14:textId="77777777" w:rsidTr="005A35A2">
        <w:trPr>
          <w:cnfStyle w:val="000000100000" w:firstRow="0" w:lastRow="0" w:firstColumn="0" w:lastColumn="0" w:oddVBand="0" w:evenVBand="0" w:oddHBand="1" w:evenHBand="0" w:firstRowFirstColumn="0" w:firstRowLastColumn="0" w:lastRowFirstColumn="0" w:lastRowLastColumn="0"/>
          <w:trHeight w:val="313"/>
        </w:trPr>
        <w:tc>
          <w:tcPr>
            <w:tcW w:w="1191" w:type="pct"/>
            <w:tcBorders>
              <w:top w:val="single" w:sz="4" w:space="0" w:color="FFFFFF" w:themeColor="background1"/>
              <w:bottom w:val="single" w:sz="4" w:space="0" w:color="FFFFFF" w:themeColor="background1"/>
            </w:tcBorders>
            <w:shd w:val="clear" w:color="auto" w:fill="00264D" w:themeFill="background2"/>
            <w:vAlign w:val="top"/>
          </w:tcPr>
          <w:p w14:paraId="31FCD3BA" w14:textId="02FB9C17" w:rsidR="00D46F25" w:rsidRPr="005A35A2" w:rsidRDefault="00D46F25" w:rsidP="005A35A2">
            <w:pPr>
              <w:pStyle w:val="TableNheader"/>
              <w:rPr>
                <w:color w:val="FFFFFF" w:themeColor="background1"/>
              </w:rPr>
            </w:pPr>
            <w:r w:rsidRPr="005A35A2">
              <w:rPr>
                <w:color w:val="FFFFFF" w:themeColor="background1"/>
              </w:rPr>
              <w:t>Evaluation</w:t>
            </w:r>
          </w:p>
        </w:tc>
        <w:tc>
          <w:tcPr>
            <w:tcW w:w="761" w:type="pct"/>
          </w:tcPr>
          <w:p w14:paraId="4B53418A" w14:textId="7F0E3F79" w:rsidR="00D46F25" w:rsidRPr="00012192" w:rsidRDefault="00D46F25" w:rsidP="005A35A2">
            <w:pPr>
              <w:pStyle w:val="TableNText"/>
            </w:pPr>
            <w:r w:rsidRPr="00012192">
              <w:t>$131,080</w:t>
            </w:r>
          </w:p>
        </w:tc>
        <w:tc>
          <w:tcPr>
            <w:tcW w:w="761" w:type="pct"/>
          </w:tcPr>
          <w:p w14:paraId="54062319" w14:textId="60A5F87F" w:rsidR="00D46F25" w:rsidRPr="00012192" w:rsidRDefault="00D46F25" w:rsidP="005A35A2">
            <w:pPr>
              <w:pStyle w:val="TableNText"/>
            </w:pPr>
            <w:r w:rsidRPr="00012192">
              <w:t>$100,000</w:t>
            </w:r>
          </w:p>
        </w:tc>
        <w:tc>
          <w:tcPr>
            <w:tcW w:w="762" w:type="pct"/>
          </w:tcPr>
          <w:p w14:paraId="0A7D595E" w14:textId="5A3AFD92" w:rsidR="00D46F25" w:rsidRPr="00012192" w:rsidRDefault="00D46F25" w:rsidP="005A35A2">
            <w:pPr>
              <w:pStyle w:val="TableNText"/>
            </w:pPr>
            <w:r w:rsidRPr="00012192">
              <w:t>-</w:t>
            </w:r>
          </w:p>
        </w:tc>
        <w:tc>
          <w:tcPr>
            <w:tcW w:w="761" w:type="pct"/>
          </w:tcPr>
          <w:p w14:paraId="05DA121D" w14:textId="241EB749" w:rsidR="00D46F25" w:rsidRPr="00012192" w:rsidRDefault="00D46F25" w:rsidP="005A35A2">
            <w:pPr>
              <w:pStyle w:val="TableNText"/>
            </w:pPr>
            <w:r w:rsidRPr="00012192">
              <w:t>-</w:t>
            </w:r>
          </w:p>
        </w:tc>
        <w:tc>
          <w:tcPr>
            <w:tcW w:w="762" w:type="pct"/>
          </w:tcPr>
          <w:p w14:paraId="19F5A766" w14:textId="20CE0BEC" w:rsidR="00D46F25" w:rsidRPr="00012192" w:rsidRDefault="00B47D95" w:rsidP="005A35A2">
            <w:pPr>
              <w:pStyle w:val="TableNText"/>
            </w:pPr>
            <w:r w:rsidRPr="00012192">
              <w:t>-</w:t>
            </w:r>
          </w:p>
        </w:tc>
      </w:tr>
      <w:tr w:rsidR="00D46F25" w14:paraId="0C39BC76" w14:textId="77777777" w:rsidTr="005A35A2">
        <w:trPr>
          <w:cnfStyle w:val="000000010000" w:firstRow="0" w:lastRow="0" w:firstColumn="0" w:lastColumn="0" w:oddVBand="0" w:evenVBand="0" w:oddHBand="0" w:evenHBand="1" w:firstRowFirstColumn="0" w:firstRowLastColumn="0" w:lastRowFirstColumn="0" w:lastRowLastColumn="0"/>
          <w:trHeight w:val="313"/>
        </w:trPr>
        <w:tc>
          <w:tcPr>
            <w:tcW w:w="1191" w:type="pct"/>
            <w:tcBorders>
              <w:top w:val="single" w:sz="4" w:space="0" w:color="FFFFFF" w:themeColor="background1"/>
              <w:bottom w:val="single" w:sz="4" w:space="0" w:color="FFFFFF" w:themeColor="background1"/>
            </w:tcBorders>
            <w:shd w:val="clear" w:color="auto" w:fill="00264D" w:themeFill="background2"/>
            <w:vAlign w:val="top"/>
          </w:tcPr>
          <w:p w14:paraId="727482DC" w14:textId="099FCB17" w:rsidR="00D46F25" w:rsidRPr="005A35A2" w:rsidRDefault="00D46F25" w:rsidP="005A35A2">
            <w:pPr>
              <w:pStyle w:val="TableNheader"/>
              <w:rPr>
                <w:color w:val="FFFFFF" w:themeColor="background1"/>
              </w:rPr>
            </w:pPr>
            <w:r w:rsidRPr="005A35A2">
              <w:rPr>
                <w:color w:val="FFFFFF" w:themeColor="background1"/>
              </w:rPr>
              <w:t>Member advisory panel</w:t>
            </w:r>
          </w:p>
        </w:tc>
        <w:tc>
          <w:tcPr>
            <w:tcW w:w="761" w:type="pct"/>
          </w:tcPr>
          <w:p w14:paraId="7ACD30B3" w14:textId="496A3EEA" w:rsidR="00D46F25" w:rsidRPr="00012192" w:rsidRDefault="00D46F25" w:rsidP="005A35A2">
            <w:pPr>
              <w:pStyle w:val="TableNText"/>
            </w:pPr>
            <w:r w:rsidRPr="00012192">
              <w:t>$728,658</w:t>
            </w:r>
          </w:p>
        </w:tc>
        <w:tc>
          <w:tcPr>
            <w:tcW w:w="761" w:type="pct"/>
          </w:tcPr>
          <w:p w14:paraId="2CD23824" w14:textId="0BFC7738" w:rsidR="00D46F25" w:rsidRPr="00012192" w:rsidRDefault="00D46F25" w:rsidP="005A35A2">
            <w:pPr>
              <w:pStyle w:val="TableNText"/>
            </w:pPr>
            <w:r w:rsidRPr="00012192">
              <w:t>$200,000</w:t>
            </w:r>
          </w:p>
        </w:tc>
        <w:tc>
          <w:tcPr>
            <w:tcW w:w="762" w:type="pct"/>
          </w:tcPr>
          <w:p w14:paraId="17C09353" w14:textId="6F765B82" w:rsidR="00D46F25" w:rsidRPr="00012192" w:rsidRDefault="00D46F25" w:rsidP="005A35A2">
            <w:pPr>
              <w:pStyle w:val="TableNText"/>
            </w:pPr>
            <w:r w:rsidRPr="00012192">
              <w:t>$200,000</w:t>
            </w:r>
          </w:p>
        </w:tc>
        <w:tc>
          <w:tcPr>
            <w:tcW w:w="761" w:type="pct"/>
          </w:tcPr>
          <w:p w14:paraId="51E08D40" w14:textId="2AA184F6" w:rsidR="00D46F25" w:rsidRPr="00012192" w:rsidRDefault="00D46F25" w:rsidP="005A35A2">
            <w:pPr>
              <w:pStyle w:val="TableNText"/>
            </w:pPr>
            <w:r w:rsidRPr="00012192">
              <w:t>$100,000</w:t>
            </w:r>
          </w:p>
        </w:tc>
        <w:tc>
          <w:tcPr>
            <w:tcW w:w="762" w:type="pct"/>
          </w:tcPr>
          <w:p w14:paraId="2E97AFA3" w14:textId="1BAC1F20" w:rsidR="00D46F25" w:rsidRPr="00012192" w:rsidRDefault="00D46F25" w:rsidP="005A35A2">
            <w:pPr>
              <w:pStyle w:val="TableNText"/>
            </w:pPr>
            <w:r w:rsidRPr="00012192">
              <w:t>$100,000</w:t>
            </w:r>
          </w:p>
        </w:tc>
      </w:tr>
      <w:tr w:rsidR="00D46F25" w14:paraId="2C15E222" w14:textId="77777777" w:rsidTr="005A35A2">
        <w:trPr>
          <w:cnfStyle w:val="000000100000" w:firstRow="0" w:lastRow="0" w:firstColumn="0" w:lastColumn="0" w:oddVBand="0" w:evenVBand="0" w:oddHBand="1" w:evenHBand="0" w:firstRowFirstColumn="0" w:firstRowLastColumn="0" w:lastRowFirstColumn="0" w:lastRowLastColumn="0"/>
          <w:trHeight w:val="313"/>
        </w:trPr>
        <w:tc>
          <w:tcPr>
            <w:tcW w:w="1191" w:type="pct"/>
            <w:tcBorders>
              <w:top w:val="single" w:sz="4" w:space="0" w:color="FFFFFF" w:themeColor="background1"/>
              <w:bottom w:val="single" w:sz="4" w:space="0" w:color="FFFFFF" w:themeColor="background1"/>
            </w:tcBorders>
            <w:shd w:val="clear" w:color="auto" w:fill="00264D" w:themeFill="background2"/>
            <w:vAlign w:val="top"/>
          </w:tcPr>
          <w:p w14:paraId="1DFFAFD8" w14:textId="523EF5B1" w:rsidR="00D46F25" w:rsidRPr="005A35A2" w:rsidRDefault="00D46F25" w:rsidP="005A35A2">
            <w:pPr>
              <w:pStyle w:val="TableNheader"/>
              <w:rPr>
                <w:color w:val="FFFFFF" w:themeColor="background1"/>
              </w:rPr>
            </w:pPr>
            <w:r w:rsidRPr="005A35A2">
              <w:rPr>
                <w:color w:val="FFFFFF" w:themeColor="background1"/>
              </w:rPr>
              <w:t>IT upgrade</w:t>
            </w:r>
          </w:p>
        </w:tc>
        <w:tc>
          <w:tcPr>
            <w:tcW w:w="761" w:type="pct"/>
          </w:tcPr>
          <w:p w14:paraId="7509B50D" w14:textId="1176993A" w:rsidR="00D46F25" w:rsidRPr="00012192" w:rsidRDefault="00D46F25" w:rsidP="005A35A2">
            <w:pPr>
              <w:pStyle w:val="TableNText"/>
            </w:pPr>
            <w:r w:rsidRPr="00012192">
              <w:t>$131,080</w:t>
            </w:r>
          </w:p>
        </w:tc>
        <w:tc>
          <w:tcPr>
            <w:tcW w:w="761" w:type="pct"/>
          </w:tcPr>
          <w:p w14:paraId="1073ADC9" w14:textId="0DE100F8" w:rsidR="00D46F25" w:rsidRPr="00012192" w:rsidRDefault="00D46F25" w:rsidP="005A35A2">
            <w:pPr>
              <w:pStyle w:val="TableNText"/>
            </w:pPr>
            <w:r w:rsidRPr="00012192">
              <w:t>$100,000</w:t>
            </w:r>
          </w:p>
        </w:tc>
        <w:tc>
          <w:tcPr>
            <w:tcW w:w="762" w:type="pct"/>
          </w:tcPr>
          <w:p w14:paraId="40DEA773" w14:textId="0BEED4BB" w:rsidR="00D46F25" w:rsidRPr="00012192" w:rsidRDefault="00D46F25" w:rsidP="005A35A2">
            <w:pPr>
              <w:pStyle w:val="TableNText"/>
            </w:pPr>
            <w:r w:rsidRPr="00012192">
              <w:t>-</w:t>
            </w:r>
          </w:p>
        </w:tc>
        <w:tc>
          <w:tcPr>
            <w:tcW w:w="761" w:type="pct"/>
          </w:tcPr>
          <w:p w14:paraId="38CABFCB" w14:textId="6463CAF8" w:rsidR="00D46F25" w:rsidRPr="00012192" w:rsidRDefault="00D46F25" w:rsidP="005A35A2">
            <w:pPr>
              <w:pStyle w:val="TableNText"/>
            </w:pPr>
            <w:r w:rsidRPr="00012192">
              <w:t>-</w:t>
            </w:r>
          </w:p>
        </w:tc>
        <w:tc>
          <w:tcPr>
            <w:tcW w:w="762" w:type="pct"/>
          </w:tcPr>
          <w:p w14:paraId="552CA07E" w14:textId="3532BF8E" w:rsidR="00D46F25" w:rsidRPr="00012192" w:rsidRDefault="00B47D95" w:rsidP="005A35A2">
            <w:pPr>
              <w:pStyle w:val="TableNText"/>
            </w:pPr>
            <w:r w:rsidRPr="00012192">
              <w:t>-</w:t>
            </w:r>
          </w:p>
        </w:tc>
      </w:tr>
      <w:tr w:rsidR="00D46F25" w14:paraId="2D0B1301" w14:textId="77777777" w:rsidTr="005A35A2">
        <w:trPr>
          <w:cnfStyle w:val="000000010000" w:firstRow="0" w:lastRow="0" w:firstColumn="0" w:lastColumn="0" w:oddVBand="0" w:evenVBand="0" w:oddHBand="0" w:evenHBand="1" w:firstRowFirstColumn="0" w:firstRowLastColumn="0" w:lastRowFirstColumn="0" w:lastRowLastColumn="0"/>
          <w:trHeight w:val="313"/>
        </w:trPr>
        <w:tc>
          <w:tcPr>
            <w:tcW w:w="1191" w:type="pct"/>
            <w:tcBorders>
              <w:top w:val="single" w:sz="4" w:space="0" w:color="FFFFFF" w:themeColor="background1"/>
              <w:bottom w:val="single" w:sz="4" w:space="0" w:color="FFFFFF" w:themeColor="background1"/>
            </w:tcBorders>
            <w:shd w:val="clear" w:color="auto" w:fill="00264D" w:themeFill="background2"/>
            <w:vAlign w:val="top"/>
          </w:tcPr>
          <w:p w14:paraId="7525F6AE" w14:textId="54646AF2" w:rsidR="00D46F25" w:rsidRPr="005A35A2" w:rsidRDefault="00D46F25" w:rsidP="005A35A2">
            <w:pPr>
              <w:pStyle w:val="TableNheader"/>
              <w:rPr>
                <w:color w:val="FFFFFF" w:themeColor="background1"/>
              </w:rPr>
            </w:pPr>
            <w:r w:rsidRPr="005A35A2">
              <w:rPr>
                <w:color w:val="FFFFFF" w:themeColor="background1"/>
              </w:rPr>
              <w:t>Challenge agency costs</w:t>
            </w:r>
          </w:p>
        </w:tc>
        <w:tc>
          <w:tcPr>
            <w:tcW w:w="761" w:type="pct"/>
          </w:tcPr>
          <w:p w14:paraId="4C755697" w14:textId="636E7F68" w:rsidR="00D46F25" w:rsidRPr="00C13453" w:rsidRDefault="00D46F25" w:rsidP="005A35A2">
            <w:pPr>
              <w:pStyle w:val="TableNText"/>
            </w:pPr>
            <w:r w:rsidRPr="00C13453">
              <w:t>$111,479</w:t>
            </w:r>
          </w:p>
        </w:tc>
        <w:tc>
          <w:tcPr>
            <w:tcW w:w="761" w:type="pct"/>
          </w:tcPr>
          <w:p w14:paraId="4C87AF8E" w14:textId="211AA787" w:rsidR="00D46F25" w:rsidRPr="00C13453" w:rsidRDefault="00D46F25" w:rsidP="005A35A2">
            <w:pPr>
              <w:pStyle w:val="TableNText"/>
            </w:pPr>
            <w:r w:rsidRPr="00C13453">
              <w:t>$23,466</w:t>
            </w:r>
          </w:p>
        </w:tc>
        <w:tc>
          <w:tcPr>
            <w:tcW w:w="762" w:type="pct"/>
          </w:tcPr>
          <w:p w14:paraId="0C66A61E" w14:textId="1699AB5B" w:rsidR="00D46F25" w:rsidRPr="00C13453" w:rsidRDefault="00D46F25" w:rsidP="005A35A2">
            <w:pPr>
              <w:pStyle w:val="TableNText"/>
            </w:pPr>
            <w:r w:rsidRPr="00C13453">
              <w:t>$23,466</w:t>
            </w:r>
          </w:p>
        </w:tc>
        <w:tc>
          <w:tcPr>
            <w:tcW w:w="761" w:type="pct"/>
          </w:tcPr>
          <w:p w14:paraId="58FF83F8" w14:textId="204F7636" w:rsidR="00D46F25" w:rsidRPr="00C13453" w:rsidRDefault="00D46F25" w:rsidP="005A35A2">
            <w:pPr>
              <w:pStyle w:val="TableNText"/>
            </w:pPr>
            <w:r w:rsidRPr="00C13453">
              <w:t>$23,466</w:t>
            </w:r>
          </w:p>
        </w:tc>
        <w:tc>
          <w:tcPr>
            <w:tcW w:w="762" w:type="pct"/>
          </w:tcPr>
          <w:p w14:paraId="5D76AE56" w14:textId="76EB7583" w:rsidR="00D46F25" w:rsidRPr="00C13453" w:rsidRDefault="00D46F25" w:rsidP="005A35A2">
            <w:pPr>
              <w:pStyle w:val="TableNText"/>
            </w:pPr>
            <w:r w:rsidRPr="00C13453">
              <w:t>$23,466</w:t>
            </w:r>
          </w:p>
        </w:tc>
      </w:tr>
      <w:tr w:rsidR="00D46F25" w14:paraId="3C6F5A5F" w14:textId="77777777" w:rsidTr="005A35A2">
        <w:trPr>
          <w:cnfStyle w:val="000000100000" w:firstRow="0" w:lastRow="0" w:firstColumn="0" w:lastColumn="0" w:oddVBand="0" w:evenVBand="0" w:oddHBand="1" w:evenHBand="0" w:firstRowFirstColumn="0" w:firstRowLastColumn="0" w:lastRowFirstColumn="0" w:lastRowLastColumn="0"/>
          <w:trHeight w:val="313"/>
        </w:trPr>
        <w:tc>
          <w:tcPr>
            <w:tcW w:w="1191" w:type="pct"/>
            <w:tcBorders>
              <w:top w:val="single" w:sz="4" w:space="0" w:color="FFFFFF" w:themeColor="background1"/>
              <w:bottom w:val="single" w:sz="4" w:space="0" w:color="FFFFFF" w:themeColor="background1"/>
            </w:tcBorders>
            <w:shd w:val="clear" w:color="auto" w:fill="00264D" w:themeFill="background2"/>
            <w:vAlign w:val="top"/>
          </w:tcPr>
          <w:p w14:paraId="1CE4C736" w14:textId="2B67A6CC" w:rsidR="00D46F25" w:rsidRPr="005A35A2" w:rsidRDefault="00D46F25" w:rsidP="005A35A2">
            <w:pPr>
              <w:pStyle w:val="TableNheader"/>
              <w:rPr>
                <w:color w:val="FFFFFF" w:themeColor="background1"/>
              </w:rPr>
            </w:pPr>
            <w:r w:rsidRPr="005A35A2">
              <w:rPr>
                <w:color w:val="FFFFFF" w:themeColor="background1"/>
              </w:rPr>
              <w:t>Agency staff</w:t>
            </w:r>
          </w:p>
        </w:tc>
        <w:tc>
          <w:tcPr>
            <w:tcW w:w="761" w:type="pct"/>
          </w:tcPr>
          <w:p w14:paraId="0FBB1ECA" w14:textId="2376B948" w:rsidR="00D46F25" w:rsidRPr="00C13453" w:rsidRDefault="00D46F25" w:rsidP="005A35A2">
            <w:pPr>
              <w:pStyle w:val="TableNText"/>
            </w:pPr>
            <w:r w:rsidRPr="00C13453">
              <w:t>$111,479</w:t>
            </w:r>
          </w:p>
        </w:tc>
        <w:tc>
          <w:tcPr>
            <w:tcW w:w="761" w:type="pct"/>
          </w:tcPr>
          <w:p w14:paraId="1898D964" w14:textId="1CAEB375" w:rsidR="00D46F25" w:rsidRPr="00C13453" w:rsidRDefault="00D46F25" w:rsidP="005A35A2">
            <w:pPr>
              <w:pStyle w:val="TableNText"/>
            </w:pPr>
            <w:r w:rsidRPr="00C13453">
              <w:t>$23,466</w:t>
            </w:r>
          </w:p>
        </w:tc>
        <w:tc>
          <w:tcPr>
            <w:tcW w:w="762" w:type="pct"/>
          </w:tcPr>
          <w:p w14:paraId="3AD89909" w14:textId="75276119" w:rsidR="00D46F25" w:rsidRPr="00C13453" w:rsidRDefault="00D46F25" w:rsidP="005A35A2">
            <w:pPr>
              <w:pStyle w:val="TableNText"/>
            </w:pPr>
            <w:r w:rsidRPr="00C13453">
              <w:t>$23,466</w:t>
            </w:r>
          </w:p>
        </w:tc>
        <w:tc>
          <w:tcPr>
            <w:tcW w:w="761" w:type="pct"/>
          </w:tcPr>
          <w:p w14:paraId="2273C198" w14:textId="02C4F4DF" w:rsidR="00D46F25" w:rsidRPr="00C13453" w:rsidRDefault="00D46F25" w:rsidP="005A35A2">
            <w:pPr>
              <w:pStyle w:val="TableNText"/>
            </w:pPr>
            <w:r w:rsidRPr="00C13453">
              <w:t>$23,466</w:t>
            </w:r>
          </w:p>
        </w:tc>
        <w:tc>
          <w:tcPr>
            <w:tcW w:w="762" w:type="pct"/>
          </w:tcPr>
          <w:p w14:paraId="4DD69718" w14:textId="42081501" w:rsidR="00D46F25" w:rsidRPr="00C13453" w:rsidRDefault="00D46F25" w:rsidP="005A35A2">
            <w:pPr>
              <w:pStyle w:val="TableNText"/>
            </w:pPr>
            <w:r w:rsidRPr="00012192">
              <w:t>$23,466</w:t>
            </w:r>
          </w:p>
        </w:tc>
      </w:tr>
      <w:tr w:rsidR="00236305" w14:paraId="5DABCFE4" w14:textId="77777777" w:rsidTr="005A35A2">
        <w:trPr>
          <w:cnfStyle w:val="000000010000" w:firstRow="0" w:lastRow="0" w:firstColumn="0" w:lastColumn="0" w:oddVBand="0" w:evenVBand="0" w:oddHBand="0" w:evenHBand="1" w:firstRowFirstColumn="0" w:firstRowLastColumn="0" w:lastRowFirstColumn="0" w:lastRowLastColumn="0"/>
          <w:trHeight w:val="313"/>
        </w:trPr>
        <w:tc>
          <w:tcPr>
            <w:tcW w:w="1191" w:type="pct"/>
            <w:tcBorders>
              <w:top w:val="single" w:sz="4" w:space="0" w:color="FFFFFF" w:themeColor="background1"/>
            </w:tcBorders>
            <w:shd w:val="clear" w:color="auto" w:fill="00264D" w:themeFill="background2"/>
            <w:vAlign w:val="top"/>
          </w:tcPr>
          <w:p w14:paraId="531B0E5D" w14:textId="1D931BF8" w:rsidR="00236305" w:rsidRPr="005A35A2" w:rsidRDefault="00236305" w:rsidP="005A35A2">
            <w:pPr>
              <w:pStyle w:val="TableNheader"/>
              <w:rPr>
                <w:rFonts w:asciiTheme="majorHAnsi" w:hAnsiTheme="majorHAnsi" w:cstheme="majorHAnsi"/>
                <w:color w:val="FFFFFF" w:themeColor="background1"/>
              </w:rPr>
            </w:pPr>
            <w:r w:rsidRPr="005A35A2">
              <w:rPr>
                <w:rFonts w:asciiTheme="majorHAnsi" w:hAnsiTheme="majorHAnsi" w:cstheme="majorHAnsi"/>
                <w:color w:val="FFFFFF" w:themeColor="background1"/>
              </w:rPr>
              <w:t>TOTAL</w:t>
            </w:r>
          </w:p>
        </w:tc>
        <w:tc>
          <w:tcPr>
            <w:tcW w:w="761" w:type="pct"/>
            <w:shd w:val="clear" w:color="auto" w:fill="E6E6E1" w:themeFill="accent5"/>
          </w:tcPr>
          <w:p w14:paraId="5002F0A2" w14:textId="14EB6F03" w:rsidR="00236305" w:rsidRPr="005A35A2" w:rsidRDefault="00236305" w:rsidP="005A35A2">
            <w:pPr>
              <w:pStyle w:val="TableNText"/>
              <w:rPr>
                <w:rFonts w:asciiTheme="majorHAnsi" w:hAnsiTheme="majorHAnsi" w:cstheme="majorHAnsi"/>
              </w:rPr>
            </w:pPr>
            <w:r w:rsidRPr="005A35A2">
              <w:rPr>
                <w:rFonts w:asciiTheme="majorHAnsi" w:hAnsiTheme="majorHAnsi" w:cstheme="majorHAnsi"/>
              </w:rPr>
              <w:t>$16,359,271</w:t>
            </w:r>
          </w:p>
        </w:tc>
        <w:tc>
          <w:tcPr>
            <w:tcW w:w="761" w:type="pct"/>
            <w:shd w:val="clear" w:color="auto" w:fill="E6E6E1" w:themeFill="accent5"/>
          </w:tcPr>
          <w:p w14:paraId="1BD65171" w14:textId="739F2739" w:rsidR="00236305" w:rsidRPr="005A35A2" w:rsidRDefault="00236305" w:rsidP="005A35A2">
            <w:pPr>
              <w:pStyle w:val="TableNText"/>
              <w:rPr>
                <w:rFonts w:asciiTheme="majorHAnsi" w:hAnsiTheme="majorHAnsi" w:cstheme="majorHAnsi"/>
              </w:rPr>
            </w:pPr>
            <w:r w:rsidRPr="005A35A2">
              <w:rPr>
                <w:rFonts w:asciiTheme="majorHAnsi" w:hAnsiTheme="majorHAnsi" w:cstheme="majorHAnsi"/>
              </w:rPr>
              <w:t>$2,995,065</w:t>
            </w:r>
          </w:p>
        </w:tc>
        <w:tc>
          <w:tcPr>
            <w:tcW w:w="762" w:type="pct"/>
            <w:shd w:val="clear" w:color="auto" w:fill="E6E6E1" w:themeFill="accent5"/>
          </w:tcPr>
          <w:p w14:paraId="07FF26AF" w14:textId="01292C78" w:rsidR="00236305" w:rsidRPr="005A35A2" w:rsidRDefault="00236305" w:rsidP="005A35A2">
            <w:pPr>
              <w:pStyle w:val="TableNText"/>
              <w:rPr>
                <w:rFonts w:asciiTheme="majorHAnsi" w:hAnsiTheme="majorHAnsi" w:cstheme="majorHAnsi"/>
              </w:rPr>
            </w:pPr>
            <w:r w:rsidRPr="005A35A2">
              <w:rPr>
                <w:rFonts w:asciiTheme="majorHAnsi" w:hAnsiTheme="majorHAnsi" w:cstheme="majorHAnsi"/>
              </w:rPr>
              <w:t>$9,478,841</w:t>
            </w:r>
          </w:p>
        </w:tc>
        <w:tc>
          <w:tcPr>
            <w:tcW w:w="761" w:type="pct"/>
            <w:shd w:val="clear" w:color="auto" w:fill="E6E6E1" w:themeFill="accent5"/>
          </w:tcPr>
          <w:p w14:paraId="627BB7C0" w14:textId="278E313D" w:rsidR="00236305" w:rsidRPr="005A35A2" w:rsidRDefault="00236305" w:rsidP="005A35A2">
            <w:pPr>
              <w:pStyle w:val="TableNText"/>
              <w:rPr>
                <w:rFonts w:asciiTheme="majorHAnsi" w:hAnsiTheme="majorHAnsi" w:cstheme="majorHAnsi"/>
              </w:rPr>
            </w:pPr>
            <w:r w:rsidRPr="005A35A2">
              <w:rPr>
                <w:rFonts w:asciiTheme="majorHAnsi" w:hAnsiTheme="majorHAnsi" w:cstheme="majorHAnsi"/>
              </w:rPr>
              <w:t>$477,255</w:t>
            </w:r>
          </w:p>
        </w:tc>
        <w:tc>
          <w:tcPr>
            <w:tcW w:w="762" w:type="pct"/>
            <w:shd w:val="clear" w:color="auto" w:fill="E6E6E1" w:themeFill="accent5"/>
          </w:tcPr>
          <w:p w14:paraId="3F453916" w14:textId="49DC6B49" w:rsidR="00236305" w:rsidRPr="005A35A2" w:rsidRDefault="00236305" w:rsidP="005A35A2">
            <w:pPr>
              <w:pStyle w:val="TableNText"/>
              <w:rPr>
                <w:rFonts w:asciiTheme="majorHAnsi" w:hAnsiTheme="majorHAnsi" w:cstheme="majorHAnsi"/>
              </w:rPr>
            </w:pPr>
            <w:r w:rsidRPr="005A35A2">
              <w:rPr>
                <w:rFonts w:asciiTheme="majorHAnsi" w:hAnsiTheme="majorHAnsi" w:cstheme="majorHAnsi"/>
              </w:rPr>
              <w:t>$256,967</w:t>
            </w:r>
          </w:p>
        </w:tc>
      </w:tr>
    </w:tbl>
    <w:p w14:paraId="71621E98" w14:textId="77777777" w:rsidR="002400ED" w:rsidRPr="004A5F86" w:rsidRDefault="002400ED" w:rsidP="002400ED">
      <w:pPr>
        <w:pStyle w:val="Bullet"/>
        <w:numPr>
          <w:ilvl w:val="0"/>
          <w:numId w:val="0"/>
        </w:numPr>
        <w:rPr>
          <w:rFonts w:eastAsiaTheme="minorHAnsi"/>
        </w:rPr>
      </w:pPr>
    </w:p>
    <w:p w14:paraId="621116BE" w14:textId="1C4B08DD" w:rsidR="008F4E1E" w:rsidRDefault="00C173E5" w:rsidP="002D6FD2">
      <w:r w:rsidRPr="004A5F86">
        <w:t xml:space="preserve">It should be noted that there are also costs that accrue to SMEs in the form of opportunities costs for time taken to apply to </w:t>
      </w:r>
      <w:r w:rsidR="0092332C">
        <w:t xml:space="preserve">the </w:t>
      </w:r>
      <w:r w:rsidRPr="004A5F86">
        <w:t xml:space="preserve">BRII. However, these are costs are considered negligible or at least offset by the BRII program funding for both feasibility and </w:t>
      </w:r>
      <w:r w:rsidR="004F1887">
        <w:t>proof of concept</w:t>
      </w:r>
      <w:r w:rsidRPr="004A5F86">
        <w:t xml:space="preserve"> (remembering the scope of this CBA deals only with successful applicants).</w:t>
      </w:r>
    </w:p>
    <w:p w14:paraId="0F2447AC" w14:textId="0220B88C" w:rsidR="005E4698" w:rsidRDefault="005E4698">
      <w:pPr>
        <w:pStyle w:val="xAppendixLevel2"/>
        <w:rPr>
          <w:rFonts w:eastAsiaTheme="minorHAnsi"/>
        </w:rPr>
      </w:pPr>
      <w:bookmarkStart w:id="239" w:name="_Toc124435193"/>
      <w:r>
        <w:rPr>
          <w:rFonts w:eastAsiaTheme="minorHAnsi"/>
        </w:rPr>
        <w:lastRenderedPageBreak/>
        <w:t>Sensitivity analysis</w:t>
      </w:r>
      <w:bookmarkEnd w:id="239"/>
    </w:p>
    <w:p w14:paraId="188BA73F" w14:textId="2FEA1A87" w:rsidR="001A5879" w:rsidRPr="001E2AF7" w:rsidRDefault="001A5879" w:rsidP="001E2AF7">
      <w:pPr>
        <w:rPr>
          <w:b/>
          <w:bCs/>
        </w:rPr>
      </w:pPr>
      <w:r w:rsidRPr="001E2AF7">
        <w:rPr>
          <w:b/>
          <w:bCs/>
        </w:rPr>
        <w:t xml:space="preserve">The CBA results presented here are sensitive to </w:t>
      </w:r>
      <w:r w:rsidR="005D749F" w:rsidRPr="001E2AF7">
        <w:rPr>
          <w:b/>
          <w:bCs/>
        </w:rPr>
        <w:t>a few</w:t>
      </w:r>
      <w:r w:rsidRPr="001E2AF7">
        <w:rPr>
          <w:b/>
          <w:bCs/>
        </w:rPr>
        <w:t xml:space="preserve"> assumptions.</w:t>
      </w:r>
    </w:p>
    <w:p w14:paraId="69759DAD" w14:textId="325DC95D" w:rsidR="00281B56" w:rsidRDefault="001A5879" w:rsidP="00281B56">
      <w:r w:rsidRPr="00055D61">
        <w:t xml:space="preserve">In addition to these assumptions, the discount rate is another key parameter that </w:t>
      </w:r>
      <w:r w:rsidR="00D46E4D">
        <w:t xml:space="preserve">can </w:t>
      </w:r>
      <w:r w:rsidRPr="00055D61">
        <w:t>change the overall CBA result</w:t>
      </w:r>
      <w:r w:rsidR="000C3D62">
        <w:t xml:space="preserve">. </w:t>
      </w:r>
      <w:r w:rsidR="00281B56" w:rsidRPr="00055D61">
        <w:t>In line with Australian Government guidance, the CBA results are presented here at discount rates of 3 per cent, 7 per cent (base</w:t>
      </w:r>
      <w:r w:rsidR="00281B56">
        <w:t xml:space="preserve"> case</w:t>
      </w:r>
      <w:r w:rsidR="00281B56" w:rsidRPr="00055D61">
        <w:t>) and 10 per cent.</w:t>
      </w:r>
      <w:r w:rsidR="00281B56" w:rsidRPr="002737BF">
        <w:rPr>
          <w:vertAlign w:val="superscript"/>
        </w:rPr>
        <w:footnoteReference w:id="105"/>
      </w:r>
      <w:r w:rsidR="00281B56" w:rsidRPr="00055D61">
        <w:t xml:space="preserve"> The resulting net benefit range has a lower bound of $</w:t>
      </w:r>
      <w:r w:rsidR="00A732B6">
        <w:t>8.2</w:t>
      </w:r>
      <w:r w:rsidR="00281B56" w:rsidRPr="00055D61">
        <w:t xml:space="preserve"> million and an upper bound of $</w:t>
      </w:r>
      <w:r w:rsidR="00281B56">
        <w:t>13.</w:t>
      </w:r>
      <w:r w:rsidR="00A732B6">
        <w:t>5</w:t>
      </w:r>
      <w:r w:rsidR="00281B56" w:rsidRPr="00055D61">
        <w:t xml:space="preserve"> million.</w:t>
      </w:r>
      <w:r w:rsidR="00281B56">
        <w:t xml:space="preserve"> However, there are other parameters set in the base case that have the potential to influence the overall outcome. Two of the most significant of these are:</w:t>
      </w:r>
    </w:p>
    <w:p w14:paraId="602EDC93" w14:textId="5054DFDA" w:rsidR="00281B56" w:rsidRDefault="00281B56">
      <w:pPr>
        <w:pStyle w:val="Bullet"/>
      </w:pPr>
      <w:r>
        <w:t xml:space="preserve">Years of persistence in impact to SME performance </w:t>
      </w:r>
      <w:r w:rsidR="005D749F">
        <w:t>because of</w:t>
      </w:r>
      <w:r>
        <w:t xml:space="preserve"> </w:t>
      </w:r>
      <w:r w:rsidR="00AA430A">
        <w:t>the</w:t>
      </w:r>
      <w:r>
        <w:t xml:space="preserve"> BRII</w:t>
      </w:r>
    </w:p>
    <w:p w14:paraId="00D0CE5F" w14:textId="7B82A0FD" w:rsidR="00281B56" w:rsidRDefault="00281B56">
      <w:pPr>
        <w:pStyle w:val="Bullet"/>
      </w:pPr>
      <w:r>
        <w:t xml:space="preserve">Expected future revenue growth for </w:t>
      </w:r>
      <w:r w:rsidR="00AA430A">
        <w:t xml:space="preserve">the </w:t>
      </w:r>
      <w:r>
        <w:t>BRII round one proof of concept SMEs.</w:t>
      </w:r>
    </w:p>
    <w:p w14:paraId="6589B341" w14:textId="7446681F" w:rsidR="00281B56" w:rsidRDefault="00281B56" w:rsidP="00281B56">
      <w:pPr>
        <w:pStyle w:val="Bullet"/>
        <w:numPr>
          <w:ilvl w:val="0"/>
          <w:numId w:val="0"/>
        </w:numPr>
        <w:ind w:left="360" w:hanging="360"/>
      </w:pPr>
      <w:r>
        <w:t xml:space="preserve">A summary of how these parameters can impact the overall results is presented in </w:t>
      </w:r>
      <w:r w:rsidR="00AA430A">
        <w:fldChar w:fldCharType="begin"/>
      </w:r>
      <w:r w:rsidR="00AA430A">
        <w:instrText xml:space="preserve"> REF _Ref79420285 \h </w:instrText>
      </w:r>
      <w:r w:rsidR="00AA430A">
        <w:fldChar w:fldCharType="separate"/>
      </w:r>
      <w:r w:rsidR="00AE607F">
        <w:t xml:space="preserve">Table </w:t>
      </w:r>
      <w:r w:rsidR="00AE607F">
        <w:rPr>
          <w:noProof/>
        </w:rPr>
        <w:t>26</w:t>
      </w:r>
      <w:r w:rsidR="00AA430A">
        <w:fldChar w:fldCharType="end"/>
      </w:r>
      <w:r>
        <w:t xml:space="preserve"> below.</w:t>
      </w:r>
    </w:p>
    <w:p w14:paraId="6EAEACE9" w14:textId="2FE41D69" w:rsidR="00281B56" w:rsidRDefault="00281B56" w:rsidP="00281B56">
      <w:pPr>
        <w:pStyle w:val="Caption"/>
      </w:pPr>
      <w:bookmarkStart w:id="240" w:name="_Ref79420285"/>
      <w:r>
        <w:t xml:space="preserve">Table </w:t>
      </w:r>
      <w:r>
        <w:fldChar w:fldCharType="begin"/>
      </w:r>
      <w:r>
        <w:instrText xml:space="preserve"> SEQ Table \* ARABIC </w:instrText>
      </w:r>
      <w:r>
        <w:fldChar w:fldCharType="separate"/>
      </w:r>
      <w:r w:rsidR="00AE607F">
        <w:rPr>
          <w:noProof/>
        </w:rPr>
        <w:t>26</w:t>
      </w:r>
      <w:r>
        <w:fldChar w:fldCharType="end"/>
      </w:r>
      <w:bookmarkEnd w:id="240"/>
      <w:r>
        <w:t xml:space="preserve"> | Model parameters sensitivity analysis (holding all else constant)</w:t>
      </w:r>
    </w:p>
    <w:tbl>
      <w:tblPr>
        <w:tblStyle w:val="TableGrid"/>
        <w:tblW w:w="9120" w:type="dxa"/>
        <w:tblBorders>
          <w:top w:val="single" w:sz="4" w:space="0" w:color="00264D" w:themeColor="background2"/>
          <w:left w:val="single" w:sz="4" w:space="0" w:color="00264D" w:themeColor="background2"/>
          <w:bottom w:val="single" w:sz="4" w:space="0" w:color="00264D" w:themeColor="background2"/>
          <w:right w:val="single" w:sz="4" w:space="0" w:color="00264D" w:themeColor="background2"/>
          <w:insideH w:val="single" w:sz="4" w:space="0" w:color="00264D" w:themeColor="background2"/>
          <w:insideV w:val="single" w:sz="4" w:space="0" w:color="00264D" w:themeColor="background2"/>
        </w:tblBorders>
        <w:tblLook w:val="04A0" w:firstRow="1" w:lastRow="0" w:firstColumn="1" w:lastColumn="0" w:noHBand="0" w:noVBand="1"/>
      </w:tblPr>
      <w:tblGrid>
        <w:gridCol w:w="2694"/>
        <w:gridCol w:w="2142"/>
        <w:gridCol w:w="2142"/>
        <w:gridCol w:w="2142"/>
      </w:tblGrid>
      <w:tr w:rsidR="00E00681" w14:paraId="4372FECB" w14:textId="77777777" w:rsidTr="005A35A2">
        <w:trPr>
          <w:cnfStyle w:val="100000000000" w:firstRow="1" w:lastRow="0" w:firstColumn="0" w:lastColumn="0" w:oddVBand="0" w:evenVBand="0" w:oddHBand="0" w:evenHBand="0" w:firstRowFirstColumn="0" w:firstRowLastColumn="0" w:lastRowFirstColumn="0" w:lastRowLastColumn="0"/>
        </w:trPr>
        <w:tc>
          <w:tcPr>
            <w:tcW w:w="2694" w:type="dxa"/>
            <w:tcBorders>
              <w:top w:val="none" w:sz="0" w:space="0" w:color="auto"/>
              <w:left w:val="none" w:sz="0" w:space="0" w:color="auto"/>
              <w:bottom w:val="none" w:sz="0" w:space="0" w:color="auto"/>
              <w:right w:val="single" w:sz="4" w:space="0" w:color="FFFFFF" w:themeColor="background1"/>
              <w:tl2br w:val="none" w:sz="0" w:space="0" w:color="auto"/>
              <w:tr2bl w:val="none" w:sz="0" w:space="0" w:color="auto"/>
            </w:tcBorders>
            <w:shd w:val="clear" w:color="auto" w:fill="00264D" w:themeFill="background2"/>
          </w:tcPr>
          <w:p w14:paraId="3E2C6C51" w14:textId="77777777" w:rsidR="00281B56" w:rsidRPr="005A35A2" w:rsidRDefault="00281B56" w:rsidP="005A35A2">
            <w:pPr>
              <w:pStyle w:val="TableNheader"/>
              <w:rPr>
                <w:color w:val="FFFFFF" w:themeColor="background1"/>
                <w:lang w:eastAsia="en-AU"/>
              </w:rPr>
            </w:pPr>
            <w:r w:rsidRPr="005A35A2">
              <w:rPr>
                <w:color w:val="FFFFFF" w:themeColor="background1"/>
                <w:lang w:eastAsia="en-AU"/>
              </w:rPr>
              <w:t>Characteristic</w:t>
            </w:r>
          </w:p>
        </w:tc>
        <w:tc>
          <w:tcPr>
            <w:tcW w:w="2142" w:type="dxa"/>
            <w:tcBorders>
              <w:top w:val="none" w:sz="0" w:space="0" w:color="auto"/>
              <w:left w:val="single" w:sz="4" w:space="0" w:color="FFFFFF" w:themeColor="background1"/>
              <w:bottom w:val="none" w:sz="0" w:space="0" w:color="auto"/>
              <w:right w:val="single" w:sz="4" w:space="0" w:color="FFFFFF" w:themeColor="background1"/>
              <w:tl2br w:val="none" w:sz="0" w:space="0" w:color="auto"/>
              <w:tr2bl w:val="none" w:sz="0" w:space="0" w:color="auto"/>
            </w:tcBorders>
            <w:shd w:val="clear" w:color="auto" w:fill="00264D" w:themeFill="background2"/>
          </w:tcPr>
          <w:p w14:paraId="49443B10" w14:textId="77777777" w:rsidR="00281B56" w:rsidRPr="005A35A2" w:rsidRDefault="00281B56" w:rsidP="005A35A2">
            <w:pPr>
              <w:pStyle w:val="TableNheader"/>
              <w:rPr>
                <w:color w:val="FFFFFF" w:themeColor="background1"/>
                <w:lang w:eastAsia="en-AU"/>
              </w:rPr>
            </w:pPr>
            <w:r w:rsidRPr="005A35A2">
              <w:rPr>
                <w:color w:val="FFFFFF" w:themeColor="background1"/>
                <w:lang w:eastAsia="en-AU"/>
              </w:rPr>
              <w:t>Lower bound</w:t>
            </w:r>
          </w:p>
        </w:tc>
        <w:tc>
          <w:tcPr>
            <w:tcW w:w="2142" w:type="dxa"/>
            <w:tcBorders>
              <w:top w:val="none" w:sz="0" w:space="0" w:color="auto"/>
              <w:left w:val="single" w:sz="4" w:space="0" w:color="FFFFFF" w:themeColor="background1"/>
              <w:bottom w:val="none" w:sz="0" w:space="0" w:color="auto"/>
              <w:right w:val="single" w:sz="4" w:space="0" w:color="FFFFFF" w:themeColor="background1"/>
              <w:tl2br w:val="none" w:sz="0" w:space="0" w:color="auto"/>
              <w:tr2bl w:val="none" w:sz="0" w:space="0" w:color="auto"/>
            </w:tcBorders>
            <w:shd w:val="clear" w:color="auto" w:fill="00264D" w:themeFill="background2"/>
          </w:tcPr>
          <w:p w14:paraId="599AB445" w14:textId="77777777" w:rsidR="00281B56" w:rsidRPr="005A35A2" w:rsidRDefault="00281B56" w:rsidP="005A35A2">
            <w:pPr>
              <w:pStyle w:val="TableNheader"/>
              <w:rPr>
                <w:color w:val="FFFFFF" w:themeColor="background1"/>
                <w:lang w:eastAsia="en-AU"/>
              </w:rPr>
            </w:pPr>
            <w:r w:rsidRPr="005A35A2">
              <w:rPr>
                <w:color w:val="FFFFFF" w:themeColor="background1"/>
                <w:lang w:eastAsia="en-AU"/>
              </w:rPr>
              <w:t>Base case</w:t>
            </w:r>
          </w:p>
        </w:tc>
        <w:tc>
          <w:tcPr>
            <w:tcW w:w="2142" w:type="dxa"/>
            <w:tcBorders>
              <w:top w:val="none" w:sz="0" w:space="0" w:color="auto"/>
              <w:left w:val="single" w:sz="4" w:space="0" w:color="FFFFFF" w:themeColor="background1"/>
              <w:bottom w:val="none" w:sz="0" w:space="0" w:color="auto"/>
              <w:right w:val="none" w:sz="0" w:space="0" w:color="auto"/>
              <w:tl2br w:val="none" w:sz="0" w:space="0" w:color="auto"/>
              <w:tr2bl w:val="none" w:sz="0" w:space="0" w:color="auto"/>
            </w:tcBorders>
            <w:shd w:val="clear" w:color="auto" w:fill="00264D" w:themeFill="background2"/>
          </w:tcPr>
          <w:p w14:paraId="1F02A4A5" w14:textId="77777777" w:rsidR="00281B56" w:rsidRPr="005A35A2" w:rsidRDefault="00281B56" w:rsidP="005A35A2">
            <w:pPr>
              <w:pStyle w:val="TableNheader"/>
              <w:rPr>
                <w:color w:val="FFFFFF" w:themeColor="background1"/>
                <w:lang w:eastAsia="en-AU"/>
              </w:rPr>
            </w:pPr>
            <w:r w:rsidRPr="005A35A2">
              <w:rPr>
                <w:color w:val="FFFFFF" w:themeColor="background1"/>
                <w:lang w:eastAsia="en-AU"/>
              </w:rPr>
              <w:t>Upper bound</w:t>
            </w:r>
          </w:p>
        </w:tc>
      </w:tr>
      <w:tr w:rsidR="00281B56" w14:paraId="7F9DB356" w14:textId="77777777" w:rsidTr="005A35A2">
        <w:trPr>
          <w:cnfStyle w:val="000000100000" w:firstRow="0" w:lastRow="0" w:firstColumn="0" w:lastColumn="0" w:oddVBand="0" w:evenVBand="0" w:oddHBand="1" w:evenHBand="0" w:firstRowFirstColumn="0" w:firstRowLastColumn="0" w:lastRowFirstColumn="0" w:lastRowLastColumn="0"/>
        </w:trPr>
        <w:tc>
          <w:tcPr>
            <w:tcW w:w="2694" w:type="dxa"/>
            <w:shd w:val="clear" w:color="auto" w:fill="E6E6E1" w:themeFill="accent5"/>
          </w:tcPr>
          <w:p w14:paraId="2DA59C12" w14:textId="065834CB" w:rsidR="00281B56" w:rsidRPr="005A35A2" w:rsidRDefault="00F95C4F" w:rsidP="005A35A2">
            <w:pPr>
              <w:pStyle w:val="TableNText"/>
              <w:rPr>
                <w:rFonts w:asciiTheme="majorHAnsi" w:hAnsiTheme="majorHAnsi" w:cstheme="majorHAnsi"/>
                <w:lang w:eastAsia="en-AU"/>
              </w:rPr>
            </w:pPr>
            <w:r w:rsidRPr="005A35A2">
              <w:rPr>
                <w:rFonts w:asciiTheme="majorHAnsi" w:hAnsiTheme="majorHAnsi" w:cstheme="majorHAnsi"/>
                <w:lang w:eastAsia="en-AU"/>
              </w:rPr>
              <w:t>Discount rate</w:t>
            </w:r>
          </w:p>
        </w:tc>
        <w:tc>
          <w:tcPr>
            <w:tcW w:w="2142" w:type="dxa"/>
            <w:shd w:val="clear" w:color="auto" w:fill="E6E6E1" w:themeFill="accent5"/>
          </w:tcPr>
          <w:p w14:paraId="45612EB6" w14:textId="5D3D161A" w:rsidR="00281B56" w:rsidRPr="005A35A2" w:rsidRDefault="001C5B59" w:rsidP="005A35A2">
            <w:pPr>
              <w:pStyle w:val="TableNText"/>
              <w:rPr>
                <w:rFonts w:asciiTheme="majorHAnsi" w:hAnsiTheme="majorHAnsi" w:cstheme="majorHAnsi"/>
                <w:lang w:eastAsia="en-AU"/>
              </w:rPr>
            </w:pPr>
            <w:r w:rsidRPr="005A35A2">
              <w:rPr>
                <w:rFonts w:asciiTheme="majorHAnsi" w:hAnsiTheme="majorHAnsi" w:cstheme="majorHAnsi"/>
                <w:lang w:eastAsia="en-AU"/>
              </w:rPr>
              <w:t>3.0%</w:t>
            </w:r>
          </w:p>
        </w:tc>
        <w:tc>
          <w:tcPr>
            <w:tcW w:w="2142" w:type="dxa"/>
            <w:shd w:val="clear" w:color="auto" w:fill="E6E6E1" w:themeFill="accent5"/>
          </w:tcPr>
          <w:p w14:paraId="3C49E398" w14:textId="57CEF39C" w:rsidR="00281B56" w:rsidRPr="005A35A2" w:rsidRDefault="001C5B59" w:rsidP="005A35A2">
            <w:pPr>
              <w:pStyle w:val="TableNText"/>
              <w:rPr>
                <w:rFonts w:asciiTheme="majorHAnsi" w:hAnsiTheme="majorHAnsi" w:cstheme="majorHAnsi"/>
                <w:lang w:eastAsia="en-AU"/>
              </w:rPr>
            </w:pPr>
            <w:r w:rsidRPr="005A35A2">
              <w:rPr>
                <w:rFonts w:asciiTheme="majorHAnsi" w:hAnsiTheme="majorHAnsi" w:cstheme="majorHAnsi"/>
                <w:lang w:eastAsia="en-AU"/>
              </w:rPr>
              <w:t>7.0%</w:t>
            </w:r>
          </w:p>
        </w:tc>
        <w:tc>
          <w:tcPr>
            <w:tcW w:w="2142" w:type="dxa"/>
            <w:shd w:val="clear" w:color="auto" w:fill="E6E6E1" w:themeFill="accent5"/>
          </w:tcPr>
          <w:p w14:paraId="79AD1223" w14:textId="0A8D8BCB" w:rsidR="00281B56" w:rsidRPr="005A35A2" w:rsidRDefault="001C5B59" w:rsidP="005A35A2">
            <w:pPr>
              <w:pStyle w:val="TableNText"/>
              <w:rPr>
                <w:rFonts w:asciiTheme="majorHAnsi" w:hAnsiTheme="majorHAnsi" w:cstheme="majorHAnsi"/>
                <w:lang w:eastAsia="en-AU"/>
              </w:rPr>
            </w:pPr>
            <w:r w:rsidRPr="005A35A2">
              <w:rPr>
                <w:rFonts w:asciiTheme="majorHAnsi" w:hAnsiTheme="majorHAnsi" w:cstheme="majorHAnsi"/>
                <w:lang w:eastAsia="en-AU"/>
              </w:rPr>
              <w:t>10.0%</w:t>
            </w:r>
          </w:p>
        </w:tc>
      </w:tr>
      <w:tr w:rsidR="00371EBE" w14:paraId="339D2CE6" w14:textId="77777777" w:rsidTr="005A35A2">
        <w:trPr>
          <w:cnfStyle w:val="000000010000" w:firstRow="0" w:lastRow="0" w:firstColumn="0" w:lastColumn="0" w:oddVBand="0" w:evenVBand="0" w:oddHBand="0" w:evenHBand="1" w:firstRowFirstColumn="0" w:firstRowLastColumn="0" w:lastRowFirstColumn="0" w:lastRowLastColumn="0"/>
        </w:trPr>
        <w:tc>
          <w:tcPr>
            <w:tcW w:w="2694" w:type="dxa"/>
          </w:tcPr>
          <w:p w14:paraId="5FF5D65D" w14:textId="69156D21" w:rsidR="00371EBE" w:rsidRPr="005B3210" w:rsidRDefault="00371EBE" w:rsidP="005A35A2">
            <w:pPr>
              <w:pStyle w:val="TableNText"/>
              <w:rPr>
                <w:lang w:eastAsia="en-AU"/>
              </w:rPr>
            </w:pPr>
            <w:r w:rsidRPr="005B3210">
              <w:rPr>
                <w:lang w:eastAsia="en-AU"/>
              </w:rPr>
              <w:t>Net benefit</w:t>
            </w:r>
          </w:p>
        </w:tc>
        <w:tc>
          <w:tcPr>
            <w:tcW w:w="2142" w:type="dxa"/>
          </w:tcPr>
          <w:p w14:paraId="752D8BD1" w14:textId="260AD618" w:rsidR="00371EBE" w:rsidRPr="00D871F8" w:rsidRDefault="00371EBE" w:rsidP="005A35A2">
            <w:pPr>
              <w:pStyle w:val="TableNText"/>
              <w:rPr>
                <w:lang w:eastAsia="en-AU"/>
              </w:rPr>
            </w:pPr>
            <w:r>
              <w:rPr>
                <w:lang w:eastAsia="en-AU"/>
              </w:rPr>
              <w:t>$13.</w:t>
            </w:r>
            <w:r w:rsidR="0062720D">
              <w:rPr>
                <w:lang w:eastAsia="en-AU"/>
              </w:rPr>
              <w:t>5</w:t>
            </w:r>
            <w:r>
              <w:rPr>
                <w:lang w:eastAsia="en-AU"/>
              </w:rPr>
              <w:t>m</w:t>
            </w:r>
          </w:p>
        </w:tc>
        <w:tc>
          <w:tcPr>
            <w:tcW w:w="2142" w:type="dxa"/>
          </w:tcPr>
          <w:p w14:paraId="6F59CF8D" w14:textId="66B90FF3" w:rsidR="00371EBE" w:rsidRDefault="00371EBE" w:rsidP="005A35A2">
            <w:pPr>
              <w:pStyle w:val="TableNText"/>
              <w:rPr>
                <w:lang w:eastAsia="en-AU"/>
              </w:rPr>
            </w:pPr>
            <w:r>
              <w:rPr>
                <w:lang w:eastAsia="en-AU"/>
              </w:rPr>
              <w:t>$10</w:t>
            </w:r>
            <w:r w:rsidR="0062720D">
              <w:rPr>
                <w:lang w:eastAsia="en-AU"/>
              </w:rPr>
              <w:t>.4</w:t>
            </w:r>
            <w:r>
              <w:rPr>
                <w:lang w:eastAsia="en-AU"/>
              </w:rPr>
              <w:t>m</w:t>
            </w:r>
          </w:p>
        </w:tc>
        <w:tc>
          <w:tcPr>
            <w:tcW w:w="2142" w:type="dxa"/>
          </w:tcPr>
          <w:p w14:paraId="637C5386" w14:textId="7E3579BE" w:rsidR="00371EBE" w:rsidRDefault="00371EBE" w:rsidP="005A35A2">
            <w:pPr>
              <w:pStyle w:val="TableNText"/>
              <w:rPr>
                <w:lang w:eastAsia="en-AU"/>
              </w:rPr>
            </w:pPr>
            <w:r>
              <w:rPr>
                <w:lang w:eastAsia="en-AU"/>
              </w:rPr>
              <w:t>$</w:t>
            </w:r>
            <w:r w:rsidR="0062720D">
              <w:rPr>
                <w:lang w:eastAsia="en-AU"/>
              </w:rPr>
              <w:t>8.2</w:t>
            </w:r>
            <w:r>
              <w:rPr>
                <w:lang w:eastAsia="en-AU"/>
              </w:rPr>
              <w:t>m</w:t>
            </w:r>
          </w:p>
        </w:tc>
      </w:tr>
      <w:tr w:rsidR="00371EBE" w14:paraId="239E17F2" w14:textId="77777777" w:rsidTr="005A35A2">
        <w:trPr>
          <w:cnfStyle w:val="000000100000" w:firstRow="0" w:lastRow="0" w:firstColumn="0" w:lastColumn="0" w:oddVBand="0" w:evenVBand="0" w:oddHBand="1" w:evenHBand="0" w:firstRowFirstColumn="0" w:firstRowLastColumn="0" w:lastRowFirstColumn="0" w:lastRowLastColumn="0"/>
        </w:trPr>
        <w:tc>
          <w:tcPr>
            <w:tcW w:w="2694" w:type="dxa"/>
          </w:tcPr>
          <w:p w14:paraId="2FD038A4" w14:textId="76086A25" w:rsidR="00371EBE" w:rsidRPr="005B3210" w:rsidRDefault="00371EBE" w:rsidP="005A35A2">
            <w:pPr>
              <w:pStyle w:val="TableNText"/>
              <w:rPr>
                <w:lang w:eastAsia="en-AU"/>
              </w:rPr>
            </w:pPr>
            <w:r w:rsidRPr="005B3210">
              <w:rPr>
                <w:lang w:eastAsia="en-AU"/>
              </w:rPr>
              <w:t>BCR</w:t>
            </w:r>
          </w:p>
        </w:tc>
        <w:tc>
          <w:tcPr>
            <w:tcW w:w="2142" w:type="dxa"/>
          </w:tcPr>
          <w:p w14:paraId="6219B12F" w14:textId="5E725603" w:rsidR="00371EBE" w:rsidRPr="00D871F8" w:rsidRDefault="00371EBE" w:rsidP="005A35A2">
            <w:pPr>
              <w:pStyle w:val="TableNText"/>
              <w:rPr>
                <w:lang w:eastAsia="en-AU"/>
              </w:rPr>
            </w:pPr>
            <w:r>
              <w:rPr>
                <w:lang w:eastAsia="en-AU"/>
              </w:rPr>
              <w:t>1.9</w:t>
            </w:r>
            <w:r w:rsidR="00066ADB">
              <w:rPr>
                <w:lang w:eastAsia="en-AU"/>
              </w:rPr>
              <w:t>3</w:t>
            </w:r>
          </w:p>
        </w:tc>
        <w:tc>
          <w:tcPr>
            <w:tcW w:w="2142" w:type="dxa"/>
          </w:tcPr>
          <w:p w14:paraId="0EAF4E77" w14:textId="5CEF2BDB" w:rsidR="00371EBE" w:rsidRDefault="00371EBE" w:rsidP="005A35A2">
            <w:pPr>
              <w:pStyle w:val="TableNText"/>
              <w:rPr>
                <w:lang w:eastAsia="en-AU"/>
              </w:rPr>
            </w:pPr>
            <w:r>
              <w:rPr>
                <w:lang w:eastAsia="en-AU"/>
              </w:rPr>
              <w:t>1.6</w:t>
            </w:r>
            <w:r w:rsidR="00066ADB">
              <w:rPr>
                <w:lang w:eastAsia="en-AU"/>
              </w:rPr>
              <w:t>4</w:t>
            </w:r>
          </w:p>
        </w:tc>
        <w:tc>
          <w:tcPr>
            <w:tcW w:w="2142" w:type="dxa"/>
          </w:tcPr>
          <w:p w14:paraId="7661DE67" w14:textId="132A6847" w:rsidR="00371EBE" w:rsidRDefault="006B05DF" w:rsidP="005A35A2">
            <w:pPr>
              <w:pStyle w:val="TableNText"/>
              <w:rPr>
                <w:lang w:eastAsia="en-AU"/>
              </w:rPr>
            </w:pPr>
            <w:r>
              <w:rPr>
                <w:lang w:eastAsia="en-AU"/>
              </w:rPr>
              <w:t>1.4</w:t>
            </w:r>
            <w:r w:rsidR="00066ADB">
              <w:rPr>
                <w:lang w:eastAsia="en-AU"/>
              </w:rPr>
              <w:t>6</w:t>
            </w:r>
          </w:p>
        </w:tc>
      </w:tr>
      <w:tr w:rsidR="00F95C4F" w14:paraId="18EF1D48" w14:textId="77777777" w:rsidTr="005A35A2">
        <w:trPr>
          <w:cnfStyle w:val="000000010000" w:firstRow="0" w:lastRow="0" w:firstColumn="0" w:lastColumn="0" w:oddVBand="0" w:evenVBand="0" w:oddHBand="0" w:evenHBand="1" w:firstRowFirstColumn="0" w:firstRowLastColumn="0" w:lastRowFirstColumn="0" w:lastRowLastColumn="0"/>
        </w:trPr>
        <w:tc>
          <w:tcPr>
            <w:tcW w:w="2694" w:type="dxa"/>
            <w:shd w:val="clear" w:color="auto" w:fill="E6E6E1" w:themeFill="accent5"/>
          </w:tcPr>
          <w:p w14:paraId="488BB063" w14:textId="7E4A622B" w:rsidR="00F95C4F" w:rsidRPr="005A35A2" w:rsidRDefault="00F95C4F" w:rsidP="005A35A2">
            <w:pPr>
              <w:pStyle w:val="TableNText"/>
              <w:rPr>
                <w:rFonts w:asciiTheme="majorHAnsi" w:hAnsiTheme="majorHAnsi" w:cstheme="majorHAnsi"/>
                <w:lang w:eastAsia="en-AU"/>
              </w:rPr>
            </w:pPr>
            <w:r w:rsidRPr="005A35A2">
              <w:rPr>
                <w:rFonts w:asciiTheme="majorHAnsi" w:hAnsiTheme="majorHAnsi" w:cstheme="majorHAnsi"/>
                <w:lang w:eastAsia="en-AU"/>
              </w:rPr>
              <w:t>Years of persistence</w:t>
            </w:r>
          </w:p>
        </w:tc>
        <w:tc>
          <w:tcPr>
            <w:tcW w:w="2142" w:type="dxa"/>
            <w:shd w:val="clear" w:color="auto" w:fill="E6E6E1" w:themeFill="accent5"/>
          </w:tcPr>
          <w:p w14:paraId="31FA8F05" w14:textId="42012F6A" w:rsidR="00F95C4F" w:rsidRPr="005A35A2" w:rsidRDefault="00F95C4F" w:rsidP="005A35A2">
            <w:pPr>
              <w:pStyle w:val="TableNText"/>
              <w:rPr>
                <w:rFonts w:asciiTheme="majorHAnsi" w:hAnsiTheme="majorHAnsi" w:cstheme="majorHAnsi"/>
                <w:lang w:eastAsia="en-AU"/>
              </w:rPr>
            </w:pPr>
            <w:r w:rsidRPr="005A35A2">
              <w:rPr>
                <w:rFonts w:asciiTheme="majorHAnsi" w:hAnsiTheme="majorHAnsi" w:cstheme="majorHAnsi"/>
                <w:lang w:eastAsia="en-AU"/>
              </w:rPr>
              <w:t>3</w:t>
            </w:r>
            <w:r w:rsidR="000344DC" w:rsidRPr="005A35A2">
              <w:rPr>
                <w:rFonts w:asciiTheme="majorHAnsi" w:hAnsiTheme="majorHAnsi" w:cstheme="majorHAnsi"/>
                <w:lang w:eastAsia="en-AU"/>
              </w:rPr>
              <w:t xml:space="preserve"> years</w:t>
            </w:r>
          </w:p>
        </w:tc>
        <w:tc>
          <w:tcPr>
            <w:tcW w:w="2142" w:type="dxa"/>
            <w:shd w:val="clear" w:color="auto" w:fill="E6E6E1" w:themeFill="accent5"/>
          </w:tcPr>
          <w:p w14:paraId="744D9079" w14:textId="53AD0DFF" w:rsidR="00F95C4F" w:rsidRPr="005A35A2" w:rsidRDefault="00F95C4F" w:rsidP="005A35A2">
            <w:pPr>
              <w:pStyle w:val="TableNText"/>
              <w:rPr>
                <w:rFonts w:asciiTheme="majorHAnsi" w:hAnsiTheme="majorHAnsi" w:cstheme="majorHAnsi"/>
                <w:lang w:eastAsia="en-AU"/>
              </w:rPr>
            </w:pPr>
            <w:r w:rsidRPr="005A35A2">
              <w:rPr>
                <w:rFonts w:asciiTheme="majorHAnsi" w:hAnsiTheme="majorHAnsi" w:cstheme="majorHAnsi"/>
                <w:lang w:eastAsia="en-AU"/>
              </w:rPr>
              <w:t>5</w:t>
            </w:r>
            <w:r w:rsidR="000344DC" w:rsidRPr="005A35A2">
              <w:rPr>
                <w:rFonts w:asciiTheme="majorHAnsi" w:hAnsiTheme="majorHAnsi" w:cstheme="majorHAnsi"/>
                <w:lang w:eastAsia="en-AU"/>
              </w:rPr>
              <w:t xml:space="preserve"> years</w:t>
            </w:r>
            <w:r w:rsidRPr="005A35A2">
              <w:rPr>
                <w:rStyle w:val="FootnoteReference"/>
                <w:rFonts w:asciiTheme="majorHAnsi" w:hAnsiTheme="majorHAnsi" w:cstheme="majorHAnsi"/>
                <w:sz w:val="17"/>
                <w:szCs w:val="17"/>
                <w:lang w:eastAsia="en-AU"/>
              </w:rPr>
              <w:footnoteReference w:id="106"/>
            </w:r>
          </w:p>
        </w:tc>
        <w:tc>
          <w:tcPr>
            <w:tcW w:w="2142" w:type="dxa"/>
            <w:shd w:val="clear" w:color="auto" w:fill="E6E6E1" w:themeFill="accent5"/>
          </w:tcPr>
          <w:p w14:paraId="5EAC741B" w14:textId="3C8E0A68" w:rsidR="00F95C4F" w:rsidRPr="005A35A2" w:rsidRDefault="00F95C4F" w:rsidP="005A35A2">
            <w:pPr>
              <w:pStyle w:val="TableNText"/>
              <w:rPr>
                <w:rFonts w:asciiTheme="majorHAnsi" w:hAnsiTheme="majorHAnsi" w:cstheme="majorHAnsi"/>
                <w:lang w:eastAsia="en-AU"/>
              </w:rPr>
            </w:pPr>
            <w:r w:rsidRPr="005A35A2">
              <w:rPr>
                <w:rFonts w:asciiTheme="majorHAnsi" w:hAnsiTheme="majorHAnsi" w:cstheme="majorHAnsi"/>
                <w:lang w:eastAsia="en-AU"/>
              </w:rPr>
              <w:t>7</w:t>
            </w:r>
            <w:r w:rsidR="000344DC" w:rsidRPr="005A35A2">
              <w:rPr>
                <w:rFonts w:asciiTheme="majorHAnsi" w:hAnsiTheme="majorHAnsi" w:cstheme="majorHAnsi"/>
                <w:lang w:eastAsia="en-AU"/>
              </w:rPr>
              <w:t xml:space="preserve"> years</w:t>
            </w:r>
          </w:p>
        </w:tc>
      </w:tr>
      <w:tr w:rsidR="00AA2041" w14:paraId="1825DF4A" w14:textId="77777777" w:rsidTr="005A35A2">
        <w:trPr>
          <w:cnfStyle w:val="000000100000" w:firstRow="0" w:lastRow="0" w:firstColumn="0" w:lastColumn="0" w:oddVBand="0" w:evenVBand="0" w:oddHBand="1" w:evenHBand="0" w:firstRowFirstColumn="0" w:firstRowLastColumn="0" w:lastRowFirstColumn="0" w:lastRowLastColumn="0"/>
        </w:trPr>
        <w:tc>
          <w:tcPr>
            <w:tcW w:w="2694" w:type="dxa"/>
          </w:tcPr>
          <w:p w14:paraId="4B3A452C" w14:textId="1D18943F" w:rsidR="00AA2041" w:rsidRPr="005B3210" w:rsidRDefault="00AA2041" w:rsidP="005A35A2">
            <w:pPr>
              <w:pStyle w:val="TableNText"/>
              <w:rPr>
                <w:lang w:eastAsia="en-AU"/>
              </w:rPr>
            </w:pPr>
            <w:r w:rsidRPr="005B3210">
              <w:rPr>
                <w:lang w:eastAsia="en-AU"/>
              </w:rPr>
              <w:t>Net benefit</w:t>
            </w:r>
          </w:p>
        </w:tc>
        <w:tc>
          <w:tcPr>
            <w:tcW w:w="2142" w:type="dxa"/>
          </w:tcPr>
          <w:p w14:paraId="157C81ED" w14:textId="027F2BEC" w:rsidR="00AA2041" w:rsidRDefault="00AA2041" w:rsidP="005A35A2">
            <w:pPr>
              <w:pStyle w:val="TableNText"/>
              <w:rPr>
                <w:lang w:eastAsia="en-AU"/>
              </w:rPr>
            </w:pPr>
            <w:r>
              <w:rPr>
                <w:lang w:eastAsia="en-AU"/>
              </w:rPr>
              <w:t>$2.7m</w:t>
            </w:r>
          </w:p>
        </w:tc>
        <w:tc>
          <w:tcPr>
            <w:tcW w:w="2142" w:type="dxa"/>
          </w:tcPr>
          <w:p w14:paraId="64912BE0" w14:textId="0C9A4E6E" w:rsidR="00AA2041" w:rsidRDefault="00AA2041" w:rsidP="005A35A2">
            <w:pPr>
              <w:pStyle w:val="TableNText"/>
              <w:rPr>
                <w:lang w:eastAsia="en-AU"/>
              </w:rPr>
            </w:pPr>
            <w:r>
              <w:rPr>
                <w:lang w:eastAsia="en-AU"/>
              </w:rPr>
              <w:t>$10.4m</w:t>
            </w:r>
          </w:p>
        </w:tc>
        <w:tc>
          <w:tcPr>
            <w:tcW w:w="2142" w:type="dxa"/>
          </w:tcPr>
          <w:p w14:paraId="304D14DB" w14:textId="4FADA5FC" w:rsidR="00AA2041" w:rsidRDefault="00AA2041" w:rsidP="005A35A2">
            <w:pPr>
              <w:pStyle w:val="TableNText"/>
              <w:rPr>
                <w:lang w:eastAsia="en-AU"/>
              </w:rPr>
            </w:pPr>
            <w:r>
              <w:rPr>
                <w:lang w:eastAsia="en-AU"/>
              </w:rPr>
              <w:t>$17.8m</w:t>
            </w:r>
          </w:p>
        </w:tc>
      </w:tr>
      <w:tr w:rsidR="00AA2041" w14:paraId="633B8F93" w14:textId="77777777" w:rsidTr="005A35A2">
        <w:trPr>
          <w:cnfStyle w:val="000000010000" w:firstRow="0" w:lastRow="0" w:firstColumn="0" w:lastColumn="0" w:oddVBand="0" w:evenVBand="0" w:oddHBand="0" w:evenHBand="1" w:firstRowFirstColumn="0" w:firstRowLastColumn="0" w:lastRowFirstColumn="0" w:lastRowLastColumn="0"/>
        </w:trPr>
        <w:tc>
          <w:tcPr>
            <w:tcW w:w="2694" w:type="dxa"/>
          </w:tcPr>
          <w:p w14:paraId="40482155" w14:textId="653EB178" w:rsidR="00AA2041" w:rsidRPr="005B3210" w:rsidRDefault="00AA2041" w:rsidP="005A35A2">
            <w:pPr>
              <w:pStyle w:val="TableNText"/>
              <w:rPr>
                <w:lang w:eastAsia="en-AU"/>
              </w:rPr>
            </w:pPr>
            <w:r w:rsidRPr="005B3210">
              <w:rPr>
                <w:lang w:eastAsia="en-AU"/>
              </w:rPr>
              <w:t>BCR</w:t>
            </w:r>
          </w:p>
        </w:tc>
        <w:tc>
          <w:tcPr>
            <w:tcW w:w="2142" w:type="dxa"/>
          </w:tcPr>
          <w:p w14:paraId="2A338868" w14:textId="5CA0E163" w:rsidR="00AA2041" w:rsidRDefault="00AA2041" w:rsidP="005A35A2">
            <w:pPr>
              <w:pStyle w:val="TableNText"/>
              <w:rPr>
                <w:lang w:eastAsia="en-AU"/>
              </w:rPr>
            </w:pPr>
            <w:r>
              <w:rPr>
                <w:lang w:eastAsia="en-AU"/>
              </w:rPr>
              <w:t>1.16</w:t>
            </w:r>
          </w:p>
        </w:tc>
        <w:tc>
          <w:tcPr>
            <w:tcW w:w="2142" w:type="dxa"/>
          </w:tcPr>
          <w:p w14:paraId="1604BF0C" w14:textId="703A45A7" w:rsidR="00AA2041" w:rsidRDefault="00AA2041" w:rsidP="005A35A2">
            <w:pPr>
              <w:pStyle w:val="TableNText"/>
              <w:rPr>
                <w:lang w:eastAsia="en-AU"/>
              </w:rPr>
            </w:pPr>
            <w:r>
              <w:rPr>
                <w:lang w:eastAsia="en-AU"/>
              </w:rPr>
              <w:t>1.64</w:t>
            </w:r>
          </w:p>
        </w:tc>
        <w:tc>
          <w:tcPr>
            <w:tcW w:w="2142" w:type="dxa"/>
          </w:tcPr>
          <w:p w14:paraId="4F21EADA" w14:textId="3685E685" w:rsidR="00AA2041" w:rsidRDefault="00AA2041" w:rsidP="005A35A2">
            <w:pPr>
              <w:pStyle w:val="TableNText"/>
              <w:rPr>
                <w:lang w:eastAsia="en-AU"/>
              </w:rPr>
            </w:pPr>
            <w:r>
              <w:rPr>
                <w:lang w:eastAsia="en-AU"/>
              </w:rPr>
              <w:t>2.09</w:t>
            </w:r>
          </w:p>
        </w:tc>
      </w:tr>
      <w:tr w:rsidR="00281B56" w14:paraId="54BEFE56" w14:textId="77777777" w:rsidTr="005A35A2">
        <w:trPr>
          <w:cnfStyle w:val="000000100000" w:firstRow="0" w:lastRow="0" w:firstColumn="0" w:lastColumn="0" w:oddVBand="0" w:evenVBand="0" w:oddHBand="1" w:evenHBand="0" w:firstRowFirstColumn="0" w:firstRowLastColumn="0" w:lastRowFirstColumn="0" w:lastRowLastColumn="0"/>
        </w:trPr>
        <w:tc>
          <w:tcPr>
            <w:tcW w:w="2694" w:type="dxa"/>
            <w:shd w:val="clear" w:color="auto" w:fill="E6E6E1" w:themeFill="accent5"/>
          </w:tcPr>
          <w:p w14:paraId="03096294" w14:textId="77777777" w:rsidR="00281B56" w:rsidRPr="005A35A2" w:rsidRDefault="00281B56" w:rsidP="005A35A2">
            <w:pPr>
              <w:pStyle w:val="TableNText"/>
              <w:rPr>
                <w:rFonts w:asciiTheme="majorHAnsi" w:hAnsiTheme="majorHAnsi" w:cstheme="majorHAnsi"/>
                <w:lang w:eastAsia="en-AU"/>
              </w:rPr>
            </w:pPr>
            <w:r w:rsidRPr="005A35A2">
              <w:rPr>
                <w:rFonts w:asciiTheme="majorHAnsi" w:hAnsiTheme="majorHAnsi" w:cstheme="majorHAnsi"/>
                <w:lang w:eastAsia="en-AU"/>
              </w:rPr>
              <w:t>Future revenue growth (YoY)</w:t>
            </w:r>
          </w:p>
        </w:tc>
        <w:tc>
          <w:tcPr>
            <w:tcW w:w="2142" w:type="dxa"/>
            <w:shd w:val="clear" w:color="auto" w:fill="E6E6E1" w:themeFill="accent5"/>
          </w:tcPr>
          <w:p w14:paraId="1A177C11" w14:textId="77777777" w:rsidR="00281B56" w:rsidRPr="005A35A2" w:rsidRDefault="00281B56" w:rsidP="005A35A2">
            <w:pPr>
              <w:pStyle w:val="TableNText"/>
              <w:rPr>
                <w:rFonts w:asciiTheme="majorHAnsi" w:hAnsiTheme="majorHAnsi" w:cstheme="majorHAnsi"/>
                <w:lang w:eastAsia="en-AU"/>
              </w:rPr>
            </w:pPr>
            <w:r w:rsidRPr="005A35A2">
              <w:rPr>
                <w:rFonts w:asciiTheme="majorHAnsi" w:hAnsiTheme="majorHAnsi" w:cstheme="majorHAnsi"/>
                <w:lang w:eastAsia="en-AU"/>
              </w:rPr>
              <w:t>3.0%</w:t>
            </w:r>
          </w:p>
        </w:tc>
        <w:tc>
          <w:tcPr>
            <w:tcW w:w="2142" w:type="dxa"/>
            <w:shd w:val="clear" w:color="auto" w:fill="E6E6E1" w:themeFill="accent5"/>
          </w:tcPr>
          <w:p w14:paraId="11FF69C7" w14:textId="77777777" w:rsidR="00281B56" w:rsidRPr="005A35A2" w:rsidRDefault="00281B56" w:rsidP="005A35A2">
            <w:pPr>
              <w:pStyle w:val="TableNText"/>
              <w:rPr>
                <w:rFonts w:asciiTheme="majorHAnsi" w:hAnsiTheme="majorHAnsi" w:cstheme="majorHAnsi"/>
                <w:lang w:eastAsia="en-AU"/>
              </w:rPr>
            </w:pPr>
            <w:r w:rsidRPr="005A35A2">
              <w:rPr>
                <w:rFonts w:asciiTheme="majorHAnsi" w:hAnsiTheme="majorHAnsi" w:cstheme="majorHAnsi"/>
                <w:lang w:eastAsia="en-AU"/>
              </w:rPr>
              <w:t>4.7%</w:t>
            </w:r>
            <w:r w:rsidRPr="005A35A2">
              <w:rPr>
                <w:rStyle w:val="FootnoteReference"/>
                <w:rFonts w:asciiTheme="majorHAnsi" w:hAnsiTheme="majorHAnsi" w:cstheme="majorHAnsi"/>
                <w:sz w:val="17"/>
                <w:szCs w:val="17"/>
                <w:lang w:eastAsia="en-AU"/>
              </w:rPr>
              <w:footnoteReference w:id="107"/>
            </w:r>
          </w:p>
        </w:tc>
        <w:tc>
          <w:tcPr>
            <w:tcW w:w="2142" w:type="dxa"/>
            <w:shd w:val="clear" w:color="auto" w:fill="E6E6E1" w:themeFill="accent5"/>
          </w:tcPr>
          <w:p w14:paraId="0E89BA5B" w14:textId="77777777" w:rsidR="00281B56" w:rsidRPr="005A35A2" w:rsidRDefault="00281B56" w:rsidP="005A35A2">
            <w:pPr>
              <w:pStyle w:val="TableNText"/>
              <w:rPr>
                <w:rFonts w:asciiTheme="majorHAnsi" w:hAnsiTheme="majorHAnsi" w:cstheme="majorHAnsi"/>
                <w:lang w:eastAsia="en-AU"/>
              </w:rPr>
            </w:pPr>
            <w:r w:rsidRPr="005A35A2">
              <w:rPr>
                <w:rFonts w:asciiTheme="majorHAnsi" w:hAnsiTheme="majorHAnsi" w:cstheme="majorHAnsi"/>
                <w:lang w:eastAsia="en-AU"/>
              </w:rPr>
              <w:t>7.0%</w:t>
            </w:r>
          </w:p>
        </w:tc>
      </w:tr>
      <w:tr w:rsidR="0062720D" w14:paraId="2739E5C3" w14:textId="77777777" w:rsidTr="005A35A2">
        <w:trPr>
          <w:cnfStyle w:val="000000010000" w:firstRow="0" w:lastRow="0" w:firstColumn="0" w:lastColumn="0" w:oddVBand="0" w:evenVBand="0" w:oddHBand="0" w:evenHBand="1" w:firstRowFirstColumn="0" w:firstRowLastColumn="0" w:lastRowFirstColumn="0" w:lastRowLastColumn="0"/>
        </w:trPr>
        <w:tc>
          <w:tcPr>
            <w:tcW w:w="2694" w:type="dxa"/>
          </w:tcPr>
          <w:p w14:paraId="3E301BCF" w14:textId="77777777" w:rsidR="0062720D" w:rsidRPr="005B3210" w:rsidRDefault="0062720D" w:rsidP="005A35A2">
            <w:pPr>
              <w:pStyle w:val="TableNText"/>
              <w:rPr>
                <w:lang w:eastAsia="en-AU"/>
              </w:rPr>
            </w:pPr>
            <w:r w:rsidRPr="005B3210">
              <w:rPr>
                <w:lang w:eastAsia="en-AU"/>
              </w:rPr>
              <w:t>Net benefit</w:t>
            </w:r>
          </w:p>
        </w:tc>
        <w:tc>
          <w:tcPr>
            <w:tcW w:w="2142" w:type="dxa"/>
          </w:tcPr>
          <w:p w14:paraId="56A7A39F" w14:textId="3D3C8D68" w:rsidR="0062720D" w:rsidRPr="00D871F8" w:rsidRDefault="0062720D" w:rsidP="005A35A2">
            <w:pPr>
              <w:pStyle w:val="TableNText"/>
              <w:rPr>
                <w:lang w:eastAsia="en-AU"/>
              </w:rPr>
            </w:pPr>
            <w:r>
              <w:rPr>
                <w:lang w:eastAsia="en-AU"/>
              </w:rPr>
              <w:t>$4.8m</w:t>
            </w:r>
          </w:p>
        </w:tc>
        <w:tc>
          <w:tcPr>
            <w:tcW w:w="2142" w:type="dxa"/>
          </w:tcPr>
          <w:p w14:paraId="783CF947" w14:textId="28770EDC" w:rsidR="0062720D" w:rsidRDefault="0062720D" w:rsidP="005A35A2">
            <w:pPr>
              <w:pStyle w:val="TableNText"/>
              <w:rPr>
                <w:lang w:eastAsia="en-AU"/>
              </w:rPr>
            </w:pPr>
            <w:r>
              <w:rPr>
                <w:lang w:eastAsia="en-AU"/>
              </w:rPr>
              <w:t>$10.4m</w:t>
            </w:r>
          </w:p>
        </w:tc>
        <w:tc>
          <w:tcPr>
            <w:tcW w:w="2142" w:type="dxa"/>
          </w:tcPr>
          <w:p w14:paraId="563415EC" w14:textId="5FDF4C79" w:rsidR="0062720D" w:rsidRDefault="0062720D" w:rsidP="005A35A2">
            <w:pPr>
              <w:pStyle w:val="TableNText"/>
              <w:rPr>
                <w:lang w:eastAsia="en-AU"/>
              </w:rPr>
            </w:pPr>
            <w:r>
              <w:rPr>
                <w:lang w:eastAsia="en-AU"/>
              </w:rPr>
              <w:t>$18.4m</w:t>
            </w:r>
          </w:p>
        </w:tc>
      </w:tr>
      <w:tr w:rsidR="0062720D" w14:paraId="6473D284" w14:textId="77777777" w:rsidTr="005A35A2">
        <w:trPr>
          <w:cnfStyle w:val="000000100000" w:firstRow="0" w:lastRow="0" w:firstColumn="0" w:lastColumn="0" w:oddVBand="0" w:evenVBand="0" w:oddHBand="1" w:evenHBand="0" w:firstRowFirstColumn="0" w:firstRowLastColumn="0" w:lastRowFirstColumn="0" w:lastRowLastColumn="0"/>
        </w:trPr>
        <w:tc>
          <w:tcPr>
            <w:tcW w:w="2694" w:type="dxa"/>
          </w:tcPr>
          <w:p w14:paraId="73303A4F" w14:textId="77777777" w:rsidR="0062720D" w:rsidRPr="005B3210" w:rsidRDefault="0062720D" w:rsidP="005A35A2">
            <w:pPr>
              <w:pStyle w:val="TableNText"/>
              <w:rPr>
                <w:lang w:eastAsia="en-AU"/>
              </w:rPr>
            </w:pPr>
            <w:r w:rsidRPr="005B3210">
              <w:rPr>
                <w:lang w:eastAsia="en-AU"/>
              </w:rPr>
              <w:t>BCR</w:t>
            </w:r>
          </w:p>
        </w:tc>
        <w:tc>
          <w:tcPr>
            <w:tcW w:w="2142" w:type="dxa"/>
          </w:tcPr>
          <w:p w14:paraId="1C39EC0D" w14:textId="67D1D41A" w:rsidR="0062720D" w:rsidRPr="00D871F8" w:rsidRDefault="0062720D" w:rsidP="005A35A2">
            <w:pPr>
              <w:pStyle w:val="TableNText"/>
              <w:rPr>
                <w:lang w:eastAsia="en-AU"/>
              </w:rPr>
            </w:pPr>
            <w:r>
              <w:rPr>
                <w:lang w:eastAsia="en-AU"/>
              </w:rPr>
              <w:t>1.29</w:t>
            </w:r>
          </w:p>
        </w:tc>
        <w:tc>
          <w:tcPr>
            <w:tcW w:w="2142" w:type="dxa"/>
          </w:tcPr>
          <w:p w14:paraId="7521723B" w14:textId="08E3F580" w:rsidR="0062720D" w:rsidRDefault="0062720D" w:rsidP="005A35A2">
            <w:pPr>
              <w:pStyle w:val="TableNText"/>
              <w:rPr>
                <w:lang w:eastAsia="en-AU"/>
              </w:rPr>
            </w:pPr>
            <w:r>
              <w:rPr>
                <w:lang w:eastAsia="en-AU"/>
              </w:rPr>
              <w:t>1.64</w:t>
            </w:r>
          </w:p>
        </w:tc>
        <w:tc>
          <w:tcPr>
            <w:tcW w:w="2142" w:type="dxa"/>
          </w:tcPr>
          <w:p w14:paraId="1F283487" w14:textId="45034BBB" w:rsidR="0062720D" w:rsidRDefault="0062720D" w:rsidP="005A35A2">
            <w:pPr>
              <w:pStyle w:val="TableNText"/>
              <w:rPr>
                <w:lang w:eastAsia="en-AU"/>
              </w:rPr>
            </w:pPr>
            <w:r>
              <w:rPr>
                <w:lang w:eastAsia="en-AU"/>
              </w:rPr>
              <w:t>2.13</w:t>
            </w:r>
          </w:p>
        </w:tc>
      </w:tr>
    </w:tbl>
    <w:p w14:paraId="232E1923" w14:textId="77777777" w:rsidR="00810FFE" w:rsidRPr="004A5F86" w:rsidRDefault="00810FFE"/>
    <w:p w14:paraId="32790670" w14:textId="43ED87B6" w:rsidR="00A36EC9" w:rsidRPr="004A5F86" w:rsidRDefault="00A36EC9" w:rsidP="00390ADC"/>
    <w:sectPr w:rsidR="00A36EC9" w:rsidRPr="004A5F86" w:rsidSect="00AE1109">
      <w:headerReference w:type="first" r:id="rId99"/>
      <w:footerReference w:type="first" r:id="rId100"/>
      <w:pgSz w:w="11907" w:h="16839" w:code="9"/>
      <w:pgMar w:top="1418" w:right="1418" w:bottom="1701" w:left="1559"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25EE51" w14:textId="77777777" w:rsidR="00074AD4" w:rsidRDefault="00074AD4" w:rsidP="00302076">
      <w:pPr>
        <w:spacing w:after="0"/>
      </w:pPr>
      <w:r>
        <w:separator/>
      </w:r>
    </w:p>
  </w:endnote>
  <w:endnote w:type="continuationSeparator" w:id="0">
    <w:p w14:paraId="75926E37" w14:textId="77777777" w:rsidR="00074AD4" w:rsidRDefault="00074AD4" w:rsidP="00302076">
      <w:pPr>
        <w:spacing w:after="0"/>
      </w:pPr>
      <w:r>
        <w:continuationSeparator/>
      </w:r>
    </w:p>
  </w:endnote>
  <w:endnote w:type="continuationNotice" w:id="1">
    <w:p w14:paraId="12E66696" w14:textId="77777777" w:rsidR="00074AD4" w:rsidRDefault="00074AD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egoe UI Semibold">
    <w:panose1 w:val="020B07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Bahnschrift">
    <w:panose1 w:val="020B0502040204020203"/>
    <w:charset w:val="00"/>
    <w:family w:val="swiss"/>
    <w:pitch w:val="variable"/>
    <w:sig w:usb0="A00002C7" w:usb1="00000002" w:usb2="00000000" w:usb3="00000000" w:csb0="0000019F" w:csb1="00000000"/>
  </w:font>
  <w:font w:name="Segoe UI Semilight">
    <w:panose1 w:val="020B0402040204020203"/>
    <w:charset w:val="00"/>
    <w:family w:val="swiss"/>
    <w:pitch w:val="variable"/>
    <w:sig w:usb0="E4002EFF" w:usb1="C000E47F"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Bahnschrift Light SemiCondense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6AECC" w14:textId="36B875DE" w:rsidR="008763D2" w:rsidRPr="00FD4AB1" w:rsidRDefault="008763D2" w:rsidP="00FD4AB1">
    <w:pPr>
      <w:pStyle w:val="Footer"/>
      <w:rPr>
        <w:rFonts w:ascii="Segoe UI Semibold" w:hAnsi="Segoe UI Semibold" w:cs="Segoe UI"/>
        <w:b/>
      </w:rPr>
    </w:pPr>
    <w:r w:rsidRPr="00F40D93">
      <w:rPr>
        <w:szCs w:val="15"/>
        <w:lang w:eastAsia="en-AU"/>
      </w:rPr>
      <w:t>Nous Group | Business Research and Innovation Initiative Impact Evaluation | 31 August 2021</w:t>
    </w:r>
    <w:r w:rsidRPr="00F40D93">
      <w:rPr>
        <w:rFonts w:ascii="Segoe UI Semibold" w:hAnsi="Segoe UI Semibold" w:cs="Segoe UI"/>
      </w:rPr>
      <w:ptab w:relativeTo="margin" w:alignment="right" w:leader="none"/>
    </w:r>
    <w:r w:rsidRPr="00F40D93">
      <w:rPr>
        <w:rFonts w:cs="Segoe UI"/>
      </w:rPr>
      <w:t xml:space="preserve">| </w:t>
    </w:r>
    <w:r w:rsidRPr="00F40D93">
      <w:rPr>
        <w:rFonts w:cs="Segoe UI"/>
        <w:b/>
        <w:sz w:val="16"/>
        <w:szCs w:val="16"/>
      </w:rPr>
      <w:fldChar w:fldCharType="begin"/>
    </w:r>
    <w:r w:rsidRPr="00F40D93">
      <w:rPr>
        <w:rFonts w:cs="Segoe UI"/>
        <w:sz w:val="16"/>
        <w:szCs w:val="16"/>
      </w:rPr>
      <w:instrText xml:space="preserve"> PAGE  \* roman  \* MERGEFORMAT </w:instrText>
    </w:r>
    <w:r w:rsidRPr="00F40D93">
      <w:rPr>
        <w:rFonts w:cs="Segoe UI"/>
        <w:b/>
        <w:sz w:val="16"/>
        <w:szCs w:val="16"/>
      </w:rPr>
      <w:fldChar w:fldCharType="separate"/>
    </w:r>
    <w:r w:rsidRPr="00F40D93">
      <w:rPr>
        <w:rFonts w:cs="Segoe UI"/>
        <w:b/>
        <w:noProof/>
        <w:sz w:val="16"/>
        <w:szCs w:val="16"/>
      </w:rPr>
      <w:t>i</w:t>
    </w:r>
    <w:r w:rsidRPr="00F40D93">
      <w:rPr>
        <w:rFonts w:cs="Segoe UI"/>
        <w:b/>
        <w:sz w:val="16"/>
        <w:szCs w:val="16"/>
      </w:rPr>
      <w:fldChar w:fldCharType="end"/>
    </w:r>
    <w:r w:rsidRPr="003B464C">
      <w:rPr>
        <w:rFonts w:cs="Segoe UI"/>
        <w:color w:val="A5A5A5"/>
        <w:sz w:val="16"/>
        <w:szCs w:val="16"/>
      </w:rPr>
      <w:t xml:space="preserve"> </w:t>
    </w:r>
    <w:r w:rsidRPr="00F40D93">
      <w:rPr>
        <w:rFonts w:cs="Segoe UI"/>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229B5" w14:textId="3336DC65" w:rsidR="00765EC6" w:rsidRDefault="00D12871" w:rsidP="00D12871">
    <w:pPr>
      <w:pStyle w:val="NousFooter"/>
    </w:pPr>
    <w:r w:rsidRPr="008A55C6">
      <w:t xml:space="preserve">Nous Group | </w:t>
    </w:r>
    <w:r>
      <w:t>Business Research and Innovation Initiative Impact Evaluation</w:t>
    </w:r>
    <w:r w:rsidRPr="008A55C6">
      <w:t xml:space="preserve"> | </w:t>
    </w:r>
    <w:r w:rsidR="00DF183A">
      <w:t>31 August 2021</w:t>
    </w:r>
    <w:r w:rsidRPr="008A55C6">
      <w:ptab w:relativeTo="margin" w:alignment="right" w:leader="none"/>
    </w:r>
    <w:r w:rsidRPr="008A55C6">
      <w:t>|</w:t>
    </w:r>
    <w:r>
      <w:t xml:space="preserve"> </w:t>
    </w:r>
    <w:r>
      <w:fldChar w:fldCharType="begin"/>
    </w:r>
    <w:r>
      <w:instrText xml:space="preserve"> PAGE  \* Arabic  \* MERGEFORMAT </w:instrText>
    </w:r>
    <w:r>
      <w:fldChar w:fldCharType="separate"/>
    </w:r>
    <w:r>
      <w:rPr>
        <w:noProof/>
      </w:rPr>
      <w:t>2</w:t>
    </w:r>
    <w:r>
      <w:fldChar w:fldCharType="end"/>
    </w:r>
    <w:r>
      <w:t xml:space="preserve"> </w:t>
    </w:r>
    <w:r w:rsidRPr="008A55C6">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081E7" w14:textId="7574C39C" w:rsidR="00EF3E77" w:rsidRDefault="00EF3E77" w:rsidP="00475035">
    <w:pPr>
      <w:pStyle w:val="NousFooter"/>
    </w:pPr>
    <w:r w:rsidRPr="008A55C6">
      <w:t xml:space="preserve">Nous Group | </w:t>
    </w:r>
    <w:r w:rsidR="00D07E41">
      <w:t>Business Research and Innovation Initiative Impact Evaluation</w:t>
    </w:r>
    <w:r w:rsidRPr="008A55C6">
      <w:t xml:space="preserve"> |</w:t>
    </w:r>
    <w:r w:rsidR="00DF183A">
      <w:t xml:space="preserve"> 31 August 2021</w:t>
    </w:r>
    <w:r w:rsidRPr="008A55C6">
      <w:ptab w:relativeTo="margin" w:alignment="right" w:leader="none"/>
    </w:r>
    <w:r w:rsidRPr="008A55C6">
      <w:t>|</w:t>
    </w:r>
    <w:r>
      <w:t xml:space="preserve"> </w:t>
    </w:r>
    <w:r>
      <w:fldChar w:fldCharType="begin"/>
    </w:r>
    <w:r>
      <w:instrText xml:space="preserve"> PAGE  \* Arabic  \* MERGEFORMAT </w:instrText>
    </w:r>
    <w:r>
      <w:fldChar w:fldCharType="separate"/>
    </w:r>
    <w:r>
      <w:rPr>
        <w:noProof/>
      </w:rPr>
      <w:t>30</w:t>
    </w:r>
    <w:r>
      <w:fldChar w:fldCharType="end"/>
    </w:r>
    <w:r>
      <w:t xml:space="preserve"> </w:t>
    </w:r>
    <w:r w:rsidRPr="008A55C6">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7BA00" w14:textId="47BC58F3" w:rsidR="00EF3E77" w:rsidRDefault="00EF3E77" w:rsidP="00475035">
    <w:pPr>
      <w:pStyle w:val="NousFooter"/>
    </w:pPr>
    <w:r w:rsidRPr="008A55C6">
      <w:t xml:space="preserve">Nous Group | </w:t>
    </w:r>
    <w:r w:rsidR="00D07E41">
      <w:t>Business Research and Innovation Initiative Impact Evaluation</w:t>
    </w:r>
    <w:r w:rsidRPr="008A55C6">
      <w:t xml:space="preserve"> | </w:t>
    </w:r>
    <w:r w:rsidR="00B313F2">
      <w:t>31</w:t>
    </w:r>
    <w:r w:rsidR="00B17AAC">
      <w:t xml:space="preserve"> </w:t>
    </w:r>
    <w:r w:rsidR="00A05DB6">
      <w:t xml:space="preserve">August </w:t>
    </w:r>
    <w:r w:rsidR="00B17AAC">
      <w:t>2021</w:t>
    </w:r>
    <w:r w:rsidRPr="008A55C6">
      <w:ptab w:relativeTo="margin" w:alignment="right" w:leader="none"/>
    </w:r>
    <w:r w:rsidRPr="008A55C6">
      <w:t>|</w:t>
    </w:r>
    <w:r>
      <w:t xml:space="preserve"> </w:t>
    </w:r>
    <w:r>
      <w:fldChar w:fldCharType="begin"/>
    </w:r>
    <w:r>
      <w:instrText xml:space="preserve"> PAGE  \* Arabic  \* MERGEFORMAT </w:instrText>
    </w:r>
    <w:r>
      <w:fldChar w:fldCharType="separate"/>
    </w:r>
    <w:r>
      <w:rPr>
        <w:noProof/>
      </w:rPr>
      <w:t>93</w:t>
    </w:r>
    <w:r>
      <w:fldChar w:fldCharType="end"/>
    </w:r>
    <w:r>
      <w:t xml:space="preserve"> </w:t>
    </w:r>
    <w:r w:rsidRPr="008A55C6">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FFD38" w14:textId="532D44FA" w:rsidR="00FB01C4" w:rsidRDefault="00FB01C4" w:rsidP="00475035">
    <w:pPr>
      <w:pStyle w:val="NousFooter"/>
    </w:pPr>
    <w:r w:rsidRPr="008A55C6">
      <w:t xml:space="preserve">Nous Group | </w:t>
    </w:r>
    <w:r w:rsidR="00D07E41">
      <w:t>Business Research and Innovation Initiative Impact Evaluation</w:t>
    </w:r>
    <w:r w:rsidRPr="008A55C6">
      <w:t xml:space="preserve"> | </w:t>
    </w:r>
    <w:r w:rsidR="00B313F2">
      <w:t>31 August 2021</w:t>
    </w:r>
    <w:r w:rsidRPr="008A55C6">
      <w:ptab w:relativeTo="margin" w:alignment="right" w:leader="none"/>
    </w:r>
    <w:r w:rsidRPr="008A55C6">
      <w:t>|</w:t>
    </w:r>
    <w:r>
      <w:t xml:space="preserve"> </w:t>
    </w:r>
    <w:r>
      <w:fldChar w:fldCharType="begin"/>
    </w:r>
    <w:r>
      <w:instrText xml:space="preserve"> PAGE  \* Arabic  \* MERGEFORMAT </w:instrText>
    </w:r>
    <w:r>
      <w:fldChar w:fldCharType="separate"/>
    </w:r>
    <w:r w:rsidR="00A84B16">
      <w:rPr>
        <w:noProof/>
      </w:rPr>
      <w:t>32</w:t>
    </w:r>
    <w:r>
      <w:fldChar w:fldCharType="end"/>
    </w:r>
    <w:r>
      <w:t xml:space="preserve"> </w:t>
    </w:r>
    <w:r w:rsidRPr="008A55C6">
      <w: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61557" w14:textId="69E07B01" w:rsidR="00FB01C4" w:rsidRDefault="00FB01C4" w:rsidP="00475035">
    <w:pPr>
      <w:pStyle w:val="NousFooter"/>
    </w:pPr>
    <w:r w:rsidRPr="008A55C6">
      <w:t xml:space="preserve">Nous Group | </w:t>
    </w:r>
    <w:r w:rsidR="00D07E41">
      <w:t>Business Research and Innovation Initiative Impact Evaluation</w:t>
    </w:r>
    <w:r w:rsidRPr="008A55C6">
      <w:t xml:space="preserve"> | </w:t>
    </w:r>
    <w:r w:rsidR="00B313F2">
      <w:t>31 August</w:t>
    </w:r>
    <w:r w:rsidR="00B17AAC">
      <w:t xml:space="preserve"> 2021</w:t>
    </w:r>
    <w:r w:rsidRPr="008A55C6">
      <w:ptab w:relativeTo="margin" w:alignment="right" w:leader="none"/>
    </w:r>
    <w:r w:rsidRPr="008A55C6">
      <w:t>|</w:t>
    </w:r>
    <w:r>
      <w:t xml:space="preserve"> </w:t>
    </w:r>
    <w:r>
      <w:fldChar w:fldCharType="begin"/>
    </w:r>
    <w:r>
      <w:instrText xml:space="preserve"> PAGE  \* Arabic  \* MERGEFORMAT </w:instrText>
    </w:r>
    <w:r>
      <w:fldChar w:fldCharType="separate"/>
    </w:r>
    <w:r w:rsidR="00A84B16">
      <w:rPr>
        <w:noProof/>
      </w:rPr>
      <w:t>72</w:t>
    </w:r>
    <w:r>
      <w:fldChar w:fldCharType="end"/>
    </w:r>
    <w:r>
      <w:t xml:space="preserve"> </w:t>
    </w:r>
    <w:r w:rsidRPr="008A55C6">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4BAD88" w14:textId="77777777" w:rsidR="00074AD4" w:rsidRDefault="00074AD4" w:rsidP="00302076">
      <w:pPr>
        <w:spacing w:after="0"/>
      </w:pPr>
      <w:r>
        <w:separator/>
      </w:r>
    </w:p>
  </w:footnote>
  <w:footnote w:type="continuationSeparator" w:id="0">
    <w:p w14:paraId="4F4218B8" w14:textId="77777777" w:rsidR="00074AD4" w:rsidRDefault="00074AD4" w:rsidP="00302076">
      <w:pPr>
        <w:spacing w:after="0"/>
      </w:pPr>
      <w:r>
        <w:continuationSeparator/>
      </w:r>
    </w:p>
  </w:footnote>
  <w:footnote w:type="continuationNotice" w:id="1">
    <w:p w14:paraId="6A525E86" w14:textId="77777777" w:rsidR="00074AD4" w:rsidRDefault="00074AD4">
      <w:pPr>
        <w:spacing w:after="0" w:line="240" w:lineRule="auto"/>
      </w:pPr>
    </w:p>
  </w:footnote>
  <w:footnote w:id="2">
    <w:p w14:paraId="7E78DE93" w14:textId="77777777" w:rsidR="00E015DE" w:rsidRDefault="00E015DE" w:rsidP="00E015DE">
      <w:pPr>
        <w:pStyle w:val="Footer"/>
      </w:pPr>
      <w:r>
        <w:rPr>
          <w:rStyle w:val="FootnoteReference"/>
        </w:rPr>
        <w:footnoteRef/>
      </w:r>
      <w:r>
        <w:t xml:space="preserve"> </w:t>
      </w:r>
      <w:r w:rsidRPr="00504A88">
        <w:t>Net benefit and BCR estimates include forward projections out until financial year 2024/25.</w:t>
      </w:r>
    </w:p>
  </w:footnote>
  <w:footnote w:id="3">
    <w:p w14:paraId="007A950D" w14:textId="77777777" w:rsidR="005A4C69" w:rsidRDefault="005A4C69" w:rsidP="005A4C69">
      <w:pPr>
        <w:pStyle w:val="Footer"/>
      </w:pPr>
      <w:r>
        <w:rPr>
          <w:rStyle w:val="FootnoteReference"/>
        </w:rPr>
        <w:footnoteRef/>
      </w:r>
      <w:r>
        <w:t xml:space="preserve"> Based on </w:t>
      </w:r>
      <w:r w:rsidRPr="00F720D0">
        <w:t>The Organisation for Economic Co-operation and Development (</w:t>
      </w:r>
      <w:r>
        <w:t>OECD</w:t>
      </w:r>
      <w:r w:rsidRPr="00F720D0">
        <w:t>)</w:t>
      </w:r>
      <w:r>
        <w:t xml:space="preserve"> business age class definitions.</w:t>
      </w:r>
    </w:p>
  </w:footnote>
  <w:footnote w:id="4">
    <w:p w14:paraId="79B4D6C8" w14:textId="77777777" w:rsidR="005A4C69" w:rsidRDefault="005A4C69" w:rsidP="005A4C69">
      <w:pPr>
        <w:pStyle w:val="Footer"/>
      </w:pPr>
      <w:r>
        <w:rPr>
          <w:rStyle w:val="FootnoteReference"/>
        </w:rPr>
        <w:footnoteRef/>
      </w:r>
      <w:r>
        <w:t xml:space="preserve"> Based on years since ABN registration at time of the</w:t>
      </w:r>
      <w:r w:rsidRPr="00F720D0">
        <w:t xml:space="preserve"> </w:t>
      </w:r>
      <w:r>
        <w:t>BRII application.</w:t>
      </w:r>
    </w:p>
  </w:footnote>
  <w:footnote w:id="5">
    <w:p w14:paraId="29A0A64D" w14:textId="5B95759B" w:rsidR="00246C99" w:rsidRDefault="00246C99" w:rsidP="001A6206">
      <w:pPr>
        <w:pStyle w:val="Footer"/>
      </w:pPr>
      <w:r>
        <w:rPr>
          <w:rStyle w:val="FootnoteReference"/>
        </w:rPr>
        <w:footnoteRef/>
      </w:r>
      <w:r>
        <w:t xml:space="preserve"> </w:t>
      </w:r>
      <w:r w:rsidRPr="001E47BC">
        <w:t>Australian Public Service Commission APS Agencies – size and function</w:t>
      </w:r>
      <w:r w:rsidR="001A6206">
        <w:t>.</w:t>
      </w:r>
    </w:p>
  </w:footnote>
  <w:footnote w:id="6">
    <w:p w14:paraId="122EE779" w14:textId="22455A3E" w:rsidR="00DD29F7" w:rsidRDefault="00DD29F7" w:rsidP="00F67A34">
      <w:pPr>
        <w:pStyle w:val="Footer"/>
      </w:pPr>
      <w:r>
        <w:rPr>
          <w:rStyle w:val="FootnoteReference"/>
        </w:rPr>
        <w:footnoteRef/>
      </w:r>
      <w:r>
        <w:t xml:space="preserve"> </w:t>
      </w:r>
      <w:r w:rsidR="0026682C">
        <w:t>Net benefit and BCR estimates include forward projections out until financial year 2024/25.</w:t>
      </w:r>
    </w:p>
  </w:footnote>
  <w:footnote w:id="7">
    <w:p w14:paraId="4E74B352" w14:textId="77777777" w:rsidR="005C7983" w:rsidRDefault="005C7983" w:rsidP="005C7983">
      <w:pPr>
        <w:pStyle w:val="Footer"/>
      </w:pPr>
      <w:r>
        <w:rPr>
          <w:rStyle w:val="FootnoteReference"/>
        </w:rPr>
        <w:footnoteRef/>
      </w:r>
      <w:r>
        <w:t xml:space="preserve"> See ‘Cost-benefit analysis guidance note’ (March 2020) from the Department of Prime Minster and Cabinet, available at: </w:t>
      </w:r>
      <w:hyperlink r:id="rId1" w:history="1">
        <w:r w:rsidRPr="001D0D2D">
          <w:rPr>
            <w:rStyle w:val="Hyperlink"/>
          </w:rPr>
          <w:t>https://pmc.gov.au/sites/default/files/publications/cost-benefit-analysis_0.pdf</w:t>
        </w:r>
      </w:hyperlink>
      <w:r>
        <w:rPr>
          <w:rStyle w:val="Hyperlink"/>
        </w:rPr>
        <w:t>.</w:t>
      </w:r>
      <w:r>
        <w:t xml:space="preserve"> </w:t>
      </w:r>
    </w:p>
  </w:footnote>
  <w:footnote w:id="8">
    <w:p w14:paraId="3519CDDB" w14:textId="320A7626" w:rsidR="009750BE" w:rsidRDefault="009750BE" w:rsidP="009750BE">
      <w:pPr>
        <w:pStyle w:val="Footer"/>
      </w:pPr>
      <w:r>
        <w:rPr>
          <w:rStyle w:val="FootnoteReference"/>
        </w:rPr>
        <w:footnoteRef/>
      </w:r>
      <w:r>
        <w:t xml:space="preserve"> Note that evaluation interviews indicated that the NSW DCJ is currently undertaking a benefits assessment as part of the REACH interim review which should be completed by the end of October 2021. At this point further outcomes may be possible to quantify.</w:t>
      </w:r>
    </w:p>
  </w:footnote>
  <w:footnote w:id="9">
    <w:p w14:paraId="39FB2440" w14:textId="23BA7693" w:rsidR="009750BE" w:rsidRDefault="009750BE" w:rsidP="009750BE">
      <w:pPr>
        <w:pStyle w:val="Footer"/>
      </w:pPr>
      <w:r>
        <w:rPr>
          <w:rStyle w:val="FootnoteReference"/>
        </w:rPr>
        <w:footnoteRef/>
      </w:r>
      <w:r w:rsidR="00246C99">
        <w:t xml:space="preserve"> To ensure a fair comparison, the count of tenders after engagement with </w:t>
      </w:r>
      <w:r w:rsidR="00847527">
        <w:t>the</w:t>
      </w:r>
      <w:r w:rsidR="00246C99">
        <w:t xml:space="preserve"> BRII is based on the period between the beginning of the relevant BRII round (one or two) and 30 June 2021. The count “before” engagement with the BRII is based on an equal period prior to the BRII round as between the beginning of the round and 30 June 2021. For example, if it has been five years since the commencement of a BRII round, then the “before” count of tenders is based on the five years before the commencement of the BRII round. All data for these calculations is sourced from AusTender. </w:t>
      </w:r>
    </w:p>
  </w:footnote>
  <w:footnote w:id="10">
    <w:p w14:paraId="47B041CC" w14:textId="793BDBEB" w:rsidR="00E137FC" w:rsidRDefault="00E137FC">
      <w:pPr>
        <w:pStyle w:val="FootnoteText"/>
      </w:pPr>
      <w:r>
        <w:rPr>
          <w:rStyle w:val="FootnoteReference"/>
        </w:rPr>
        <w:footnoteRef/>
      </w:r>
      <w:r>
        <w:t xml:space="preserve"> Government of Canada 2020, </w:t>
      </w:r>
      <w:r w:rsidRPr="00770CC1">
        <w:t>Innovative Solutions Canada: 2019-20 Annual Report</w:t>
      </w:r>
      <w:r>
        <w:t xml:space="preserve">, </w:t>
      </w:r>
      <w:hyperlink r:id="rId2" w:history="1">
        <w:r w:rsidRPr="00FA4AF6">
          <w:rPr>
            <w:rStyle w:val="Hyperlink"/>
          </w:rPr>
          <w:t>https://www1.ic.gc.ca/eic/site/101.nsf/vwapj/00129_en.pdf/$FILE/00129_en.pdf</w:t>
        </w:r>
      </w:hyperlink>
      <w:r>
        <w:rPr>
          <w:rStyle w:val="Hyperlink"/>
        </w:rPr>
        <w:t>.</w:t>
      </w:r>
    </w:p>
  </w:footnote>
  <w:footnote w:id="11">
    <w:p w14:paraId="3D5BBB50" w14:textId="01406014" w:rsidR="00B75288" w:rsidRDefault="00B75288" w:rsidP="00535617">
      <w:pPr>
        <w:pStyle w:val="Footer"/>
      </w:pPr>
      <w:r>
        <w:rPr>
          <w:rStyle w:val="FootnoteReference"/>
        </w:rPr>
        <w:footnoteRef/>
      </w:r>
      <w:r w:rsidR="001E6F04">
        <w:t xml:space="preserve"> Industry Innovation and Science Australia, 2021, Driving effective </w:t>
      </w:r>
      <w:r w:rsidR="00E05465">
        <w:t>g</w:t>
      </w:r>
      <w:r w:rsidR="001E6F04">
        <w:t>overnment investment in innovation, science and research.</w:t>
      </w:r>
    </w:p>
  </w:footnote>
  <w:footnote w:id="12">
    <w:p w14:paraId="032DB306" w14:textId="77777777" w:rsidR="001E6F04" w:rsidRDefault="001E6F04" w:rsidP="00535617">
      <w:pPr>
        <w:pStyle w:val="Footer"/>
      </w:pPr>
      <w:r>
        <w:rPr>
          <w:rStyle w:val="FootnoteReference"/>
        </w:rPr>
        <w:footnoteRef/>
      </w:r>
      <w:r>
        <w:t xml:space="preserve"> Department of Education, Employment and Skills, 2021, </w:t>
      </w:r>
      <w:r w:rsidRPr="00825391">
        <w:t>University Research Commercialisation consultation paper</w:t>
      </w:r>
      <w:r>
        <w:t>.</w:t>
      </w:r>
    </w:p>
  </w:footnote>
  <w:footnote w:id="13">
    <w:p w14:paraId="0FC4081D" w14:textId="592E491C" w:rsidR="00FB01C4" w:rsidRDefault="00FB01C4" w:rsidP="001C35B4">
      <w:pPr>
        <w:pStyle w:val="Footer"/>
      </w:pPr>
      <w:r>
        <w:rPr>
          <w:rStyle w:val="FootnoteReference"/>
        </w:rPr>
        <w:footnoteRef/>
      </w:r>
      <w:r>
        <w:t xml:space="preserve"> The “Priority Sectors” round refers to a new approach to challenge selection trialled in round three, whereby challenges from a specific industry sector were selected and published together in a “themed” round.</w:t>
      </w:r>
    </w:p>
  </w:footnote>
  <w:footnote w:id="14">
    <w:p w14:paraId="683DFB4C" w14:textId="2A05D4B7" w:rsidR="00FB01C4" w:rsidRDefault="00FB01C4">
      <w:pPr>
        <w:pStyle w:val="FootnoteText"/>
      </w:pPr>
      <w:r>
        <w:rPr>
          <w:rStyle w:val="FootnoteReference"/>
        </w:rPr>
        <w:footnoteRef/>
      </w:r>
      <w:r>
        <w:t xml:space="preserve"> Round </w:t>
      </w:r>
      <w:r w:rsidR="0076424C">
        <w:t>two</w:t>
      </w:r>
      <w:r>
        <w:t xml:space="preserve"> finished on June 18, 2021.</w:t>
      </w:r>
    </w:p>
  </w:footnote>
  <w:footnote w:id="15">
    <w:p w14:paraId="22F9038B" w14:textId="42BB14AC" w:rsidR="00FB01C4" w:rsidRDefault="00FB01C4" w:rsidP="00670242">
      <w:pPr>
        <w:pStyle w:val="Footer"/>
      </w:pPr>
      <w:r>
        <w:rPr>
          <w:rStyle w:val="FootnoteReference"/>
        </w:rPr>
        <w:footnoteRef/>
      </w:r>
      <w:r>
        <w:t xml:space="preserve"> For this evaluation proof of concept SMEs are SMEs that received funding for both the feasibility stage and proof of concept stage. Feasibility SMEs are SMEs that only received feasibility stage funding.</w:t>
      </w:r>
      <w:r w:rsidR="00352680">
        <w:t xml:space="preserve"> These numbers also include three SMEs that participated in two separate rounds of the BRII.</w:t>
      </w:r>
    </w:p>
  </w:footnote>
  <w:footnote w:id="16">
    <w:p w14:paraId="5BAA6A80" w14:textId="3F60A6D3" w:rsidR="00FB01C4" w:rsidRDefault="00FB01C4" w:rsidP="00670242">
      <w:pPr>
        <w:pStyle w:val="Footer"/>
      </w:pPr>
      <w:r>
        <w:rPr>
          <w:rStyle w:val="FootnoteReference"/>
        </w:rPr>
        <w:footnoteRef/>
      </w:r>
      <w:r>
        <w:t xml:space="preserve"> Two feasibility SMEs from round one are no longer in operation and were not included in the sample size.</w:t>
      </w:r>
    </w:p>
  </w:footnote>
  <w:footnote w:id="17">
    <w:p w14:paraId="5833655F" w14:textId="48FD794C" w:rsidR="00FB01C4" w:rsidRDefault="00FB01C4" w:rsidP="00AA61C0">
      <w:pPr>
        <w:pStyle w:val="Footer"/>
      </w:pPr>
      <w:r>
        <w:rPr>
          <w:rStyle w:val="FootnoteReference"/>
        </w:rPr>
        <w:footnoteRef/>
      </w:r>
      <w:r>
        <w:t xml:space="preserve"> Three SMEs have received funding in two separate rounds of the BRII.</w:t>
      </w:r>
    </w:p>
  </w:footnote>
  <w:footnote w:id="18">
    <w:p w14:paraId="234CDFE7" w14:textId="77777777" w:rsidR="00CE1C75" w:rsidRDefault="00CE1C75" w:rsidP="00CE1C75">
      <w:pPr>
        <w:pStyle w:val="Footer"/>
      </w:pPr>
      <w:r>
        <w:rPr>
          <w:rStyle w:val="FootnoteReference"/>
        </w:rPr>
        <w:footnoteRef/>
      </w:r>
      <w:r>
        <w:t xml:space="preserve"> Only partial survey responses were received from two proof of concept SMEs. </w:t>
      </w:r>
    </w:p>
  </w:footnote>
  <w:footnote w:id="19">
    <w:p w14:paraId="32424FBB" w14:textId="77777777" w:rsidR="00FB01C4" w:rsidRDefault="00FB01C4" w:rsidP="001548E0">
      <w:pPr>
        <w:pStyle w:val="Footer"/>
      </w:pPr>
      <w:r>
        <w:rPr>
          <w:rStyle w:val="FootnoteReference"/>
        </w:rPr>
        <w:footnoteRef/>
      </w:r>
      <w:r>
        <w:t xml:space="preserve"> Three SMEs in the count of 58 received multiple grants across different rounds.</w:t>
      </w:r>
    </w:p>
  </w:footnote>
  <w:footnote w:id="20">
    <w:p w14:paraId="7DCE1ED0" w14:textId="62C742DB" w:rsidR="00F83615" w:rsidRDefault="00F83615" w:rsidP="00632FBA">
      <w:pPr>
        <w:pStyle w:val="Footer"/>
      </w:pPr>
      <w:r>
        <w:rPr>
          <w:rStyle w:val="FootnoteReference"/>
        </w:rPr>
        <w:footnoteRef/>
      </w:r>
      <w:r>
        <w:t xml:space="preserve"> “Agency Applicants” refers to the number of government agencies that </w:t>
      </w:r>
      <w:r w:rsidR="000673BF">
        <w:t>submitted</w:t>
      </w:r>
      <w:r>
        <w:t xml:space="preserve"> a BRII challenge. </w:t>
      </w:r>
    </w:p>
  </w:footnote>
  <w:footnote w:id="21">
    <w:p w14:paraId="67B8CAAD" w14:textId="6557C7DF" w:rsidR="00FB01C4" w:rsidRDefault="00FB01C4" w:rsidP="000707F9">
      <w:pPr>
        <w:pStyle w:val="Footer"/>
      </w:pPr>
      <w:r>
        <w:rPr>
          <w:rStyle w:val="FootnoteReference"/>
        </w:rPr>
        <w:footnoteRef/>
      </w:r>
      <w:r>
        <w:t xml:space="preserve"> </w:t>
      </w:r>
      <w:r w:rsidR="00F65804">
        <w:t>To be eligible a</w:t>
      </w:r>
      <w:r>
        <w:t>pplicants must have a combined annual turnover of less than $20 million for each of the three financial years prior to application lodgement.</w:t>
      </w:r>
    </w:p>
  </w:footnote>
  <w:footnote w:id="22">
    <w:p w14:paraId="16AA10E3" w14:textId="2F97E796" w:rsidR="00FB01C4" w:rsidRDefault="00FB01C4" w:rsidP="000707F9">
      <w:pPr>
        <w:pStyle w:val="Footer"/>
      </w:pPr>
      <w:r>
        <w:rPr>
          <w:rStyle w:val="FootnoteReference"/>
        </w:rPr>
        <w:footnoteRef/>
      </w:r>
      <w:r>
        <w:t xml:space="preserve"> Industry groups are based on ANZSIC definitions.</w:t>
      </w:r>
    </w:p>
  </w:footnote>
  <w:footnote w:id="23">
    <w:p w14:paraId="029643EC" w14:textId="678AA24A" w:rsidR="00FB01C4" w:rsidRDefault="00FB01C4" w:rsidP="000707F9">
      <w:pPr>
        <w:pStyle w:val="Footer"/>
      </w:pPr>
      <w:r>
        <w:rPr>
          <w:rStyle w:val="FootnoteReference"/>
        </w:rPr>
        <w:footnoteRef/>
      </w:r>
      <w:r>
        <w:t xml:space="preserve"> Based on </w:t>
      </w:r>
      <w:r w:rsidR="00C16F2D">
        <w:t xml:space="preserve">the </w:t>
      </w:r>
      <w:r>
        <w:t>OECD business age class definitions.</w:t>
      </w:r>
    </w:p>
  </w:footnote>
  <w:footnote w:id="24">
    <w:p w14:paraId="4790A9C5" w14:textId="74D63353" w:rsidR="00FB01C4" w:rsidRDefault="00FB01C4" w:rsidP="000707F9">
      <w:pPr>
        <w:pStyle w:val="Footer"/>
      </w:pPr>
      <w:r>
        <w:rPr>
          <w:rStyle w:val="FootnoteReference"/>
        </w:rPr>
        <w:footnoteRef/>
      </w:r>
      <w:r>
        <w:t xml:space="preserve"> Based on years since ABN registration at time of the</w:t>
      </w:r>
      <w:r w:rsidRPr="00F720D0">
        <w:t xml:space="preserve"> </w:t>
      </w:r>
      <w:r>
        <w:t>BRII application.</w:t>
      </w:r>
    </w:p>
  </w:footnote>
  <w:footnote w:id="25">
    <w:p w14:paraId="6A1ABE39" w14:textId="353BE7BE" w:rsidR="00690959" w:rsidRDefault="00690959" w:rsidP="00690959">
      <w:pPr>
        <w:pStyle w:val="Footer"/>
      </w:pPr>
      <w:r>
        <w:rPr>
          <w:rStyle w:val="FootnoteReference"/>
        </w:rPr>
        <w:footnoteRef/>
      </w:r>
      <w:r>
        <w:t xml:space="preserve"> </w:t>
      </w:r>
      <w:r w:rsidRPr="008C6F3E">
        <w:t>Data taken from ABS Counts of Australian Businesses, including Entries and Exits for June 2020.</w:t>
      </w:r>
    </w:p>
  </w:footnote>
  <w:footnote w:id="26">
    <w:p w14:paraId="01A4387C" w14:textId="19ABAE43" w:rsidR="00FB01C4" w:rsidRDefault="00FB01C4" w:rsidP="001B6A22">
      <w:pPr>
        <w:pStyle w:val="Footer"/>
      </w:pPr>
      <w:r>
        <w:rPr>
          <w:rStyle w:val="FootnoteReference"/>
        </w:rPr>
        <w:footnoteRef/>
      </w:r>
      <w:r>
        <w:t xml:space="preserve"> </w:t>
      </w:r>
      <w:r w:rsidRPr="00545767">
        <w:t>Per centage difference</w:t>
      </w:r>
      <w:r>
        <w:t xml:space="preserve"> in </w:t>
      </w:r>
      <w:r w:rsidRPr="00545767">
        <w:fldChar w:fldCharType="begin"/>
      </w:r>
      <w:r w:rsidRPr="00545767">
        <w:instrText xml:space="preserve"> REF _Ref75511785 \h  \* MERGEFORMAT </w:instrText>
      </w:r>
      <w:r w:rsidRPr="00545767">
        <w:fldChar w:fldCharType="separate"/>
      </w:r>
      <w:r w:rsidR="00AE607F">
        <w:t>Figure 13</w:t>
      </w:r>
      <w:r w:rsidRPr="00545767">
        <w:fldChar w:fldCharType="end"/>
      </w:r>
      <w:r>
        <w:t xml:space="preserve"> </w:t>
      </w:r>
      <w:r w:rsidR="002F123C">
        <w:t xml:space="preserve">represents the difference between the percentage of applications from a jurisdiction and the expected percentage based on the </w:t>
      </w:r>
      <w:r w:rsidRPr="008C6F3E">
        <w:t xml:space="preserve">proportion of </w:t>
      </w:r>
      <w:r w:rsidR="00690959">
        <w:t>Australian businesses</w:t>
      </w:r>
      <w:r w:rsidRPr="008C6F3E">
        <w:t xml:space="preserve"> from that </w:t>
      </w:r>
      <w:r w:rsidR="002F123C">
        <w:t>jurisdiction</w:t>
      </w:r>
      <w:r w:rsidRPr="008C6F3E">
        <w:t>. Data taken from ABS Counts of Australian Businesses, including Entries and Exits for June 2020.</w:t>
      </w:r>
    </w:p>
  </w:footnote>
  <w:footnote w:id="27">
    <w:p w14:paraId="032F3C9A" w14:textId="77777777" w:rsidR="00B32F80" w:rsidRDefault="00B32F80" w:rsidP="00B32F80">
      <w:pPr>
        <w:pStyle w:val="Footer"/>
      </w:pPr>
      <w:r>
        <w:rPr>
          <w:rStyle w:val="FootnoteReference"/>
        </w:rPr>
        <w:footnoteRef/>
      </w:r>
      <w:r>
        <w:t xml:space="preserve"> </w:t>
      </w:r>
      <w:r w:rsidRPr="00617C32">
        <w:t>IP includes but is not limited to, patents, trade secrets, memoranda of understanding and licensing agreements.</w:t>
      </w:r>
    </w:p>
  </w:footnote>
  <w:footnote w:id="28">
    <w:p w14:paraId="0100598F" w14:textId="77777777" w:rsidR="00EF3E77" w:rsidRDefault="00EF3E77" w:rsidP="00EF3E77">
      <w:pPr>
        <w:pStyle w:val="Footer"/>
      </w:pPr>
      <w:r>
        <w:rPr>
          <w:rStyle w:val="FootnoteReference"/>
        </w:rPr>
        <w:footnoteRef/>
      </w:r>
      <w:r>
        <w:t xml:space="preserve"> </w:t>
      </w:r>
      <w:r w:rsidRPr="00893EEE">
        <w:t xml:space="preserve">There were four relevant </w:t>
      </w:r>
      <w:r>
        <w:t>government engagement</w:t>
      </w:r>
      <w:r w:rsidRPr="00893EEE">
        <w:t xml:space="preserve"> survey questions, with SMEs asked to respond on five point Likert scale to the following statements: ‘Our company’s knowledge of how government operates has increased post participation in the BRII’; ‘We are more actively monitoring potential business opportunities with government agencies post participation in the BRII’; ‘We feel that we are more likely to win work with government agencies post participation in BRII’; ‘We are more proactively pitching business ideas to government agencies post participation in the BRII’.</w:t>
      </w:r>
    </w:p>
  </w:footnote>
  <w:footnote w:id="29">
    <w:p w14:paraId="79EB1F30" w14:textId="77777777" w:rsidR="004B0E2D" w:rsidRDefault="004B0E2D" w:rsidP="00EF3E77">
      <w:pPr>
        <w:pStyle w:val="Footer"/>
      </w:pPr>
      <w:r>
        <w:rPr>
          <w:rStyle w:val="FootnoteReference"/>
        </w:rPr>
        <w:footnoteRef/>
      </w:r>
      <w:r>
        <w:t xml:space="preserve"> Marsden Jacob Associates did not provide turnover data</w:t>
      </w:r>
      <w:r w:rsidRPr="004428C0">
        <w:t>. However, since the end of the proof of concept phase, Marsden Jacob Associates has received 12 contracts from DAWR/DAWE worth a cumulative value of $1.02m (Source: AusTender). Marsden Jacobs also confirmed that they expect Waterflow to reach profitability soon.</w:t>
      </w:r>
    </w:p>
  </w:footnote>
  <w:footnote w:id="30">
    <w:p w14:paraId="629F7B70" w14:textId="194668F6" w:rsidR="00EF3E77" w:rsidRDefault="00EF3E77" w:rsidP="007F6BAA">
      <w:pPr>
        <w:pStyle w:val="Footer"/>
      </w:pPr>
      <w:r>
        <w:rPr>
          <w:rStyle w:val="FootnoteReference"/>
        </w:rPr>
        <w:footnoteRef/>
      </w:r>
      <w:r>
        <w:t xml:space="preserve"> Source: Challenge agency interviews; SME interviews; SME survey responses; EPC interviews</w:t>
      </w:r>
      <w:r w:rsidR="007F6BAA">
        <w:t>.</w:t>
      </w:r>
    </w:p>
  </w:footnote>
  <w:footnote w:id="31">
    <w:p w14:paraId="1B4F6097" w14:textId="77777777" w:rsidR="00EF3E77" w:rsidRDefault="00EF3E77" w:rsidP="00EF3E77">
      <w:pPr>
        <w:pStyle w:val="Footer"/>
      </w:pPr>
      <w:r>
        <w:rPr>
          <w:rStyle w:val="FootnoteReference"/>
        </w:rPr>
        <w:footnoteRef/>
      </w:r>
      <w:r>
        <w:t xml:space="preserve"> </w:t>
      </w:r>
      <w:r w:rsidRPr="00545698">
        <w:t xml:space="preserve">More information available at </w:t>
      </w:r>
      <w:hyperlink r:id="rId3" w:history="1">
        <w:r w:rsidRPr="00545698">
          <w:rPr>
            <w:rStyle w:val="Hyperlink"/>
          </w:rPr>
          <w:t>https://www.agriculture.gov.au/biosecurity/research-innovation/program</w:t>
        </w:r>
      </w:hyperlink>
      <w:r>
        <w:rPr>
          <w:rStyle w:val="Hyperlink"/>
        </w:rPr>
        <w:t>.</w:t>
      </w:r>
    </w:p>
  </w:footnote>
  <w:footnote w:id="32">
    <w:p w14:paraId="4F393FB8" w14:textId="77777777" w:rsidR="00EF3E77" w:rsidRDefault="00EF3E77" w:rsidP="00EF3E77">
      <w:pPr>
        <w:pStyle w:val="Footer"/>
      </w:pPr>
      <w:r>
        <w:rPr>
          <w:rStyle w:val="FootnoteReference"/>
        </w:rPr>
        <w:footnoteRef/>
      </w:r>
      <w:r>
        <w:t xml:space="preserve"> </w:t>
      </w:r>
      <w:r w:rsidRPr="00186EEE">
        <w:t xml:space="preserve">More information available at </w:t>
      </w:r>
      <w:hyperlink r:id="rId4" w:history="1">
        <w:r w:rsidRPr="00186EEE">
          <w:rPr>
            <w:rStyle w:val="Hyperlink"/>
          </w:rPr>
          <w:t>https://cbrin.com.au/event-news/innovation-is-the-key-to-creating-safer-borders-against-pests-and-disease</w:t>
        </w:r>
      </w:hyperlink>
      <w:hyperlink r:id="rId5" w:history="1">
        <w:r w:rsidRPr="00186EEE">
          <w:rPr>
            <w:rStyle w:val="Hyperlink"/>
          </w:rPr>
          <w:t>/</w:t>
        </w:r>
      </w:hyperlink>
      <w:r w:rsidRPr="00186EEE">
        <w:t xml:space="preserve">. </w:t>
      </w:r>
    </w:p>
  </w:footnote>
  <w:footnote w:id="33">
    <w:p w14:paraId="624E5EE4" w14:textId="1C9DA186" w:rsidR="00EF3E77" w:rsidRDefault="00EF3E77" w:rsidP="00BB2C4D">
      <w:pPr>
        <w:pStyle w:val="Footer"/>
      </w:pPr>
      <w:r>
        <w:rPr>
          <w:rStyle w:val="FootnoteReference"/>
        </w:rPr>
        <w:footnoteRef/>
      </w:r>
      <w:r>
        <w:t xml:space="preserve"> </w:t>
      </w:r>
      <w:r w:rsidR="00490096">
        <w:t xml:space="preserve">Source: Federal Budget 2021-22, </w:t>
      </w:r>
      <w:hyperlink r:id="rId6" w:history="1">
        <w:r w:rsidR="00490096" w:rsidRPr="00EF6086">
          <w:rPr>
            <w:rStyle w:val="Hyperlink"/>
          </w:rPr>
          <w:t>https://budget.gov.au/2021-22/content/resilient.htm</w:t>
        </w:r>
      </w:hyperlink>
      <w:r w:rsidR="007D0A05">
        <w:rPr>
          <w:rStyle w:val="Hyperlink"/>
        </w:rPr>
        <w:t>.</w:t>
      </w:r>
      <w:r w:rsidR="00490096">
        <w:rPr>
          <w:rStyle w:val="Hyperlink"/>
        </w:rPr>
        <w:t xml:space="preserve"> </w:t>
      </w:r>
    </w:p>
  </w:footnote>
  <w:footnote w:id="34">
    <w:p w14:paraId="0E40E5D7" w14:textId="664A5C28" w:rsidR="00301E9B" w:rsidRDefault="00301E9B" w:rsidP="00283689">
      <w:pPr>
        <w:pStyle w:val="Footer"/>
      </w:pPr>
      <w:r>
        <w:rPr>
          <w:rStyle w:val="FootnoteReference"/>
        </w:rPr>
        <w:footnoteRef/>
      </w:r>
      <w:r>
        <w:t xml:space="preserve"> Source: DISER Policy and Program team interviews</w:t>
      </w:r>
      <w:r w:rsidR="007D0A05">
        <w:t>.</w:t>
      </w:r>
    </w:p>
  </w:footnote>
  <w:footnote w:id="35">
    <w:p w14:paraId="739B43FD" w14:textId="4DBE5980" w:rsidR="00EF3E77" w:rsidRDefault="00EF3E77" w:rsidP="00283689">
      <w:pPr>
        <w:pStyle w:val="Footer"/>
      </w:pPr>
      <w:r>
        <w:rPr>
          <w:rStyle w:val="FootnoteReference"/>
        </w:rPr>
        <w:footnoteRef/>
      </w:r>
      <w:r>
        <w:t xml:space="preserve"> Source: Challenge agency interview</w:t>
      </w:r>
      <w:r w:rsidR="007D0A05">
        <w:t>.</w:t>
      </w:r>
    </w:p>
  </w:footnote>
  <w:footnote w:id="36">
    <w:p w14:paraId="5B4B8229" w14:textId="32E463A4" w:rsidR="00E01C33" w:rsidRDefault="00E01C33">
      <w:pPr>
        <w:pStyle w:val="FootnoteText"/>
      </w:pPr>
      <w:r>
        <w:rPr>
          <w:rStyle w:val="FootnoteReference"/>
        </w:rPr>
        <w:footnoteRef/>
      </w:r>
      <w:r>
        <w:t xml:space="preserve"> </w:t>
      </w:r>
      <w:r w:rsidR="00077BCC">
        <w:t>More information available at</w:t>
      </w:r>
      <w:r>
        <w:t xml:space="preserve"> </w:t>
      </w:r>
      <w:hyperlink r:id="rId7" w:history="1">
        <w:r w:rsidRPr="00BD6C7D">
          <w:rPr>
            <w:rStyle w:val="Hyperlink"/>
          </w:rPr>
          <w:t>https://www.chiefscientist.nsw.gov.au/funding/research-and-development/small-business-innovation-research-program</w:t>
        </w:r>
      </w:hyperlink>
      <w:r w:rsidR="005F535B">
        <w:rPr>
          <w:rStyle w:val="Hyperlink"/>
        </w:rPr>
        <w:t>.</w:t>
      </w:r>
    </w:p>
  </w:footnote>
  <w:footnote w:id="37">
    <w:p w14:paraId="1D71C70B" w14:textId="50B33442" w:rsidR="00C46D86" w:rsidRDefault="00C46D86" w:rsidP="0045119F">
      <w:pPr>
        <w:pStyle w:val="Footer"/>
      </w:pPr>
      <w:r>
        <w:rPr>
          <w:rStyle w:val="FootnoteReference"/>
        </w:rPr>
        <w:footnoteRef/>
      </w:r>
      <w:r>
        <w:t xml:space="preserve"> </w:t>
      </w:r>
      <w:r w:rsidR="0084284F">
        <w:t>Challenge benefits from the fifth round one challenge, “Tracking the effect and value of information products”</w:t>
      </w:r>
      <w:r w:rsidR="00A0757A">
        <w:t>,</w:t>
      </w:r>
      <w:r w:rsidR="0050142F">
        <w:t xml:space="preserve"> </w:t>
      </w:r>
      <w:r w:rsidR="00A0757A">
        <w:t>have</w:t>
      </w:r>
      <w:r w:rsidR="0050142F">
        <w:t xml:space="preserve"> not been included in this table. </w:t>
      </w:r>
      <w:r w:rsidR="00A0757A">
        <w:t xml:space="preserve">Both </w:t>
      </w:r>
      <w:r w:rsidR="00242891">
        <w:t>challenge</w:t>
      </w:r>
      <w:r w:rsidR="008B010A">
        <w:t>s</w:t>
      </w:r>
      <w:r w:rsidR="00242891">
        <w:t xml:space="preserve"> </w:t>
      </w:r>
      <w:r w:rsidR="00A0757A">
        <w:t xml:space="preserve">developed </w:t>
      </w:r>
      <w:r w:rsidR="00242891">
        <w:t xml:space="preserve">were not commercialised </w:t>
      </w:r>
      <w:r w:rsidR="00A0757A">
        <w:t xml:space="preserve">and therefore have not delivered any economic or public benefits beyond the </w:t>
      </w:r>
      <w:r w:rsidR="00FC4851">
        <w:t>benefits that the challenge agency experienced from participating in the BRII.</w:t>
      </w:r>
    </w:p>
  </w:footnote>
  <w:footnote w:id="38">
    <w:p w14:paraId="268C4815" w14:textId="77777777" w:rsidR="00EF3E77" w:rsidRDefault="00EF3E77" w:rsidP="00EF3E77">
      <w:pPr>
        <w:pStyle w:val="Footer"/>
      </w:pPr>
      <w:r>
        <w:rPr>
          <w:rStyle w:val="FootnoteReference"/>
        </w:rPr>
        <w:footnoteRef/>
      </w:r>
      <w:r>
        <w:t xml:space="preserve"> </w:t>
      </w:r>
      <w:r w:rsidRPr="00B47DF8">
        <w:t xml:space="preserve">More information available at </w:t>
      </w:r>
      <w:hyperlink r:id="rId8" w:history="1">
        <w:r w:rsidRPr="00B47DF8">
          <w:rPr>
            <w:rStyle w:val="Hyperlink"/>
          </w:rPr>
          <w:t>https://www.accc.gov.au/system/files/Murray-Darling%20Basin%20-%20water%20markets%20inquiry%20-%20Final%20report_0.pdf</w:t>
        </w:r>
      </w:hyperlink>
      <w:r>
        <w:rPr>
          <w:rStyle w:val="Hyperlink"/>
        </w:rPr>
        <w:t>.</w:t>
      </w:r>
    </w:p>
  </w:footnote>
  <w:footnote w:id="39">
    <w:p w14:paraId="078AC107" w14:textId="103D6D91" w:rsidR="00A46331" w:rsidRDefault="00A46331" w:rsidP="00A46331">
      <w:pPr>
        <w:pStyle w:val="FootnoteText"/>
      </w:pPr>
      <w:r>
        <w:rPr>
          <w:rStyle w:val="FootnoteReference"/>
        </w:rPr>
        <w:footnoteRef/>
      </w:r>
      <w:r>
        <w:t xml:space="preserve"> “</w:t>
      </w:r>
      <w:r w:rsidR="007B6BF1">
        <w:t>Market reach</w:t>
      </w:r>
      <w:r>
        <w:t xml:space="preserve">” is defined as </w:t>
      </w:r>
      <w:r w:rsidR="007B6BF1">
        <w:t xml:space="preserve">the percentage of </w:t>
      </w:r>
      <w:r>
        <w:t>SMEs that have generated revenue from the sale of their challenge solution.</w:t>
      </w:r>
    </w:p>
  </w:footnote>
  <w:footnote w:id="40">
    <w:p w14:paraId="6EB61B2D" w14:textId="17FE3A77" w:rsidR="00EF3E77" w:rsidRDefault="00EF3E77" w:rsidP="00641C19">
      <w:pPr>
        <w:pStyle w:val="Footer"/>
      </w:pPr>
      <w:r>
        <w:rPr>
          <w:rStyle w:val="FootnoteReference"/>
        </w:rPr>
        <w:footnoteRef/>
      </w:r>
      <w:r>
        <w:t xml:space="preserve"> Proof of concept SME survey</w:t>
      </w:r>
      <w:r w:rsidR="00641C19">
        <w:t>.</w:t>
      </w:r>
    </w:p>
  </w:footnote>
  <w:footnote w:id="41">
    <w:p w14:paraId="5B3D8D79" w14:textId="4A9C1434" w:rsidR="00EF3E77" w:rsidRDefault="00EF3E77" w:rsidP="00641C19">
      <w:pPr>
        <w:pStyle w:val="Footer"/>
      </w:pPr>
      <w:r>
        <w:rPr>
          <w:rStyle w:val="FootnoteReference"/>
        </w:rPr>
        <w:footnoteRef/>
      </w:r>
      <w:r>
        <w:t xml:space="preserve"> Feasibility SME survey</w:t>
      </w:r>
      <w:r w:rsidR="00641C19">
        <w:t>.</w:t>
      </w:r>
    </w:p>
  </w:footnote>
  <w:footnote w:id="42">
    <w:p w14:paraId="63694C2C" w14:textId="60BFE62E" w:rsidR="00EF3E77" w:rsidRPr="00DA635A" w:rsidRDefault="00EF3E77" w:rsidP="00641C19">
      <w:pPr>
        <w:pStyle w:val="Footer"/>
      </w:pPr>
      <w:r>
        <w:rPr>
          <w:rStyle w:val="FootnoteReference"/>
        </w:rPr>
        <w:footnoteRef/>
      </w:r>
      <w:r>
        <w:t xml:space="preserve"> R Gaster 2017, Impacts of the SBIR/STTR Programs: Summary and Analysis, </w:t>
      </w:r>
      <w:hyperlink r:id="rId9" w:history="1">
        <w:r w:rsidRPr="00D062C6">
          <w:rPr>
            <w:rStyle w:val="Hyperlink"/>
          </w:rPr>
          <w:t>https://sbtc.org/wp-content/uploads/2018/02/Impacts-of-the-SBIR-program.pdf</w:t>
        </w:r>
      </w:hyperlink>
      <w:r w:rsidR="00641C19">
        <w:rPr>
          <w:rStyle w:val="Hyperlink"/>
        </w:rPr>
        <w:t>.</w:t>
      </w:r>
      <w:r>
        <w:t xml:space="preserve"> </w:t>
      </w:r>
    </w:p>
  </w:footnote>
  <w:footnote w:id="43">
    <w:p w14:paraId="599C1F6E" w14:textId="1CFDB588" w:rsidR="00EF3E77" w:rsidRPr="0053768C" w:rsidRDefault="00EF3E77" w:rsidP="00641C19">
      <w:pPr>
        <w:pStyle w:val="Footer"/>
      </w:pPr>
      <w:r>
        <w:rPr>
          <w:rStyle w:val="FootnoteReference"/>
        </w:rPr>
        <w:footnoteRef/>
      </w:r>
      <w:r>
        <w:t xml:space="preserve"> The National </w:t>
      </w:r>
      <w:r w:rsidR="00BA69F0">
        <w:t>Academies</w:t>
      </w:r>
      <w:r>
        <w:t xml:space="preserve"> Press 2016, SBIR/STTR at the Department of Energy – Chapter 7, </w:t>
      </w:r>
      <w:hyperlink r:id="rId10" w:history="1">
        <w:r w:rsidRPr="00D062C6">
          <w:rPr>
            <w:rStyle w:val="Hyperlink"/>
          </w:rPr>
          <w:t>https://www.nap.edu/read/23406/chapter/7</w:t>
        </w:r>
      </w:hyperlink>
      <w:r w:rsidR="00641C19">
        <w:rPr>
          <w:rStyle w:val="Hyperlink"/>
        </w:rPr>
        <w:t>.</w:t>
      </w:r>
      <w:r>
        <w:t xml:space="preserve"> </w:t>
      </w:r>
    </w:p>
  </w:footnote>
  <w:footnote w:id="44">
    <w:p w14:paraId="556EAAEE" w14:textId="207F466B" w:rsidR="00EF3E77" w:rsidRDefault="00EF3E77" w:rsidP="00641C19">
      <w:pPr>
        <w:pStyle w:val="Footer"/>
      </w:pPr>
      <w:r>
        <w:rPr>
          <w:rStyle w:val="FootnoteReference"/>
        </w:rPr>
        <w:footnoteRef/>
      </w:r>
      <w:r>
        <w:t xml:space="preserve"> Based on ABN registration date. Includes all three rounds (58 SMEs, 10 of which were founded in the year of round commencement). Source: BRII administrative data</w:t>
      </w:r>
      <w:r w:rsidR="00641C19">
        <w:t>.</w:t>
      </w:r>
    </w:p>
  </w:footnote>
  <w:footnote w:id="45">
    <w:p w14:paraId="11A062DA" w14:textId="1E78A82A" w:rsidR="00EF3E77" w:rsidRDefault="00EF3E77" w:rsidP="008E4C9E">
      <w:pPr>
        <w:pStyle w:val="Footer"/>
      </w:pPr>
      <w:r>
        <w:rPr>
          <w:rStyle w:val="FootnoteReference"/>
        </w:rPr>
        <w:footnoteRef/>
      </w:r>
      <w:r>
        <w:t xml:space="preserve"> Government of Canada 2020, </w:t>
      </w:r>
      <w:r w:rsidRPr="00770CC1">
        <w:t>Innovative Solutions Canada: 2019-20 Annual Report</w:t>
      </w:r>
      <w:r>
        <w:t xml:space="preserve">, </w:t>
      </w:r>
      <w:hyperlink r:id="rId11" w:history="1">
        <w:r w:rsidRPr="00FA4AF6">
          <w:rPr>
            <w:rStyle w:val="Hyperlink"/>
          </w:rPr>
          <w:t>https://www1.ic.gc.ca/eic/site/101.nsf/vwapj/00129_en.pdf/$FILE/00129_en.pdf</w:t>
        </w:r>
      </w:hyperlink>
      <w:r w:rsidR="008E4C9E">
        <w:rPr>
          <w:rStyle w:val="Hyperlink"/>
        </w:rPr>
        <w:t>.</w:t>
      </w:r>
    </w:p>
  </w:footnote>
  <w:footnote w:id="46">
    <w:p w14:paraId="698EA86F" w14:textId="40AA2BFE" w:rsidR="00FB01C4" w:rsidRDefault="00FB01C4" w:rsidP="00236659">
      <w:pPr>
        <w:pStyle w:val="Footer"/>
      </w:pPr>
      <w:r>
        <w:rPr>
          <w:rStyle w:val="FootnoteReference"/>
        </w:rPr>
        <w:footnoteRef/>
      </w:r>
      <w:r>
        <w:t xml:space="preserve"> </w:t>
      </w:r>
      <w:r w:rsidRPr="00413AB1">
        <w:t xml:space="preserve">The CBA has focused on determining the cost and benefits of BRII from FY17 (as the </w:t>
      </w:r>
      <w:r>
        <w:t>first</w:t>
      </w:r>
      <w:r w:rsidRPr="00413AB1">
        <w:t xml:space="preserve"> year of activity</w:t>
      </w:r>
      <w:r>
        <w:t xml:space="preserve"> for round one</w:t>
      </w:r>
      <w:r w:rsidRPr="00413AB1">
        <w:t>) onwards. Results are reported in FY21 net present value (NPV) throughout using a seven per cent discount rate.</w:t>
      </w:r>
    </w:p>
  </w:footnote>
  <w:footnote w:id="47">
    <w:p w14:paraId="7B61DE16" w14:textId="739FCCD9" w:rsidR="00FB01C4" w:rsidRDefault="00FB01C4" w:rsidP="005A6C56">
      <w:pPr>
        <w:pStyle w:val="Footer"/>
      </w:pPr>
      <w:r>
        <w:rPr>
          <w:rStyle w:val="FootnoteReference"/>
        </w:rPr>
        <w:footnoteRef/>
      </w:r>
      <w:r>
        <w:t xml:space="preserve"> Note that when referring to SMEs and challenge agencies in this section we are referring to round one SMEs and challenge agencies only.</w:t>
      </w:r>
    </w:p>
  </w:footnote>
  <w:footnote w:id="48">
    <w:p w14:paraId="7491DBDD" w14:textId="337ABAC1" w:rsidR="00FB01C4" w:rsidRDefault="00FB01C4" w:rsidP="005A6C56">
      <w:pPr>
        <w:pStyle w:val="Footer"/>
      </w:pPr>
      <w:r>
        <w:rPr>
          <w:rStyle w:val="FootnoteReference"/>
        </w:rPr>
        <w:footnoteRef/>
      </w:r>
      <w:r>
        <w:t xml:space="preserve"> </w:t>
      </w:r>
      <w:r w:rsidR="009721B2">
        <w:t>Eight</w:t>
      </w:r>
      <w:r>
        <w:t xml:space="preserve"> out of nine round one proof of concept SMEs have provided the financial information needed to complete the CBA. As a result, the results are based on a response rate of </w:t>
      </w:r>
      <w:r w:rsidR="00A71488">
        <w:t xml:space="preserve">89 </w:t>
      </w:r>
      <w:r>
        <w:t>per cent. A non-response factor of 1.</w:t>
      </w:r>
      <w:r w:rsidR="00A71488">
        <w:t>13</w:t>
      </w:r>
      <w:r>
        <w:t xml:space="preserve"> has been applied to the survey responses received to estimate the benefits that the </w:t>
      </w:r>
      <w:r w:rsidR="00A71488">
        <w:t xml:space="preserve">one </w:t>
      </w:r>
      <w:r>
        <w:t xml:space="preserve">non-response SME. It is noted that </w:t>
      </w:r>
      <w:r w:rsidR="00A71488">
        <w:t xml:space="preserve">the </w:t>
      </w:r>
      <w:r>
        <w:t>non-responsive SME</w:t>
      </w:r>
      <w:r w:rsidR="00A71488">
        <w:t xml:space="preserve"> has</w:t>
      </w:r>
      <w:r>
        <w:t xml:space="preserve"> had commercial success with their solution post BRII. The non-response factor is therefore conservative, as it takes the average of the </w:t>
      </w:r>
      <w:r w:rsidR="00A71488">
        <w:t xml:space="preserve">eight </w:t>
      </w:r>
      <w:r>
        <w:t>responsive SMEs, three of which have little or no commercial success with their BRII solution.</w:t>
      </w:r>
    </w:p>
  </w:footnote>
  <w:footnote w:id="49">
    <w:p w14:paraId="4F54A39C" w14:textId="77777777" w:rsidR="00FB01C4" w:rsidRDefault="00FB01C4" w:rsidP="00471FC1">
      <w:pPr>
        <w:pStyle w:val="Footer"/>
      </w:pPr>
      <w:r>
        <w:rPr>
          <w:rStyle w:val="FootnoteReference"/>
        </w:rPr>
        <w:footnoteRef/>
      </w:r>
      <w:r>
        <w:t xml:space="preserve"> See ‘Cost-benefit analysis guidance note’ (March 2020) from the Department of Prime Minster and Cabinet, available at: </w:t>
      </w:r>
      <w:hyperlink r:id="rId12" w:history="1">
        <w:r w:rsidRPr="001D0D2D">
          <w:rPr>
            <w:rStyle w:val="Hyperlink"/>
          </w:rPr>
          <w:t>https://pmc.gov.au/sites/default/files/publications/cost-benefit-analysis_0.pdf</w:t>
        </w:r>
      </w:hyperlink>
      <w:r>
        <w:rPr>
          <w:rStyle w:val="Hyperlink"/>
        </w:rPr>
        <w:t>.</w:t>
      </w:r>
      <w:r>
        <w:t xml:space="preserve"> </w:t>
      </w:r>
    </w:p>
  </w:footnote>
  <w:footnote w:id="50">
    <w:p w14:paraId="738CD1DE" w14:textId="5B9DF048" w:rsidR="00FB01C4" w:rsidRDefault="00FB01C4" w:rsidP="00694FD3">
      <w:pPr>
        <w:pStyle w:val="Footer"/>
      </w:pPr>
      <w:r>
        <w:rPr>
          <w:rStyle w:val="FootnoteReference"/>
        </w:rPr>
        <w:footnoteRef/>
      </w:r>
      <w:r>
        <w:t xml:space="preserve"> </w:t>
      </w:r>
      <w:r w:rsidRPr="009D7EDB">
        <w:t xml:space="preserve">Nearest neighbour is a matching approach that searches a group of treated SMEs and selects the closest eligible control unit </w:t>
      </w:r>
      <w:r w:rsidR="005D749F" w:rsidRPr="009D7EDB">
        <w:t>based on</w:t>
      </w:r>
      <w:r w:rsidRPr="009D7EDB">
        <w:t xml:space="preserve"> a set of business and market characteristics. Nearest neighbour matching is the most common form of matching used and has a strong evidence base</w:t>
      </w:r>
      <w:r>
        <w:t xml:space="preserve"> – see Thoemmes, Felix J., and Eun Sook Kim. 2011. “A Systematic Review of Propensity Score Methods in the Social Sciences.” Multivariate Behavioral Research 46 (1): 90–118. </w:t>
      </w:r>
      <w:hyperlink r:id="rId13" w:history="1">
        <w:r w:rsidRPr="00FA4AF6">
          <w:rPr>
            <w:rStyle w:val="Hyperlink"/>
          </w:rPr>
          <w:t>https://doi.org/10.1080/00273171.2011.540475</w:t>
        </w:r>
      </w:hyperlink>
      <w:r>
        <w:t xml:space="preserve"> and Zakrison, T. L., Peter C. Austin, and V. A. McCredie. 2018. “A Systematic Review of Propensity Score Methods in the Acute Care Surgery Literature: Avoiding the Pitfalls and Proposing a Set of Reporting Guidelines.” European Journal of Trauma and Emergency Surgery 44 (3): 385–95. </w:t>
      </w:r>
      <w:hyperlink r:id="rId14" w:history="1">
        <w:r w:rsidRPr="00FA4AF6">
          <w:rPr>
            <w:rStyle w:val="Hyperlink"/>
          </w:rPr>
          <w:t>https://doi.org/10.1007/s00068-017-0786-6</w:t>
        </w:r>
      </w:hyperlink>
      <w:r>
        <w:t>.</w:t>
      </w:r>
    </w:p>
  </w:footnote>
  <w:footnote w:id="51">
    <w:p w14:paraId="175C1007" w14:textId="77777777" w:rsidR="00F1703B" w:rsidRDefault="00F1703B" w:rsidP="00F1703B">
      <w:pPr>
        <w:pStyle w:val="Footer"/>
      </w:pPr>
      <w:r>
        <w:rPr>
          <w:rStyle w:val="FootnoteReference"/>
        </w:rPr>
        <w:footnoteRef/>
      </w:r>
      <w:r>
        <w:t xml:space="preserve"> See ‘Cost-benefit analysis guidance note’ (March 2020) from the Department of Prime Minster and Cabinet, available at: </w:t>
      </w:r>
      <w:hyperlink r:id="rId15" w:history="1">
        <w:r w:rsidRPr="001D0D2D">
          <w:rPr>
            <w:rStyle w:val="Hyperlink"/>
          </w:rPr>
          <w:t>https://pmc.gov.au/sites/default/files/publications/cost-benefit-analysis_0.pdf</w:t>
        </w:r>
      </w:hyperlink>
      <w:r>
        <w:rPr>
          <w:rStyle w:val="Hyperlink"/>
        </w:rPr>
        <w:t>.</w:t>
      </w:r>
      <w:r>
        <w:t xml:space="preserve"> </w:t>
      </w:r>
    </w:p>
  </w:footnote>
  <w:footnote w:id="52">
    <w:p w14:paraId="3B8B3691" w14:textId="0B039302" w:rsidR="000F0F5B" w:rsidRDefault="000F0F5B" w:rsidP="00133B80">
      <w:pPr>
        <w:pStyle w:val="Footer"/>
      </w:pPr>
      <w:r>
        <w:rPr>
          <w:rStyle w:val="FootnoteReference"/>
        </w:rPr>
        <w:footnoteRef/>
      </w:r>
      <w:r>
        <w:t xml:space="preserve"> The persistence of impact </w:t>
      </w:r>
      <w:r w:rsidR="00DF1CC7">
        <w:t>is</w:t>
      </w:r>
      <w:r>
        <w:t xml:space="preserve"> five years </w:t>
      </w:r>
      <w:r w:rsidR="00DF1CC7">
        <w:t>per</w:t>
      </w:r>
      <w:r>
        <w:t xml:space="preserve"> </w:t>
      </w:r>
      <w:r w:rsidR="00DF1CC7">
        <w:t xml:space="preserve">the survey </w:t>
      </w:r>
      <w:r>
        <w:t>response from BRII round one proof of concept SMEs</w:t>
      </w:r>
      <w:r w:rsidR="00DF1CC7">
        <w:t>.</w:t>
      </w:r>
      <w:r w:rsidR="007A229F">
        <w:t xml:space="preserve"> See </w:t>
      </w:r>
      <w:r w:rsidR="007A229F">
        <w:fldChar w:fldCharType="begin"/>
      </w:r>
      <w:r w:rsidR="007A229F">
        <w:instrText xml:space="preserve"> REF _Ref76056850 \r \h </w:instrText>
      </w:r>
      <w:r w:rsidR="00133B80">
        <w:instrText xml:space="preserve"> \* MERGEFORMAT </w:instrText>
      </w:r>
      <w:r w:rsidR="007A229F">
        <w:fldChar w:fldCharType="separate"/>
      </w:r>
      <w:r w:rsidR="00AE607F">
        <w:t>Appendix G</w:t>
      </w:r>
      <w:r w:rsidR="007A229F">
        <w:fldChar w:fldCharType="end"/>
      </w:r>
      <w:r w:rsidR="007A229F">
        <w:t xml:space="preserve"> for more.</w:t>
      </w:r>
    </w:p>
  </w:footnote>
  <w:footnote w:id="53">
    <w:p w14:paraId="064C8A1B" w14:textId="52F7E980" w:rsidR="00D9737C" w:rsidRDefault="00D9737C" w:rsidP="00133B80">
      <w:pPr>
        <w:pStyle w:val="Footer"/>
      </w:pPr>
      <w:r>
        <w:rPr>
          <w:rStyle w:val="FootnoteReference"/>
        </w:rPr>
        <w:footnoteRef/>
      </w:r>
      <w:r>
        <w:t xml:space="preserve"> Base case set at 4.7% which is the market growth average for the </w:t>
      </w:r>
      <w:r w:rsidR="00294B98">
        <w:t>control group.</w:t>
      </w:r>
      <w:r w:rsidR="007A229F">
        <w:t xml:space="preserve"> See </w:t>
      </w:r>
      <w:r w:rsidR="007A229F">
        <w:fldChar w:fldCharType="begin"/>
      </w:r>
      <w:r w:rsidR="007A229F">
        <w:instrText xml:space="preserve"> REF _Ref76056850 \r \h </w:instrText>
      </w:r>
      <w:r w:rsidR="00133B80">
        <w:instrText xml:space="preserve"> \* MERGEFORMAT </w:instrText>
      </w:r>
      <w:r w:rsidR="007A229F">
        <w:fldChar w:fldCharType="separate"/>
      </w:r>
      <w:r w:rsidR="00AE607F">
        <w:t>Appendix G</w:t>
      </w:r>
      <w:r w:rsidR="007A229F">
        <w:fldChar w:fldCharType="end"/>
      </w:r>
      <w:r w:rsidR="007A229F">
        <w:t xml:space="preserve"> for more.</w:t>
      </w:r>
    </w:p>
  </w:footnote>
  <w:footnote w:id="54">
    <w:p w14:paraId="731A0B58" w14:textId="3F5FCA89" w:rsidR="00FB01C4" w:rsidRDefault="00FB01C4" w:rsidP="007643BF">
      <w:pPr>
        <w:pStyle w:val="Footer"/>
      </w:pPr>
      <w:r>
        <w:rPr>
          <w:rStyle w:val="FootnoteReference"/>
        </w:rPr>
        <w:footnoteRef/>
      </w:r>
      <w:r>
        <w:t xml:space="preserve"> Note that evaluation interviews indicated that the NSW DCJ is currently undertaking a benefits assessment as part of the REACH interim review which should be completed by the end of October 2021. At this point further outcomes may be possible to quantify.</w:t>
      </w:r>
    </w:p>
  </w:footnote>
  <w:footnote w:id="55">
    <w:p w14:paraId="7C14430A" w14:textId="77777777" w:rsidR="00FB01C4" w:rsidRDefault="00FB01C4" w:rsidP="00CF4287">
      <w:pPr>
        <w:pStyle w:val="Footer"/>
      </w:pPr>
      <w:r>
        <w:rPr>
          <w:rStyle w:val="FootnoteReference"/>
        </w:rPr>
        <w:footnoteRef/>
      </w:r>
      <w:r>
        <w:t xml:space="preserve"> See report ‘</w:t>
      </w:r>
      <w:r w:rsidRPr="00BA190C">
        <w:t>Key Result Summary: Valuing Australia’s Biosecurity System</w:t>
      </w:r>
      <w:r>
        <w:t xml:space="preserve">’ (August 2020) published by </w:t>
      </w:r>
      <w:r w:rsidRPr="00BA190C">
        <w:t>Centre of Excellence for Biosecurity Risk Analysis (CEBRA)</w:t>
      </w:r>
      <w:r>
        <w:t xml:space="preserve">, available at: </w:t>
      </w:r>
      <w:hyperlink r:id="rId16" w:history="1">
        <w:r w:rsidRPr="009A0FA1">
          <w:rPr>
            <w:rStyle w:val="Hyperlink"/>
          </w:rPr>
          <w:t>https://cebra.unimelb.edu.au/__data/assets/pdf_file/0020/3535013/CEBRA_Value_Docs_KeyResultSummary_v0.6_Endorsed.pdf</w:t>
        </w:r>
      </w:hyperlink>
      <w:r>
        <w:t xml:space="preserve">. </w:t>
      </w:r>
    </w:p>
  </w:footnote>
  <w:footnote w:id="56">
    <w:p w14:paraId="1D6A1D68" w14:textId="0F51E21F" w:rsidR="00FB01C4" w:rsidRDefault="00FB01C4" w:rsidP="003320AA">
      <w:pPr>
        <w:pStyle w:val="Footer"/>
      </w:pPr>
      <w:r>
        <w:rPr>
          <w:rStyle w:val="FootnoteReference"/>
        </w:rPr>
        <w:footnoteRef/>
      </w:r>
      <w:r>
        <w:t xml:space="preserve"> To ensure a fair comparison, the count of tenders after engagement with BRII is based on the period between the beginning of the relevant BRII round (one or two) and 30 June 2021. The count “before” engagement with the BRII is based on an equal </w:t>
      </w:r>
      <w:r w:rsidR="005D749F">
        <w:t>period</w:t>
      </w:r>
      <w:r>
        <w:t xml:space="preserve"> prior to the BRII round as between the beginning of the round and 30 June 2021. For example, if it has been five years since the commencement of a BRII round, then the “before” count of tenders is based on the five years before the commencement of the BRII round. All data for these calculations is sourced from AusTender. </w:t>
      </w:r>
    </w:p>
  </w:footnote>
  <w:footnote w:id="57">
    <w:p w14:paraId="116A7556" w14:textId="77777777" w:rsidR="008D337D" w:rsidRDefault="008D337D" w:rsidP="008D337D">
      <w:pPr>
        <w:pStyle w:val="FootnoteText"/>
      </w:pPr>
      <w:r>
        <w:rPr>
          <w:rStyle w:val="FootnoteReference"/>
        </w:rPr>
        <w:footnoteRef/>
      </w:r>
      <w:r>
        <w:t xml:space="preserve"> This method refers to an approach to CBA that does not involve any self-reporting, but rather a direct comparison to market performance. The lower BCR result from the self-reported method compared to the econometric method indicates that SBRI firms have likely underestimated the impact of the SBRI on their present and future performance.</w:t>
      </w:r>
    </w:p>
  </w:footnote>
  <w:footnote w:id="58">
    <w:p w14:paraId="55D0029C" w14:textId="10E61276" w:rsidR="00A32332" w:rsidRDefault="00A32332">
      <w:pPr>
        <w:pStyle w:val="FootnoteText"/>
      </w:pPr>
      <w:r>
        <w:rPr>
          <w:rStyle w:val="FootnoteReference"/>
        </w:rPr>
        <w:footnoteRef/>
      </w:r>
      <w:r>
        <w:t xml:space="preserve"> Manchester Institute of Innovation Research 2015, </w:t>
      </w:r>
      <w:r>
        <w:rPr>
          <w:i/>
          <w:iCs/>
        </w:rPr>
        <w:t>A review of the small business research initiative</w:t>
      </w:r>
      <w:r>
        <w:t xml:space="preserve">, </w:t>
      </w:r>
      <w:hyperlink r:id="rId17" w:history="1">
        <w:r w:rsidRPr="00D062C6">
          <w:rPr>
            <w:rStyle w:val="Hyperlink"/>
          </w:rPr>
          <w:t>https://assets.publishing.service.gov.uk/government/uploads/system/uploads/attachment_data/file/662657/A_Review_of_the_Small_Business_Research_Initiative_.pdf</w:t>
        </w:r>
      </w:hyperlink>
    </w:p>
  </w:footnote>
  <w:footnote w:id="59">
    <w:p w14:paraId="69FF8C22" w14:textId="77777777" w:rsidR="00FB01C4" w:rsidRDefault="00FB01C4" w:rsidP="00272B83">
      <w:pPr>
        <w:pStyle w:val="FootnoteText"/>
      </w:pPr>
      <w:r>
        <w:rPr>
          <w:rStyle w:val="FootnoteReference"/>
        </w:rPr>
        <w:footnoteRef/>
      </w:r>
      <w:r>
        <w:t xml:space="preserve"> Proof of concept SME survey</w:t>
      </w:r>
    </w:p>
  </w:footnote>
  <w:footnote w:id="60">
    <w:p w14:paraId="0BAFE905" w14:textId="77777777" w:rsidR="00FB01C4" w:rsidRDefault="00FB01C4" w:rsidP="00272B83">
      <w:pPr>
        <w:pStyle w:val="FootnoteText"/>
      </w:pPr>
      <w:r>
        <w:rPr>
          <w:rStyle w:val="FootnoteReference"/>
        </w:rPr>
        <w:footnoteRef/>
      </w:r>
      <w:r>
        <w:t xml:space="preserve"> Feasibility SME survey</w:t>
      </w:r>
    </w:p>
  </w:footnote>
  <w:footnote w:id="61">
    <w:p w14:paraId="768B112C" w14:textId="77BAEE71" w:rsidR="00FB01C4" w:rsidRPr="008835C8" w:rsidRDefault="00FB01C4" w:rsidP="00272B83">
      <w:pPr>
        <w:pStyle w:val="FootnoteText"/>
      </w:pPr>
      <w:r>
        <w:rPr>
          <w:rStyle w:val="FootnoteReference"/>
        </w:rPr>
        <w:footnoteRef/>
      </w:r>
      <w:r>
        <w:t xml:space="preserve"> Manchester Institute of Innovation Research 2015, </w:t>
      </w:r>
      <w:r>
        <w:rPr>
          <w:i/>
          <w:iCs/>
        </w:rPr>
        <w:t>A review of the small business research initiative</w:t>
      </w:r>
      <w:r>
        <w:t xml:space="preserve">, </w:t>
      </w:r>
      <w:hyperlink r:id="rId18" w:history="1">
        <w:r w:rsidRPr="00D062C6">
          <w:rPr>
            <w:rStyle w:val="Hyperlink"/>
          </w:rPr>
          <w:t>https://assets.publishing.service.gov.uk/government/uploads/system/uploads/attachment_data/file/662657/A_Review_of_the_Small_Business_Research_Initiative_.pdf</w:t>
        </w:r>
      </w:hyperlink>
      <w:r>
        <w:t xml:space="preserve"> </w:t>
      </w:r>
    </w:p>
  </w:footnote>
  <w:footnote w:id="62">
    <w:p w14:paraId="31A1105E" w14:textId="77777777" w:rsidR="00225F66" w:rsidRDefault="00225F66" w:rsidP="00225F66">
      <w:pPr>
        <w:pStyle w:val="FootnoteText"/>
      </w:pPr>
      <w:r>
        <w:rPr>
          <w:rStyle w:val="FootnoteReference"/>
        </w:rPr>
        <w:footnoteRef/>
      </w:r>
      <w:r>
        <w:t xml:space="preserve"> Source: Federal Budget 2021-22, </w:t>
      </w:r>
      <w:hyperlink r:id="rId19" w:history="1">
        <w:r w:rsidRPr="00EF6086">
          <w:rPr>
            <w:rStyle w:val="Hyperlink"/>
          </w:rPr>
          <w:t>https://budget.gov.au/2021-22/content/resilient.htm</w:t>
        </w:r>
      </w:hyperlink>
      <w:r>
        <w:rPr>
          <w:rStyle w:val="Hyperlink"/>
        </w:rPr>
        <w:t xml:space="preserve"> </w:t>
      </w:r>
    </w:p>
  </w:footnote>
  <w:footnote w:id="63">
    <w:p w14:paraId="252F494C" w14:textId="77777777" w:rsidR="00FB01C4" w:rsidRDefault="00FB01C4" w:rsidP="006858D4">
      <w:pPr>
        <w:pStyle w:val="Footer"/>
      </w:pPr>
      <w:r>
        <w:rPr>
          <w:rStyle w:val="FootnoteReference"/>
        </w:rPr>
        <w:footnoteRef/>
      </w:r>
      <w:r>
        <w:t xml:space="preserve"> Sources: </w:t>
      </w:r>
      <w:r w:rsidRPr="009B6649">
        <w:t>Program and policy team interviews, EPC interviews, challenge agency interviews</w:t>
      </w:r>
      <w:r>
        <w:t>.</w:t>
      </w:r>
    </w:p>
  </w:footnote>
  <w:footnote w:id="64">
    <w:p w14:paraId="343E735F" w14:textId="77777777" w:rsidR="003D5844" w:rsidRDefault="003D5844" w:rsidP="003D5844">
      <w:pPr>
        <w:pStyle w:val="FootnoteText"/>
      </w:pPr>
      <w:r>
        <w:rPr>
          <w:rStyle w:val="FootnoteReference"/>
        </w:rPr>
        <w:footnoteRef/>
      </w:r>
      <w:r>
        <w:t xml:space="preserve"> Source: SME interviews and survey responses, challenge agency interviews, DISER and EPC interviews.</w:t>
      </w:r>
    </w:p>
  </w:footnote>
  <w:footnote w:id="65">
    <w:p w14:paraId="2AD7853E" w14:textId="77777777" w:rsidR="00F1128A" w:rsidRPr="004B0122" w:rsidRDefault="00F1128A" w:rsidP="00F1128A">
      <w:pPr>
        <w:pStyle w:val="FootnoteText"/>
      </w:pPr>
      <w:r>
        <w:rPr>
          <w:rStyle w:val="FootnoteReference"/>
        </w:rPr>
        <w:footnoteRef/>
      </w:r>
      <w:r>
        <w:t xml:space="preserve"> Nous Group 2018, </w:t>
      </w:r>
      <w:r>
        <w:rPr>
          <w:i/>
          <w:iCs/>
        </w:rPr>
        <w:t>BRII Pilot Post-Commencement Evaluation</w:t>
      </w:r>
      <w:r>
        <w:t xml:space="preserve">, </w:t>
      </w:r>
      <w:hyperlink r:id="rId20" w:history="1">
        <w:r w:rsidRPr="00D062C6">
          <w:rPr>
            <w:rStyle w:val="Hyperlink"/>
          </w:rPr>
          <w:t>https://www.industry.gov.au/sites/default/files/2019-06/brii-pilot-post-commencement-evaluation-2018-final-report.pdf</w:t>
        </w:r>
      </w:hyperlink>
      <w:r>
        <w:t xml:space="preserve"> </w:t>
      </w:r>
    </w:p>
  </w:footnote>
  <w:footnote w:id="66">
    <w:p w14:paraId="10CC818C" w14:textId="77777777" w:rsidR="00FB01C4" w:rsidRDefault="00FB01C4" w:rsidP="00804A98">
      <w:pPr>
        <w:pStyle w:val="Footer"/>
      </w:pPr>
      <w:r>
        <w:rPr>
          <w:rStyle w:val="FootnoteReference"/>
        </w:rPr>
        <w:footnoteRef/>
      </w:r>
      <w:r>
        <w:t xml:space="preserve"> Sources: </w:t>
      </w:r>
      <w:r w:rsidRPr="00FA27C8">
        <w:t>Program and policy team interviews, EPC interviews, SME interviews and surveys, challenge agency interviews</w:t>
      </w:r>
      <w:r>
        <w:t>.</w:t>
      </w:r>
    </w:p>
  </w:footnote>
  <w:footnote w:id="67">
    <w:p w14:paraId="4259DFBC" w14:textId="77777777" w:rsidR="0048367A" w:rsidRDefault="0048367A" w:rsidP="0048367A">
      <w:pPr>
        <w:pStyle w:val="Footer"/>
      </w:pPr>
      <w:r>
        <w:rPr>
          <w:rStyle w:val="FootnoteReference"/>
        </w:rPr>
        <w:footnoteRef/>
      </w:r>
      <w:r>
        <w:t xml:space="preserve"> Source: </w:t>
      </w:r>
      <w:r w:rsidRPr="00771478">
        <w:t>BRII Priority Sectors Round Evaluation, December 2020</w:t>
      </w:r>
      <w:r>
        <w:t>.</w:t>
      </w:r>
    </w:p>
  </w:footnote>
  <w:footnote w:id="68">
    <w:p w14:paraId="5BB593AA" w14:textId="4C87ED59" w:rsidR="00FB01C4" w:rsidRDefault="00FB01C4" w:rsidP="00D149F5">
      <w:pPr>
        <w:pStyle w:val="Footer"/>
      </w:pPr>
      <w:r>
        <w:rPr>
          <w:rStyle w:val="FootnoteReference"/>
        </w:rPr>
        <w:footnoteRef/>
      </w:r>
      <w:r>
        <w:t xml:space="preserve"> </w:t>
      </w:r>
      <w:r w:rsidRPr="005B4365">
        <w:t xml:space="preserve">13 feasibility respondents, </w:t>
      </w:r>
      <w:r>
        <w:t>nine</w:t>
      </w:r>
      <w:r w:rsidRPr="005B4365">
        <w:t xml:space="preserve"> proof of concept respondents for first three questions; 11 feasibility respondents, </w:t>
      </w:r>
      <w:r>
        <w:t>nine</w:t>
      </w:r>
      <w:r w:rsidRPr="005B4365">
        <w:t xml:space="preserve"> proof of concept respondents for first final question. NA responses refer to Priority Sectors SMEs that had not completed their feasibility stage.</w:t>
      </w:r>
    </w:p>
  </w:footnote>
  <w:footnote w:id="69">
    <w:p w14:paraId="7B152FEC" w14:textId="77777777" w:rsidR="00FB01C4" w:rsidRDefault="00FB01C4" w:rsidP="0020417F">
      <w:pPr>
        <w:pStyle w:val="Footer"/>
      </w:pPr>
      <w:r>
        <w:rPr>
          <w:rStyle w:val="FootnoteReference"/>
        </w:rPr>
        <w:footnoteRef/>
      </w:r>
      <w:r>
        <w:t xml:space="preserve"> Sources: </w:t>
      </w:r>
      <w:r w:rsidRPr="00023BC0">
        <w:t>SME Interview, SME Surveys, Challenge Agency interviews</w:t>
      </w:r>
      <w:r>
        <w:t>.</w:t>
      </w:r>
    </w:p>
  </w:footnote>
  <w:footnote w:id="70">
    <w:p w14:paraId="2A8D924E" w14:textId="77777777" w:rsidR="003E5E17" w:rsidRDefault="003E5E17" w:rsidP="003E5E17">
      <w:pPr>
        <w:pStyle w:val="FootnoteText"/>
      </w:pPr>
      <w:r>
        <w:rPr>
          <w:rStyle w:val="FootnoteReference"/>
        </w:rPr>
        <w:footnoteRef/>
      </w:r>
      <w:r>
        <w:t xml:space="preserve"> Industry Innovation and Science Australia, 2021, Driving effective Government investment in innovation, science and research.</w:t>
      </w:r>
    </w:p>
  </w:footnote>
  <w:footnote w:id="71">
    <w:p w14:paraId="14327FDF" w14:textId="77777777" w:rsidR="003E5E17" w:rsidRDefault="003E5E17" w:rsidP="003E5E17">
      <w:pPr>
        <w:pStyle w:val="FootnoteText"/>
      </w:pPr>
      <w:r>
        <w:rPr>
          <w:rStyle w:val="FootnoteReference"/>
        </w:rPr>
        <w:footnoteRef/>
      </w:r>
      <w:r>
        <w:t xml:space="preserve"> Department of Education, Employment and Skills, 2021, </w:t>
      </w:r>
      <w:r w:rsidRPr="00825391">
        <w:t>University Research Commercialisation consultation paper</w:t>
      </w:r>
      <w:r>
        <w:t>.</w:t>
      </w:r>
    </w:p>
  </w:footnote>
  <w:footnote w:id="72">
    <w:p w14:paraId="3916D51F" w14:textId="77777777" w:rsidR="006A0054" w:rsidRDefault="006A0054" w:rsidP="006A0054">
      <w:pPr>
        <w:pStyle w:val="Footer"/>
      </w:pPr>
      <w:r>
        <w:rPr>
          <w:rStyle w:val="FootnoteReference"/>
        </w:rPr>
        <w:footnoteRef/>
      </w:r>
      <w:r>
        <w:t xml:space="preserve"> </w:t>
      </w:r>
      <w:r w:rsidRPr="00EA7AB8">
        <w:t>Exchange rates as of 4 June September 2020: A$1.38 to US$1; A$1.05 to CAD$1; and A$1.79 to £1.</w:t>
      </w:r>
    </w:p>
  </w:footnote>
  <w:footnote w:id="73">
    <w:p w14:paraId="3BFAD982" w14:textId="77777777" w:rsidR="006A0054" w:rsidRDefault="006A0054" w:rsidP="006A0054">
      <w:pPr>
        <w:pStyle w:val="Footer"/>
      </w:pPr>
      <w:r>
        <w:rPr>
          <w:rStyle w:val="FootnoteReference"/>
        </w:rPr>
        <w:footnoteRef/>
      </w:r>
      <w:r>
        <w:t xml:space="preserve"> Source: </w:t>
      </w:r>
      <w:hyperlink r:id="rId21" w:history="1">
        <w:r w:rsidRPr="0020677A">
          <w:rPr>
            <w:rStyle w:val="Hyperlink"/>
          </w:rPr>
          <w:t>https://www.sbir.gov/sites/default/files/Eastern%20Road%20Tour%20Combined.pdf</w:t>
        </w:r>
      </w:hyperlink>
      <w:r>
        <w:t xml:space="preserve"> </w:t>
      </w:r>
    </w:p>
  </w:footnote>
  <w:footnote w:id="74">
    <w:p w14:paraId="21772280" w14:textId="77777777" w:rsidR="006A0054" w:rsidRDefault="006A0054" w:rsidP="006A0054">
      <w:pPr>
        <w:pStyle w:val="Footer"/>
      </w:pPr>
      <w:r>
        <w:rPr>
          <w:rStyle w:val="FootnoteReference"/>
        </w:rPr>
        <w:footnoteRef/>
      </w:r>
      <w:r>
        <w:t xml:space="preserve"> Source: </w:t>
      </w:r>
      <w:hyperlink r:id="rId22" w:history="1">
        <w:r w:rsidRPr="0020677A">
          <w:rPr>
            <w:rStyle w:val="Hyperlink"/>
          </w:rPr>
          <w:t>https://assets.publishing.service.gov.uk/government/uploads/system/uploads/attachment_data/file/669605/Leveraging_Public_Procurement_David_Connell_report.pdf</w:t>
        </w:r>
      </w:hyperlink>
      <w:r>
        <w:t xml:space="preserve">. </w:t>
      </w:r>
    </w:p>
  </w:footnote>
  <w:footnote w:id="75">
    <w:p w14:paraId="72734CE8" w14:textId="77777777" w:rsidR="006A0054" w:rsidRDefault="006A0054" w:rsidP="006A0054">
      <w:pPr>
        <w:pStyle w:val="Footer"/>
      </w:pPr>
      <w:r>
        <w:rPr>
          <w:rStyle w:val="FootnoteReference"/>
        </w:rPr>
        <w:footnoteRef/>
      </w:r>
      <w:r>
        <w:t xml:space="preserve"> Source: </w:t>
      </w:r>
      <w:hyperlink r:id="rId23" w:history="1">
        <w:r w:rsidRPr="0020677A">
          <w:rPr>
            <w:rStyle w:val="Hyperlink"/>
          </w:rPr>
          <w:t>https://www1.ic.gc.ca/eic/site/101.nsf/vwapj/00129_en.pdf/$FILE/00129_en.pdf</w:t>
        </w:r>
      </w:hyperlink>
      <w:r>
        <w:rPr>
          <w:rStyle w:val="Hyperlink"/>
        </w:rPr>
        <w:t>.</w:t>
      </w:r>
      <w:r>
        <w:t xml:space="preserve"> This figure only includes the funding allocated to the Challenge Stream, which is directly comparable to the BRII. The ISC also includes a testing stream that </w:t>
      </w:r>
      <w:r w:rsidRPr="007F4326">
        <w:t>prequalifies late-stage (pre-commercial) prototypes developed by Canadian companies of all sizes and then matches them with federal government organizations willing to test them and provide feedback to these firms</w:t>
      </w:r>
      <w:r>
        <w:t>. The testing stream has an additional budget of $33.5 million CAD.</w:t>
      </w:r>
    </w:p>
  </w:footnote>
  <w:footnote w:id="76">
    <w:p w14:paraId="4C5A5A44" w14:textId="77777777" w:rsidR="006A0054" w:rsidRPr="00C30911" w:rsidRDefault="006A0054" w:rsidP="00237B38">
      <w:pPr>
        <w:pStyle w:val="Footer"/>
        <w:rPr>
          <w:i/>
          <w:iCs/>
        </w:rPr>
      </w:pPr>
      <w:r>
        <w:rPr>
          <w:rStyle w:val="FootnoteReference"/>
        </w:rPr>
        <w:footnoteRef/>
      </w:r>
      <w:r>
        <w:t xml:space="preserve"> This figure is averaged out, based on approximately $12m per round of BRII every second year. This calculation is repeated based on </w:t>
      </w:r>
      <w:r>
        <w:rPr>
          <w:i/>
          <w:iCs/>
        </w:rPr>
        <w:t xml:space="preserve">A demand side approach to stimulate business innovation in Australia. </w:t>
      </w:r>
    </w:p>
  </w:footnote>
  <w:footnote w:id="77">
    <w:p w14:paraId="4145B174" w14:textId="77777777" w:rsidR="006A0054" w:rsidRDefault="006A0054" w:rsidP="006A0054">
      <w:pPr>
        <w:pStyle w:val="Footer"/>
      </w:pPr>
      <w:r>
        <w:rPr>
          <w:rStyle w:val="FootnoteReference"/>
        </w:rPr>
        <w:footnoteRef/>
      </w:r>
      <w:r>
        <w:t xml:space="preserve"> </w:t>
      </w:r>
      <w:r w:rsidRPr="00B31BF7">
        <w:t>2018 figures used; Australia GDP = US$1.434 trillion; US GDP = US$20.54 trillion; Canada GDP = $US1.713 trillion; and UK GDP = $US2.855 trillion.</w:t>
      </w:r>
      <w:r>
        <w:t xml:space="preserve"> Based on analysis conducted in </w:t>
      </w:r>
      <w:r>
        <w:rPr>
          <w:i/>
          <w:iCs/>
        </w:rPr>
        <w:t>A demand side approach to stimulate business innovation in Australia.</w:t>
      </w:r>
    </w:p>
  </w:footnote>
  <w:footnote w:id="78">
    <w:p w14:paraId="1E997DAF" w14:textId="77777777" w:rsidR="00FB01C4" w:rsidRDefault="00FB01C4" w:rsidP="0020417F">
      <w:pPr>
        <w:pStyle w:val="FootnoteText"/>
      </w:pPr>
      <w:r>
        <w:rPr>
          <w:rStyle w:val="FootnoteReference"/>
        </w:rPr>
        <w:footnoteRef/>
      </w:r>
      <w:r>
        <w:t xml:space="preserve"> Each round is currently conducted approximately every 18 months to two years. </w:t>
      </w:r>
    </w:p>
  </w:footnote>
  <w:footnote w:id="79">
    <w:p w14:paraId="283BB85B" w14:textId="77777777" w:rsidR="00F73C23" w:rsidRDefault="00F73C23" w:rsidP="00F73C23">
      <w:pPr>
        <w:pStyle w:val="Footer"/>
      </w:pPr>
      <w:r>
        <w:rPr>
          <w:rStyle w:val="FootnoteReference"/>
        </w:rPr>
        <w:footnoteRef/>
      </w:r>
      <w:r>
        <w:t xml:space="preserve"> Sources: </w:t>
      </w:r>
      <w:r w:rsidRPr="00DE27E5">
        <w:t>DISER (2020), A Demand Side Approach to Stimulate Business Innovation in Australia; Program and policy team interviews; EPC interviews; desktop research into international comparison programs.</w:t>
      </w:r>
    </w:p>
  </w:footnote>
  <w:footnote w:id="80">
    <w:p w14:paraId="4A6B5492" w14:textId="284F2B64" w:rsidR="00211761" w:rsidRDefault="00211761">
      <w:pPr>
        <w:pStyle w:val="FootnoteText"/>
      </w:pPr>
      <w:r>
        <w:rPr>
          <w:rStyle w:val="FootnoteReference"/>
        </w:rPr>
        <w:footnoteRef/>
      </w:r>
      <w:r>
        <w:t xml:space="preserve"> The CAGR has been calculated after </w:t>
      </w:r>
      <w:r w:rsidR="00BD3AC9">
        <w:t xml:space="preserve">converting </w:t>
      </w:r>
      <w:r>
        <w:t xml:space="preserve">SBIR </w:t>
      </w:r>
      <w:r w:rsidR="00585CE1">
        <w:t xml:space="preserve">grant allocations </w:t>
      </w:r>
      <w:r w:rsidR="00BD3AC9">
        <w:t xml:space="preserve">from US dollars </w:t>
      </w:r>
      <w:r>
        <w:t xml:space="preserve">to Australian dollars and </w:t>
      </w:r>
      <w:r w:rsidR="00BD3AC9">
        <w:t xml:space="preserve">then normalising the annual spend </w:t>
      </w:r>
      <w:r w:rsidR="00AA4B8C">
        <w:t xml:space="preserve">according to </w:t>
      </w:r>
      <w:r>
        <w:t>GDP</w:t>
      </w:r>
      <w:r w:rsidR="00A82081">
        <w:t>.</w:t>
      </w:r>
      <w:r w:rsidR="00631546">
        <w:t xml:space="preserve"> 2020 </w:t>
      </w:r>
      <w:r w:rsidR="00BA69F0">
        <w:t>estimated</w:t>
      </w:r>
      <w:r w:rsidR="00631546">
        <w:t xml:space="preserve"> GDP figures used from International Monetary </w:t>
      </w:r>
      <w:r w:rsidR="00C95605">
        <w:t xml:space="preserve">Fund: </w:t>
      </w:r>
      <w:r w:rsidR="008D0FA2">
        <w:t xml:space="preserve">USA = $30.6T AUD, AUS = </w:t>
      </w:r>
      <w:r w:rsidR="006140DB">
        <w:t xml:space="preserve">$2.1T AUD, CAN = $2.5T AUD. </w:t>
      </w:r>
      <w:r w:rsidR="00FB11CD">
        <w:t xml:space="preserve">Source: </w:t>
      </w:r>
      <w:hyperlink r:id="rId24" w:history="1">
        <w:r w:rsidR="00FB11CD" w:rsidRPr="00B51A21">
          <w:rPr>
            <w:rStyle w:val="Hyperlink"/>
          </w:rPr>
          <w:t>https://bit.ly/37vfiGd</w:t>
        </w:r>
      </w:hyperlink>
      <w:r w:rsidR="00FB11CD">
        <w:t xml:space="preserve"> </w:t>
      </w:r>
    </w:p>
  </w:footnote>
  <w:footnote w:id="81">
    <w:p w14:paraId="7A10757D" w14:textId="320A18A4" w:rsidR="000441A4" w:rsidRDefault="000441A4">
      <w:pPr>
        <w:pStyle w:val="FootnoteText"/>
      </w:pPr>
      <w:r>
        <w:rPr>
          <w:rStyle w:val="FootnoteReference"/>
        </w:rPr>
        <w:footnoteRef/>
      </w:r>
      <w:r>
        <w:t xml:space="preserve"> SBIR data source: SBIR Analytics Dashboard, </w:t>
      </w:r>
      <w:hyperlink r:id="rId25" w:history="1">
        <w:r w:rsidRPr="00B51A21">
          <w:rPr>
            <w:rStyle w:val="Hyperlink"/>
          </w:rPr>
          <w:t>https://www.sbir.gov/analytics-dashboard</w:t>
        </w:r>
      </w:hyperlink>
      <w:r>
        <w:t xml:space="preserve"> </w:t>
      </w:r>
    </w:p>
  </w:footnote>
  <w:footnote w:id="82">
    <w:p w14:paraId="52641096" w14:textId="139222E0" w:rsidR="00AB0C92" w:rsidRDefault="00AB0C92">
      <w:pPr>
        <w:pStyle w:val="FootnoteText"/>
      </w:pPr>
      <w:r>
        <w:rPr>
          <w:rStyle w:val="FootnoteReference"/>
        </w:rPr>
        <w:footnoteRef/>
      </w:r>
      <w:r>
        <w:t xml:space="preserve"> 9 August 2021 conversion rates used: 1 CAD = </w:t>
      </w:r>
      <w:r w:rsidR="00014051">
        <w:t>1.08 AUD, 1 AUD = 0.74 USD.</w:t>
      </w:r>
    </w:p>
  </w:footnote>
  <w:footnote w:id="83">
    <w:p w14:paraId="1E1AE0C3" w14:textId="0A0EA271" w:rsidR="00014051" w:rsidRDefault="00014051">
      <w:pPr>
        <w:pStyle w:val="FootnoteText"/>
      </w:pPr>
      <w:r>
        <w:rPr>
          <w:rStyle w:val="FootnoteReference"/>
        </w:rPr>
        <w:footnoteRef/>
      </w:r>
      <w:r>
        <w:t xml:space="preserve"> Source: ISC Annual Report</w:t>
      </w:r>
      <w:r w:rsidR="00631546">
        <w:t xml:space="preserve">, 2019-20, </w:t>
      </w:r>
      <w:hyperlink r:id="rId26" w:history="1">
        <w:r w:rsidR="00631546" w:rsidRPr="00B51A21">
          <w:rPr>
            <w:rStyle w:val="Hyperlink"/>
          </w:rPr>
          <w:t>https://www.ic.gc.ca/eic/site/101.nsf/eng/00129.html</w:t>
        </w:r>
      </w:hyperlink>
      <w:r w:rsidR="00631546">
        <w:t xml:space="preserve"> </w:t>
      </w:r>
    </w:p>
  </w:footnote>
  <w:footnote w:id="84">
    <w:p w14:paraId="71A146FB" w14:textId="199530C0" w:rsidR="00AB23F2" w:rsidRDefault="00AB23F2">
      <w:pPr>
        <w:pStyle w:val="FootnoteText"/>
      </w:pPr>
      <w:r>
        <w:rPr>
          <w:rStyle w:val="FootnoteReference"/>
        </w:rPr>
        <w:footnoteRef/>
      </w:r>
      <w:r>
        <w:t xml:space="preserve"> Program administration data was only available for the first four years. This average spend was calculated based on</w:t>
      </w:r>
      <w:r w:rsidR="006C51D2">
        <w:t xml:space="preserve"> the first four years of the BRII’s operation and extrapolated to the fifth year. </w:t>
      </w:r>
    </w:p>
  </w:footnote>
  <w:footnote w:id="85">
    <w:p w14:paraId="454FBD3A" w14:textId="18AEA925" w:rsidR="006A7B58" w:rsidRDefault="006A7B58">
      <w:pPr>
        <w:pStyle w:val="FootnoteText"/>
      </w:pPr>
      <w:r>
        <w:rPr>
          <w:rStyle w:val="FootnoteReference"/>
        </w:rPr>
        <w:footnoteRef/>
      </w:r>
      <w:r>
        <w:t xml:space="preserve"> Spend based on ISC trajectory was capped at $1</w:t>
      </w:r>
      <w:r w:rsidR="00686EC2">
        <w:t>2</w:t>
      </w:r>
      <w:r>
        <w:t>0m AUD, in line with ISC’s $1</w:t>
      </w:r>
      <w:r w:rsidR="00686EC2">
        <w:t>13</w:t>
      </w:r>
      <w:r>
        <w:t>m CAD cap.</w:t>
      </w:r>
    </w:p>
  </w:footnote>
  <w:footnote w:id="86">
    <w:p w14:paraId="583222ED" w14:textId="4DAA99F5" w:rsidR="00FB01C4" w:rsidRDefault="00FB01C4">
      <w:pPr>
        <w:pStyle w:val="FootnoteText"/>
      </w:pPr>
      <w:r>
        <w:rPr>
          <w:rStyle w:val="FootnoteReference"/>
        </w:rPr>
        <w:footnoteRef/>
      </w:r>
      <w:r>
        <w:t xml:space="preserve"> </w:t>
      </w:r>
    </w:p>
  </w:footnote>
  <w:footnote w:id="87">
    <w:p w14:paraId="66C0F5ED" w14:textId="62F1E045" w:rsidR="00FB01C4" w:rsidRDefault="00FB01C4">
      <w:pPr>
        <w:pStyle w:val="FootnoteText"/>
      </w:pPr>
      <w:r>
        <w:rPr>
          <w:rStyle w:val="FootnoteReference"/>
        </w:rPr>
        <w:footnoteRef/>
      </w:r>
      <w:r>
        <w:t xml:space="preserve"> International comparator research was also conducted. These documents are referenced throughout the report where relevant. </w:t>
      </w:r>
    </w:p>
  </w:footnote>
  <w:footnote w:id="88">
    <w:p w14:paraId="5531330B" w14:textId="77777777" w:rsidR="00FB01C4" w:rsidRDefault="00FB01C4" w:rsidP="00874A7F">
      <w:pPr>
        <w:pStyle w:val="Footer"/>
      </w:pPr>
      <w:r>
        <w:rPr>
          <w:rStyle w:val="FootnoteReference"/>
        </w:rPr>
        <w:footnoteRef/>
      </w:r>
      <w:r>
        <w:t xml:space="preserve"> Note that when referring to SMEs in the CBA therefore we are talking about this subset only.</w:t>
      </w:r>
    </w:p>
  </w:footnote>
  <w:footnote w:id="89">
    <w:p w14:paraId="442AAC61" w14:textId="77777777" w:rsidR="00FB01C4" w:rsidRDefault="00FB01C4" w:rsidP="001A5879">
      <w:pPr>
        <w:pStyle w:val="Footer"/>
      </w:pPr>
      <w:r>
        <w:rPr>
          <w:rStyle w:val="FootnoteReference"/>
        </w:rPr>
        <w:footnoteRef/>
      </w:r>
      <w:r>
        <w:t xml:space="preserve"> Researchers from the University of Manchester were contacted as part of the methodology development for this CBA to inform approach. See A Review of the Small Business Research Initiative: A report commissioned by Innovate UK FINAL REPORT</w:t>
      </w:r>
    </w:p>
    <w:p w14:paraId="3423D5A3" w14:textId="77777777" w:rsidR="00FB01C4" w:rsidRDefault="00FB01C4" w:rsidP="001A5879">
      <w:pPr>
        <w:pStyle w:val="Footer"/>
      </w:pPr>
      <w:r>
        <w:t xml:space="preserve">(August 2015), available at: </w:t>
      </w:r>
      <w:hyperlink r:id="rId27" w:history="1">
        <w:r w:rsidRPr="009A0FA1">
          <w:rPr>
            <w:rStyle w:val="Hyperlink"/>
          </w:rPr>
          <w:t>https://www.research.manchester.ac.uk/portal/files/61664793/SBRI_Review_Final_Report_June_2016.pdf</w:t>
        </w:r>
      </w:hyperlink>
      <w:r>
        <w:t xml:space="preserve">. </w:t>
      </w:r>
    </w:p>
  </w:footnote>
  <w:footnote w:id="90">
    <w:p w14:paraId="67410671" w14:textId="77777777" w:rsidR="00683286" w:rsidRDefault="00683286" w:rsidP="00683286">
      <w:pPr>
        <w:pStyle w:val="Footer"/>
      </w:pPr>
      <w:r>
        <w:rPr>
          <w:rStyle w:val="FootnoteReference"/>
        </w:rPr>
        <w:footnoteRef/>
      </w:r>
      <w:r>
        <w:t xml:space="preserve"> ABS dataset ‘</w:t>
      </w:r>
      <w:r w:rsidRPr="000A358E">
        <w:t>Counts of Australian Businesses, including Entries and Exits</w:t>
      </w:r>
      <w:r>
        <w:t xml:space="preserve">’ available at: </w:t>
      </w:r>
      <w:hyperlink r:id="rId28" w:history="1">
        <w:r w:rsidRPr="009A0FA1">
          <w:rPr>
            <w:rStyle w:val="Hyperlink"/>
          </w:rPr>
          <w:t>https://www.abs.gov.au/statistics/economy/business-indicators/counts-australian-businesses-including-entries-and-exits/latest-release</w:t>
        </w:r>
      </w:hyperlink>
      <w:r>
        <w:t xml:space="preserve">. </w:t>
      </w:r>
    </w:p>
  </w:footnote>
  <w:footnote w:id="91">
    <w:p w14:paraId="4EF4595A" w14:textId="77777777" w:rsidR="00FB01C4" w:rsidRDefault="00FB01C4" w:rsidP="001A5879">
      <w:pPr>
        <w:pStyle w:val="Footer"/>
      </w:pPr>
      <w:r>
        <w:rPr>
          <w:rStyle w:val="FootnoteReference"/>
        </w:rPr>
        <w:footnoteRef/>
      </w:r>
      <w:r>
        <w:t xml:space="preserve"> ABS dataset ‘</w:t>
      </w:r>
      <w:r w:rsidRPr="008261B9">
        <w:t>Australian National Accounts: National Income, Expenditure and Product</w:t>
      </w:r>
      <w:r>
        <w:t xml:space="preserve">’, available at: </w:t>
      </w:r>
      <w:hyperlink r:id="rId29" w:history="1">
        <w:r w:rsidRPr="009A0FA1">
          <w:rPr>
            <w:rStyle w:val="Hyperlink"/>
          </w:rPr>
          <w:t>https://www.abs.gov.au/statistics/economy/national-accounts/australian-national-accounts-national-income-expenditure-and-product/mar-2021</w:t>
        </w:r>
      </w:hyperlink>
      <w:r>
        <w:t xml:space="preserve">. </w:t>
      </w:r>
    </w:p>
  </w:footnote>
  <w:footnote w:id="92">
    <w:p w14:paraId="778E3D54" w14:textId="77777777" w:rsidR="00FB01C4" w:rsidRDefault="00FB01C4" w:rsidP="009D29E5">
      <w:pPr>
        <w:pStyle w:val="Footer"/>
      </w:pPr>
      <w:r>
        <w:rPr>
          <w:rStyle w:val="FootnoteReference"/>
        </w:rPr>
        <w:footnoteRef/>
      </w:r>
      <w:r>
        <w:t xml:space="preserve"> See A Review of the Small Business Research Initiative: A report commissioned by Innovate UK FINAL REPORT</w:t>
      </w:r>
    </w:p>
    <w:p w14:paraId="6544FED4" w14:textId="5D76D6AD" w:rsidR="00FB01C4" w:rsidRDefault="00FB01C4" w:rsidP="009D29E5">
      <w:pPr>
        <w:pStyle w:val="Footer"/>
      </w:pPr>
      <w:r>
        <w:t xml:space="preserve">(August 2015), available at: </w:t>
      </w:r>
      <w:hyperlink r:id="rId30" w:history="1">
        <w:r w:rsidRPr="009A0FA1">
          <w:rPr>
            <w:rStyle w:val="Hyperlink"/>
          </w:rPr>
          <w:t>https://www.research.manchester.ac.uk/portal/files/61664793/SBRI_Review_Final_Report_June_2016.pdf</w:t>
        </w:r>
      </w:hyperlink>
      <w:r>
        <w:t xml:space="preserve">. </w:t>
      </w:r>
    </w:p>
  </w:footnote>
  <w:footnote w:id="93">
    <w:p w14:paraId="2D2F4A9C" w14:textId="17D04AF0" w:rsidR="00AE5B8E" w:rsidRDefault="00AE5B8E">
      <w:pPr>
        <w:pStyle w:val="FootnoteText"/>
      </w:pPr>
      <w:r>
        <w:rPr>
          <w:rStyle w:val="FootnoteReference"/>
        </w:rPr>
        <w:footnoteRef/>
      </w:r>
      <w:r>
        <w:t xml:space="preserve"> ABS</w:t>
      </w:r>
      <w:r w:rsidR="006B5115">
        <w:t xml:space="preserve"> (2021), ‘</w:t>
      </w:r>
      <w:r w:rsidR="006B5115" w:rsidRPr="006B5115">
        <w:t>Australian National Accounts: Input-Output Tables</w:t>
      </w:r>
      <w:r w:rsidR="006B5115">
        <w:t xml:space="preserve">’, accessed at: </w:t>
      </w:r>
      <w:r w:rsidR="006B5115" w:rsidRPr="006B5115">
        <w:t>https://www.abs.gov.au/statistics/economy/national-accounts/australian-national-accounts-input-output-tables/2018-19</w:t>
      </w:r>
    </w:p>
  </w:footnote>
  <w:footnote w:id="94">
    <w:p w14:paraId="726490A2" w14:textId="77777777" w:rsidR="00FB01C4" w:rsidRDefault="00FB01C4" w:rsidP="00F60CA9">
      <w:pPr>
        <w:pStyle w:val="Footer"/>
      </w:pPr>
      <w:r>
        <w:rPr>
          <w:rStyle w:val="FootnoteReference"/>
        </w:rPr>
        <w:footnoteRef/>
      </w:r>
      <w:r>
        <w:t xml:space="preserve"> CGE modelling by Nous for RUN available at: </w:t>
      </w:r>
      <w:hyperlink r:id="rId31" w:history="1">
        <w:r w:rsidRPr="009A0FA1">
          <w:rPr>
            <w:rStyle w:val="Hyperlink"/>
          </w:rPr>
          <w:t>https://www.run.edu.au/resources/RUN_Findings_Report_final_.pdf</w:t>
        </w:r>
      </w:hyperlink>
      <w:r w:rsidRPr="00C605F3">
        <w:rPr>
          <w:rStyle w:val="Hyperlink"/>
        </w:rPr>
        <w:t xml:space="preserve">. </w:t>
      </w:r>
    </w:p>
  </w:footnote>
  <w:footnote w:id="95">
    <w:p w14:paraId="24E05F0E" w14:textId="7CAF2EB1" w:rsidR="00FB01C4" w:rsidRDefault="00FB01C4" w:rsidP="00582373">
      <w:pPr>
        <w:pStyle w:val="Footer"/>
      </w:pPr>
      <w:r>
        <w:rPr>
          <w:rStyle w:val="FootnoteReference"/>
        </w:rPr>
        <w:footnoteRef/>
      </w:r>
      <w:r>
        <w:t xml:space="preserve"> Bioassays are a method of measuring insecticide residues. For more information see ‘Aircraft disinfection’ at the Department of Agriculture, Water and the Environment, available at: </w:t>
      </w:r>
      <w:hyperlink r:id="rId32" w:anchor="disinsection-process" w:history="1">
        <w:r w:rsidRPr="009A0FA1">
          <w:rPr>
            <w:rStyle w:val="Hyperlink"/>
          </w:rPr>
          <w:t>https://www.agriculture.gov.au/biosecurity/avm/aircraft/disinsection#disinsection-process</w:t>
        </w:r>
      </w:hyperlink>
      <w:r>
        <w:t xml:space="preserve">. </w:t>
      </w:r>
    </w:p>
  </w:footnote>
  <w:footnote w:id="96">
    <w:p w14:paraId="68B8EFB4" w14:textId="5841B335" w:rsidR="00863FBF" w:rsidRDefault="00863FBF">
      <w:pPr>
        <w:pStyle w:val="FootnoteText"/>
      </w:pPr>
      <w:r>
        <w:rPr>
          <w:rStyle w:val="FootnoteReference"/>
        </w:rPr>
        <w:footnoteRef/>
      </w:r>
      <w:r>
        <w:t xml:space="preserve"> </w:t>
      </w:r>
      <w:r w:rsidR="00C76BDD">
        <w:t xml:space="preserve">Estimates provided in interviews with </w:t>
      </w:r>
      <w:r w:rsidR="003B6E2A">
        <w:t>the Department of Agriculture, Water and Environment.</w:t>
      </w:r>
    </w:p>
  </w:footnote>
  <w:footnote w:id="97">
    <w:p w14:paraId="45710F37" w14:textId="2137272F" w:rsidR="00A022A6" w:rsidRDefault="00A022A6">
      <w:pPr>
        <w:pStyle w:val="FootnoteText"/>
      </w:pPr>
      <w:r>
        <w:rPr>
          <w:rStyle w:val="FootnoteReference"/>
        </w:rPr>
        <w:footnoteRef/>
      </w:r>
      <w:r>
        <w:t xml:space="preserve"> Estimates provided in interviews with the Department of Agriculture, Water and Environment.</w:t>
      </w:r>
    </w:p>
  </w:footnote>
  <w:footnote w:id="98">
    <w:p w14:paraId="466AD02E" w14:textId="77777777" w:rsidR="00FB01C4" w:rsidRDefault="00FB01C4" w:rsidP="001E3974">
      <w:pPr>
        <w:pStyle w:val="FootnoteText"/>
      </w:pPr>
      <w:r>
        <w:rPr>
          <w:rStyle w:val="FootnoteReference"/>
        </w:rPr>
        <w:footnoteRef/>
      </w:r>
      <w:r>
        <w:t xml:space="preserve"> </w:t>
      </w:r>
      <w:r w:rsidRPr="00895591">
        <w:t>Value per person / hour recommended by Transport and Infrastructure Council.</w:t>
      </w:r>
    </w:p>
  </w:footnote>
  <w:footnote w:id="99">
    <w:p w14:paraId="0908BB96" w14:textId="1F4D01C5" w:rsidR="00BB4728" w:rsidRDefault="00BB4728">
      <w:pPr>
        <w:pStyle w:val="FootnoteText"/>
      </w:pPr>
      <w:r>
        <w:rPr>
          <w:rStyle w:val="FootnoteReference"/>
        </w:rPr>
        <w:footnoteRef/>
      </w:r>
      <w:r>
        <w:t xml:space="preserve"> Estimate provided </w:t>
      </w:r>
      <w:r w:rsidR="00D04A74">
        <w:t>in interviews with</w:t>
      </w:r>
      <w:r>
        <w:t xml:space="preserve"> DISER and Converlens.</w:t>
      </w:r>
    </w:p>
  </w:footnote>
  <w:footnote w:id="100">
    <w:p w14:paraId="5FE5709D" w14:textId="3C58B4D2" w:rsidR="00BB4728" w:rsidRDefault="00BB4728">
      <w:pPr>
        <w:pStyle w:val="FootnoteText"/>
      </w:pPr>
      <w:r>
        <w:rPr>
          <w:rStyle w:val="FootnoteReference"/>
        </w:rPr>
        <w:footnoteRef/>
      </w:r>
      <w:r>
        <w:t xml:space="preserve"> Estimate provided </w:t>
      </w:r>
      <w:r w:rsidR="00D04A74">
        <w:t xml:space="preserve">in interviews with </w:t>
      </w:r>
      <w:r>
        <w:t>DISER and Converlens.</w:t>
      </w:r>
    </w:p>
  </w:footnote>
  <w:footnote w:id="101">
    <w:p w14:paraId="0468C172" w14:textId="4F844536" w:rsidR="00D04A74" w:rsidRDefault="00D04A74">
      <w:pPr>
        <w:pStyle w:val="FootnoteText"/>
      </w:pPr>
      <w:r>
        <w:rPr>
          <w:rStyle w:val="FootnoteReference"/>
        </w:rPr>
        <w:footnoteRef/>
      </w:r>
      <w:r>
        <w:t xml:space="preserve"> Estimate provided in interview with Marsden Jacobs.</w:t>
      </w:r>
    </w:p>
  </w:footnote>
  <w:footnote w:id="102">
    <w:p w14:paraId="1EA1E745" w14:textId="4DD4FC3D" w:rsidR="00FB01C4" w:rsidRDefault="00FB01C4" w:rsidP="00634467">
      <w:pPr>
        <w:pStyle w:val="Footer"/>
      </w:pPr>
      <w:r>
        <w:rPr>
          <w:rStyle w:val="FootnoteReference"/>
        </w:rPr>
        <w:footnoteRef/>
      </w:r>
      <w:r>
        <w:t xml:space="preserve"> The 2016 value of one business</w:t>
      </w:r>
      <w:r w:rsidRPr="00895591">
        <w:t xml:space="preserve"> hour recommended </w:t>
      </w:r>
      <w:r>
        <w:t>for modelling by the</w:t>
      </w:r>
      <w:r w:rsidRPr="00895591">
        <w:t xml:space="preserve"> Transport and Infrastructure Council</w:t>
      </w:r>
      <w:r>
        <w:t xml:space="preserve"> is $48.63. See ‘Australian Transport Assessment and Planning Guidelines: PV2 Road Parameter Values’ (August 2016) by Transport and Infrastructure Council, available at: </w:t>
      </w:r>
      <w:hyperlink r:id="rId33" w:history="1">
        <w:r w:rsidRPr="009A0FA1">
          <w:rPr>
            <w:rStyle w:val="Hyperlink"/>
          </w:rPr>
          <w:t>https://www.atap.gov.au/sites/default/files/pv2_road_parameter_values.pdf</w:t>
        </w:r>
      </w:hyperlink>
      <w:r>
        <w:t xml:space="preserve">. </w:t>
      </w:r>
    </w:p>
  </w:footnote>
  <w:footnote w:id="103">
    <w:p w14:paraId="3D016AAE" w14:textId="321B8488" w:rsidR="00D04A74" w:rsidRDefault="00D04A74">
      <w:pPr>
        <w:pStyle w:val="FootnoteText"/>
      </w:pPr>
      <w:r>
        <w:rPr>
          <w:rStyle w:val="FootnoteReference"/>
        </w:rPr>
        <w:footnoteRef/>
      </w:r>
      <w:r>
        <w:t xml:space="preserve"> Estimate provided in interview with Marsden Jacobs.</w:t>
      </w:r>
    </w:p>
  </w:footnote>
  <w:footnote w:id="104">
    <w:p w14:paraId="2FA01ED9" w14:textId="77777777" w:rsidR="00FB01C4" w:rsidRDefault="00FB01C4" w:rsidP="001E3974">
      <w:pPr>
        <w:pStyle w:val="Footer"/>
      </w:pPr>
      <w:r>
        <w:rPr>
          <w:rStyle w:val="FootnoteReference"/>
        </w:rPr>
        <w:footnoteRef/>
      </w:r>
      <w:r>
        <w:t xml:space="preserve"> Department of Defence, ‘</w:t>
      </w:r>
      <w:r w:rsidRPr="007220AC">
        <w:t>Australian Public Service Act employment salary ranges by classification level 2018-19</w:t>
      </w:r>
      <w:r>
        <w:t xml:space="preserve">’, available at: </w:t>
      </w:r>
      <w:hyperlink r:id="rId34" w:history="1">
        <w:r w:rsidRPr="009A0FA1">
          <w:rPr>
            <w:rStyle w:val="Hyperlink"/>
          </w:rPr>
          <w:t>https://www.transparency.gov.au/annual-reports/department-defence/reporting-year/2018-2019-113</w:t>
        </w:r>
      </w:hyperlink>
      <w:r>
        <w:t xml:space="preserve">. </w:t>
      </w:r>
    </w:p>
  </w:footnote>
  <w:footnote w:id="105">
    <w:p w14:paraId="616C084C" w14:textId="77777777" w:rsidR="00281B56" w:rsidRDefault="00281B56" w:rsidP="00281B56">
      <w:pPr>
        <w:pStyle w:val="Footer"/>
      </w:pPr>
      <w:r>
        <w:rPr>
          <w:rStyle w:val="FootnoteReference"/>
        </w:rPr>
        <w:footnoteRef/>
      </w:r>
      <w:r>
        <w:t xml:space="preserve"> See ‘Cost-benefit analysis guidance note’ (March 2020) from the Department of Prime Minster and Cabinet, available at: </w:t>
      </w:r>
      <w:hyperlink r:id="rId35" w:history="1">
        <w:r w:rsidRPr="001D0D2D">
          <w:rPr>
            <w:rStyle w:val="Hyperlink"/>
          </w:rPr>
          <w:t>https://pmc.gov.au/sites/default/files/publications/cost-benefit-analysis_0.pdf</w:t>
        </w:r>
      </w:hyperlink>
      <w:r>
        <w:rPr>
          <w:rStyle w:val="Hyperlink"/>
        </w:rPr>
        <w:t>.</w:t>
      </w:r>
      <w:r>
        <w:t xml:space="preserve"> </w:t>
      </w:r>
    </w:p>
  </w:footnote>
  <w:footnote w:id="106">
    <w:p w14:paraId="638BD741" w14:textId="039D99E1" w:rsidR="00F95C4F" w:rsidRDefault="00F95C4F" w:rsidP="00281B56">
      <w:pPr>
        <w:pStyle w:val="FootnoteText"/>
      </w:pPr>
      <w:r>
        <w:rPr>
          <w:rStyle w:val="FootnoteReference"/>
        </w:rPr>
        <w:footnoteRef/>
      </w:r>
      <w:r>
        <w:t xml:space="preserve"> The persistence of impact is five years per the survey response from BRII round one proof of concept SMEs.</w:t>
      </w:r>
    </w:p>
  </w:footnote>
  <w:footnote w:id="107">
    <w:p w14:paraId="47B6B048" w14:textId="380CC1B5" w:rsidR="00281B56" w:rsidRDefault="00281B56" w:rsidP="00281B56">
      <w:pPr>
        <w:pStyle w:val="FootnoteText"/>
      </w:pPr>
      <w:r>
        <w:rPr>
          <w:rStyle w:val="FootnoteReference"/>
        </w:rPr>
        <w:footnoteRef/>
      </w:r>
      <w:r>
        <w:t xml:space="preserve"> Base case set at 4.7% which is the market growth average for the control group.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E0711" w14:textId="77777777" w:rsidR="008763D2" w:rsidRDefault="008763D2">
    <w:pPr>
      <w:pStyle w:val="Header"/>
    </w:pPr>
    <w:r>
      <w:rPr>
        <w:noProof/>
        <w:sz w:val="20"/>
        <w:szCs w:val="20"/>
        <w:lang w:eastAsia="en-AU"/>
      </w:rPr>
      <w:drawing>
        <wp:anchor distT="0" distB="0" distL="114300" distR="114300" simplePos="0" relativeHeight="251664896" behindDoc="0" locked="0" layoutInCell="1" allowOverlap="1" wp14:anchorId="5BFEA299" wp14:editId="0010939E">
          <wp:simplePos x="0" y="0"/>
          <wp:positionH relativeFrom="page">
            <wp:posOffset>3337</wp:posOffset>
          </wp:positionH>
          <wp:positionV relativeFrom="page">
            <wp:posOffset>-6985</wp:posOffset>
          </wp:positionV>
          <wp:extent cx="7559749" cy="116958"/>
          <wp:effectExtent l="0" t="0" r="0" b="0"/>
          <wp:wrapNone/>
          <wp:docPr id="498" name="Picture 4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8" name="Picture 498">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59749"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70153" w14:textId="77ADEFB1" w:rsidR="00FB01C4" w:rsidRDefault="00FB01C4" w:rsidP="009C08CE">
    <w:pPr>
      <w:pStyle w:val="Header"/>
      <w:tabs>
        <w:tab w:val="clear" w:pos="4513"/>
        <w:tab w:val="clear" w:pos="9026"/>
      </w:tabs>
    </w:pPr>
    <w:r w:rsidRPr="009C08CE">
      <w:rPr>
        <w:noProof/>
        <w:lang w:eastAsia="en-AU"/>
      </w:rPr>
      <w:drawing>
        <wp:anchor distT="0" distB="0" distL="114300" distR="114300" simplePos="0" relativeHeight="251656704" behindDoc="1" locked="0" layoutInCell="1" allowOverlap="1" wp14:anchorId="79AAA51D" wp14:editId="5009D255">
          <wp:simplePos x="0" y="0"/>
          <wp:positionH relativeFrom="page">
            <wp:align>center</wp:align>
          </wp:positionH>
          <wp:positionV relativeFrom="page">
            <wp:align>top</wp:align>
          </wp:positionV>
          <wp:extent cx="10908000" cy="115200"/>
          <wp:effectExtent l="0" t="0" r="0" b="0"/>
          <wp:wrapNone/>
          <wp:docPr id="76" name="Pictur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6"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08000" cy="11520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a:effectLst/>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90A75" w14:textId="77777777" w:rsidR="00FB01C4" w:rsidRDefault="00FB01C4" w:rsidP="009C08CE">
    <w:pPr>
      <w:pStyle w:val="Header"/>
    </w:pPr>
  </w:p>
  <w:p w14:paraId="7562DA3B" w14:textId="3E74F46E" w:rsidR="00FB01C4" w:rsidRPr="009C08CE" w:rsidRDefault="00FB01C4" w:rsidP="009C08CE">
    <w:pPr>
      <w:pStyle w:val="Header"/>
      <w:tabs>
        <w:tab w:val="clear" w:pos="4513"/>
        <w:tab w:val="clear" w:pos="9026"/>
      </w:tabs>
      <w:rPr>
        <w:noProof/>
        <w:lang w:eastAsia="en-AU"/>
      </w:rPr>
    </w:pPr>
  </w:p>
  <w:p w14:paraId="6C5AFE52" w14:textId="77777777" w:rsidR="00FB01C4" w:rsidRDefault="00FB01C4" w:rsidP="009C08CE">
    <w:pPr>
      <w:pStyle w:val="Header"/>
      <w:tabs>
        <w:tab w:val="clear" w:pos="4513"/>
        <w:tab w:val="clear" w:pos="9026"/>
      </w:tabs>
    </w:pPr>
    <w:r w:rsidRPr="009C08CE">
      <w:rPr>
        <w:noProof/>
        <w:lang w:eastAsia="en-AU"/>
      </w:rPr>
      <w:drawing>
        <wp:anchor distT="0" distB="0" distL="114300" distR="114300" simplePos="0" relativeHeight="251655680" behindDoc="1" locked="0" layoutInCell="1" allowOverlap="1" wp14:anchorId="79DB7769" wp14:editId="23D6EF08">
          <wp:simplePos x="0" y="0"/>
          <wp:positionH relativeFrom="page">
            <wp:align>center</wp:align>
          </wp:positionH>
          <wp:positionV relativeFrom="page">
            <wp:align>top</wp:align>
          </wp:positionV>
          <wp:extent cx="10908000" cy="115200"/>
          <wp:effectExtent l="0" t="0" r="0" b="0"/>
          <wp:wrapNone/>
          <wp:docPr id="58" name="Pictur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8"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08000" cy="11520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a:effec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55FCE" w14:textId="77777777" w:rsidR="008763D2" w:rsidRDefault="008763D2" w:rsidP="00F75386">
    <w:pPr>
      <w:pStyle w:val="Header"/>
      <w:tabs>
        <w:tab w:val="clear" w:pos="4513"/>
        <w:tab w:val="clear" w:pos="9026"/>
        <w:tab w:val="left" w:pos="1758"/>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643F4" w14:textId="500DE0F4" w:rsidR="00FB01C4" w:rsidRDefault="00FB01C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45544" w14:textId="751B3EF0" w:rsidR="00FB01C4" w:rsidRDefault="00FB01C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B709D" w14:textId="23BBDA24" w:rsidR="00EF3E77" w:rsidRDefault="00EF3E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4B390" w14:textId="6B7EBECE" w:rsidR="00EF3E77" w:rsidRDefault="00BD0126">
    <w:pPr>
      <w:pStyle w:val="Header"/>
    </w:pPr>
    <w:r w:rsidRPr="009C08CE">
      <w:rPr>
        <w:noProof/>
        <w:lang w:eastAsia="en-AU"/>
      </w:rPr>
      <w:drawing>
        <wp:anchor distT="0" distB="0" distL="114300" distR="114300" simplePos="0" relativeHeight="251666944" behindDoc="1" locked="0" layoutInCell="1" allowOverlap="1" wp14:anchorId="5408BDBC" wp14:editId="0E1E4B8A">
          <wp:simplePos x="0" y="0"/>
          <wp:positionH relativeFrom="page">
            <wp:posOffset>-162560</wp:posOffset>
          </wp:positionH>
          <wp:positionV relativeFrom="page">
            <wp:posOffset>9525</wp:posOffset>
          </wp:positionV>
          <wp:extent cx="10908000" cy="115200"/>
          <wp:effectExtent l="0" t="0" r="0" b="0"/>
          <wp:wrapNone/>
          <wp:docPr id="455" name="Pictur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7922"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08000" cy="11520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a:effectLst/>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D0EE7" w14:textId="77777777" w:rsidR="00EF3E77" w:rsidRDefault="00EF3E77" w:rsidP="009C08CE">
    <w:pPr>
      <w:pStyle w:val="Header"/>
      <w:tabs>
        <w:tab w:val="clear" w:pos="4513"/>
        <w:tab w:val="clear" w:pos="9026"/>
      </w:tabs>
      <w:rPr>
        <w:noProof/>
      </w:rPr>
    </w:pPr>
  </w:p>
  <w:p w14:paraId="1B91ABE1" w14:textId="6F22C3BB" w:rsidR="00EF3E77" w:rsidRPr="009C08CE" w:rsidRDefault="00EF3E77" w:rsidP="009C08CE">
    <w:pPr>
      <w:pStyle w:val="Header"/>
      <w:tabs>
        <w:tab w:val="clear" w:pos="4513"/>
        <w:tab w:val="clear" w:pos="9026"/>
      </w:tabs>
      <w:rPr>
        <w:noProof/>
        <w:lang w:eastAsia="en-AU"/>
      </w:rPr>
    </w:pPr>
  </w:p>
  <w:p w14:paraId="3E7BA929" w14:textId="77777777" w:rsidR="00EF3E77" w:rsidRDefault="00EF3E77" w:rsidP="009C08CE">
    <w:pPr>
      <w:pStyle w:val="Header"/>
      <w:tabs>
        <w:tab w:val="clear" w:pos="4513"/>
        <w:tab w:val="clear" w:pos="9026"/>
      </w:tabs>
    </w:pPr>
    <w:r w:rsidRPr="009C08CE">
      <w:rPr>
        <w:noProof/>
        <w:lang w:eastAsia="en-AU"/>
      </w:rPr>
      <w:drawing>
        <wp:anchor distT="0" distB="0" distL="114300" distR="114300" simplePos="0" relativeHeight="251657728" behindDoc="1" locked="0" layoutInCell="1" allowOverlap="1" wp14:anchorId="332DDAFA" wp14:editId="32AC2F27">
          <wp:simplePos x="0" y="0"/>
          <wp:positionH relativeFrom="page">
            <wp:align>center</wp:align>
          </wp:positionH>
          <wp:positionV relativeFrom="page">
            <wp:align>top</wp:align>
          </wp:positionV>
          <wp:extent cx="10908000" cy="115200"/>
          <wp:effectExtent l="0" t="0" r="0" b="0"/>
          <wp:wrapNone/>
          <wp:docPr id="27922" name="Pictur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7922"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08000" cy="11520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a:effectLst/>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FC801" w14:textId="1D384128" w:rsidR="00EF3E77" w:rsidRDefault="00EF3E77">
    <w:pPr>
      <w:pStyle w:val="Header"/>
    </w:pPr>
    <w:r w:rsidRPr="009C08CE">
      <w:rPr>
        <w:noProof/>
        <w:lang w:eastAsia="en-AU"/>
      </w:rPr>
      <w:drawing>
        <wp:anchor distT="0" distB="0" distL="114300" distR="114300" simplePos="0" relativeHeight="251660800" behindDoc="1" locked="0" layoutInCell="1" allowOverlap="1" wp14:anchorId="1AED757E" wp14:editId="3B44B85D">
          <wp:simplePos x="0" y="0"/>
          <wp:positionH relativeFrom="page">
            <wp:align>center</wp:align>
          </wp:positionH>
          <wp:positionV relativeFrom="page">
            <wp:align>top</wp:align>
          </wp:positionV>
          <wp:extent cx="10908000" cy="115200"/>
          <wp:effectExtent l="0" t="0" r="0" b="0"/>
          <wp:wrapNone/>
          <wp:docPr id="27948" name="Pictur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7948"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08000" cy="11520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a:effectLst/>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D297E" w14:textId="2CD0688A" w:rsidR="00FB01C4" w:rsidRDefault="00FB01C4">
    <w:pPr>
      <w:pStyle w:val="Header"/>
    </w:pPr>
    <w:r w:rsidRPr="009C08CE">
      <w:rPr>
        <w:noProof/>
        <w:lang w:eastAsia="en-AU"/>
      </w:rPr>
      <w:drawing>
        <wp:anchor distT="0" distB="0" distL="114300" distR="114300" simplePos="0" relativeHeight="251661824" behindDoc="1" locked="0" layoutInCell="1" allowOverlap="1" wp14:anchorId="787D8DBA" wp14:editId="62118EEC">
          <wp:simplePos x="0" y="0"/>
          <wp:positionH relativeFrom="page">
            <wp:align>center</wp:align>
          </wp:positionH>
          <wp:positionV relativeFrom="page">
            <wp:align>top</wp:align>
          </wp:positionV>
          <wp:extent cx="7920000" cy="115200"/>
          <wp:effectExtent l="0" t="0" r="0" b="0"/>
          <wp:wrapNone/>
          <wp:docPr id="27851" name="Pictur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7851"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20000" cy="11520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a:effec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Spanner Icon" style="width:30pt;height:25.5pt;visibility:visible;mso-wrap-style:square" o:bullet="t">
        <v:imagedata r:id="rId1" o:title="Spanner Icon"/>
      </v:shape>
    </w:pict>
  </w:numPicBullet>
  <w:abstractNum w:abstractNumId="0" w15:restartNumberingAfterBreak="0">
    <w:nsid w:val="06546949"/>
    <w:multiLevelType w:val="multilevel"/>
    <w:tmpl w:val="F2D8D162"/>
    <w:lvl w:ilvl="0">
      <w:start w:val="1"/>
      <w:numFmt w:val="decimal"/>
      <w:lvlText w:val="%1."/>
      <w:lvlJc w:val="left"/>
      <w:pPr>
        <w:ind w:left="340" w:hanging="340"/>
      </w:pPr>
      <w:rPr>
        <w:rFonts w:ascii="Segoe UI" w:hAnsi="Segoe UI" w:hint="default"/>
        <w:b w:val="0"/>
        <w:i w:val="0"/>
        <w:sz w:val="19"/>
      </w:rPr>
    </w:lvl>
    <w:lvl w:ilvl="1">
      <w:start w:val="1"/>
      <w:numFmt w:val="lowerLetter"/>
      <w:lvlText w:val="%2."/>
      <w:lvlJc w:val="left"/>
      <w:pPr>
        <w:ind w:left="680" w:hanging="340"/>
      </w:pPr>
      <w:rPr>
        <w:rFonts w:ascii="Segoe UI" w:hAnsi="Segoe UI" w:hint="default"/>
        <w:sz w:val="20"/>
      </w:rPr>
    </w:lvl>
    <w:lvl w:ilvl="2">
      <w:start w:val="1"/>
      <w:numFmt w:val="lowerRoman"/>
      <w:lvlText w:val="%3."/>
      <w:lvlJc w:val="left"/>
      <w:pPr>
        <w:ind w:left="1021" w:hanging="341"/>
      </w:pPr>
      <w:rPr>
        <w:rFonts w:ascii="Segoe UI" w:hAnsi="Segoe UI" w:hint="default"/>
        <w:sz w:val="19"/>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1" w15:restartNumberingAfterBreak="0">
    <w:nsid w:val="0B531805"/>
    <w:multiLevelType w:val="hybridMultilevel"/>
    <w:tmpl w:val="BFA82CBC"/>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12B259E8"/>
    <w:multiLevelType w:val="hybridMultilevel"/>
    <w:tmpl w:val="65A832C8"/>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15905FFB"/>
    <w:multiLevelType w:val="multilevel"/>
    <w:tmpl w:val="722A3AFE"/>
    <w:lvl w:ilvl="0">
      <w:start w:val="1"/>
      <w:numFmt w:val="decimal"/>
      <w:pStyle w:val="TableNListnumbered"/>
      <w:lvlText w:val="%1."/>
      <w:lvlJc w:val="left"/>
      <w:pPr>
        <w:ind w:left="644" w:hanging="360"/>
      </w:pPr>
      <w:rPr>
        <w:rFonts w:ascii="Segoe UI" w:hAnsi="Segoe UI" w:hint="default"/>
        <w:b/>
        <w:i w:val="0"/>
        <w:sz w:val="24"/>
        <w:szCs w:val="180"/>
      </w:rPr>
    </w:lvl>
    <w:lvl w:ilvl="1">
      <w:start w:val="1"/>
      <w:numFmt w:val="decimal"/>
      <w:lvlText w:val="%1.%2"/>
      <w:lvlJc w:val="left"/>
      <w:pPr>
        <w:ind w:left="1853" w:hanging="576"/>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2">
      <w:start w:val="1"/>
      <w:numFmt w:val="decimal"/>
      <w:lvlText w:val="%1.%2.%3"/>
      <w:lvlJc w:val="left"/>
      <w:pPr>
        <w:ind w:left="1004" w:hanging="720"/>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3">
      <w:start w:val="1"/>
      <w:numFmt w:val="decimal"/>
      <w:lvlText w:val="%1.%2.%3.%4"/>
      <w:lvlJc w:val="left"/>
      <w:pPr>
        <w:ind w:left="1148" w:hanging="864"/>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lvlText w:val=""/>
      <w:lvlJc w:val="left"/>
      <w:pPr>
        <w:ind w:left="284" w:firstLine="0"/>
      </w:pPr>
      <w:rPr>
        <w:rFonts w:hint="default"/>
      </w:rPr>
    </w:lvl>
    <w:lvl w:ilvl="7">
      <w:start w:val="1"/>
      <w:numFmt w:val="none"/>
      <w:lvlText w:val=""/>
      <w:lvlJc w:val="left"/>
      <w:pPr>
        <w:ind w:left="284" w:firstLine="0"/>
      </w:pPr>
      <w:rPr>
        <w:rFonts w:hint="default"/>
      </w:rPr>
    </w:lvl>
    <w:lvl w:ilvl="8">
      <w:start w:val="1"/>
      <w:numFmt w:val="none"/>
      <w:lvlText w:val=""/>
      <w:lvlJc w:val="left"/>
      <w:pPr>
        <w:ind w:left="284" w:firstLine="0"/>
      </w:pPr>
      <w:rPr>
        <w:rFonts w:hint="default"/>
      </w:rPr>
    </w:lvl>
  </w:abstractNum>
  <w:abstractNum w:abstractNumId="4" w15:restartNumberingAfterBreak="0">
    <w:nsid w:val="18534C22"/>
    <w:multiLevelType w:val="hybridMultilevel"/>
    <w:tmpl w:val="1004A49A"/>
    <w:lvl w:ilvl="0" w:tplc="8D4E854A">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AEA49B5"/>
    <w:multiLevelType w:val="hybridMultilevel"/>
    <w:tmpl w:val="BFA82CBC"/>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31431A62"/>
    <w:multiLevelType w:val="hybridMultilevel"/>
    <w:tmpl w:val="BFA82CBC"/>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33C42FFD"/>
    <w:multiLevelType w:val="hybridMultilevel"/>
    <w:tmpl w:val="8EF6E98A"/>
    <w:lvl w:ilvl="0" w:tplc="0C090019">
      <w:start w:val="1"/>
      <w:numFmt w:val="lowerLetter"/>
      <w:lvlText w:val="%1."/>
      <w:lvlJc w:val="left"/>
      <w:pPr>
        <w:ind w:left="1080" w:hanging="360"/>
      </w:pPr>
    </w:lvl>
    <w:lvl w:ilvl="1" w:tplc="0C09001B">
      <w:start w:val="1"/>
      <w:numFmt w:val="lowerRoman"/>
      <w:lvlText w:val="%2."/>
      <w:lvlJc w:val="righ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37852728"/>
    <w:multiLevelType w:val="hybridMultilevel"/>
    <w:tmpl w:val="65A832C8"/>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3947284E"/>
    <w:multiLevelType w:val="hybridMultilevel"/>
    <w:tmpl w:val="D99483F2"/>
    <w:lvl w:ilvl="0" w:tplc="FC8E6EC2">
      <w:start w:val="1"/>
      <w:numFmt w:val="decimal"/>
      <w:pStyle w:val="Listnumbered"/>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39D1413D"/>
    <w:multiLevelType w:val="multilevel"/>
    <w:tmpl w:val="FE163F8E"/>
    <w:lvl w:ilvl="0">
      <w:start w:val="1"/>
      <w:numFmt w:val="bullet"/>
      <w:pStyle w:val="TableNBullet"/>
      <w:lvlText w:val=""/>
      <w:lvlJc w:val="left"/>
      <w:pPr>
        <w:ind w:left="227" w:hanging="227"/>
      </w:pPr>
      <w:rPr>
        <w:rFonts w:ascii="Symbol" w:hAnsi="Symbol" w:hint="default"/>
        <w:color w:val="auto"/>
        <w:position w:val="4"/>
        <w:sz w:val="16"/>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1" w15:restartNumberingAfterBreak="0">
    <w:nsid w:val="3C9A2D81"/>
    <w:multiLevelType w:val="hybridMultilevel"/>
    <w:tmpl w:val="BFA82CBC"/>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405E19CE"/>
    <w:multiLevelType w:val="hybridMultilevel"/>
    <w:tmpl w:val="65A832C8"/>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15:restartNumberingAfterBreak="0">
    <w:nsid w:val="41006DC6"/>
    <w:multiLevelType w:val="multilevel"/>
    <w:tmpl w:val="5D20E704"/>
    <w:lvl w:ilvl="0">
      <w:start w:val="1"/>
      <w:numFmt w:val="decimal"/>
      <w:pStyle w:val="Heading1"/>
      <w:lvlText w:val="%1."/>
      <w:lvlJc w:val="left"/>
      <w:pPr>
        <w:ind w:left="360" w:hanging="360"/>
      </w:pPr>
      <w:rPr>
        <w:rFonts w:hint="default"/>
        <w:b/>
        <w:i w:val="0"/>
        <w:color w:val="FFFFFF" w:themeColor="background1"/>
        <w:sz w:val="36"/>
        <w:szCs w:val="96"/>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423365DC"/>
    <w:multiLevelType w:val="hybridMultilevel"/>
    <w:tmpl w:val="BFA82CBC"/>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428C2FDF"/>
    <w:multiLevelType w:val="hybridMultilevel"/>
    <w:tmpl w:val="D25254A0"/>
    <w:lvl w:ilvl="0" w:tplc="370EA3D8">
      <w:start w:val="1"/>
      <w:numFmt w:val="bullet"/>
      <w:pStyle w:val="longformcalloutbullet"/>
      <w:lvlText w:val=""/>
      <w:lvlJc w:val="left"/>
      <w:pPr>
        <w:ind w:left="720" w:hanging="360"/>
      </w:pPr>
      <w:rPr>
        <w:rFonts w:ascii="Symbol" w:hAnsi="Symbol" w:hint="default"/>
        <w:color w:val="00264D" w:themeColor="background2"/>
        <w:sz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2B02E50"/>
    <w:multiLevelType w:val="multilevel"/>
    <w:tmpl w:val="AEDCE182"/>
    <w:lvl w:ilvl="0">
      <w:start w:val="1"/>
      <w:numFmt w:val="decimal"/>
      <w:lvlText w:val="%1."/>
      <w:lvlJc w:val="left"/>
      <w:pPr>
        <w:ind w:left="340" w:hanging="340"/>
      </w:pPr>
      <w:rPr>
        <w:rFonts w:ascii="Segoe UI" w:hAnsi="Segoe UI" w:hint="default"/>
        <w:b w:val="0"/>
        <w:i w:val="0"/>
        <w:sz w:val="19"/>
      </w:rPr>
    </w:lvl>
    <w:lvl w:ilvl="1">
      <w:start w:val="1"/>
      <w:numFmt w:val="lowerLetter"/>
      <w:lvlText w:val="%2."/>
      <w:lvlJc w:val="left"/>
      <w:pPr>
        <w:ind w:left="680" w:hanging="340"/>
      </w:pPr>
      <w:rPr>
        <w:rFonts w:ascii="Segoe UI" w:hAnsi="Segoe UI" w:hint="default"/>
        <w:sz w:val="20"/>
      </w:rPr>
    </w:lvl>
    <w:lvl w:ilvl="2">
      <w:start w:val="1"/>
      <w:numFmt w:val="lowerRoman"/>
      <w:lvlText w:val="%3."/>
      <w:lvlJc w:val="left"/>
      <w:pPr>
        <w:ind w:left="1021" w:hanging="341"/>
      </w:pPr>
      <w:rPr>
        <w:rFonts w:ascii="Segoe UI" w:hAnsi="Segoe UI" w:hint="default"/>
        <w:sz w:val="19"/>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17" w15:restartNumberingAfterBreak="0">
    <w:nsid w:val="450172F8"/>
    <w:multiLevelType w:val="hybridMultilevel"/>
    <w:tmpl w:val="7F926D6A"/>
    <w:lvl w:ilvl="0" w:tplc="9BBCFBB8">
      <w:start w:val="1"/>
      <w:numFmt w:val="decimal"/>
      <w:lvlText w:val="%1."/>
      <w:lvlJc w:val="left"/>
      <w:pPr>
        <w:ind w:left="360" w:hanging="360"/>
      </w:pPr>
      <w:rPr>
        <w:rFonts w:ascii="Segoe UI" w:hAnsi="Segoe UI" w:hint="default"/>
        <w:sz w:val="19"/>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4AB30710"/>
    <w:multiLevelType w:val="hybridMultilevel"/>
    <w:tmpl w:val="E80A4FFA"/>
    <w:lvl w:ilvl="0" w:tplc="50924516">
      <w:start w:val="1"/>
      <w:numFmt w:val="decimal"/>
      <w:pStyle w:val="longformcalloutnumber"/>
      <w:lvlText w:val="%1."/>
      <w:lvlJc w:val="left"/>
      <w:pPr>
        <w:ind w:left="720" w:hanging="360"/>
      </w:pPr>
      <w:rPr>
        <w:rFonts w:hint="default"/>
        <w:b w:val="0"/>
        <w:color w:val="00264D" w:themeColor="background2"/>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B3D2157"/>
    <w:multiLevelType w:val="multilevel"/>
    <w:tmpl w:val="E6EC698E"/>
    <w:lvl w:ilvl="0">
      <w:start w:val="1"/>
      <w:numFmt w:val="decimal"/>
      <w:pStyle w:val="introductionlist"/>
      <w:lvlText w:val="%1."/>
      <w:lvlJc w:val="left"/>
      <w:pPr>
        <w:ind w:left="357" w:hanging="357"/>
      </w:pPr>
      <w:rPr>
        <w:rFonts w:hint="default"/>
        <w:b w:val="0"/>
      </w:rPr>
    </w:lvl>
    <w:lvl w:ilvl="1">
      <w:start w:val="1"/>
      <w:numFmt w:val="lowerLetter"/>
      <w:lvlText w:val="%2."/>
      <w:lvlJc w:val="left"/>
      <w:pPr>
        <w:ind w:left="720" w:hanging="363"/>
      </w:pPr>
      <w:rPr>
        <w:rFonts w:hint="default"/>
      </w:rPr>
    </w:lvl>
    <w:lvl w:ilvl="2">
      <w:start w:val="1"/>
      <w:numFmt w:val="lowerRoman"/>
      <w:lvlText w:val="%3."/>
      <w:lvlJc w:val="right"/>
      <w:pPr>
        <w:ind w:left="1077" w:hanging="3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4D196D97"/>
    <w:multiLevelType w:val="multilevel"/>
    <w:tmpl w:val="076AC31A"/>
    <w:lvl w:ilvl="0">
      <w:start w:val="1"/>
      <w:numFmt w:val="decimal"/>
      <w:lvlText w:val="%1."/>
      <w:lvlJc w:val="left"/>
      <w:pPr>
        <w:ind w:left="340" w:hanging="340"/>
      </w:pPr>
      <w:rPr>
        <w:rFonts w:ascii="Segoe UI" w:hAnsi="Segoe UI" w:hint="default"/>
        <w:b w:val="0"/>
        <w:i w:val="0"/>
        <w:sz w:val="19"/>
      </w:rPr>
    </w:lvl>
    <w:lvl w:ilvl="1">
      <w:start w:val="9"/>
      <w:numFmt w:val="lowerLetter"/>
      <w:lvlText w:val="%2."/>
      <w:lvlJc w:val="left"/>
      <w:pPr>
        <w:ind w:left="680" w:hanging="340"/>
      </w:pPr>
      <w:rPr>
        <w:rFonts w:ascii="Segoe UI" w:hAnsi="Segoe UI" w:hint="default"/>
        <w:sz w:val="17"/>
        <w:szCs w:val="17"/>
      </w:rPr>
    </w:lvl>
    <w:lvl w:ilvl="2">
      <w:start w:val="1"/>
      <w:numFmt w:val="lowerRoman"/>
      <w:lvlText w:val="%3."/>
      <w:lvlJc w:val="left"/>
      <w:pPr>
        <w:ind w:left="1021" w:hanging="341"/>
      </w:pPr>
      <w:rPr>
        <w:rFonts w:ascii="Segoe UI" w:hAnsi="Segoe UI" w:hint="default"/>
        <w:sz w:val="17"/>
        <w:szCs w:val="17"/>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21" w15:restartNumberingAfterBreak="0">
    <w:nsid w:val="54C55940"/>
    <w:multiLevelType w:val="multilevel"/>
    <w:tmpl w:val="D9AE8918"/>
    <w:lvl w:ilvl="0">
      <w:start w:val="1"/>
      <w:numFmt w:val="bullet"/>
      <w:pStyle w:val="intoductionbullet"/>
      <w:lvlText w:val=""/>
      <w:lvlJc w:val="left"/>
      <w:pPr>
        <w:ind w:left="357" w:hanging="357"/>
      </w:pPr>
      <w:rPr>
        <w:rFonts w:ascii="Symbol" w:hAnsi="Symbol" w:hint="default"/>
        <w:color w:val="00264D" w:themeColor="background2"/>
      </w:rPr>
    </w:lvl>
    <w:lvl w:ilvl="1">
      <w:start w:val="1"/>
      <w:numFmt w:val="bullet"/>
      <w:lvlText w:val=""/>
      <w:lvlJc w:val="left"/>
      <w:pPr>
        <w:ind w:left="720" w:hanging="363"/>
      </w:pPr>
      <w:rPr>
        <w:rFonts w:ascii="Symbol" w:hAnsi="Symbol" w:hint="default"/>
        <w:color w:val="00264D" w:themeColor="background2"/>
      </w:rPr>
    </w:lvl>
    <w:lvl w:ilvl="2">
      <w:start w:val="1"/>
      <w:numFmt w:val="bullet"/>
      <w:lvlText w:val=""/>
      <w:lvlJc w:val="left"/>
      <w:pPr>
        <w:ind w:left="1077" w:hanging="357"/>
      </w:pPr>
      <w:rPr>
        <w:rFonts w:ascii="Symbol" w:hAnsi="Symbol" w:hint="default"/>
        <w:color w:val="00264D" w:themeColor="background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5AD19F4"/>
    <w:multiLevelType w:val="hybridMultilevel"/>
    <w:tmpl w:val="9D80D1CC"/>
    <w:lvl w:ilvl="0" w:tplc="8D4E854A">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6F0015D"/>
    <w:multiLevelType w:val="hybridMultilevel"/>
    <w:tmpl w:val="C368EB40"/>
    <w:lvl w:ilvl="0" w:tplc="0C090019">
      <w:start w:val="1"/>
      <w:numFmt w:val="lowerLetter"/>
      <w:lvlText w:val="%1."/>
      <w:lvlJc w:val="left"/>
      <w:pPr>
        <w:ind w:left="1080" w:hanging="360"/>
      </w:pPr>
    </w:lvl>
    <w:lvl w:ilvl="1" w:tplc="0C09001B">
      <w:start w:val="1"/>
      <w:numFmt w:val="lowerRoman"/>
      <w:lvlText w:val="%2."/>
      <w:lvlJc w:val="righ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581A379B"/>
    <w:multiLevelType w:val="hybridMultilevel"/>
    <w:tmpl w:val="65A832C8"/>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58B030FE"/>
    <w:multiLevelType w:val="multilevel"/>
    <w:tmpl w:val="1DF0E7AA"/>
    <w:styleLink w:val="TableNListnumberedmultilevel"/>
    <w:lvl w:ilvl="0">
      <w:start w:val="1"/>
      <w:numFmt w:val="decimal"/>
      <w:lvlText w:val="%1."/>
      <w:lvlJc w:val="left"/>
      <w:pPr>
        <w:ind w:left="340" w:hanging="340"/>
      </w:pPr>
      <w:rPr>
        <w:rFonts w:ascii="Segoe UI" w:hAnsi="Segoe UI" w:hint="default"/>
        <w:b w:val="0"/>
        <w:i w:val="0"/>
        <w:sz w:val="19"/>
      </w:rPr>
    </w:lvl>
    <w:lvl w:ilvl="1">
      <w:start w:val="1"/>
      <w:numFmt w:val="lowerLetter"/>
      <w:lvlText w:val="%2."/>
      <w:lvlJc w:val="left"/>
      <w:pPr>
        <w:ind w:left="680" w:hanging="340"/>
      </w:pPr>
      <w:rPr>
        <w:rFonts w:hint="default"/>
        <w:sz w:val="20"/>
      </w:rPr>
    </w:lvl>
    <w:lvl w:ilvl="2">
      <w:start w:val="1"/>
      <w:numFmt w:val="lowerRoman"/>
      <w:lvlText w:val="%3."/>
      <w:lvlJc w:val="left"/>
      <w:pPr>
        <w:ind w:left="1021" w:hanging="341"/>
      </w:pPr>
      <w:rPr>
        <w:rFonts w:ascii="Segoe UI" w:hAnsi="Segoe UI" w:hint="default"/>
        <w:sz w:val="19"/>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26" w15:restartNumberingAfterBreak="0">
    <w:nsid w:val="686F47CA"/>
    <w:multiLevelType w:val="hybridMultilevel"/>
    <w:tmpl w:val="BFA82CBC"/>
    <w:styleLink w:val="TableexpListnumberedmultilevel"/>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15:restartNumberingAfterBreak="0">
    <w:nsid w:val="6C2937A8"/>
    <w:multiLevelType w:val="hybridMultilevel"/>
    <w:tmpl w:val="65A832C8"/>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6D232DA1"/>
    <w:multiLevelType w:val="multilevel"/>
    <w:tmpl w:val="AEDCE182"/>
    <w:lvl w:ilvl="0">
      <w:start w:val="1"/>
      <w:numFmt w:val="decimal"/>
      <w:lvlText w:val="%1."/>
      <w:lvlJc w:val="left"/>
      <w:pPr>
        <w:ind w:left="340" w:hanging="340"/>
      </w:pPr>
      <w:rPr>
        <w:rFonts w:ascii="Segoe UI" w:hAnsi="Segoe UI" w:hint="default"/>
        <w:b w:val="0"/>
        <w:i w:val="0"/>
        <w:sz w:val="19"/>
      </w:rPr>
    </w:lvl>
    <w:lvl w:ilvl="1">
      <w:start w:val="1"/>
      <w:numFmt w:val="lowerLetter"/>
      <w:lvlText w:val="%2."/>
      <w:lvlJc w:val="left"/>
      <w:pPr>
        <w:ind w:left="680" w:hanging="340"/>
      </w:pPr>
      <w:rPr>
        <w:rFonts w:ascii="Segoe UI" w:hAnsi="Segoe UI" w:hint="default"/>
        <w:sz w:val="20"/>
      </w:rPr>
    </w:lvl>
    <w:lvl w:ilvl="2">
      <w:start w:val="1"/>
      <w:numFmt w:val="lowerRoman"/>
      <w:lvlText w:val="%3."/>
      <w:lvlJc w:val="left"/>
      <w:pPr>
        <w:ind w:left="1021" w:hanging="341"/>
      </w:pPr>
      <w:rPr>
        <w:rFonts w:ascii="Segoe UI" w:hAnsi="Segoe UI" w:hint="default"/>
        <w:sz w:val="19"/>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29" w15:restartNumberingAfterBreak="0">
    <w:nsid w:val="6E4B147F"/>
    <w:multiLevelType w:val="hybridMultilevel"/>
    <w:tmpl w:val="65A832C8"/>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0" w15:restartNumberingAfterBreak="0">
    <w:nsid w:val="703B670B"/>
    <w:multiLevelType w:val="hybridMultilevel"/>
    <w:tmpl w:val="D032BA88"/>
    <w:lvl w:ilvl="0" w:tplc="0C090019">
      <w:start w:val="1"/>
      <w:numFmt w:val="lowerLetter"/>
      <w:lvlText w:val="%1."/>
      <w:lvlJc w:val="left"/>
      <w:pPr>
        <w:ind w:left="1080" w:hanging="360"/>
      </w:pPr>
    </w:lvl>
    <w:lvl w:ilvl="1" w:tplc="0C09001B">
      <w:start w:val="1"/>
      <w:numFmt w:val="lowerRoman"/>
      <w:lvlText w:val="%2."/>
      <w:lvlJc w:val="righ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1" w15:restartNumberingAfterBreak="0">
    <w:nsid w:val="70472CF5"/>
    <w:multiLevelType w:val="multilevel"/>
    <w:tmpl w:val="F2D8D162"/>
    <w:lvl w:ilvl="0">
      <w:start w:val="1"/>
      <w:numFmt w:val="decimal"/>
      <w:lvlText w:val="%1."/>
      <w:lvlJc w:val="left"/>
      <w:pPr>
        <w:ind w:left="340" w:hanging="340"/>
      </w:pPr>
      <w:rPr>
        <w:rFonts w:ascii="Segoe UI" w:hAnsi="Segoe UI" w:hint="default"/>
        <w:b w:val="0"/>
        <w:i w:val="0"/>
        <w:sz w:val="19"/>
      </w:rPr>
    </w:lvl>
    <w:lvl w:ilvl="1">
      <w:start w:val="1"/>
      <w:numFmt w:val="lowerLetter"/>
      <w:lvlText w:val="%2."/>
      <w:lvlJc w:val="left"/>
      <w:pPr>
        <w:ind w:left="680" w:hanging="340"/>
      </w:pPr>
      <w:rPr>
        <w:rFonts w:ascii="Segoe UI" w:hAnsi="Segoe UI" w:hint="default"/>
        <w:sz w:val="20"/>
      </w:rPr>
    </w:lvl>
    <w:lvl w:ilvl="2">
      <w:start w:val="1"/>
      <w:numFmt w:val="lowerRoman"/>
      <w:lvlText w:val="%3."/>
      <w:lvlJc w:val="left"/>
      <w:pPr>
        <w:ind w:left="1021" w:hanging="341"/>
      </w:pPr>
      <w:rPr>
        <w:rFonts w:ascii="Segoe UI" w:hAnsi="Segoe UI" w:hint="default"/>
        <w:sz w:val="19"/>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32" w15:restartNumberingAfterBreak="0">
    <w:nsid w:val="71A16EBA"/>
    <w:multiLevelType w:val="multilevel"/>
    <w:tmpl w:val="49D015A8"/>
    <w:lvl w:ilvl="0">
      <w:start w:val="1"/>
      <w:numFmt w:val="upperLetter"/>
      <w:pStyle w:val="xAppendixLevel1"/>
      <w:lvlText w:val="Appendix %1"/>
      <w:lvlJc w:val="left"/>
      <w:pPr>
        <w:ind w:left="10188" w:hanging="2268"/>
      </w:pPr>
      <w:rPr>
        <w:color w:val="00264D" w:themeColor="background2"/>
        <w:specVanish w:val="0"/>
      </w:rPr>
    </w:lvl>
    <w:lvl w:ilvl="1">
      <w:start w:val="1"/>
      <w:numFmt w:val="decimal"/>
      <w:pStyle w:val="xAppendixLevel2"/>
      <w:lvlText w:val="%1.%2"/>
      <w:lvlJc w:val="left"/>
      <w:pPr>
        <w:ind w:left="-17" w:hanging="851"/>
      </w:pPr>
      <w:rPr>
        <w:rFonts w:hint="default"/>
        <w:color w:val="00264D"/>
        <w:sz w:val="34"/>
        <w:szCs w:val="34"/>
      </w:rPr>
    </w:lvl>
    <w:lvl w:ilvl="2">
      <w:start w:val="1"/>
      <w:numFmt w:val="decimal"/>
      <w:pStyle w:val="xAppendixLevel3"/>
      <w:lvlText w:val="%1.%2.%3"/>
      <w:lvlJc w:val="left"/>
      <w:pPr>
        <w:ind w:left="-17" w:hanging="851"/>
      </w:pPr>
      <w:rPr>
        <w:rFonts w:hint="default"/>
        <w:color w:val="00264D"/>
        <w:sz w:val="28"/>
        <w:szCs w:val="28"/>
      </w:rPr>
    </w:lvl>
    <w:lvl w:ilvl="3">
      <w:start w:val="1"/>
      <w:numFmt w:val="decimal"/>
      <w:lvlText w:val="(%4)"/>
      <w:lvlJc w:val="left"/>
      <w:pPr>
        <w:ind w:left="572" w:hanging="360"/>
      </w:pPr>
      <w:rPr>
        <w:rFonts w:hint="default"/>
      </w:rPr>
    </w:lvl>
    <w:lvl w:ilvl="4">
      <w:start w:val="1"/>
      <w:numFmt w:val="lowerLetter"/>
      <w:lvlText w:val="(%5)"/>
      <w:lvlJc w:val="left"/>
      <w:pPr>
        <w:ind w:left="932" w:hanging="360"/>
      </w:pPr>
      <w:rPr>
        <w:rFonts w:hint="default"/>
      </w:rPr>
    </w:lvl>
    <w:lvl w:ilvl="5">
      <w:start w:val="1"/>
      <w:numFmt w:val="lowerRoman"/>
      <w:lvlText w:val="(%6)"/>
      <w:lvlJc w:val="left"/>
      <w:pPr>
        <w:ind w:left="1292" w:hanging="360"/>
      </w:pPr>
      <w:rPr>
        <w:rFonts w:hint="default"/>
      </w:rPr>
    </w:lvl>
    <w:lvl w:ilvl="6">
      <w:start w:val="1"/>
      <w:numFmt w:val="decimal"/>
      <w:lvlText w:val="%7."/>
      <w:lvlJc w:val="left"/>
      <w:pPr>
        <w:ind w:left="1652" w:hanging="360"/>
      </w:pPr>
      <w:rPr>
        <w:rFonts w:hint="default"/>
      </w:rPr>
    </w:lvl>
    <w:lvl w:ilvl="7">
      <w:start w:val="1"/>
      <w:numFmt w:val="lowerLetter"/>
      <w:lvlText w:val="%8."/>
      <w:lvlJc w:val="left"/>
      <w:pPr>
        <w:ind w:left="2012" w:hanging="360"/>
      </w:pPr>
      <w:rPr>
        <w:rFonts w:hint="default"/>
      </w:rPr>
    </w:lvl>
    <w:lvl w:ilvl="8">
      <w:start w:val="1"/>
      <w:numFmt w:val="lowerRoman"/>
      <w:lvlText w:val="%9."/>
      <w:lvlJc w:val="left"/>
      <w:pPr>
        <w:ind w:left="2372" w:hanging="360"/>
      </w:pPr>
      <w:rPr>
        <w:rFonts w:hint="default"/>
      </w:rPr>
    </w:lvl>
  </w:abstractNum>
  <w:abstractNum w:abstractNumId="33" w15:restartNumberingAfterBreak="0">
    <w:nsid w:val="73247E15"/>
    <w:multiLevelType w:val="multilevel"/>
    <w:tmpl w:val="1DF0E7AA"/>
    <w:lvl w:ilvl="0">
      <w:start w:val="1"/>
      <w:numFmt w:val="decimal"/>
      <w:lvlText w:val="%1."/>
      <w:lvlJc w:val="left"/>
      <w:pPr>
        <w:ind w:left="340" w:hanging="340"/>
      </w:pPr>
      <w:rPr>
        <w:rFonts w:ascii="Segoe UI" w:hAnsi="Segoe UI" w:hint="default"/>
        <w:b w:val="0"/>
        <w:i w:val="0"/>
        <w:sz w:val="19"/>
      </w:rPr>
    </w:lvl>
    <w:lvl w:ilvl="1">
      <w:start w:val="1"/>
      <w:numFmt w:val="lowerLetter"/>
      <w:lvlText w:val="%2."/>
      <w:lvlJc w:val="left"/>
      <w:pPr>
        <w:ind w:left="680" w:hanging="340"/>
      </w:pPr>
      <w:rPr>
        <w:rFonts w:hint="default"/>
        <w:sz w:val="20"/>
      </w:rPr>
    </w:lvl>
    <w:lvl w:ilvl="2">
      <w:start w:val="1"/>
      <w:numFmt w:val="lowerRoman"/>
      <w:lvlText w:val="%3."/>
      <w:lvlJc w:val="left"/>
      <w:pPr>
        <w:ind w:left="1021" w:hanging="341"/>
      </w:pPr>
      <w:rPr>
        <w:rFonts w:ascii="Segoe UI" w:hAnsi="Segoe UI" w:hint="default"/>
        <w:sz w:val="19"/>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34" w15:restartNumberingAfterBreak="0">
    <w:nsid w:val="76266355"/>
    <w:multiLevelType w:val="hybridMultilevel"/>
    <w:tmpl w:val="BFA82CBC"/>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5" w15:restartNumberingAfterBreak="0">
    <w:nsid w:val="79B7218E"/>
    <w:multiLevelType w:val="multilevel"/>
    <w:tmpl w:val="21F40298"/>
    <w:lvl w:ilvl="0">
      <w:start w:val="1"/>
      <w:numFmt w:val="decimal"/>
      <w:lvlText w:val="%1."/>
      <w:lvlJc w:val="left"/>
      <w:pPr>
        <w:ind w:left="340" w:hanging="340"/>
      </w:pPr>
      <w:rPr>
        <w:rFonts w:ascii="Segoe UI" w:hAnsi="Segoe UI" w:hint="default"/>
        <w:b w:val="0"/>
        <w:i w:val="0"/>
        <w:sz w:val="19"/>
      </w:rPr>
    </w:lvl>
    <w:lvl w:ilvl="1">
      <w:start w:val="1"/>
      <w:numFmt w:val="lowerLetter"/>
      <w:lvlText w:val="%2."/>
      <w:lvlJc w:val="left"/>
      <w:pPr>
        <w:ind w:left="680" w:hanging="340"/>
      </w:pPr>
      <w:rPr>
        <w:rFonts w:ascii="Segoe UI" w:hAnsi="Segoe UI" w:hint="default"/>
        <w:sz w:val="17"/>
        <w:szCs w:val="17"/>
      </w:rPr>
    </w:lvl>
    <w:lvl w:ilvl="2">
      <w:start w:val="1"/>
      <w:numFmt w:val="lowerRoman"/>
      <w:lvlText w:val="%3."/>
      <w:lvlJc w:val="left"/>
      <w:pPr>
        <w:ind w:left="1021" w:hanging="341"/>
      </w:pPr>
      <w:rPr>
        <w:rFonts w:ascii="Segoe UI" w:hAnsi="Segoe UI" w:hint="default"/>
        <w:sz w:val="17"/>
        <w:szCs w:val="17"/>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36" w15:restartNumberingAfterBreak="0">
    <w:nsid w:val="7E1A70B3"/>
    <w:multiLevelType w:val="hybridMultilevel"/>
    <w:tmpl w:val="3F3E8908"/>
    <w:lvl w:ilvl="0" w:tplc="8D4E854A">
      <w:start w:val="1"/>
      <w:numFmt w:val="bullet"/>
      <w:pStyle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6041117">
    <w:abstractNumId w:val="10"/>
  </w:num>
  <w:num w:numId="2" w16cid:durableId="1062362148">
    <w:abstractNumId w:val="17"/>
  </w:num>
  <w:num w:numId="3" w16cid:durableId="1514953502">
    <w:abstractNumId w:val="36"/>
  </w:num>
  <w:num w:numId="4" w16cid:durableId="1656953934">
    <w:abstractNumId w:val="28"/>
  </w:num>
  <w:num w:numId="5" w16cid:durableId="1591232986">
    <w:abstractNumId w:val="17"/>
    <w:lvlOverride w:ilvl="0">
      <w:startOverride w:val="1"/>
    </w:lvlOverride>
  </w:num>
  <w:num w:numId="6" w16cid:durableId="171996820">
    <w:abstractNumId w:val="16"/>
  </w:num>
  <w:num w:numId="7" w16cid:durableId="1530214373">
    <w:abstractNumId w:val="0"/>
    <w:lvlOverride w:ilvl="0">
      <w:startOverride w:val="1"/>
    </w:lvlOverride>
  </w:num>
  <w:num w:numId="8" w16cid:durableId="630984993">
    <w:abstractNumId w:val="11"/>
  </w:num>
  <w:num w:numId="9" w16cid:durableId="857081195">
    <w:abstractNumId w:val="12"/>
  </w:num>
  <w:num w:numId="10" w16cid:durableId="372048217">
    <w:abstractNumId w:val="8"/>
  </w:num>
  <w:num w:numId="11" w16cid:durableId="1935089537">
    <w:abstractNumId w:val="24"/>
  </w:num>
  <w:num w:numId="12" w16cid:durableId="1914317267">
    <w:abstractNumId w:val="27"/>
  </w:num>
  <w:num w:numId="13" w16cid:durableId="2116557907">
    <w:abstractNumId w:val="23"/>
  </w:num>
  <w:num w:numId="14" w16cid:durableId="207761527">
    <w:abstractNumId w:val="29"/>
  </w:num>
  <w:num w:numId="15" w16cid:durableId="97023531">
    <w:abstractNumId w:val="2"/>
  </w:num>
  <w:num w:numId="16" w16cid:durableId="552929835">
    <w:abstractNumId w:val="26"/>
  </w:num>
  <w:num w:numId="17" w16cid:durableId="1550874739">
    <w:abstractNumId w:val="7"/>
  </w:num>
  <w:num w:numId="18" w16cid:durableId="125322314">
    <w:abstractNumId w:val="14"/>
  </w:num>
  <w:num w:numId="19" w16cid:durableId="2052918898">
    <w:abstractNumId w:val="34"/>
  </w:num>
  <w:num w:numId="20" w16cid:durableId="700400049">
    <w:abstractNumId w:val="6"/>
  </w:num>
  <w:num w:numId="21" w16cid:durableId="58865254">
    <w:abstractNumId w:val="5"/>
  </w:num>
  <w:num w:numId="22" w16cid:durableId="141578071">
    <w:abstractNumId w:val="30"/>
  </w:num>
  <w:num w:numId="23" w16cid:durableId="860554514">
    <w:abstractNumId w:val="1"/>
  </w:num>
  <w:num w:numId="24" w16cid:durableId="1304390494">
    <w:abstractNumId w:val="35"/>
  </w:num>
  <w:num w:numId="25" w16cid:durableId="100751657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93056227">
    <w:abstractNumId w:val="0"/>
    <w:lvlOverride w:ilvl="0">
      <w:startOverride w:val="1"/>
    </w:lvlOverride>
  </w:num>
  <w:num w:numId="27" w16cid:durableId="1337611269">
    <w:abstractNumId w:val="0"/>
    <w:lvlOverride w:ilvl="0">
      <w:startOverride w:val="1"/>
    </w:lvlOverride>
  </w:num>
  <w:num w:numId="28" w16cid:durableId="1267153552">
    <w:abstractNumId w:val="9"/>
    <w:lvlOverride w:ilvl="0">
      <w:startOverride w:val="1"/>
    </w:lvlOverride>
  </w:num>
  <w:num w:numId="29" w16cid:durableId="2027444210">
    <w:abstractNumId w:val="9"/>
    <w:lvlOverride w:ilvl="0">
      <w:startOverride w:val="1"/>
    </w:lvlOverride>
  </w:num>
  <w:num w:numId="30" w16cid:durableId="332535221">
    <w:abstractNumId w:val="25"/>
  </w:num>
  <w:num w:numId="31" w16cid:durableId="1503544606">
    <w:abstractNumId w:val="20"/>
  </w:num>
  <w:num w:numId="32" w16cid:durableId="1951424544">
    <w:abstractNumId w:val="9"/>
  </w:num>
  <w:num w:numId="33" w16cid:durableId="987514993">
    <w:abstractNumId w:val="9"/>
    <w:lvlOverride w:ilvl="0">
      <w:startOverride w:val="2"/>
    </w:lvlOverride>
  </w:num>
  <w:num w:numId="34" w16cid:durableId="1037318961">
    <w:abstractNumId w:val="33"/>
  </w:num>
  <w:num w:numId="35" w16cid:durableId="2117171434">
    <w:abstractNumId w:val="31"/>
  </w:num>
  <w:num w:numId="36" w16cid:durableId="173542514">
    <w:abstractNumId w:val="9"/>
    <w:lvlOverride w:ilvl="0">
      <w:startOverride w:val="2"/>
    </w:lvlOverride>
  </w:num>
  <w:num w:numId="37" w16cid:durableId="1847866708">
    <w:abstractNumId w:val="9"/>
    <w:lvlOverride w:ilvl="0">
      <w:startOverride w:val="1"/>
    </w:lvlOverride>
  </w:num>
  <w:num w:numId="38" w16cid:durableId="1248729511">
    <w:abstractNumId w:val="9"/>
    <w:lvlOverride w:ilvl="0">
      <w:startOverride w:val="1"/>
    </w:lvlOverride>
  </w:num>
  <w:num w:numId="39" w16cid:durableId="1815944740">
    <w:abstractNumId w:val="9"/>
    <w:lvlOverride w:ilvl="0">
      <w:startOverride w:val="1"/>
    </w:lvlOverride>
  </w:num>
  <w:num w:numId="40" w16cid:durableId="980577994">
    <w:abstractNumId w:val="9"/>
    <w:lvlOverride w:ilvl="0">
      <w:startOverride w:val="1"/>
    </w:lvlOverride>
  </w:num>
  <w:num w:numId="41" w16cid:durableId="571047438">
    <w:abstractNumId w:val="22"/>
  </w:num>
  <w:num w:numId="42" w16cid:durableId="1902516508">
    <w:abstractNumId w:val="4"/>
  </w:num>
  <w:num w:numId="43" w16cid:durableId="264462556">
    <w:abstractNumId w:val="36"/>
  </w:num>
  <w:num w:numId="44" w16cid:durableId="948438314">
    <w:abstractNumId w:val="13"/>
  </w:num>
  <w:num w:numId="45" w16cid:durableId="2061006277">
    <w:abstractNumId w:val="21"/>
  </w:num>
  <w:num w:numId="46" w16cid:durableId="510147689">
    <w:abstractNumId w:val="19"/>
  </w:num>
  <w:num w:numId="47" w16cid:durableId="1901405339">
    <w:abstractNumId w:val="9"/>
  </w:num>
  <w:num w:numId="48" w16cid:durableId="1416321581">
    <w:abstractNumId w:val="15"/>
  </w:num>
  <w:num w:numId="49" w16cid:durableId="534663769">
    <w:abstractNumId w:val="18"/>
  </w:num>
  <w:num w:numId="50" w16cid:durableId="447814520">
    <w:abstractNumId w:val="26"/>
  </w:num>
  <w:num w:numId="51" w16cid:durableId="1456294316">
    <w:abstractNumId w:val="10"/>
  </w:num>
  <w:num w:numId="52" w16cid:durableId="167913387">
    <w:abstractNumId w:val="3"/>
  </w:num>
  <w:num w:numId="53" w16cid:durableId="874004825">
    <w:abstractNumId w:val="25"/>
  </w:num>
  <w:num w:numId="54" w16cid:durableId="2038702471">
    <w:abstractNumId w:val="3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1"/>
  <w:drawingGridVerticalSpacing w:val="181"/>
  <w:characterSpacingControl w:val="doNotCompress"/>
  <w:hdrShapeDefaults>
    <o:shapedefaults v:ext="edit" spidmax="51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6EC9"/>
    <w:rsid w:val="000001E6"/>
    <w:rsid w:val="00000284"/>
    <w:rsid w:val="00000411"/>
    <w:rsid w:val="0000043F"/>
    <w:rsid w:val="00000A76"/>
    <w:rsid w:val="00000A9B"/>
    <w:rsid w:val="00001284"/>
    <w:rsid w:val="00001BE0"/>
    <w:rsid w:val="00001C11"/>
    <w:rsid w:val="00001D0A"/>
    <w:rsid w:val="00001D50"/>
    <w:rsid w:val="00001FE7"/>
    <w:rsid w:val="00002045"/>
    <w:rsid w:val="00002253"/>
    <w:rsid w:val="000025C8"/>
    <w:rsid w:val="00002657"/>
    <w:rsid w:val="00002E5C"/>
    <w:rsid w:val="00002F6C"/>
    <w:rsid w:val="00002F8A"/>
    <w:rsid w:val="0000303E"/>
    <w:rsid w:val="00003229"/>
    <w:rsid w:val="00003401"/>
    <w:rsid w:val="00003BBB"/>
    <w:rsid w:val="00004883"/>
    <w:rsid w:val="00004A29"/>
    <w:rsid w:val="00004B52"/>
    <w:rsid w:val="00004C32"/>
    <w:rsid w:val="00005240"/>
    <w:rsid w:val="00005251"/>
    <w:rsid w:val="00005433"/>
    <w:rsid w:val="000062E9"/>
    <w:rsid w:val="0000631E"/>
    <w:rsid w:val="0000679E"/>
    <w:rsid w:val="0000701E"/>
    <w:rsid w:val="00007448"/>
    <w:rsid w:val="000076E5"/>
    <w:rsid w:val="000078D4"/>
    <w:rsid w:val="00007DBF"/>
    <w:rsid w:val="00007F9C"/>
    <w:rsid w:val="000102C9"/>
    <w:rsid w:val="00010459"/>
    <w:rsid w:val="00010F3D"/>
    <w:rsid w:val="000110A6"/>
    <w:rsid w:val="000110EB"/>
    <w:rsid w:val="0001132E"/>
    <w:rsid w:val="00011675"/>
    <w:rsid w:val="00011C89"/>
    <w:rsid w:val="00011E0B"/>
    <w:rsid w:val="00011E3C"/>
    <w:rsid w:val="00012192"/>
    <w:rsid w:val="00012244"/>
    <w:rsid w:val="000128C6"/>
    <w:rsid w:val="00012CFB"/>
    <w:rsid w:val="00013056"/>
    <w:rsid w:val="00013200"/>
    <w:rsid w:val="000135D4"/>
    <w:rsid w:val="000136E4"/>
    <w:rsid w:val="00013BF4"/>
    <w:rsid w:val="00013DB9"/>
    <w:rsid w:val="00014051"/>
    <w:rsid w:val="00014086"/>
    <w:rsid w:val="000141D3"/>
    <w:rsid w:val="0001438D"/>
    <w:rsid w:val="000143C8"/>
    <w:rsid w:val="00014A41"/>
    <w:rsid w:val="00014B1F"/>
    <w:rsid w:val="00014CEC"/>
    <w:rsid w:val="00014E54"/>
    <w:rsid w:val="00014FF8"/>
    <w:rsid w:val="000151B4"/>
    <w:rsid w:val="00015C92"/>
    <w:rsid w:val="00016121"/>
    <w:rsid w:val="0001621A"/>
    <w:rsid w:val="000167B5"/>
    <w:rsid w:val="00016B5D"/>
    <w:rsid w:val="00016D4B"/>
    <w:rsid w:val="00016D7C"/>
    <w:rsid w:val="00016DDC"/>
    <w:rsid w:val="000170D6"/>
    <w:rsid w:val="000175B2"/>
    <w:rsid w:val="000179E3"/>
    <w:rsid w:val="00017BFC"/>
    <w:rsid w:val="00017D0C"/>
    <w:rsid w:val="00017D86"/>
    <w:rsid w:val="00017F40"/>
    <w:rsid w:val="0002015C"/>
    <w:rsid w:val="00020252"/>
    <w:rsid w:val="00020277"/>
    <w:rsid w:val="000205C2"/>
    <w:rsid w:val="00020963"/>
    <w:rsid w:val="00020D4D"/>
    <w:rsid w:val="00021217"/>
    <w:rsid w:val="00021277"/>
    <w:rsid w:val="000212CB"/>
    <w:rsid w:val="000215C5"/>
    <w:rsid w:val="0002170C"/>
    <w:rsid w:val="0002182D"/>
    <w:rsid w:val="00021C30"/>
    <w:rsid w:val="00021F62"/>
    <w:rsid w:val="00021F79"/>
    <w:rsid w:val="0002215C"/>
    <w:rsid w:val="000221F1"/>
    <w:rsid w:val="00022203"/>
    <w:rsid w:val="00022AFE"/>
    <w:rsid w:val="00023145"/>
    <w:rsid w:val="00023213"/>
    <w:rsid w:val="000234E8"/>
    <w:rsid w:val="00023B8F"/>
    <w:rsid w:val="00023BC0"/>
    <w:rsid w:val="000243AD"/>
    <w:rsid w:val="000245C0"/>
    <w:rsid w:val="0002475C"/>
    <w:rsid w:val="000249EE"/>
    <w:rsid w:val="00024E7D"/>
    <w:rsid w:val="0002508F"/>
    <w:rsid w:val="000253F2"/>
    <w:rsid w:val="0002557B"/>
    <w:rsid w:val="00025682"/>
    <w:rsid w:val="000258E1"/>
    <w:rsid w:val="00025A5C"/>
    <w:rsid w:val="00025C0B"/>
    <w:rsid w:val="00025C1D"/>
    <w:rsid w:val="00025E18"/>
    <w:rsid w:val="00025F75"/>
    <w:rsid w:val="00026217"/>
    <w:rsid w:val="00026326"/>
    <w:rsid w:val="000265BB"/>
    <w:rsid w:val="00026EE5"/>
    <w:rsid w:val="00026FC8"/>
    <w:rsid w:val="00027223"/>
    <w:rsid w:val="000272BB"/>
    <w:rsid w:val="00027588"/>
    <w:rsid w:val="000275C7"/>
    <w:rsid w:val="0002788F"/>
    <w:rsid w:val="00027E35"/>
    <w:rsid w:val="00030216"/>
    <w:rsid w:val="0003040B"/>
    <w:rsid w:val="00030467"/>
    <w:rsid w:val="00030532"/>
    <w:rsid w:val="000308B2"/>
    <w:rsid w:val="000309FE"/>
    <w:rsid w:val="00030E48"/>
    <w:rsid w:val="00030EA9"/>
    <w:rsid w:val="00031193"/>
    <w:rsid w:val="000314E2"/>
    <w:rsid w:val="000319B6"/>
    <w:rsid w:val="00031D35"/>
    <w:rsid w:val="000324F9"/>
    <w:rsid w:val="00032816"/>
    <w:rsid w:val="00032896"/>
    <w:rsid w:val="00032A11"/>
    <w:rsid w:val="00032E2A"/>
    <w:rsid w:val="00032E4A"/>
    <w:rsid w:val="00032ED1"/>
    <w:rsid w:val="000334ED"/>
    <w:rsid w:val="00033502"/>
    <w:rsid w:val="00033515"/>
    <w:rsid w:val="0003360C"/>
    <w:rsid w:val="000338E7"/>
    <w:rsid w:val="000339EA"/>
    <w:rsid w:val="00033A48"/>
    <w:rsid w:val="00033D77"/>
    <w:rsid w:val="000344DC"/>
    <w:rsid w:val="0003478B"/>
    <w:rsid w:val="00034840"/>
    <w:rsid w:val="000348EB"/>
    <w:rsid w:val="00034906"/>
    <w:rsid w:val="00034CDF"/>
    <w:rsid w:val="00034FC5"/>
    <w:rsid w:val="0003503D"/>
    <w:rsid w:val="00035AA5"/>
    <w:rsid w:val="00035B38"/>
    <w:rsid w:val="00035C8F"/>
    <w:rsid w:val="00035DBC"/>
    <w:rsid w:val="00035EB1"/>
    <w:rsid w:val="00036478"/>
    <w:rsid w:val="000368FE"/>
    <w:rsid w:val="00036933"/>
    <w:rsid w:val="00036964"/>
    <w:rsid w:val="00036B9F"/>
    <w:rsid w:val="000371B4"/>
    <w:rsid w:val="000371ED"/>
    <w:rsid w:val="000372D4"/>
    <w:rsid w:val="00037417"/>
    <w:rsid w:val="00037430"/>
    <w:rsid w:val="00037553"/>
    <w:rsid w:val="0003769C"/>
    <w:rsid w:val="000376FE"/>
    <w:rsid w:val="00037781"/>
    <w:rsid w:val="00037AE1"/>
    <w:rsid w:val="00037B10"/>
    <w:rsid w:val="00037C8C"/>
    <w:rsid w:val="00040A41"/>
    <w:rsid w:val="00040D22"/>
    <w:rsid w:val="00040D9F"/>
    <w:rsid w:val="00040E2A"/>
    <w:rsid w:val="00040E8A"/>
    <w:rsid w:val="00040F79"/>
    <w:rsid w:val="00040FA8"/>
    <w:rsid w:val="000412AC"/>
    <w:rsid w:val="000417CA"/>
    <w:rsid w:val="00041922"/>
    <w:rsid w:val="00041A4D"/>
    <w:rsid w:val="0004250F"/>
    <w:rsid w:val="00042D7B"/>
    <w:rsid w:val="00043068"/>
    <w:rsid w:val="00043795"/>
    <w:rsid w:val="00043BCD"/>
    <w:rsid w:val="000441A4"/>
    <w:rsid w:val="000449F7"/>
    <w:rsid w:val="00044C01"/>
    <w:rsid w:val="00045C1A"/>
    <w:rsid w:val="00045D77"/>
    <w:rsid w:val="00045DA0"/>
    <w:rsid w:val="00045FC9"/>
    <w:rsid w:val="0004674F"/>
    <w:rsid w:val="00046F27"/>
    <w:rsid w:val="00046FBB"/>
    <w:rsid w:val="00047158"/>
    <w:rsid w:val="000475A7"/>
    <w:rsid w:val="000477F1"/>
    <w:rsid w:val="00047BFD"/>
    <w:rsid w:val="00047D4B"/>
    <w:rsid w:val="00047EAB"/>
    <w:rsid w:val="0005004A"/>
    <w:rsid w:val="0005005E"/>
    <w:rsid w:val="0005075A"/>
    <w:rsid w:val="00050B48"/>
    <w:rsid w:val="00051019"/>
    <w:rsid w:val="0005104F"/>
    <w:rsid w:val="00051141"/>
    <w:rsid w:val="00051255"/>
    <w:rsid w:val="00051296"/>
    <w:rsid w:val="000517C7"/>
    <w:rsid w:val="00051903"/>
    <w:rsid w:val="0005195D"/>
    <w:rsid w:val="000519A8"/>
    <w:rsid w:val="00051A25"/>
    <w:rsid w:val="00051A85"/>
    <w:rsid w:val="00051DFF"/>
    <w:rsid w:val="00051E9B"/>
    <w:rsid w:val="0005214E"/>
    <w:rsid w:val="00052B87"/>
    <w:rsid w:val="000530A2"/>
    <w:rsid w:val="000530F4"/>
    <w:rsid w:val="000531D5"/>
    <w:rsid w:val="000531F2"/>
    <w:rsid w:val="0005387D"/>
    <w:rsid w:val="00053B4F"/>
    <w:rsid w:val="00053BB1"/>
    <w:rsid w:val="00053C53"/>
    <w:rsid w:val="00053F07"/>
    <w:rsid w:val="00053F0C"/>
    <w:rsid w:val="00054301"/>
    <w:rsid w:val="0005496E"/>
    <w:rsid w:val="00054AC2"/>
    <w:rsid w:val="00054E38"/>
    <w:rsid w:val="00054E89"/>
    <w:rsid w:val="000550B0"/>
    <w:rsid w:val="000553C8"/>
    <w:rsid w:val="0005558E"/>
    <w:rsid w:val="0005575C"/>
    <w:rsid w:val="00055928"/>
    <w:rsid w:val="00055D61"/>
    <w:rsid w:val="00055D97"/>
    <w:rsid w:val="00055E5A"/>
    <w:rsid w:val="00055F87"/>
    <w:rsid w:val="00056310"/>
    <w:rsid w:val="00056318"/>
    <w:rsid w:val="0005667A"/>
    <w:rsid w:val="0005690F"/>
    <w:rsid w:val="0005693C"/>
    <w:rsid w:val="00056BEB"/>
    <w:rsid w:val="00056C4C"/>
    <w:rsid w:val="00056D0F"/>
    <w:rsid w:val="00056FF9"/>
    <w:rsid w:val="00057183"/>
    <w:rsid w:val="00057211"/>
    <w:rsid w:val="000572D0"/>
    <w:rsid w:val="0005789D"/>
    <w:rsid w:val="00057A74"/>
    <w:rsid w:val="00057D03"/>
    <w:rsid w:val="0006001D"/>
    <w:rsid w:val="000601C0"/>
    <w:rsid w:val="000602D7"/>
    <w:rsid w:val="000606E3"/>
    <w:rsid w:val="000609A6"/>
    <w:rsid w:val="00061320"/>
    <w:rsid w:val="000613E1"/>
    <w:rsid w:val="00061668"/>
    <w:rsid w:val="00062045"/>
    <w:rsid w:val="000623B2"/>
    <w:rsid w:val="000623DF"/>
    <w:rsid w:val="0006252F"/>
    <w:rsid w:val="00062C46"/>
    <w:rsid w:val="00063111"/>
    <w:rsid w:val="00063123"/>
    <w:rsid w:val="00063946"/>
    <w:rsid w:val="00063FFA"/>
    <w:rsid w:val="000640C1"/>
    <w:rsid w:val="00064233"/>
    <w:rsid w:val="000642DC"/>
    <w:rsid w:val="0006433D"/>
    <w:rsid w:val="00064B9C"/>
    <w:rsid w:val="000651A7"/>
    <w:rsid w:val="00065463"/>
    <w:rsid w:val="0006563C"/>
    <w:rsid w:val="00065820"/>
    <w:rsid w:val="00065E20"/>
    <w:rsid w:val="00065F2C"/>
    <w:rsid w:val="00065F95"/>
    <w:rsid w:val="000660D2"/>
    <w:rsid w:val="00066356"/>
    <w:rsid w:val="00066446"/>
    <w:rsid w:val="00066722"/>
    <w:rsid w:val="0006685F"/>
    <w:rsid w:val="00066905"/>
    <w:rsid w:val="000669CC"/>
    <w:rsid w:val="00066A8C"/>
    <w:rsid w:val="00066ADB"/>
    <w:rsid w:val="00066E4C"/>
    <w:rsid w:val="000670A0"/>
    <w:rsid w:val="000673BF"/>
    <w:rsid w:val="00067464"/>
    <w:rsid w:val="00067487"/>
    <w:rsid w:val="000674B4"/>
    <w:rsid w:val="00067980"/>
    <w:rsid w:val="00067E82"/>
    <w:rsid w:val="00067F4C"/>
    <w:rsid w:val="0007015B"/>
    <w:rsid w:val="000701A2"/>
    <w:rsid w:val="000703CC"/>
    <w:rsid w:val="000705E8"/>
    <w:rsid w:val="00070658"/>
    <w:rsid w:val="000707F9"/>
    <w:rsid w:val="00070A07"/>
    <w:rsid w:val="00070A30"/>
    <w:rsid w:val="00070B51"/>
    <w:rsid w:val="00070BAE"/>
    <w:rsid w:val="00071073"/>
    <w:rsid w:val="00071170"/>
    <w:rsid w:val="000714A2"/>
    <w:rsid w:val="00071866"/>
    <w:rsid w:val="00071B92"/>
    <w:rsid w:val="00071F58"/>
    <w:rsid w:val="00072174"/>
    <w:rsid w:val="000722D7"/>
    <w:rsid w:val="000732CD"/>
    <w:rsid w:val="000733E3"/>
    <w:rsid w:val="00073452"/>
    <w:rsid w:val="0007361A"/>
    <w:rsid w:val="0007377C"/>
    <w:rsid w:val="00073B58"/>
    <w:rsid w:val="000741EA"/>
    <w:rsid w:val="00074220"/>
    <w:rsid w:val="000744ED"/>
    <w:rsid w:val="000745F7"/>
    <w:rsid w:val="00074AD4"/>
    <w:rsid w:val="00074AFC"/>
    <w:rsid w:val="00074B2F"/>
    <w:rsid w:val="000752D2"/>
    <w:rsid w:val="000753B5"/>
    <w:rsid w:val="000753E2"/>
    <w:rsid w:val="0007553A"/>
    <w:rsid w:val="000755EA"/>
    <w:rsid w:val="00075903"/>
    <w:rsid w:val="00075D64"/>
    <w:rsid w:val="00075D8A"/>
    <w:rsid w:val="00075DB3"/>
    <w:rsid w:val="00075E70"/>
    <w:rsid w:val="0007639C"/>
    <w:rsid w:val="000768AF"/>
    <w:rsid w:val="00076D9F"/>
    <w:rsid w:val="00076DB7"/>
    <w:rsid w:val="00076FBC"/>
    <w:rsid w:val="00076FD2"/>
    <w:rsid w:val="00077349"/>
    <w:rsid w:val="00077BCC"/>
    <w:rsid w:val="00077BEC"/>
    <w:rsid w:val="00080283"/>
    <w:rsid w:val="00080326"/>
    <w:rsid w:val="0008040B"/>
    <w:rsid w:val="0008056C"/>
    <w:rsid w:val="00080B49"/>
    <w:rsid w:val="00080BF1"/>
    <w:rsid w:val="00080E14"/>
    <w:rsid w:val="0008109D"/>
    <w:rsid w:val="0008116E"/>
    <w:rsid w:val="00081196"/>
    <w:rsid w:val="000811B2"/>
    <w:rsid w:val="000811FE"/>
    <w:rsid w:val="00081263"/>
    <w:rsid w:val="00081475"/>
    <w:rsid w:val="00081678"/>
    <w:rsid w:val="000819AE"/>
    <w:rsid w:val="000819E3"/>
    <w:rsid w:val="00082009"/>
    <w:rsid w:val="0008248D"/>
    <w:rsid w:val="000824FE"/>
    <w:rsid w:val="000825E0"/>
    <w:rsid w:val="00082A01"/>
    <w:rsid w:val="00082C43"/>
    <w:rsid w:val="00082E5C"/>
    <w:rsid w:val="00083072"/>
    <w:rsid w:val="00083187"/>
    <w:rsid w:val="000837B8"/>
    <w:rsid w:val="00083840"/>
    <w:rsid w:val="00083992"/>
    <w:rsid w:val="00083A41"/>
    <w:rsid w:val="00083DAC"/>
    <w:rsid w:val="00084373"/>
    <w:rsid w:val="000843C9"/>
    <w:rsid w:val="00084666"/>
    <w:rsid w:val="00084C6A"/>
    <w:rsid w:val="00084D9F"/>
    <w:rsid w:val="00084E56"/>
    <w:rsid w:val="00084F1B"/>
    <w:rsid w:val="0008578C"/>
    <w:rsid w:val="0008595C"/>
    <w:rsid w:val="00085A6A"/>
    <w:rsid w:val="00085AE0"/>
    <w:rsid w:val="00085C17"/>
    <w:rsid w:val="00085D29"/>
    <w:rsid w:val="0008605E"/>
    <w:rsid w:val="000860C8"/>
    <w:rsid w:val="000862CD"/>
    <w:rsid w:val="000864CE"/>
    <w:rsid w:val="000865E7"/>
    <w:rsid w:val="00086781"/>
    <w:rsid w:val="000871CD"/>
    <w:rsid w:val="00087260"/>
    <w:rsid w:val="0008758B"/>
    <w:rsid w:val="00087912"/>
    <w:rsid w:val="000879DE"/>
    <w:rsid w:val="00087B22"/>
    <w:rsid w:val="00087EDD"/>
    <w:rsid w:val="00090041"/>
    <w:rsid w:val="000900C1"/>
    <w:rsid w:val="00090583"/>
    <w:rsid w:val="000907BF"/>
    <w:rsid w:val="0009084D"/>
    <w:rsid w:val="000908CD"/>
    <w:rsid w:val="000908FC"/>
    <w:rsid w:val="00090F13"/>
    <w:rsid w:val="00090F8F"/>
    <w:rsid w:val="000912DB"/>
    <w:rsid w:val="000919A2"/>
    <w:rsid w:val="00091A80"/>
    <w:rsid w:val="00092372"/>
    <w:rsid w:val="00092A17"/>
    <w:rsid w:val="00093360"/>
    <w:rsid w:val="000933DF"/>
    <w:rsid w:val="00093419"/>
    <w:rsid w:val="00093495"/>
    <w:rsid w:val="000937EB"/>
    <w:rsid w:val="000939EA"/>
    <w:rsid w:val="00093F2C"/>
    <w:rsid w:val="00093FA9"/>
    <w:rsid w:val="00094207"/>
    <w:rsid w:val="00094267"/>
    <w:rsid w:val="00094A7A"/>
    <w:rsid w:val="00094AB9"/>
    <w:rsid w:val="00094B39"/>
    <w:rsid w:val="00094EBF"/>
    <w:rsid w:val="000950BC"/>
    <w:rsid w:val="000951CB"/>
    <w:rsid w:val="000951E7"/>
    <w:rsid w:val="000953A0"/>
    <w:rsid w:val="0009560F"/>
    <w:rsid w:val="00095762"/>
    <w:rsid w:val="00095967"/>
    <w:rsid w:val="00095AD0"/>
    <w:rsid w:val="00095B49"/>
    <w:rsid w:val="00095D1C"/>
    <w:rsid w:val="00095EBE"/>
    <w:rsid w:val="00096012"/>
    <w:rsid w:val="000960FB"/>
    <w:rsid w:val="00096172"/>
    <w:rsid w:val="0009623F"/>
    <w:rsid w:val="0009736F"/>
    <w:rsid w:val="0009758F"/>
    <w:rsid w:val="0009773C"/>
    <w:rsid w:val="000977BB"/>
    <w:rsid w:val="000979A6"/>
    <w:rsid w:val="00097C66"/>
    <w:rsid w:val="000A0067"/>
    <w:rsid w:val="000A02A9"/>
    <w:rsid w:val="000A02DA"/>
    <w:rsid w:val="000A0A83"/>
    <w:rsid w:val="000A0AA0"/>
    <w:rsid w:val="000A0AC4"/>
    <w:rsid w:val="000A0D23"/>
    <w:rsid w:val="000A0E9B"/>
    <w:rsid w:val="000A13C3"/>
    <w:rsid w:val="000A1713"/>
    <w:rsid w:val="000A1841"/>
    <w:rsid w:val="000A18F4"/>
    <w:rsid w:val="000A195C"/>
    <w:rsid w:val="000A1D62"/>
    <w:rsid w:val="000A201E"/>
    <w:rsid w:val="000A2270"/>
    <w:rsid w:val="000A2390"/>
    <w:rsid w:val="000A24CC"/>
    <w:rsid w:val="000A2604"/>
    <w:rsid w:val="000A2669"/>
    <w:rsid w:val="000A2B30"/>
    <w:rsid w:val="000A2D68"/>
    <w:rsid w:val="000A2DF2"/>
    <w:rsid w:val="000A31B8"/>
    <w:rsid w:val="000A3278"/>
    <w:rsid w:val="000A3400"/>
    <w:rsid w:val="000A356F"/>
    <w:rsid w:val="000A358E"/>
    <w:rsid w:val="000A3A0D"/>
    <w:rsid w:val="000A3CDD"/>
    <w:rsid w:val="000A3FAE"/>
    <w:rsid w:val="000A4001"/>
    <w:rsid w:val="000A46DA"/>
    <w:rsid w:val="000A46EF"/>
    <w:rsid w:val="000A47FC"/>
    <w:rsid w:val="000A4896"/>
    <w:rsid w:val="000A4A45"/>
    <w:rsid w:val="000A4B47"/>
    <w:rsid w:val="000A4D3E"/>
    <w:rsid w:val="000A4F7B"/>
    <w:rsid w:val="000A5602"/>
    <w:rsid w:val="000A56D6"/>
    <w:rsid w:val="000A56DF"/>
    <w:rsid w:val="000A5729"/>
    <w:rsid w:val="000A57A2"/>
    <w:rsid w:val="000A5C89"/>
    <w:rsid w:val="000A6004"/>
    <w:rsid w:val="000A615F"/>
    <w:rsid w:val="000A630D"/>
    <w:rsid w:val="000A6363"/>
    <w:rsid w:val="000A67FC"/>
    <w:rsid w:val="000A6917"/>
    <w:rsid w:val="000A6C45"/>
    <w:rsid w:val="000A6C80"/>
    <w:rsid w:val="000A6F80"/>
    <w:rsid w:val="000A6FAC"/>
    <w:rsid w:val="000A7048"/>
    <w:rsid w:val="000A7D27"/>
    <w:rsid w:val="000A7F9F"/>
    <w:rsid w:val="000B01BB"/>
    <w:rsid w:val="000B02D3"/>
    <w:rsid w:val="000B032C"/>
    <w:rsid w:val="000B0458"/>
    <w:rsid w:val="000B04C0"/>
    <w:rsid w:val="000B0522"/>
    <w:rsid w:val="000B0573"/>
    <w:rsid w:val="000B059E"/>
    <w:rsid w:val="000B0807"/>
    <w:rsid w:val="000B0B31"/>
    <w:rsid w:val="000B0BA8"/>
    <w:rsid w:val="000B0D58"/>
    <w:rsid w:val="000B0FBF"/>
    <w:rsid w:val="000B141C"/>
    <w:rsid w:val="000B1457"/>
    <w:rsid w:val="000B177D"/>
    <w:rsid w:val="000B1783"/>
    <w:rsid w:val="000B178C"/>
    <w:rsid w:val="000B1FAE"/>
    <w:rsid w:val="000B1FCA"/>
    <w:rsid w:val="000B21A0"/>
    <w:rsid w:val="000B2491"/>
    <w:rsid w:val="000B25D4"/>
    <w:rsid w:val="000B2608"/>
    <w:rsid w:val="000B2726"/>
    <w:rsid w:val="000B281F"/>
    <w:rsid w:val="000B2AA4"/>
    <w:rsid w:val="000B2BC1"/>
    <w:rsid w:val="000B305B"/>
    <w:rsid w:val="000B31B7"/>
    <w:rsid w:val="000B36BE"/>
    <w:rsid w:val="000B3799"/>
    <w:rsid w:val="000B3B1E"/>
    <w:rsid w:val="000B439A"/>
    <w:rsid w:val="000B43C4"/>
    <w:rsid w:val="000B4530"/>
    <w:rsid w:val="000B4617"/>
    <w:rsid w:val="000B47AA"/>
    <w:rsid w:val="000B4CBE"/>
    <w:rsid w:val="000B4D60"/>
    <w:rsid w:val="000B4F6F"/>
    <w:rsid w:val="000B4F84"/>
    <w:rsid w:val="000B4FCC"/>
    <w:rsid w:val="000B5140"/>
    <w:rsid w:val="000B533C"/>
    <w:rsid w:val="000B5639"/>
    <w:rsid w:val="000B5736"/>
    <w:rsid w:val="000B57B1"/>
    <w:rsid w:val="000B5841"/>
    <w:rsid w:val="000B589C"/>
    <w:rsid w:val="000B5958"/>
    <w:rsid w:val="000B5B1D"/>
    <w:rsid w:val="000B64FF"/>
    <w:rsid w:val="000B66C8"/>
    <w:rsid w:val="000B67E1"/>
    <w:rsid w:val="000B69C8"/>
    <w:rsid w:val="000B6D1F"/>
    <w:rsid w:val="000B6D79"/>
    <w:rsid w:val="000B6F3C"/>
    <w:rsid w:val="000B70B0"/>
    <w:rsid w:val="000B721F"/>
    <w:rsid w:val="000B77EC"/>
    <w:rsid w:val="000B7C32"/>
    <w:rsid w:val="000C03BF"/>
    <w:rsid w:val="000C04CD"/>
    <w:rsid w:val="000C081C"/>
    <w:rsid w:val="000C082C"/>
    <w:rsid w:val="000C0ADB"/>
    <w:rsid w:val="000C0BCE"/>
    <w:rsid w:val="000C0C54"/>
    <w:rsid w:val="000C0E1D"/>
    <w:rsid w:val="000C0F22"/>
    <w:rsid w:val="000C183F"/>
    <w:rsid w:val="000C1A42"/>
    <w:rsid w:val="000C1AF7"/>
    <w:rsid w:val="000C1C29"/>
    <w:rsid w:val="000C22EF"/>
    <w:rsid w:val="000C2301"/>
    <w:rsid w:val="000C2720"/>
    <w:rsid w:val="000C29F6"/>
    <w:rsid w:val="000C29FB"/>
    <w:rsid w:val="000C2F7E"/>
    <w:rsid w:val="000C3076"/>
    <w:rsid w:val="000C313B"/>
    <w:rsid w:val="000C33E8"/>
    <w:rsid w:val="000C361A"/>
    <w:rsid w:val="000C3699"/>
    <w:rsid w:val="000C39E7"/>
    <w:rsid w:val="000C3C53"/>
    <w:rsid w:val="000C3D62"/>
    <w:rsid w:val="000C3D6A"/>
    <w:rsid w:val="000C439B"/>
    <w:rsid w:val="000C458C"/>
    <w:rsid w:val="000C4935"/>
    <w:rsid w:val="000C4A9E"/>
    <w:rsid w:val="000C4DEE"/>
    <w:rsid w:val="000C5024"/>
    <w:rsid w:val="000C5327"/>
    <w:rsid w:val="000C5937"/>
    <w:rsid w:val="000C5BD4"/>
    <w:rsid w:val="000C5EF2"/>
    <w:rsid w:val="000C5FB0"/>
    <w:rsid w:val="000C600E"/>
    <w:rsid w:val="000C6022"/>
    <w:rsid w:val="000C62C0"/>
    <w:rsid w:val="000C66A4"/>
    <w:rsid w:val="000C66BD"/>
    <w:rsid w:val="000C6795"/>
    <w:rsid w:val="000C68D6"/>
    <w:rsid w:val="000C6901"/>
    <w:rsid w:val="000C6B14"/>
    <w:rsid w:val="000C6F0D"/>
    <w:rsid w:val="000C6FE0"/>
    <w:rsid w:val="000C726B"/>
    <w:rsid w:val="000C7659"/>
    <w:rsid w:val="000C76DB"/>
    <w:rsid w:val="000C7926"/>
    <w:rsid w:val="000C7E39"/>
    <w:rsid w:val="000D00A1"/>
    <w:rsid w:val="000D05F2"/>
    <w:rsid w:val="000D0609"/>
    <w:rsid w:val="000D069F"/>
    <w:rsid w:val="000D08EB"/>
    <w:rsid w:val="000D0D0E"/>
    <w:rsid w:val="000D0EE4"/>
    <w:rsid w:val="000D109E"/>
    <w:rsid w:val="000D12DD"/>
    <w:rsid w:val="000D1393"/>
    <w:rsid w:val="000D15DE"/>
    <w:rsid w:val="000D1C73"/>
    <w:rsid w:val="000D1FE5"/>
    <w:rsid w:val="000D2195"/>
    <w:rsid w:val="000D2524"/>
    <w:rsid w:val="000D274D"/>
    <w:rsid w:val="000D2863"/>
    <w:rsid w:val="000D2B38"/>
    <w:rsid w:val="000D311E"/>
    <w:rsid w:val="000D325F"/>
    <w:rsid w:val="000D3467"/>
    <w:rsid w:val="000D3A83"/>
    <w:rsid w:val="000D3BC4"/>
    <w:rsid w:val="000D3C6C"/>
    <w:rsid w:val="000D3CA6"/>
    <w:rsid w:val="000D3F54"/>
    <w:rsid w:val="000D40B2"/>
    <w:rsid w:val="000D4195"/>
    <w:rsid w:val="000D42B6"/>
    <w:rsid w:val="000D45BC"/>
    <w:rsid w:val="000D49B6"/>
    <w:rsid w:val="000D4B56"/>
    <w:rsid w:val="000D4CAE"/>
    <w:rsid w:val="000D52A4"/>
    <w:rsid w:val="000D5CE3"/>
    <w:rsid w:val="000D6267"/>
    <w:rsid w:val="000D630A"/>
    <w:rsid w:val="000D63AC"/>
    <w:rsid w:val="000D63F9"/>
    <w:rsid w:val="000D68E7"/>
    <w:rsid w:val="000D69A7"/>
    <w:rsid w:val="000D6B8F"/>
    <w:rsid w:val="000D6C6F"/>
    <w:rsid w:val="000D6E78"/>
    <w:rsid w:val="000D7280"/>
    <w:rsid w:val="000D72D2"/>
    <w:rsid w:val="000D75C5"/>
    <w:rsid w:val="000D7A78"/>
    <w:rsid w:val="000D7FDE"/>
    <w:rsid w:val="000E03F2"/>
    <w:rsid w:val="000E07B1"/>
    <w:rsid w:val="000E08C8"/>
    <w:rsid w:val="000E0952"/>
    <w:rsid w:val="000E1074"/>
    <w:rsid w:val="000E12F1"/>
    <w:rsid w:val="000E153E"/>
    <w:rsid w:val="000E15AB"/>
    <w:rsid w:val="000E1B32"/>
    <w:rsid w:val="000E1CA5"/>
    <w:rsid w:val="000E1D2A"/>
    <w:rsid w:val="000E1ED9"/>
    <w:rsid w:val="000E1F27"/>
    <w:rsid w:val="000E22D0"/>
    <w:rsid w:val="000E238D"/>
    <w:rsid w:val="000E26D1"/>
    <w:rsid w:val="000E273F"/>
    <w:rsid w:val="000E28F0"/>
    <w:rsid w:val="000E293E"/>
    <w:rsid w:val="000E29A0"/>
    <w:rsid w:val="000E2AF8"/>
    <w:rsid w:val="000E2B0B"/>
    <w:rsid w:val="000E309F"/>
    <w:rsid w:val="000E3170"/>
    <w:rsid w:val="000E37D6"/>
    <w:rsid w:val="000E38A2"/>
    <w:rsid w:val="000E3BF4"/>
    <w:rsid w:val="000E3C31"/>
    <w:rsid w:val="000E3F5E"/>
    <w:rsid w:val="000E422C"/>
    <w:rsid w:val="000E4453"/>
    <w:rsid w:val="000E47E5"/>
    <w:rsid w:val="000E48F5"/>
    <w:rsid w:val="000E4BFA"/>
    <w:rsid w:val="000E4C8E"/>
    <w:rsid w:val="000E4D96"/>
    <w:rsid w:val="000E4E3E"/>
    <w:rsid w:val="000E4E5D"/>
    <w:rsid w:val="000E538F"/>
    <w:rsid w:val="000E5AD3"/>
    <w:rsid w:val="000E5F94"/>
    <w:rsid w:val="000E5FCF"/>
    <w:rsid w:val="000E647C"/>
    <w:rsid w:val="000E663C"/>
    <w:rsid w:val="000E673B"/>
    <w:rsid w:val="000E6A24"/>
    <w:rsid w:val="000E6A9F"/>
    <w:rsid w:val="000E6C97"/>
    <w:rsid w:val="000E6D44"/>
    <w:rsid w:val="000E6EDB"/>
    <w:rsid w:val="000E6FB9"/>
    <w:rsid w:val="000E7167"/>
    <w:rsid w:val="000E7CF9"/>
    <w:rsid w:val="000E7FB9"/>
    <w:rsid w:val="000F002F"/>
    <w:rsid w:val="000F0338"/>
    <w:rsid w:val="000F0E90"/>
    <w:rsid w:val="000F0F5B"/>
    <w:rsid w:val="000F127E"/>
    <w:rsid w:val="000F1408"/>
    <w:rsid w:val="000F19E0"/>
    <w:rsid w:val="000F1AC5"/>
    <w:rsid w:val="000F1BF0"/>
    <w:rsid w:val="000F1E74"/>
    <w:rsid w:val="000F22F1"/>
    <w:rsid w:val="000F252E"/>
    <w:rsid w:val="000F2C14"/>
    <w:rsid w:val="000F2D02"/>
    <w:rsid w:val="000F30BC"/>
    <w:rsid w:val="000F3319"/>
    <w:rsid w:val="000F334C"/>
    <w:rsid w:val="000F3546"/>
    <w:rsid w:val="000F357B"/>
    <w:rsid w:val="000F3A6B"/>
    <w:rsid w:val="000F3B20"/>
    <w:rsid w:val="000F3DEC"/>
    <w:rsid w:val="000F432E"/>
    <w:rsid w:val="000F4964"/>
    <w:rsid w:val="000F4971"/>
    <w:rsid w:val="000F4B51"/>
    <w:rsid w:val="000F4CFE"/>
    <w:rsid w:val="000F53E6"/>
    <w:rsid w:val="000F55DD"/>
    <w:rsid w:val="000F574F"/>
    <w:rsid w:val="000F596A"/>
    <w:rsid w:val="000F5C78"/>
    <w:rsid w:val="000F5D38"/>
    <w:rsid w:val="000F5D9E"/>
    <w:rsid w:val="000F63A5"/>
    <w:rsid w:val="000F6537"/>
    <w:rsid w:val="000F66F2"/>
    <w:rsid w:val="000F68F0"/>
    <w:rsid w:val="000F6D2E"/>
    <w:rsid w:val="000F7255"/>
    <w:rsid w:val="00100022"/>
    <w:rsid w:val="0010015B"/>
    <w:rsid w:val="00100567"/>
    <w:rsid w:val="00100EA4"/>
    <w:rsid w:val="00100EF0"/>
    <w:rsid w:val="00100F5E"/>
    <w:rsid w:val="0010164D"/>
    <w:rsid w:val="0010173F"/>
    <w:rsid w:val="001019F9"/>
    <w:rsid w:val="00101F0D"/>
    <w:rsid w:val="0010209C"/>
    <w:rsid w:val="00102660"/>
    <w:rsid w:val="001027C4"/>
    <w:rsid w:val="00102866"/>
    <w:rsid w:val="00102A3F"/>
    <w:rsid w:val="00102C53"/>
    <w:rsid w:val="001031A0"/>
    <w:rsid w:val="001035B1"/>
    <w:rsid w:val="00103951"/>
    <w:rsid w:val="00103C22"/>
    <w:rsid w:val="00103C39"/>
    <w:rsid w:val="00103C87"/>
    <w:rsid w:val="00104141"/>
    <w:rsid w:val="00104213"/>
    <w:rsid w:val="00104312"/>
    <w:rsid w:val="0010462B"/>
    <w:rsid w:val="001048E5"/>
    <w:rsid w:val="00104F3E"/>
    <w:rsid w:val="00104F6D"/>
    <w:rsid w:val="0010509A"/>
    <w:rsid w:val="00105160"/>
    <w:rsid w:val="001051E0"/>
    <w:rsid w:val="001051EA"/>
    <w:rsid w:val="00105A0B"/>
    <w:rsid w:val="00105CAB"/>
    <w:rsid w:val="00105EA7"/>
    <w:rsid w:val="00106164"/>
    <w:rsid w:val="0010698C"/>
    <w:rsid w:val="00106AFF"/>
    <w:rsid w:val="00106BC5"/>
    <w:rsid w:val="00106EAC"/>
    <w:rsid w:val="00106F37"/>
    <w:rsid w:val="001070BE"/>
    <w:rsid w:val="001074AB"/>
    <w:rsid w:val="001074E1"/>
    <w:rsid w:val="00110066"/>
    <w:rsid w:val="001101D1"/>
    <w:rsid w:val="0011032A"/>
    <w:rsid w:val="00110463"/>
    <w:rsid w:val="00110B3B"/>
    <w:rsid w:val="00110B5B"/>
    <w:rsid w:val="00110D65"/>
    <w:rsid w:val="00110D84"/>
    <w:rsid w:val="00110E1E"/>
    <w:rsid w:val="001114E0"/>
    <w:rsid w:val="001115D3"/>
    <w:rsid w:val="00111AC5"/>
    <w:rsid w:val="00111D92"/>
    <w:rsid w:val="00111E44"/>
    <w:rsid w:val="00111F49"/>
    <w:rsid w:val="00112228"/>
    <w:rsid w:val="001122A2"/>
    <w:rsid w:val="001124FA"/>
    <w:rsid w:val="00112538"/>
    <w:rsid w:val="0011256B"/>
    <w:rsid w:val="0011261A"/>
    <w:rsid w:val="001127B4"/>
    <w:rsid w:val="00112CE5"/>
    <w:rsid w:val="00112E01"/>
    <w:rsid w:val="001132CF"/>
    <w:rsid w:val="001134B2"/>
    <w:rsid w:val="00113634"/>
    <w:rsid w:val="001137EF"/>
    <w:rsid w:val="00113813"/>
    <w:rsid w:val="001139FA"/>
    <w:rsid w:val="00113B2E"/>
    <w:rsid w:val="00113BA2"/>
    <w:rsid w:val="00113D0E"/>
    <w:rsid w:val="00113DF4"/>
    <w:rsid w:val="00113E24"/>
    <w:rsid w:val="00114126"/>
    <w:rsid w:val="00114185"/>
    <w:rsid w:val="0011436C"/>
    <w:rsid w:val="0011437E"/>
    <w:rsid w:val="00114C0D"/>
    <w:rsid w:val="00114E0C"/>
    <w:rsid w:val="00114EB9"/>
    <w:rsid w:val="00114EF4"/>
    <w:rsid w:val="00115123"/>
    <w:rsid w:val="001155B0"/>
    <w:rsid w:val="00115B07"/>
    <w:rsid w:val="001163F2"/>
    <w:rsid w:val="0011641E"/>
    <w:rsid w:val="00116519"/>
    <w:rsid w:val="00116594"/>
    <w:rsid w:val="001166AD"/>
    <w:rsid w:val="0011672C"/>
    <w:rsid w:val="00116CFA"/>
    <w:rsid w:val="00116DC9"/>
    <w:rsid w:val="00116FDD"/>
    <w:rsid w:val="00117154"/>
    <w:rsid w:val="001172B0"/>
    <w:rsid w:val="001172D4"/>
    <w:rsid w:val="001173A4"/>
    <w:rsid w:val="0011765F"/>
    <w:rsid w:val="00117886"/>
    <w:rsid w:val="00117890"/>
    <w:rsid w:val="00117EF4"/>
    <w:rsid w:val="001200F5"/>
    <w:rsid w:val="00120108"/>
    <w:rsid w:val="001201A8"/>
    <w:rsid w:val="0012085E"/>
    <w:rsid w:val="00120B58"/>
    <w:rsid w:val="00120D45"/>
    <w:rsid w:val="00120DF0"/>
    <w:rsid w:val="00120E80"/>
    <w:rsid w:val="00121227"/>
    <w:rsid w:val="00121B6A"/>
    <w:rsid w:val="0012203E"/>
    <w:rsid w:val="00122145"/>
    <w:rsid w:val="001221D7"/>
    <w:rsid w:val="00122390"/>
    <w:rsid w:val="0012240E"/>
    <w:rsid w:val="001225EB"/>
    <w:rsid w:val="00122651"/>
    <w:rsid w:val="00122904"/>
    <w:rsid w:val="00122A70"/>
    <w:rsid w:val="00122C8E"/>
    <w:rsid w:val="00122D0E"/>
    <w:rsid w:val="00123149"/>
    <w:rsid w:val="00123236"/>
    <w:rsid w:val="00123815"/>
    <w:rsid w:val="001239E3"/>
    <w:rsid w:val="00123AAF"/>
    <w:rsid w:val="00123D2B"/>
    <w:rsid w:val="00123E75"/>
    <w:rsid w:val="00123FB9"/>
    <w:rsid w:val="001240B2"/>
    <w:rsid w:val="001241AE"/>
    <w:rsid w:val="00124C0A"/>
    <w:rsid w:val="00124F01"/>
    <w:rsid w:val="00124F06"/>
    <w:rsid w:val="001252E5"/>
    <w:rsid w:val="001252FB"/>
    <w:rsid w:val="001253DA"/>
    <w:rsid w:val="0012562E"/>
    <w:rsid w:val="00125759"/>
    <w:rsid w:val="001259D0"/>
    <w:rsid w:val="001259DE"/>
    <w:rsid w:val="00125E76"/>
    <w:rsid w:val="00125F2E"/>
    <w:rsid w:val="0012609C"/>
    <w:rsid w:val="00126146"/>
    <w:rsid w:val="00126356"/>
    <w:rsid w:val="0012657E"/>
    <w:rsid w:val="00126A7C"/>
    <w:rsid w:val="00126C4A"/>
    <w:rsid w:val="00127123"/>
    <w:rsid w:val="0012792A"/>
    <w:rsid w:val="00127B44"/>
    <w:rsid w:val="00127EA9"/>
    <w:rsid w:val="0013019C"/>
    <w:rsid w:val="0013028F"/>
    <w:rsid w:val="001306D5"/>
    <w:rsid w:val="00130931"/>
    <w:rsid w:val="00130A9E"/>
    <w:rsid w:val="0013132A"/>
    <w:rsid w:val="001315CB"/>
    <w:rsid w:val="00131794"/>
    <w:rsid w:val="00131869"/>
    <w:rsid w:val="00131EFC"/>
    <w:rsid w:val="00132479"/>
    <w:rsid w:val="00132A51"/>
    <w:rsid w:val="00132B97"/>
    <w:rsid w:val="00132C2F"/>
    <w:rsid w:val="00132C79"/>
    <w:rsid w:val="00132CF6"/>
    <w:rsid w:val="00132EE5"/>
    <w:rsid w:val="00132FEF"/>
    <w:rsid w:val="001333E5"/>
    <w:rsid w:val="0013359C"/>
    <w:rsid w:val="001335AA"/>
    <w:rsid w:val="00133661"/>
    <w:rsid w:val="00133824"/>
    <w:rsid w:val="00133B15"/>
    <w:rsid w:val="00133B80"/>
    <w:rsid w:val="00134084"/>
    <w:rsid w:val="00134186"/>
    <w:rsid w:val="0013437A"/>
    <w:rsid w:val="0013481E"/>
    <w:rsid w:val="001348BE"/>
    <w:rsid w:val="001348CA"/>
    <w:rsid w:val="00134A14"/>
    <w:rsid w:val="00134AB3"/>
    <w:rsid w:val="00134C91"/>
    <w:rsid w:val="00135042"/>
    <w:rsid w:val="0013504E"/>
    <w:rsid w:val="001352AA"/>
    <w:rsid w:val="001352E6"/>
    <w:rsid w:val="00135BB4"/>
    <w:rsid w:val="00135E46"/>
    <w:rsid w:val="00136038"/>
    <w:rsid w:val="0013609F"/>
    <w:rsid w:val="00136220"/>
    <w:rsid w:val="001366C2"/>
    <w:rsid w:val="00136BCD"/>
    <w:rsid w:val="00136FB4"/>
    <w:rsid w:val="00137C5A"/>
    <w:rsid w:val="00137C82"/>
    <w:rsid w:val="00137F96"/>
    <w:rsid w:val="00140148"/>
    <w:rsid w:val="0014057D"/>
    <w:rsid w:val="00140738"/>
    <w:rsid w:val="00140837"/>
    <w:rsid w:val="0014086E"/>
    <w:rsid w:val="001408C6"/>
    <w:rsid w:val="00140A34"/>
    <w:rsid w:val="00140E73"/>
    <w:rsid w:val="00140E85"/>
    <w:rsid w:val="00141E8B"/>
    <w:rsid w:val="0014229C"/>
    <w:rsid w:val="001426FF"/>
    <w:rsid w:val="001431D3"/>
    <w:rsid w:val="00143905"/>
    <w:rsid w:val="00143E73"/>
    <w:rsid w:val="0014417E"/>
    <w:rsid w:val="00144B26"/>
    <w:rsid w:val="00144B6F"/>
    <w:rsid w:val="00144E40"/>
    <w:rsid w:val="00145838"/>
    <w:rsid w:val="00145AA0"/>
    <w:rsid w:val="00145D55"/>
    <w:rsid w:val="00145DAB"/>
    <w:rsid w:val="00145F57"/>
    <w:rsid w:val="00145F92"/>
    <w:rsid w:val="001464F5"/>
    <w:rsid w:val="00146752"/>
    <w:rsid w:val="00146FB4"/>
    <w:rsid w:val="00147315"/>
    <w:rsid w:val="00147335"/>
    <w:rsid w:val="001473BE"/>
    <w:rsid w:val="001473F7"/>
    <w:rsid w:val="0014748D"/>
    <w:rsid w:val="00147490"/>
    <w:rsid w:val="00147A4C"/>
    <w:rsid w:val="00147C34"/>
    <w:rsid w:val="00147EFC"/>
    <w:rsid w:val="00150038"/>
    <w:rsid w:val="0015004B"/>
    <w:rsid w:val="0015009B"/>
    <w:rsid w:val="001500C5"/>
    <w:rsid w:val="00150145"/>
    <w:rsid w:val="00150464"/>
    <w:rsid w:val="001510E2"/>
    <w:rsid w:val="0015135E"/>
    <w:rsid w:val="00151E7D"/>
    <w:rsid w:val="00151EFA"/>
    <w:rsid w:val="001523A3"/>
    <w:rsid w:val="001525E6"/>
    <w:rsid w:val="001526A0"/>
    <w:rsid w:val="00152D36"/>
    <w:rsid w:val="001533D8"/>
    <w:rsid w:val="001538ED"/>
    <w:rsid w:val="00153C79"/>
    <w:rsid w:val="00153DCF"/>
    <w:rsid w:val="00153F43"/>
    <w:rsid w:val="0015461A"/>
    <w:rsid w:val="001547BD"/>
    <w:rsid w:val="001548A5"/>
    <w:rsid w:val="001548E0"/>
    <w:rsid w:val="00154BA3"/>
    <w:rsid w:val="00154BC3"/>
    <w:rsid w:val="00154DEF"/>
    <w:rsid w:val="00154EFB"/>
    <w:rsid w:val="001550ED"/>
    <w:rsid w:val="00155217"/>
    <w:rsid w:val="0015562C"/>
    <w:rsid w:val="00155797"/>
    <w:rsid w:val="00155C2C"/>
    <w:rsid w:val="00155DA4"/>
    <w:rsid w:val="00155DBC"/>
    <w:rsid w:val="00155DEA"/>
    <w:rsid w:val="00155EF9"/>
    <w:rsid w:val="00156171"/>
    <w:rsid w:val="001563FD"/>
    <w:rsid w:val="00156526"/>
    <w:rsid w:val="00156892"/>
    <w:rsid w:val="0015710D"/>
    <w:rsid w:val="001575A6"/>
    <w:rsid w:val="00157AF6"/>
    <w:rsid w:val="00157C05"/>
    <w:rsid w:val="00157CC8"/>
    <w:rsid w:val="00157F55"/>
    <w:rsid w:val="00160053"/>
    <w:rsid w:val="001601E8"/>
    <w:rsid w:val="001602A3"/>
    <w:rsid w:val="00160E5D"/>
    <w:rsid w:val="00160E7C"/>
    <w:rsid w:val="00161079"/>
    <w:rsid w:val="00161234"/>
    <w:rsid w:val="00161F53"/>
    <w:rsid w:val="001623EC"/>
    <w:rsid w:val="001626F2"/>
    <w:rsid w:val="00162846"/>
    <w:rsid w:val="001629D0"/>
    <w:rsid w:val="001629D1"/>
    <w:rsid w:val="00162C11"/>
    <w:rsid w:val="0016306F"/>
    <w:rsid w:val="0016311C"/>
    <w:rsid w:val="0016337F"/>
    <w:rsid w:val="001633CF"/>
    <w:rsid w:val="001635DE"/>
    <w:rsid w:val="001637F1"/>
    <w:rsid w:val="00163AF3"/>
    <w:rsid w:val="00163C2D"/>
    <w:rsid w:val="00163FAF"/>
    <w:rsid w:val="001643AC"/>
    <w:rsid w:val="00164626"/>
    <w:rsid w:val="00164947"/>
    <w:rsid w:val="00164981"/>
    <w:rsid w:val="00164BBF"/>
    <w:rsid w:val="00164FAA"/>
    <w:rsid w:val="001650C8"/>
    <w:rsid w:val="00165717"/>
    <w:rsid w:val="0016578A"/>
    <w:rsid w:val="001658C4"/>
    <w:rsid w:val="00165D8F"/>
    <w:rsid w:val="00165E5D"/>
    <w:rsid w:val="00165E97"/>
    <w:rsid w:val="00165F1C"/>
    <w:rsid w:val="001661D3"/>
    <w:rsid w:val="00166699"/>
    <w:rsid w:val="00166733"/>
    <w:rsid w:val="001669ED"/>
    <w:rsid w:val="001670C2"/>
    <w:rsid w:val="00167101"/>
    <w:rsid w:val="001674CB"/>
    <w:rsid w:val="0016773E"/>
    <w:rsid w:val="0016798B"/>
    <w:rsid w:val="00167E2F"/>
    <w:rsid w:val="00167EB6"/>
    <w:rsid w:val="00167F48"/>
    <w:rsid w:val="001700B5"/>
    <w:rsid w:val="00170367"/>
    <w:rsid w:val="00170701"/>
    <w:rsid w:val="00170703"/>
    <w:rsid w:val="001707A8"/>
    <w:rsid w:val="00171808"/>
    <w:rsid w:val="001718AC"/>
    <w:rsid w:val="001719DC"/>
    <w:rsid w:val="00171BCE"/>
    <w:rsid w:val="001721E0"/>
    <w:rsid w:val="00172526"/>
    <w:rsid w:val="0017258B"/>
    <w:rsid w:val="001727A9"/>
    <w:rsid w:val="00172AF7"/>
    <w:rsid w:val="001730FC"/>
    <w:rsid w:val="001732FA"/>
    <w:rsid w:val="00173727"/>
    <w:rsid w:val="00173774"/>
    <w:rsid w:val="001738FF"/>
    <w:rsid w:val="00173D0C"/>
    <w:rsid w:val="0017403B"/>
    <w:rsid w:val="00174050"/>
    <w:rsid w:val="0017409F"/>
    <w:rsid w:val="001745FD"/>
    <w:rsid w:val="00174910"/>
    <w:rsid w:val="00174D7D"/>
    <w:rsid w:val="00174DE2"/>
    <w:rsid w:val="0017548E"/>
    <w:rsid w:val="001765B3"/>
    <w:rsid w:val="001767AF"/>
    <w:rsid w:val="00177214"/>
    <w:rsid w:val="00177666"/>
    <w:rsid w:val="00177854"/>
    <w:rsid w:val="00177EAE"/>
    <w:rsid w:val="00177F59"/>
    <w:rsid w:val="00177F75"/>
    <w:rsid w:val="001801AE"/>
    <w:rsid w:val="001804ED"/>
    <w:rsid w:val="00180539"/>
    <w:rsid w:val="00180688"/>
    <w:rsid w:val="001809C2"/>
    <w:rsid w:val="00180A47"/>
    <w:rsid w:val="00180A5C"/>
    <w:rsid w:val="00180C03"/>
    <w:rsid w:val="00180C89"/>
    <w:rsid w:val="00180CB6"/>
    <w:rsid w:val="001810B4"/>
    <w:rsid w:val="0018147A"/>
    <w:rsid w:val="001814F8"/>
    <w:rsid w:val="001815FF"/>
    <w:rsid w:val="001816C3"/>
    <w:rsid w:val="0018178B"/>
    <w:rsid w:val="001817F5"/>
    <w:rsid w:val="001819BE"/>
    <w:rsid w:val="00182126"/>
    <w:rsid w:val="00182372"/>
    <w:rsid w:val="0018260E"/>
    <w:rsid w:val="00182684"/>
    <w:rsid w:val="001826D3"/>
    <w:rsid w:val="00182AD2"/>
    <w:rsid w:val="00182C12"/>
    <w:rsid w:val="00182DF9"/>
    <w:rsid w:val="00183537"/>
    <w:rsid w:val="00183AFE"/>
    <w:rsid w:val="00183DBB"/>
    <w:rsid w:val="00183F8C"/>
    <w:rsid w:val="00183F93"/>
    <w:rsid w:val="00184173"/>
    <w:rsid w:val="001841C9"/>
    <w:rsid w:val="00184378"/>
    <w:rsid w:val="00184718"/>
    <w:rsid w:val="00184BD6"/>
    <w:rsid w:val="00184D49"/>
    <w:rsid w:val="00184D98"/>
    <w:rsid w:val="00184E20"/>
    <w:rsid w:val="00185014"/>
    <w:rsid w:val="00185576"/>
    <w:rsid w:val="001856ED"/>
    <w:rsid w:val="00185DBA"/>
    <w:rsid w:val="00185E17"/>
    <w:rsid w:val="00185EAB"/>
    <w:rsid w:val="00185EE5"/>
    <w:rsid w:val="00185F01"/>
    <w:rsid w:val="00185F57"/>
    <w:rsid w:val="001861C7"/>
    <w:rsid w:val="00186395"/>
    <w:rsid w:val="0018662E"/>
    <w:rsid w:val="00186698"/>
    <w:rsid w:val="00186B52"/>
    <w:rsid w:val="00186DDD"/>
    <w:rsid w:val="00186EEE"/>
    <w:rsid w:val="001870D2"/>
    <w:rsid w:val="001873C8"/>
    <w:rsid w:val="00187484"/>
    <w:rsid w:val="00187AAF"/>
    <w:rsid w:val="00190506"/>
    <w:rsid w:val="00190563"/>
    <w:rsid w:val="001905A9"/>
    <w:rsid w:val="001908CF"/>
    <w:rsid w:val="001908FD"/>
    <w:rsid w:val="00190C35"/>
    <w:rsid w:val="00190D48"/>
    <w:rsid w:val="001910FC"/>
    <w:rsid w:val="00191299"/>
    <w:rsid w:val="001912B2"/>
    <w:rsid w:val="00191438"/>
    <w:rsid w:val="00191CCE"/>
    <w:rsid w:val="00191D90"/>
    <w:rsid w:val="00191DD8"/>
    <w:rsid w:val="00191F8F"/>
    <w:rsid w:val="0019243C"/>
    <w:rsid w:val="00192812"/>
    <w:rsid w:val="00192D91"/>
    <w:rsid w:val="00192DDF"/>
    <w:rsid w:val="00192E92"/>
    <w:rsid w:val="0019315F"/>
    <w:rsid w:val="001934DD"/>
    <w:rsid w:val="00193717"/>
    <w:rsid w:val="00193747"/>
    <w:rsid w:val="00193780"/>
    <w:rsid w:val="001938D0"/>
    <w:rsid w:val="00193C4A"/>
    <w:rsid w:val="00193CE6"/>
    <w:rsid w:val="00193D30"/>
    <w:rsid w:val="0019431D"/>
    <w:rsid w:val="00194639"/>
    <w:rsid w:val="0019480E"/>
    <w:rsid w:val="00194923"/>
    <w:rsid w:val="00194C32"/>
    <w:rsid w:val="00194C67"/>
    <w:rsid w:val="001950C0"/>
    <w:rsid w:val="0019515A"/>
    <w:rsid w:val="001951F2"/>
    <w:rsid w:val="00195518"/>
    <w:rsid w:val="00195547"/>
    <w:rsid w:val="0019583E"/>
    <w:rsid w:val="00195960"/>
    <w:rsid w:val="00195978"/>
    <w:rsid w:val="00195AB8"/>
    <w:rsid w:val="001960BC"/>
    <w:rsid w:val="00196126"/>
    <w:rsid w:val="00196430"/>
    <w:rsid w:val="00196683"/>
    <w:rsid w:val="00196A6D"/>
    <w:rsid w:val="00196BB6"/>
    <w:rsid w:val="00196E9A"/>
    <w:rsid w:val="00197219"/>
    <w:rsid w:val="00197497"/>
    <w:rsid w:val="0019790F"/>
    <w:rsid w:val="00197C08"/>
    <w:rsid w:val="00197CCC"/>
    <w:rsid w:val="001A036E"/>
    <w:rsid w:val="001A08E0"/>
    <w:rsid w:val="001A08FE"/>
    <w:rsid w:val="001A0921"/>
    <w:rsid w:val="001A0DDB"/>
    <w:rsid w:val="001A0F63"/>
    <w:rsid w:val="001A0FCF"/>
    <w:rsid w:val="001A114A"/>
    <w:rsid w:val="001A13F1"/>
    <w:rsid w:val="001A1576"/>
    <w:rsid w:val="001A165E"/>
    <w:rsid w:val="001A1699"/>
    <w:rsid w:val="001A16E9"/>
    <w:rsid w:val="001A17E6"/>
    <w:rsid w:val="001A184C"/>
    <w:rsid w:val="001A1863"/>
    <w:rsid w:val="001A19E6"/>
    <w:rsid w:val="001A1AD3"/>
    <w:rsid w:val="001A1BD7"/>
    <w:rsid w:val="001A1BF1"/>
    <w:rsid w:val="001A1FE7"/>
    <w:rsid w:val="001A2251"/>
    <w:rsid w:val="001A2317"/>
    <w:rsid w:val="001A235C"/>
    <w:rsid w:val="001A2D3A"/>
    <w:rsid w:val="001A2ED3"/>
    <w:rsid w:val="001A3391"/>
    <w:rsid w:val="001A3885"/>
    <w:rsid w:val="001A3F80"/>
    <w:rsid w:val="001A3F84"/>
    <w:rsid w:val="001A410D"/>
    <w:rsid w:val="001A42FA"/>
    <w:rsid w:val="001A461F"/>
    <w:rsid w:val="001A47EA"/>
    <w:rsid w:val="001A4888"/>
    <w:rsid w:val="001A4B2D"/>
    <w:rsid w:val="001A4D10"/>
    <w:rsid w:val="001A4F11"/>
    <w:rsid w:val="001A526F"/>
    <w:rsid w:val="001A54AE"/>
    <w:rsid w:val="001A5602"/>
    <w:rsid w:val="001A5745"/>
    <w:rsid w:val="001A577A"/>
    <w:rsid w:val="001A5879"/>
    <w:rsid w:val="001A58D5"/>
    <w:rsid w:val="001A58E6"/>
    <w:rsid w:val="001A5994"/>
    <w:rsid w:val="001A59BA"/>
    <w:rsid w:val="001A5B05"/>
    <w:rsid w:val="001A5DA4"/>
    <w:rsid w:val="001A5F11"/>
    <w:rsid w:val="001A5F23"/>
    <w:rsid w:val="001A5FBF"/>
    <w:rsid w:val="001A612C"/>
    <w:rsid w:val="001A6206"/>
    <w:rsid w:val="001A65A4"/>
    <w:rsid w:val="001A66C4"/>
    <w:rsid w:val="001A6B4A"/>
    <w:rsid w:val="001A77C8"/>
    <w:rsid w:val="001A78EF"/>
    <w:rsid w:val="001A79FD"/>
    <w:rsid w:val="001B046B"/>
    <w:rsid w:val="001B04BC"/>
    <w:rsid w:val="001B060A"/>
    <w:rsid w:val="001B07EB"/>
    <w:rsid w:val="001B0D81"/>
    <w:rsid w:val="001B0F98"/>
    <w:rsid w:val="001B0FBB"/>
    <w:rsid w:val="001B111C"/>
    <w:rsid w:val="001B1173"/>
    <w:rsid w:val="001B15EC"/>
    <w:rsid w:val="001B1639"/>
    <w:rsid w:val="001B1B4A"/>
    <w:rsid w:val="001B1E08"/>
    <w:rsid w:val="001B20CA"/>
    <w:rsid w:val="001B2659"/>
    <w:rsid w:val="001B2C79"/>
    <w:rsid w:val="001B2D7F"/>
    <w:rsid w:val="001B3079"/>
    <w:rsid w:val="001B30E6"/>
    <w:rsid w:val="001B321A"/>
    <w:rsid w:val="001B337C"/>
    <w:rsid w:val="001B3389"/>
    <w:rsid w:val="001B3507"/>
    <w:rsid w:val="001B3581"/>
    <w:rsid w:val="001B3582"/>
    <w:rsid w:val="001B35AE"/>
    <w:rsid w:val="001B36EE"/>
    <w:rsid w:val="001B389A"/>
    <w:rsid w:val="001B3C7C"/>
    <w:rsid w:val="001B3D24"/>
    <w:rsid w:val="001B3E61"/>
    <w:rsid w:val="001B42C5"/>
    <w:rsid w:val="001B447D"/>
    <w:rsid w:val="001B4CE2"/>
    <w:rsid w:val="001B5074"/>
    <w:rsid w:val="001B5273"/>
    <w:rsid w:val="001B54EF"/>
    <w:rsid w:val="001B59C3"/>
    <w:rsid w:val="001B59EE"/>
    <w:rsid w:val="001B5C5F"/>
    <w:rsid w:val="001B5DDF"/>
    <w:rsid w:val="001B6003"/>
    <w:rsid w:val="001B61DC"/>
    <w:rsid w:val="001B63F2"/>
    <w:rsid w:val="001B64BE"/>
    <w:rsid w:val="001B652A"/>
    <w:rsid w:val="001B6658"/>
    <w:rsid w:val="001B6A22"/>
    <w:rsid w:val="001B6C8C"/>
    <w:rsid w:val="001B6E15"/>
    <w:rsid w:val="001B6EB3"/>
    <w:rsid w:val="001B769E"/>
    <w:rsid w:val="001B7B6C"/>
    <w:rsid w:val="001B7F18"/>
    <w:rsid w:val="001C01AA"/>
    <w:rsid w:val="001C0799"/>
    <w:rsid w:val="001C084E"/>
    <w:rsid w:val="001C0888"/>
    <w:rsid w:val="001C0952"/>
    <w:rsid w:val="001C0A97"/>
    <w:rsid w:val="001C11D4"/>
    <w:rsid w:val="001C17C0"/>
    <w:rsid w:val="001C1921"/>
    <w:rsid w:val="001C1922"/>
    <w:rsid w:val="001C1CBC"/>
    <w:rsid w:val="001C1D77"/>
    <w:rsid w:val="001C2609"/>
    <w:rsid w:val="001C26A4"/>
    <w:rsid w:val="001C289B"/>
    <w:rsid w:val="001C29FE"/>
    <w:rsid w:val="001C2A4C"/>
    <w:rsid w:val="001C2AA6"/>
    <w:rsid w:val="001C2BD4"/>
    <w:rsid w:val="001C2FD3"/>
    <w:rsid w:val="001C35B4"/>
    <w:rsid w:val="001C3BE5"/>
    <w:rsid w:val="001C3CE9"/>
    <w:rsid w:val="001C4748"/>
    <w:rsid w:val="001C47FF"/>
    <w:rsid w:val="001C496C"/>
    <w:rsid w:val="001C4979"/>
    <w:rsid w:val="001C4B3E"/>
    <w:rsid w:val="001C526C"/>
    <w:rsid w:val="001C5378"/>
    <w:rsid w:val="001C5A19"/>
    <w:rsid w:val="001C5B59"/>
    <w:rsid w:val="001C5D16"/>
    <w:rsid w:val="001C5FA2"/>
    <w:rsid w:val="001C5FE6"/>
    <w:rsid w:val="001C64AB"/>
    <w:rsid w:val="001C6AE3"/>
    <w:rsid w:val="001C6F8C"/>
    <w:rsid w:val="001C6FA0"/>
    <w:rsid w:val="001C7309"/>
    <w:rsid w:val="001C748B"/>
    <w:rsid w:val="001C749E"/>
    <w:rsid w:val="001C7580"/>
    <w:rsid w:val="001C77FD"/>
    <w:rsid w:val="001C7B32"/>
    <w:rsid w:val="001C7C58"/>
    <w:rsid w:val="001C7CC5"/>
    <w:rsid w:val="001C7E0E"/>
    <w:rsid w:val="001D005A"/>
    <w:rsid w:val="001D007D"/>
    <w:rsid w:val="001D0472"/>
    <w:rsid w:val="001D0525"/>
    <w:rsid w:val="001D0579"/>
    <w:rsid w:val="001D0820"/>
    <w:rsid w:val="001D0A03"/>
    <w:rsid w:val="001D0D0E"/>
    <w:rsid w:val="001D0EAE"/>
    <w:rsid w:val="001D0F24"/>
    <w:rsid w:val="001D1012"/>
    <w:rsid w:val="001D109B"/>
    <w:rsid w:val="001D1221"/>
    <w:rsid w:val="001D14B5"/>
    <w:rsid w:val="001D160C"/>
    <w:rsid w:val="001D165E"/>
    <w:rsid w:val="001D166B"/>
    <w:rsid w:val="001D191B"/>
    <w:rsid w:val="001D1B1A"/>
    <w:rsid w:val="001D1B1D"/>
    <w:rsid w:val="001D1BEB"/>
    <w:rsid w:val="001D20B4"/>
    <w:rsid w:val="001D21B8"/>
    <w:rsid w:val="001D2516"/>
    <w:rsid w:val="001D2546"/>
    <w:rsid w:val="001D27A7"/>
    <w:rsid w:val="001D2806"/>
    <w:rsid w:val="001D3209"/>
    <w:rsid w:val="001D35FF"/>
    <w:rsid w:val="001D387F"/>
    <w:rsid w:val="001D3AD0"/>
    <w:rsid w:val="001D3CDB"/>
    <w:rsid w:val="001D3D02"/>
    <w:rsid w:val="001D4268"/>
    <w:rsid w:val="001D4290"/>
    <w:rsid w:val="001D4383"/>
    <w:rsid w:val="001D4610"/>
    <w:rsid w:val="001D49D3"/>
    <w:rsid w:val="001D4A9B"/>
    <w:rsid w:val="001D4B1A"/>
    <w:rsid w:val="001D4B2F"/>
    <w:rsid w:val="001D525D"/>
    <w:rsid w:val="001D5261"/>
    <w:rsid w:val="001D5298"/>
    <w:rsid w:val="001D5468"/>
    <w:rsid w:val="001D55AB"/>
    <w:rsid w:val="001D56AB"/>
    <w:rsid w:val="001D5A6A"/>
    <w:rsid w:val="001D5A7A"/>
    <w:rsid w:val="001D5A8B"/>
    <w:rsid w:val="001D5C19"/>
    <w:rsid w:val="001D5F36"/>
    <w:rsid w:val="001D621D"/>
    <w:rsid w:val="001D642A"/>
    <w:rsid w:val="001D67C6"/>
    <w:rsid w:val="001D67D7"/>
    <w:rsid w:val="001D6A27"/>
    <w:rsid w:val="001D6C77"/>
    <w:rsid w:val="001D755B"/>
    <w:rsid w:val="001D7708"/>
    <w:rsid w:val="001D795A"/>
    <w:rsid w:val="001D7A5D"/>
    <w:rsid w:val="001D7AA2"/>
    <w:rsid w:val="001D7AB1"/>
    <w:rsid w:val="001D7B18"/>
    <w:rsid w:val="001D7D48"/>
    <w:rsid w:val="001E00BC"/>
    <w:rsid w:val="001E0299"/>
    <w:rsid w:val="001E03A3"/>
    <w:rsid w:val="001E0491"/>
    <w:rsid w:val="001E04B0"/>
    <w:rsid w:val="001E0574"/>
    <w:rsid w:val="001E0ACD"/>
    <w:rsid w:val="001E0B6B"/>
    <w:rsid w:val="001E0E62"/>
    <w:rsid w:val="001E0F4F"/>
    <w:rsid w:val="001E1344"/>
    <w:rsid w:val="001E1392"/>
    <w:rsid w:val="001E147A"/>
    <w:rsid w:val="001E17B4"/>
    <w:rsid w:val="001E17E0"/>
    <w:rsid w:val="001E199F"/>
    <w:rsid w:val="001E1F83"/>
    <w:rsid w:val="001E23EB"/>
    <w:rsid w:val="001E247E"/>
    <w:rsid w:val="001E29C1"/>
    <w:rsid w:val="001E2A11"/>
    <w:rsid w:val="001E2A48"/>
    <w:rsid w:val="001E2AA7"/>
    <w:rsid w:val="001E2AB3"/>
    <w:rsid w:val="001E2AF7"/>
    <w:rsid w:val="001E2DA3"/>
    <w:rsid w:val="001E2F17"/>
    <w:rsid w:val="001E2F45"/>
    <w:rsid w:val="001E3264"/>
    <w:rsid w:val="001E34AE"/>
    <w:rsid w:val="001E38BD"/>
    <w:rsid w:val="001E3974"/>
    <w:rsid w:val="001E3A86"/>
    <w:rsid w:val="001E3D03"/>
    <w:rsid w:val="001E3DC8"/>
    <w:rsid w:val="001E3E72"/>
    <w:rsid w:val="001E4719"/>
    <w:rsid w:val="001E477A"/>
    <w:rsid w:val="001E47BC"/>
    <w:rsid w:val="001E48A1"/>
    <w:rsid w:val="001E516A"/>
    <w:rsid w:val="001E54AE"/>
    <w:rsid w:val="001E58F1"/>
    <w:rsid w:val="001E5975"/>
    <w:rsid w:val="001E5CA2"/>
    <w:rsid w:val="001E5ED6"/>
    <w:rsid w:val="001E5FD6"/>
    <w:rsid w:val="001E60A8"/>
    <w:rsid w:val="001E65DF"/>
    <w:rsid w:val="001E69EC"/>
    <w:rsid w:val="001E6EC7"/>
    <w:rsid w:val="001E6ED5"/>
    <w:rsid w:val="001E6F04"/>
    <w:rsid w:val="001E6F4E"/>
    <w:rsid w:val="001E70F3"/>
    <w:rsid w:val="001E717A"/>
    <w:rsid w:val="001E72DF"/>
    <w:rsid w:val="001E76C2"/>
    <w:rsid w:val="001E772C"/>
    <w:rsid w:val="001E79EE"/>
    <w:rsid w:val="001E7B2D"/>
    <w:rsid w:val="001E7BA3"/>
    <w:rsid w:val="001E7D77"/>
    <w:rsid w:val="001E7DA1"/>
    <w:rsid w:val="001E7E67"/>
    <w:rsid w:val="001E7F8D"/>
    <w:rsid w:val="001E7FB9"/>
    <w:rsid w:val="001F022C"/>
    <w:rsid w:val="001F0275"/>
    <w:rsid w:val="001F07CA"/>
    <w:rsid w:val="001F10BE"/>
    <w:rsid w:val="001F11F4"/>
    <w:rsid w:val="001F16F7"/>
    <w:rsid w:val="001F1928"/>
    <w:rsid w:val="001F1D8D"/>
    <w:rsid w:val="001F2643"/>
    <w:rsid w:val="001F2772"/>
    <w:rsid w:val="001F27C4"/>
    <w:rsid w:val="001F28E5"/>
    <w:rsid w:val="001F2E96"/>
    <w:rsid w:val="001F3200"/>
    <w:rsid w:val="001F3283"/>
    <w:rsid w:val="001F3455"/>
    <w:rsid w:val="001F34E6"/>
    <w:rsid w:val="001F3D66"/>
    <w:rsid w:val="001F3EB8"/>
    <w:rsid w:val="001F41FA"/>
    <w:rsid w:val="001F4376"/>
    <w:rsid w:val="001F4381"/>
    <w:rsid w:val="001F449F"/>
    <w:rsid w:val="001F44C0"/>
    <w:rsid w:val="001F4519"/>
    <w:rsid w:val="001F453C"/>
    <w:rsid w:val="001F45E5"/>
    <w:rsid w:val="001F4A1B"/>
    <w:rsid w:val="001F505D"/>
    <w:rsid w:val="001F5309"/>
    <w:rsid w:val="001F54C7"/>
    <w:rsid w:val="001F581B"/>
    <w:rsid w:val="001F58F9"/>
    <w:rsid w:val="001F5986"/>
    <w:rsid w:val="001F59A6"/>
    <w:rsid w:val="001F5B9A"/>
    <w:rsid w:val="001F5BF2"/>
    <w:rsid w:val="001F5BF8"/>
    <w:rsid w:val="001F5C03"/>
    <w:rsid w:val="001F6501"/>
    <w:rsid w:val="001F68C7"/>
    <w:rsid w:val="001F6A66"/>
    <w:rsid w:val="001F72DA"/>
    <w:rsid w:val="001F77FE"/>
    <w:rsid w:val="001F7AA1"/>
    <w:rsid w:val="001F7C59"/>
    <w:rsid w:val="001F7C7E"/>
    <w:rsid w:val="0020000D"/>
    <w:rsid w:val="002000AA"/>
    <w:rsid w:val="002001F5"/>
    <w:rsid w:val="0020029C"/>
    <w:rsid w:val="0020029F"/>
    <w:rsid w:val="0020052A"/>
    <w:rsid w:val="0020053C"/>
    <w:rsid w:val="002008D3"/>
    <w:rsid w:val="00200A57"/>
    <w:rsid w:val="00200F15"/>
    <w:rsid w:val="00201A6C"/>
    <w:rsid w:val="00201D95"/>
    <w:rsid w:val="00201FE2"/>
    <w:rsid w:val="00202456"/>
    <w:rsid w:val="00202973"/>
    <w:rsid w:val="00202CDE"/>
    <w:rsid w:val="00202F45"/>
    <w:rsid w:val="0020301C"/>
    <w:rsid w:val="00203205"/>
    <w:rsid w:val="00203594"/>
    <w:rsid w:val="00203949"/>
    <w:rsid w:val="00203A44"/>
    <w:rsid w:val="00203A64"/>
    <w:rsid w:val="00203B08"/>
    <w:rsid w:val="00203C79"/>
    <w:rsid w:val="00204048"/>
    <w:rsid w:val="0020417F"/>
    <w:rsid w:val="002045B2"/>
    <w:rsid w:val="00204726"/>
    <w:rsid w:val="002048CC"/>
    <w:rsid w:val="00205097"/>
    <w:rsid w:val="00205248"/>
    <w:rsid w:val="0020566B"/>
    <w:rsid w:val="0020615F"/>
    <w:rsid w:val="00206427"/>
    <w:rsid w:val="002065B0"/>
    <w:rsid w:val="00206A31"/>
    <w:rsid w:val="00207184"/>
    <w:rsid w:val="002075D8"/>
    <w:rsid w:val="0020782B"/>
    <w:rsid w:val="00207D7F"/>
    <w:rsid w:val="00207FAF"/>
    <w:rsid w:val="0021018E"/>
    <w:rsid w:val="00210211"/>
    <w:rsid w:val="00210297"/>
    <w:rsid w:val="002103E3"/>
    <w:rsid w:val="00210551"/>
    <w:rsid w:val="00210DA8"/>
    <w:rsid w:val="002115E5"/>
    <w:rsid w:val="00211761"/>
    <w:rsid w:val="00211AEB"/>
    <w:rsid w:val="00211B49"/>
    <w:rsid w:val="00211CAE"/>
    <w:rsid w:val="00212203"/>
    <w:rsid w:val="00212274"/>
    <w:rsid w:val="002126DF"/>
    <w:rsid w:val="00212DCE"/>
    <w:rsid w:val="0021305C"/>
    <w:rsid w:val="002131AB"/>
    <w:rsid w:val="002137EF"/>
    <w:rsid w:val="00213957"/>
    <w:rsid w:val="00213C22"/>
    <w:rsid w:val="00213CEA"/>
    <w:rsid w:val="00214805"/>
    <w:rsid w:val="00214867"/>
    <w:rsid w:val="00214C96"/>
    <w:rsid w:val="00214F08"/>
    <w:rsid w:val="00215005"/>
    <w:rsid w:val="002151D7"/>
    <w:rsid w:val="00215248"/>
    <w:rsid w:val="002153A7"/>
    <w:rsid w:val="0021545E"/>
    <w:rsid w:val="0021589F"/>
    <w:rsid w:val="00215A42"/>
    <w:rsid w:val="00215AEC"/>
    <w:rsid w:val="00215B33"/>
    <w:rsid w:val="00215B71"/>
    <w:rsid w:val="00216098"/>
    <w:rsid w:val="0021634A"/>
    <w:rsid w:val="002165F2"/>
    <w:rsid w:val="00216660"/>
    <w:rsid w:val="0021666B"/>
    <w:rsid w:val="00216692"/>
    <w:rsid w:val="002166C1"/>
    <w:rsid w:val="002167AD"/>
    <w:rsid w:val="00216C5C"/>
    <w:rsid w:val="00216F3C"/>
    <w:rsid w:val="00217050"/>
    <w:rsid w:val="00217208"/>
    <w:rsid w:val="002173EA"/>
    <w:rsid w:val="0021746C"/>
    <w:rsid w:val="0021753E"/>
    <w:rsid w:val="00217CC2"/>
    <w:rsid w:val="00220245"/>
    <w:rsid w:val="0022030B"/>
    <w:rsid w:val="0022030F"/>
    <w:rsid w:val="00220BEC"/>
    <w:rsid w:val="00220CBB"/>
    <w:rsid w:val="00221299"/>
    <w:rsid w:val="0022135A"/>
    <w:rsid w:val="002213B9"/>
    <w:rsid w:val="00221623"/>
    <w:rsid w:val="0022195C"/>
    <w:rsid w:val="002219DC"/>
    <w:rsid w:val="00221A3A"/>
    <w:rsid w:val="00221B2F"/>
    <w:rsid w:val="00221D0F"/>
    <w:rsid w:val="00221F3F"/>
    <w:rsid w:val="002220AF"/>
    <w:rsid w:val="0022251F"/>
    <w:rsid w:val="00222593"/>
    <w:rsid w:val="0022283A"/>
    <w:rsid w:val="002229A1"/>
    <w:rsid w:val="002229EF"/>
    <w:rsid w:val="00222B2B"/>
    <w:rsid w:val="00222E07"/>
    <w:rsid w:val="00222E9D"/>
    <w:rsid w:val="0022366B"/>
    <w:rsid w:val="0022369A"/>
    <w:rsid w:val="00223D58"/>
    <w:rsid w:val="00223DA8"/>
    <w:rsid w:val="00223E93"/>
    <w:rsid w:val="002241E3"/>
    <w:rsid w:val="00224575"/>
    <w:rsid w:val="00224593"/>
    <w:rsid w:val="002248AD"/>
    <w:rsid w:val="0022495D"/>
    <w:rsid w:val="00224B14"/>
    <w:rsid w:val="00224D8D"/>
    <w:rsid w:val="00224DF1"/>
    <w:rsid w:val="00224F37"/>
    <w:rsid w:val="0022511D"/>
    <w:rsid w:val="00225149"/>
    <w:rsid w:val="00225185"/>
    <w:rsid w:val="002253CA"/>
    <w:rsid w:val="00225867"/>
    <w:rsid w:val="00225F66"/>
    <w:rsid w:val="002260BE"/>
    <w:rsid w:val="00226225"/>
    <w:rsid w:val="002263EC"/>
    <w:rsid w:val="002265AB"/>
    <w:rsid w:val="002269ED"/>
    <w:rsid w:val="00226C49"/>
    <w:rsid w:val="00226E37"/>
    <w:rsid w:val="00226EA9"/>
    <w:rsid w:val="00226F49"/>
    <w:rsid w:val="00227254"/>
    <w:rsid w:val="002275A3"/>
    <w:rsid w:val="002275C6"/>
    <w:rsid w:val="00227AFB"/>
    <w:rsid w:val="00227D3C"/>
    <w:rsid w:val="002301DF"/>
    <w:rsid w:val="002307EE"/>
    <w:rsid w:val="00230829"/>
    <w:rsid w:val="00230FE3"/>
    <w:rsid w:val="00231027"/>
    <w:rsid w:val="002310AF"/>
    <w:rsid w:val="00231103"/>
    <w:rsid w:val="00231829"/>
    <w:rsid w:val="00231E4A"/>
    <w:rsid w:val="00232107"/>
    <w:rsid w:val="0023237B"/>
    <w:rsid w:val="00232768"/>
    <w:rsid w:val="00232903"/>
    <w:rsid w:val="00232990"/>
    <w:rsid w:val="002329DE"/>
    <w:rsid w:val="00232AFD"/>
    <w:rsid w:val="00232F64"/>
    <w:rsid w:val="0023346F"/>
    <w:rsid w:val="00233890"/>
    <w:rsid w:val="002338E0"/>
    <w:rsid w:val="00233E0F"/>
    <w:rsid w:val="00233E5B"/>
    <w:rsid w:val="00233EBC"/>
    <w:rsid w:val="00234081"/>
    <w:rsid w:val="0023423C"/>
    <w:rsid w:val="00234284"/>
    <w:rsid w:val="0023446D"/>
    <w:rsid w:val="002347E2"/>
    <w:rsid w:val="00234E97"/>
    <w:rsid w:val="00234FC8"/>
    <w:rsid w:val="00235254"/>
    <w:rsid w:val="002359F6"/>
    <w:rsid w:val="00235ADC"/>
    <w:rsid w:val="00235B79"/>
    <w:rsid w:val="00235BB5"/>
    <w:rsid w:val="00235BBC"/>
    <w:rsid w:val="00235D94"/>
    <w:rsid w:val="00235E66"/>
    <w:rsid w:val="00235F10"/>
    <w:rsid w:val="002361F8"/>
    <w:rsid w:val="00236305"/>
    <w:rsid w:val="00236403"/>
    <w:rsid w:val="00236659"/>
    <w:rsid w:val="0023689E"/>
    <w:rsid w:val="002368F5"/>
    <w:rsid w:val="00236AD0"/>
    <w:rsid w:val="00236D00"/>
    <w:rsid w:val="00237172"/>
    <w:rsid w:val="002375C6"/>
    <w:rsid w:val="002377B2"/>
    <w:rsid w:val="00237908"/>
    <w:rsid w:val="00237B20"/>
    <w:rsid w:val="00237B38"/>
    <w:rsid w:val="00237D48"/>
    <w:rsid w:val="00237F6B"/>
    <w:rsid w:val="002400ED"/>
    <w:rsid w:val="00240314"/>
    <w:rsid w:val="002403E4"/>
    <w:rsid w:val="002404EB"/>
    <w:rsid w:val="00240855"/>
    <w:rsid w:val="00240915"/>
    <w:rsid w:val="00240AB6"/>
    <w:rsid w:val="00240C26"/>
    <w:rsid w:val="00240DA1"/>
    <w:rsid w:val="00240FF5"/>
    <w:rsid w:val="002415A9"/>
    <w:rsid w:val="002416CB"/>
    <w:rsid w:val="00241900"/>
    <w:rsid w:val="00241915"/>
    <w:rsid w:val="00241A41"/>
    <w:rsid w:val="00241B80"/>
    <w:rsid w:val="00241B87"/>
    <w:rsid w:val="00241D96"/>
    <w:rsid w:val="00241F49"/>
    <w:rsid w:val="0024201A"/>
    <w:rsid w:val="002424F6"/>
    <w:rsid w:val="00242891"/>
    <w:rsid w:val="00243480"/>
    <w:rsid w:val="00243540"/>
    <w:rsid w:val="0024354C"/>
    <w:rsid w:val="00243883"/>
    <w:rsid w:val="00243908"/>
    <w:rsid w:val="00243DD7"/>
    <w:rsid w:val="00243EAE"/>
    <w:rsid w:val="002440E7"/>
    <w:rsid w:val="00244246"/>
    <w:rsid w:val="0024456B"/>
    <w:rsid w:val="00244A54"/>
    <w:rsid w:val="00244B00"/>
    <w:rsid w:val="00244C4E"/>
    <w:rsid w:val="0024517D"/>
    <w:rsid w:val="002452EC"/>
    <w:rsid w:val="00245C00"/>
    <w:rsid w:val="00245D7C"/>
    <w:rsid w:val="00245EB4"/>
    <w:rsid w:val="00246133"/>
    <w:rsid w:val="002467C2"/>
    <w:rsid w:val="00246A06"/>
    <w:rsid w:val="00246C99"/>
    <w:rsid w:val="00246D38"/>
    <w:rsid w:val="00246DC5"/>
    <w:rsid w:val="0024724C"/>
    <w:rsid w:val="002475D8"/>
    <w:rsid w:val="0024791D"/>
    <w:rsid w:val="00247D9F"/>
    <w:rsid w:val="00247ED5"/>
    <w:rsid w:val="00247EE0"/>
    <w:rsid w:val="00247EE6"/>
    <w:rsid w:val="00247FAB"/>
    <w:rsid w:val="0025053A"/>
    <w:rsid w:val="00250A87"/>
    <w:rsid w:val="00250CCF"/>
    <w:rsid w:val="00250E46"/>
    <w:rsid w:val="00250E73"/>
    <w:rsid w:val="00250FB0"/>
    <w:rsid w:val="00251021"/>
    <w:rsid w:val="002512C7"/>
    <w:rsid w:val="002513C0"/>
    <w:rsid w:val="002515B7"/>
    <w:rsid w:val="0025182D"/>
    <w:rsid w:val="00251B77"/>
    <w:rsid w:val="00251F75"/>
    <w:rsid w:val="00252170"/>
    <w:rsid w:val="002525A7"/>
    <w:rsid w:val="002529E2"/>
    <w:rsid w:val="00252F0E"/>
    <w:rsid w:val="0025322A"/>
    <w:rsid w:val="00253695"/>
    <w:rsid w:val="002537BC"/>
    <w:rsid w:val="00253895"/>
    <w:rsid w:val="002543A2"/>
    <w:rsid w:val="00254511"/>
    <w:rsid w:val="00254860"/>
    <w:rsid w:val="002548FA"/>
    <w:rsid w:val="00254968"/>
    <w:rsid w:val="002549A2"/>
    <w:rsid w:val="00254D4B"/>
    <w:rsid w:val="00255116"/>
    <w:rsid w:val="0025512D"/>
    <w:rsid w:val="00255610"/>
    <w:rsid w:val="002557E9"/>
    <w:rsid w:val="00255D65"/>
    <w:rsid w:val="002561F5"/>
    <w:rsid w:val="002566D0"/>
    <w:rsid w:val="002567E8"/>
    <w:rsid w:val="00256A3B"/>
    <w:rsid w:val="002570FB"/>
    <w:rsid w:val="00257169"/>
    <w:rsid w:val="0025779A"/>
    <w:rsid w:val="00257800"/>
    <w:rsid w:val="0025782B"/>
    <w:rsid w:val="00257DA7"/>
    <w:rsid w:val="00257E7F"/>
    <w:rsid w:val="0026018A"/>
    <w:rsid w:val="00260280"/>
    <w:rsid w:val="00260555"/>
    <w:rsid w:val="00260B7E"/>
    <w:rsid w:val="00260BE1"/>
    <w:rsid w:val="00260F70"/>
    <w:rsid w:val="00260F9B"/>
    <w:rsid w:val="00261567"/>
    <w:rsid w:val="00261598"/>
    <w:rsid w:val="0026160B"/>
    <w:rsid w:val="0026222F"/>
    <w:rsid w:val="002623BF"/>
    <w:rsid w:val="002626F8"/>
    <w:rsid w:val="00262A20"/>
    <w:rsid w:val="00262EB5"/>
    <w:rsid w:val="0026352C"/>
    <w:rsid w:val="002636E6"/>
    <w:rsid w:val="002638A1"/>
    <w:rsid w:val="002638EE"/>
    <w:rsid w:val="00263A5B"/>
    <w:rsid w:val="00263F83"/>
    <w:rsid w:val="00263FEC"/>
    <w:rsid w:val="00264189"/>
    <w:rsid w:val="00264374"/>
    <w:rsid w:val="002644C9"/>
    <w:rsid w:val="00264690"/>
    <w:rsid w:val="0026487A"/>
    <w:rsid w:val="002648B3"/>
    <w:rsid w:val="00264935"/>
    <w:rsid w:val="0026498B"/>
    <w:rsid w:val="00264B35"/>
    <w:rsid w:val="00264B7E"/>
    <w:rsid w:val="00264C6B"/>
    <w:rsid w:val="002651B6"/>
    <w:rsid w:val="002653A6"/>
    <w:rsid w:val="00265559"/>
    <w:rsid w:val="00265716"/>
    <w:rsid w:val="00265947"/>
    <w:rsid w:val="00265A59"/>
    <w:rsid w:val="00265A95"/>
    <w:rsid w:val="00265D4C"/>
    <w:rsid w:val="00265D85"/>
    <w:rsid w:val="00265EBA"/>
    <w:rsid w:val="00265F23"/>
    <w:rsid w:val="00266492"/>
    <w:rsid w:val="002665D8"/>
    <w:rsid w:val="002666CC"/>
    <w:rsid w:val="002666CD"/>
    <w:rsid w:val="0026682C"/>
    <w:rsid w:val="00266DFB"/>
    <w:rsid w:val="00266E75"/>
    <w:rsid w:val="002673CE"/>
    <w:rsid w:val="002674F0"/>
    <w:rsid w:val="0026764E"/>
    <w:rsid w:val="00267C0C"/>
    <w:rsid w:val="002701C2"/>
    <w:rsid w:val="00270232"/>
    <w:rsid w:val="00270338"/>
    <w:rsid w:val="00270914"/>
    <w:rsid w:val="00270C64"/>
    <w:rsid w:val="00270EBC"/>
    <w:rsid w:val="00271742"/>
    <w:rsid w:val="0027190A"/>
    <w:rsid w:val="00271EE6"/>
    <w:rsid w:val="002722CE"/>
    <w:rsid w:val="00272B83"/>
    <w:rsid w:val="00272DCB"/>
    <w:rsid w:val="00272F3D"/>
    <w:rsid w:val="002731B4"/>
    <w:rsid w:val="002737BF"/>
    <w:rsid w:val="002739A4"/>
    <w:rsid w:val="00273AE7"/>
    <w:rsid w:val="00273BCD"/>
    <w:rsid w:val="00273F17"/>
    <w:rsid w:val="00273F76"/>
    <w:rsid w:val="0027437C"/>
    <w:rsid w:val="0027441A"/>
    <w:rsid w:val="00274BA8"/>
    <w:rsid w:val="00274E0B"/>
    <w:rsid w:val="00275100"/>
    <w:rsid w:val="00275140"/>
    <w:rsid w:val="0027514B"/>
    <w:rsid w:val="002751E6"/>
    <w:rsid w:val="002759D5"/>
    <w:rsid w:val="00275AF0"/>
    <w:rsid w:val="00275B16"/>
    <w:rsid w:val="0027613E"/>
    <w:rsid w:val="002764E8"/>
    <w:rsid w:val="00276AC8"/>
    <w:rsid w:val="00276CCF"/>
    <w:rsid w:val="00276D55"/>
    <w:rsid w:val="00277106"/>
    <w:rsid w:val="00277324"/>
    <w:rsid w:val="0027747A"/>
    <w:rsid w:val="002777CC"/>
    <w:rsid w:val="00277935"/>
    <w:rsid w:val="00277A59"/>
    <w:rsid w:val="00277AEA"/>
    <w:rsid w:val="002800CF"/>
    <w:rsid w:val="002801E0"/>
    <w:rsid w:val="0028068A"/>
    <w:rsid w:val="002806A4"/>
    <w:rsid w:val="00280849"/>
    <w:rsid w:val="00280996"/>
    <w:rsid w:val="00280DC7"/>
    <w:rsid w:val="00280F86"/>
    <w:rsid w:val="00280FED"/>
    <w:rsid w:val="00280FFF"/>
    <w:rsid w:val="00281012"/>
    <w:rsid w:val="00281077"/>
    <w:rsid w:val="002810A7"/>
    <w:rsid w:val="002813E2"/>
    <w:rsid w:val="00281433"/>
    <w:rsid w:val="00281886"/>
    <w:rsid w:val="00281B56"/>
    <w:rsid w:val="00281BD3"/>
    <w:rsid w:val="00281D42"/>
    <w:rsid w:val="00281EB5"/>
    <w:rsid w:val="00282017"/>
    <w:rsid w:val="002821D2"/>
    <w:rsid w:val="002822A1"/>
    <w:rsid w:val="002824C6"/>
    <w:rsid w:val="002826D0"/>
    <w:rsid w:val="0028270F"/>
    <w:rsid w:val="002827C1"/>
    <w:rsid w:val="0028285A"/>
    <w:rsid w:val="002828F0"/>
    <w:rsid w:val="00282A25"/>
    <w:rsid w:val="00282AC2"/>
    <w:rsid w:val="00282CB5"/>
    <w:rsid w:val="00282ED4"/>
    <w:rsid w:val="002834A6"/>
    <w:rsid w:val="002835AB"/>
    <w:rsid w:val="00283689"/>
    <w:rsid w:val="0028383C"/>
    <w:rsid w:val="00283DD2"/>
    <w:rsid w:val="00283F9D"/>
    <w:rsid w:val="00284333"/>
    <w:rsid w:val="002846BC"/>
    <w:rsid w:val="0028495A"/>
    <w:rsid w:val="00284BEC"/>
    <w:rsid w:val="00284CA4"/>
    <w:rsid w:val="00284E19"/>
    <w:rsid w:val="00284F59"/>
    <w:rsid w:val="00285297"/>
    <w:rsid w:val="00285A96"/>
    <w:rsid w:val="00285D42"/>
    <w:rsid w:val="00285EAE"/>
    <w:rsid w:val="00286357"/>
    <w:rsid w:val="002863B3"/>
    <w:rsid w:val="00286B06"/>
    <w:rsid w:val="00286B43"/>
    <w:rsid w:val="00286B99"/>
    <w:rsid w:val="00286D7B"/>
    <w:rsid w:val="00286E6E"/>
    <w:rsid w:val="0028722B"/>
    <w:rsid w:val="002877EE"/>
    <w:rsid w:val="002879CA"/>
    <w:rsid w:val="00287A70"/>
    <w:rsid w:val="00287AD3"/>
    <w:rsid w:val="00287BCD"/>
    <w:rsid w:val="002900EE"/>
    <w:rsid w:val="00290162"/>
    <w:rsid w:val="002901D7"/>
    <w:rsid w:val="002909C4"/>
    <w:rsid w:val="00290B2A"/>
    <w:rsid w:val="00290CBB"/>
    <w:rsid w:val="00290D87"/>
    <w:rsid w:val="00290E66"/>
    <w:rsid w:val="00291599"/>
    <w:rsid w:val="00291810"/>
    <w:rsid w:val="00291916"/>
    <w:rsid w:val="00291B17"/>
    <w:rsid w:val="00291C2C"/>
    <w:rsid w:val="00291D26"/>
    <w:rsid w:val="00292178"/>
    <w:rsid w:val="00292310"/>
    <w:rsid w:val="002923F7"/>
    <w:rsid w:val="002924F6"/>
    <w:rsid w:val="00292524"/>
    <w:rsid w:val="002926D2"/>
    <w:rsid w:val="002927E0"/>
    <w:rsid w:val="00292826"/>
    <w:rsid w:val="00292DA8"/>
    <w:rsid w:val="0029320C"/>
    <w:rsid w:val="00293316"/>
    <w:rsid w:val="002935A6"/>
    <w:rsid w:val="002935CF"/>
    <w:rsid w:val="00293612"/>
    <w:rsid w:val="002938AF"/>
    <w:rsid w:val="002939F5"/>
    <w:rsid w:val="00293B38"/>
    <w:rsid w:val="00293CAA"/>
    <w:rsid w:val="002940E2"/>
    <w:rsid w:val="00294618"/>
    <w:rsid w:val="0029461B"/>
    <w:rsid w:val="00294B38"/>
    <w:rsid w:val="00294B98"/>
    <w:rsid w:val="00294D48"/>
    <w:rsid w:val="00294ED3"/>
    <w:rsid w:val="00294FD4"/>
    <w:rsid w:val="00295090"/>
    <w:rsid w:val="00295127"/>
    <w:rsid w:val="002951D7"/>
    <w:rsid w:val="00295424"/>
    <w:rsid w:val="0029580F"/>
    <w:rsid w:val="00295C44"/>
    <w:rsid w:val="002960CF"/>
    <w:rsid w:val="002961E9"/>
    <w:rsid w:val="0029671B"/>
    <w:rsid w:val="0029683F"/>
    <w:rsid w:val="00296A7A"/>
    <w:rsid w:val="00296BEF"/>
    <w:rsid w:val="00296F92"/>
    <w:rsid w:val="00296FBE"/>
    <w:rsid w:val="0029709A"/>
    <w:rsid w:val="00297699"/>
    <w:rsid w:val="0029772E"/>
    <w:rsid w:val="00297BC6"/>
    <w:rsid w:val="00297EB6"/>
    <w:rsid w:val="002A00D4"/>
    <w:rsid w:val="002A05EA"/>
    <w:rsid w:val="002A0C6B"/>
    <w:rsid w:val="002A0E12"/>
    <w:rsid w:val="002A0E97"/>
    <w:rsid w:val="002A0F58"/>
    <w:rsid w:val="002A1141"/>
    <w:rsid w:val="002A11D5"/>
    <w:rsid w:val="002A11D9"/>
    <w:rsid w:val="002A13AE"/>
    <w:rsid w:val="002A1404"/>
    <w:rsid w:val="002A15FC"/>
    <w:rsid w:val="002A1622"/>
    <w:rsid w:val="002A1691"/>
    <w:rsid w:val="002A18C1"/>
    <w:rsid w:val="002A19AD"/>
    <w:rsid w:val="002A1A53"/>
    <w:rsid w:val="002A1B95"/>
    <w:rsid w:val="002A21CF"/>
    <w:rsid w:val="002A25F7"/>
    <w:rsid w:val="002A295B"/>
    <w:rsid w:val="002A296A"/>
    <w:rsid w:val="002A3733"/>
    <w:rsid w:val="002A3806"/>
    <w:rsid w:val="002A3A2E"/>
    <w:rsid w:val="002A3ABC"/>
    <w:rsid w:val="002A3D2A"/>
    <w:rsid w:val="002A403A"/>
    <w:rsid w:val="002A4453"/>
    <w:rsid w:val="002A4466"/>
    <w:rsid w:val="002A4738"/>
    <w:rsid w:val="002A49E8"/>
    <w:rsid w:val="002A4B84"/>
    <w:rsid w:val="002A4FAF"/>
    <w:rsid w:val="002A5149"/>
    <w:rsid w:val="002A589A"/>
    <w:rsid w:val="002A5C45"/>
    <w:rsid w:val="002A5F72"/>
    <w:rsid w:val="002A6032"/>
    <w:rsid w:val="002A621F"/>
    <w:rsid w:val="002A62F7"/>
    <w:rsid w:val="002A6794"/>
    <w:rsid w:val="002A685A"/>
    <w:rsid w:val="002A6A70"/>
    <w:rsid w:val="002A6AF5"/>
    <w:rsid w:val="002A7520"/>
    <w:rsid w:val="002A7721"/>
    <w:rsid w:val="002A7745"/>
    <w:rsid w:val="002A7778"/>
    <w:rsid w:val="002A77E6"/>
    <w:rsid w:val="002A78EE"/>
    <w:rsid w:val="002A793E"/>
    <w:rsid w:val="002A7B50"/>
    <w:rsid w:val="002A7B72"/>
    <w:rsid w:val="002A7C24"/>
    <w:rsid w:val="002B0099"/>
    <w:rsid w:val="002B029F"/>
    <w:rsid w:val="002B04E2"/>
    <w:rsid w:val="002B05D3"/>
    <w:rsid w:val="002B08B3"/>
    <w:rsid w:val="002B0921"/>
    <w:rsid w:val="002B1041"/>
    <w:rsid w:val="002B179F"/>
    <w:rsid w:val="002B1D29"/>
    <w:rsid w:val="002B1FD4"/>
    <w:rsid w:val="002B23E4"/>
    <w:rsid w:val="002B284E"/>
    <w:rsid w:val="002B30BD"/>
    <w:rsid w:val="002B3193"/>
    <w:rsid w:val="002B33F3"/>
    <w:rsid w:val="002B33FB"/>
    <w:rsid w:val="002B37AF"/>
    <w:rsid w:val="002B382D"/>
    <w:rsid w:val="002B3C01"/>
    <w:rsid w:val="002B3C11"/>
    <w:rsid w:val="002B4119"/>
    <w:rsid w:val="002B4173"/>
    <w:rsid w:val="002B418D"/>
    <w:rsid w:val="002B4193"/>
    <w:rsid w:val="002B4498"/>
    <w:rsid w:val="002B5039"/>
    <w:rsid w:val="002B548B"/>
    <w:rsid w:val="002B55B8"/>
    <w:rsid w:val="002B5822"/>
    <w:rsid w:val="002B588D"/>
    <w:rsid w:val="002B5F35"/>
    <w:rsid w:val="002B6774"/>
    <w:rsid w:val="002B67AB"/>
    <w:rsid w:val="002B71C0"/>
    <w:rsid w:val="002B765B"/>
    <w:rsid w:val="002B778A"/>
    <w:rsid w:val="002B7836"/>
    <w:rsid w:val="002B7A6E"/>
    <w:rsid w:val="002B7CF6"/>
    <w:rsid w:val="002B7DBD"/>
    <w:rsid w:val="002C0298"/>
    <w:rsid w:val="002C02C3"/>
    <w:rsid w:val="002C0625"/>
    <w:rsid w:val="002C0DB9"/>
    <w:rsid w:val="002C136F"/>
    <w:rsid w:val="002C14F0"/>
    <w:rsid w:val="002C1552"/>
    <w:rsid w:val="002C180E"/>
    <w:rsid w:val="002C1A34"/>
    <w:rsid w:val="002C1A90"/>
    <w:rsid w:val="002C1D60"/>
    <w:rsid w:val="002C1F19"/>
    <w:rsid w:val="002C1F63"/>
    <w:rsid w:val="002C23BB"/>
    <w:rsid w:val="002C24FB"/>
    <w:rsid w:val="002C2598"/>
    <w:rsid w:val="002C25C5"/>
    <w:rsid w:val="002C2808"/>
    <w:rsid w:val="002C2959"/>
    <w:rsid w:val="002C30E1"/>
    <w:rsid w:val="002C3800"/>
    <w:rsid w:val="002C3949"/>
    <w:rsid w:val="002C408D"/>
    <w:rsid w:val="002C42EC"/>
    <w:rsid w:val="002C44DC"/>
    <w:rsid w:val="002C4591"/>
    <w:rsid w:val="002C4B33"/>
    <w:rsid w:val="002C4BE9"/>
    <w:rsid w:val="002C4DCA"/>
    <w:rsid w:val="002C4FC9"/>
    <w:rsid w:val="002C5300"/>
    <w:rsid w:val="002C5598"/>
    <w:rsid w:val="002C5940"/>
    <w:rsid w:val="002C5A8A"/>
    <w:rsid w:val="002C5DFF"/>
    <w:rsid w:val="002C5E51"/>
    <w:rsid w:val="002C5F19"/>
    <w:rsid w:val="002C60FF"/>
    <w:rsid w:val="002C6196"/>
    <w:rsid w:val="002C6490"/>
    <w:rsid w:val="002C65E0"/>
    <w:rsid w:val="002C65FB"/>
    <w:rsid w:val="002C68A4"/>
    <w:rsid w:val="002C69B9"/>
    <w:rsid w:val="002C6EC0"/>
    <w:rsid w:val="002C7018"/>
    <w:rsid w:val="002C7116"/>
    <w:rsid w:val="002C7445"/>
    <w:rsid w:val="002C76F4"/>
    <w:rsid w:val="002C789E"/>
    <w:rsid w:val="002C792F"/>
    <w:rsid w:val="002C7CBB"/>
    <w:rsid w:val="002D0137"/>
    <w:rsid w:val="002D01B6"/>
    <w:rsid w:val="002D02AB"/>
    <w:rsid w:val="002D05A0"/>
    <w:rsid w:val="002D06DC"/>
    <w:rsid w:val="002D0725"/>
    <w:rsid w:val="002D0A22"/>
    <w:rsid w:val="002D0C61"/>
    <w:rsid w:val="002D0D45"/>
    <w:rsid w:val="002D1718"/>
    <w:rsid w:val="002D18DE"/>
    <w:rsid w:val="002D1ACE"/>
    <w:rsid w:val="002D1C81"/>
    <w:rsid w:val="002D2014"/>
    <w:rsid w:val="002D2455"/>
    <w:rsid w:val="002D24AB"/>
    <w:rsid w:val="002D2840"/>
    <w:rsid w:val="002D29FE"/>
    <w:rsid w:val="002D2C4E"/>
    <w:rsid w:val="002D3077"/>
    <w:rsid w:val="002D3676"/>
    <w:rsid w:val="002D37EF"/>
    <w:rsid w:val="002D37F6"/>
    <w:rsid w:val="002D3811"/>
    <w:rsid w:val="002D3AC1"/>
    <w:rsid w:val="002D3CDA"/>
    <w:rsid w:val="002D3CE7"/>
    <w:rsid w:val="002D3E70"/>
    <w:rsid w:val="002D42F6"/>
    <w:rsid w:val="002D45F8"/>
    <w:rsid w:val="002D485E"/>
    <w:rsid w:val="002D4CCA"/>
    <w:rsid w:val="002D4D76"/>
    <w:rsid w:val="002D4E8D"/>
    <w:rsid w:val="002D4EFA"/>
    <w:rsid w:val="002D5126"/>
    <w:rsid w:val="002D517B"/>
    <w:rsid w:val="002D53D9"/>
    <w:rsid w:val="002D5A1E"/>
    <w:rsid w:val="002D61B9"/>
    <w:rsid w:val="002D627B"/>
    <w:rsid w:val="002D6679"/>
    <w:rsid w:val="002D67D5"/>
    <w:rsid w:val="002D6CC4"/>
    <w:rsid w:val="002D6FD2"/>
    <w:rsid w:val="002D7220"/>
    <w:rsid w:val="002D7571"/>
    <w:rsid w:val="002D782A"/>
    <w:rsid w:val="002D7D9C"/>
    <w:rsid w:val="002D7E67"/>
    <w:rsid w:val="002E0449"/>
    <w:rsid w:val="002E0453"/>
    <w:rsid w:val="002E05C4"/>
    <w:rsid w:val="002E09DF"/>
    <w:rsid w:val="002E0B07"/>
    <w:rsid w:val="002E0B43"/>
    <w:rsid w:val="002E103E"/>
    <w:rsid w:val="002E114A"/>
    <w:rsid w:val="002E140B"/>
    <w:rsid w:val="002E151A"/>
    <w:rsid w:val="002E1843"/>
    <w:rsid w:val="002E1898"/>
    <w:rsid w:val="002E1DCD"/>
    <w:rsid w:val="002E1EC4"/>
    <w:rsid w:val="002E205D"/>
    <w:rsid w:val="002E206C"/>
    <w:rsid w:val="002E20B7"/>
    <w:rsid w:val="002E22F0"/>
    <w:rsid w:val="002E2628"/>
    <w:rsid w:val="002E27CC"/>
    <w:rsid w:val="002E280C"/>
    <w:rsid w:val="002E2AE4"/>
    <w:rsid w:val="002E2D86"/>
    <w:rsid w:val="002E2FEE"/>
    <w:rsid w:val="002E36CD"/>
    <w:rsid w:val="002E3942"/>
    <w:rsid w:val="002E43D9"/>
    <w:rsid w:val="002E4431"/>
    <w:rsid w:val="002E448E"/>
    <w:rsid w:val="002E44E9"/>
    <w:rsid w:val="002E454B"/>
    <w:rsid w:val="002E45DE"/>
    <w:rsid w:val="002E4882"/>
    <w:rsid w:val="002E48BF"/>
    <w:rsid w:val="002E4AF2"/>
    <w:rsid w:val="002E4DB7"/>
    <w:rsid w:val="002E4DEE"/>
    <w:rsid w:val="002E4E30"/>
    <w:rsid w:val="002E504F"/>
    <w:rsid w:val="002E525C"/>
    <w:rsid w:val="002E535F"/>
    <w:rsid w:val="002E5CE4"/>
    <w:rsid w:val="002E5DE6"/>
    <w:rsid w:val="002E5E15"/>
    <w:rsid w:val="002E66D7"/>
    <w:rsid w:val="002E7134"/>
    <w:rsid w:val="002E71C8"/>
    <w:rsid w:val="002E7433"/>
    <w:rsid w:val="002E7532"/>
    <w:rsid w:val="002E76EC"/>
    <w:rsid w:val="002E7753"/>
    <w:rsid w:val="002E7BD9"/>
    <w:rsid w:val="002E7BEB"/>
    <w:rsid w:val="002E7D6C"/>
    <w:rsid w:val="002F001D"/>
    <w:rsid w:val="002F032A"/>
    <w:rsid w:val="002F0389"/>
    <w:rsid w:val="002F0472"/>
    <w:rsid w:val="002F05A1"/>
    <w:rsid w:val="002F07A6"/>
    <w:rsid w:val="002F0860"/>
    <w:rsid w:val="002F123C"/>
    <w:rsid w:val="002F16B5"/>
    <w:rsid w:val="002F16F5"/>
    <w:rsid w:val="002F1730"/>
    <w:rsid w:val="002F1ACD"/>
    <w:rsid w:val="002F1B19"/>
    <w:rsid w:val="002F1F38"/>
    <w:rsid w:val="002F2017"/>
    <w:rsid w:val="002F2043"/>
    <w:rsid w:val="002F21B2"/>
    <w:rsid w:val="002F2448"/>
    <w:rsid w:val="002F25B8"/>
    <w:rsid w:val="002F26B7"/>
    <w:rsid w:val="002F28D9"/>
    <w:rsid w:val="002F2A6F"/>
    <w:rsid w:val="002F2C62"/>
    <w:rsid w:val="002F328F"/>
    <w:rsid w:val="002F3416"/>
    <w:rsid w:val="002F389F"/>
    <w:rsid w:val="002F3F6E"/>
    <w:rsid w:val="002F4206"/>
    <w:rsid w:val="002F421E"/>
    <w:rsid w:val="002F43C1"/>
    <w:rsid w:val="002F448D"/>
    <w:rsid w:val="002F4AF5"/>
    <w:rsid w:val="002F4E3B"/>
    <w:rsid w:val="002F5086"/>
    <w:rsid w:val="002F50CC"/>
    <w:rsid w:val="002F51F7"/>
    <w:rsid w:val="002F5345"/>
    <w:rsid w:val="002F53C2"/>
    <w:rsid w:val="002F56A0"/>
    <w:rsid w:val="002F5C29"/>
    <w:rsid w:val="002F5E0D"/>
    <w:rsid w:val="002F6061"/>
    <w:rsid w:val="002F60CE"/>
    <w:rsid w:val="002F6253"/>
    <w:rsid w:val="002F633B"/>
    <w:rsid w:val="002F665F"/>
    <w:rsid w:val="002F6BD6"/>
    <w:rsid w:val="002F7161"/>
    <w:rsid w:val="002F7387"/>
    <w:rsid w:val="002F73A8"/>
    <w:rsid w:val="002F7423"/>
    <w:rsid w:val="002F7645"/>
    <w:rsid w:val="002F7AAD"/>
    <w:rsid w:val="00300533"/>
    <w:rsid w:val="00300D8C"/>
    <w:rsid w:val="00301208"/>
    <w:rsid w:val="00301272"/>
    <w:rsid w:val="00301332"/>
    <w:rsid w:val="003013C2"/>
    <w:rsid w:val="003016D9"/>
    <w:rsid w:val="00301956"/>
    <w:rsid w:val="00301D77"/>
    <w:rsid w:val="00301E9B"/>
    <w:rsid w:val="00302076"/>
    <w:rsid w:val="003024E5"/>
    <w:rsid w:val="003026E5"/>
    <w:rsid w:val="00302740"/>
    <w:rsid w:val="00302C6F"/>
    <w:rsid w:val="00302DD6"/>
    <w:rsid w:val="00303349"/>
    <w:rsid w:val="00303609"/>
    <w:rsid w:val="00303A0E"/>
    <w:rsid w:val="00303B17"/>
    <w:rsid w:val="00303E3E"/>
    <w:rsid w:val="00303E40"/>
    <w:rsid w:val="00303E50"/>
    <w:rsid w:val="00303EF7"/>
    <w:rsid w:val="00303F94"/>
    <w:rsid w:val="00304034"/>
    <w:rsid w:val="0030410D"/>
    <w:rsid w:val="003046F3"/>
    <w:rsid w:val="00304832"/>
    <w:rsid w:val="003048C7"/>
    <w:rsid w:val="00304A23"/>
    <w:rsid w:val="00304AF5"/>
    <w:rsid w:val="00304B8A"/>
    <w:rsid w:val="00304EE2"/>
    <w:rsid w:val="00304F28"/>
    <w:rsid w:val="00305302"/>
    <w:rsid w:val="00305406"/>
    <w:rsid w:val="00305952"/>
    <w:rsid w:val="003059EA"/>
    <w:rsid w:val="00305B7A"/>
    <w:rsid w:val="00305C70"/>
    <w:rsid w:val="00305E72"/>
    <w:rsid w:val="00305F93"/>
    <w:rsid w:val="00306038"/>
    <w:rsid w:val="0030635B"/>
    <w:rsid w:val="00306387"/>
    <w:rsid w:val="003066EC"/>
    <w:rsid w:val="0030698A"/>
    <w:rsid w:val="00306A43"/>
    <w:rsid w:val="00306B7F"/>
    <w:rsid w:val="00306CA2"/>
    <w:rsid w:val="003073A9"/>
    <w:rsid w:val="003079CC"/>
    <w:rsid w:val="00307F17"/>
    <w:rsid w:val="00310001"/>
    <w:rsid w:val="003106B0"/>
    <w:rsid w:val="00310733"/>
    <w:rsid w:val="00310A59"/>
    <w:rsid w:val="00310E03"/>
    <w:rsid w:val="00310E57"/>
    <w:rsid w:val="00310E79"/>
    <w:rsid w:val="00311262"/>
    <w:rsid w:val="003112E4"/>
    <w:rsid w:val="003113E2"/>
    <w:rsid w:val="0031148E"/>
    <w:rsid w:val="003115A7"/>
    <w:rsid w:val="00311856"/>
    <w:rsid w:val="00311C2E"/>
    <w:rsid w:val="00311F04"/>
    <w:rsid w:val="00312A53"/>
    <w:rsid w:val="00312D57"/>
    <w:rsid w:val="00312E94"/>
    <w:rsid w:val="00312F58"/>
    <w:rsid w:val="003131FA"/>
    <w:rsid w:val="003138EC"/>
    <w:rsid w:val="00314045"/>
    <w:rsid w:val="0031408C"/>
    <w:rsid w:val="00314111"/>
    <w:rsid w:val="0031418A"/>
    <w:rsid w:val="0031426F"/>
    <w:rsid w:val="00314651"/>
    <w:rsid w:val="003148D0"/>
    <w:rsid w:val="00314C30"/>
    <w:rsid w:val="00315130"/>
    <w:rsid w:val="00315419"/>
    <w:rsid w:val="00315EDF"/>
    <w:rsid w:val="00315EE9"/>
    <w:rsid w:val="003160DC"/>
    <w:rsid w:val="003164E6"/>
    <w:rsid w:val="00316655"/>
    <w:rsid w:val="00316BC9"/>
    <w:rsid w:val="00316DB3"/>
    <w:rsid w:val="00316E6A"/>
    <w:rsid w:val="00316E94"/>
    <w:rsid w:val="0031726F"/>
    <w:rsid w:val="00317997"/>
    <w:rsid w:val="00317A0E"/>
    <w:rsid w:val="00317A1C"/>
    <w:rsid w:val="00317BF5"/>
    <w:rsid w:val="00317CFC"/>
    <w:rsid w:val="00317EF9"/>
    <w:rsid w:val="003201E6"/>
    <w:rsid w:val="003205C0"/>
    <w:rsid w:val="003207D1"/>
    <w:rsid w:val="00320907"/>
    <w:rsid w:val="00320943"/>
    <w:rsid w:val="0032099F"/>
    <w:rsid w:val="00320D07"/>
    <w:rsid w:val="00320EAD"/>
    <w:rsid w:val="003210B0"/>
    <w:rsid w:val="00321308"/>
    <w:rsid w:val="00321647"/>
    <w:rsid w:val="0032169D"/>
    <w:rsid w:val="003217F4"/>
    <w:rsid w:val="00321AB4"/>
    <w:rsid w:val="00321E44"/>
    <w:rsid w:val="00321E4E"/>
    <w:rsid w:val="003227E5"/>
    <w:rsid w:val="0032288D"/>
    <w:rsid w:val="00322931"/>
    <w:rsid w:val="00322A01"/>
    <w:rsid w:val="00322BBD"/>
    <w:rsid w:val="00322C97"/>
    <w:rsid w:val="00322DDB"/>
    <w:rsid w:val="0032334D"/>
    <w:rsid w:val="0032354F"/>
    <w:rsid w:val="003237B2"/>
    <w:rsid w:val="00323D39"/>
    <w:rsid w:val="00323D45"/>
    <w:rsid w:val="00323ECC"/>
    <w:rsid w:val="00323F8E"/>
    <w:rsid w:val="0032465F"/>
    <w:rsid w:val="00324AB0"/>
    <w:rsid w:val="00324AD1"/>
    <w:rsid w:val="00324BDF"/>
    <w:rsid w:val="003250B6"/>
    <w:rsid w:val="0032526F"/>
    <w:rsid w:val="003256C5"/>
    <w:rsid w:val="00325841"/>
    <w:rsid w:val="00325D31"/>
    <w:rsid w:val="00325FF2"/>
    <w:rsid w:val="00326170"/>
    <w:rsid w:val="00326353"/>
    <w:rsid w:val="0032663F"/>
    <w:rsid w:val="00326853"/>
    <w:rsid w:val="00326A02"/>
    <w:rsid w:val="00326AF5"/>
    <w:rsid w:val="00326AFA"/>
    <w:rsid w:val="00326BCA"/>
    <w:rsid w:val="00326C5C"/>
    <w:rsid w:val="00326CF8"/>
    <w:rsid w:val="003272DC"/>
    <w:rsid w:val="003273DF"/>
    <w:rsid w:val="00327494"/>
    <w:rsid w:val="0032753F"/>
    <w:rsid w:val="0032776B"/>
    <w:rsid w:val="00327803"/>
    <w:rsid w:val="0032784B"/>
    <w:rsid w:val="0032797C"/>
    <w:rsid w:val="00327E32"/>
    <w:rsid w:val="003300DF"/>
    <w:rsid w:val="0033060F"/>
    <w:rsid w:val="0033064F"/>
    <w:rsid w:val="00330687"/>
    <w:rsid w:val="00330863"/>
    <w:rsid w:val="00330BC3"/>
    <w:rsid w:val="00330C2C"/>
    <w:rsid w:val="003315D5"/>
    <w:rsid w:val="00331602"/>
    <w:rsid w:val="00331F53"/>
    <w:rsid w:val="00331FB8"/>
    <w:rsid w:val="00332053"/>
    <w:rsid w:val="003320AA"/>
    <w:rsid w:val="00332586"/>
    <w:rsid w:val="00332C8B"/>
    <w:rsid w:val="00332C9A"/>
    <w:rsid w:val="00332E45"/>
    <w:rsid w:val="00333170"/>
    <w:rsid w:val="00333243"/>
    <w:rsid w:val="003332DC"/>
    <w:rsid w:val="0033346E"/>
    <w:rsid w:val="003338C2"/>
    <w:rsid w:val="0033395E"/>
    <w:rsid w:val="00333A5C"/>
    <w:rsid w:val="00333B70"/>
    <w:rsid w:val="00333BFA"/>
    <w:rsid w:val="00333CAD"/>
    <w:rsid w:val="00334135"/>
    <w:rsid w:val="00334233"/>
    <w:rsid w:val="00334541"/>
    <w:rsid w:val="003346D0"/>
    <w:rsid w:val="00334873"/>
    <w:rsid w:val="003352B3"/>
    <w:rsid w:val="0033552F"/>
    <w:rsid w:val="0033574C"/>
    <w:rsid w:val="00335B15"/>
    <w:rsid w:val="00335B9E"/>
    <w:rsid w:val="00335E52"/>
    <w:rsid w:val="00335EB3"/>
    <w:rsid w:val="00335EBE"/>
    <w:rsid w:val="003362A3"/>
    <w:rsid w:val="003362B8"/>
    <w:rsid w:val="003366BA"/>
    <w:rsid w:val="003367CD"/>
    <w:rsid w:val="00336A35"/>
    <w:rsid w:val="00336B02"/>
    <w:rsid w:val="00336E78"/>
    <w:rsid w:val="00336F28"/>
    <w:rsid w:val="00336F78"/>
    <w:rsid w:val="0033718C"/>
    <w:rsid w:val="00337267"/>
    <w:rsid w:val="00337387"/>
    <w:rsid w:val="00337703"/>
    <w:rsid w:val="0033775C"/>
    <w:rsid w:val="00337812"/>
    <w:rsid w:val="00337C3B"/>
    <w:rsid w:val="00337C54"/>
    <w:rsid w:val="00337EAC"/>
    <w:rsid w:val="00337FDE"/>
    <w:rsid w:val="0034009E"/>
    <w:rsid w:val="0034014D"/>
    <w:rsid w:val="00340238"/>
    <w:rsid w:val="003402C2"/>
    <w:rsid w:val="00340A57"/>
    <w:rsid w:val="00340F76"/>
    <w:rsid w:val="003412A0"/>
    <w:rsid w:val="00341C15"/>
    <w:rsid w:val="00341E27"/>
    <w:rsid w:val="00341F2E"/>
    <w:rsid w:val="003422BE"/>
    <w:rsid w:val="00342754"/>
    <w:rsid w:val="00342974"/>
    <w:rsid w:val="00342A85"/>
    <w:rsid w:val="0034324D"/>
    <w:rsid w:val="003433D3"/>
    <w:rsid w:val="0034348E"/>
    <w:rsid w:val="00343547"/>
    <w:rsid w:val="00343571"/>
    <w:rsid w:val="00343788"/>
    <w:rsid w:val="0034398F"/>
    <w:rsid w:val="00343EB7"/>
    <w:rsid w:val="00344559"/>
    <w:rsid w:val="003445BD"/>
    <w:rsid w:val="00344668"/>
    <w:rsid w:val="00344CB8"/>
    <w:rsid w:val="00344E15"/>
    <w:rsid w:val="003453DE"/>
    <w:rsid w:val="00345D6E"/>
    <w:rsid w:val="0034637B"/>
    <w:rsid w:val="003464E1"/>
    <w:rsid w:val="00346615"/>
    <w:rsid w:val="003466B2"/>
    <w:rsid w:val="0034675C"/>
    <w:rsid w:val="0034677D"/>
    <w:rsid w:val="003469DB"/>
    <w:rsid w:val="00346CA7"/>
    <w:rsid w:val="00346DDF"/>
    <w:rsid w:val="00347019"/>
    <w:rsid w:val="003473F2"/>
    <w:rsid w:val="0034755A"/>
    <w:rsid w:val="00347730"/>
    <w:rsid w:val="00347A34"/>
    <w:rsid w:val="00347C0D"/>
    <w:rsid w:val="003500B5"/>
    <w:rsid w:val="003502EF"/>
    <w:rsid w:val="0035033F"/>
    <w:rsid w:val="003504E4"/>
    <w:rsid w:val="003506ED"/>
    <w:rsid w:val="00350777"/>
    <w:rsid w:val="0035087E"/>
    <w:rsid w:val="00350C43"/>
    <w:rsid w:val="00350D80"/>
    <w:rsid w:val="0035100F"/>
    <w:rsid w:val="0035116F"/>
    <w:rsid w:val="003511E4"/>
    <w:rsid w:val="00351239"/>
    <w:rsid w:val="0035131A"/>
    <w:rsid w:val="0035150A"/>
    <w:rsid w:val="0035150B"/>
    <w:rsid w:val="00351564"/>
    <w:rsid w:val="0035199B"/>
    <w:rsid w:val="00351B44"/>
    <w:rsid w:val="00351CCA"/>
    <w:rsid w:val="003521CF"/>
    <w:rsid w:val="0035229D"/>
    <w:rsid w:val="003522E5"/>
    <w:rsid w:val="00352480"/>
    <w:rsid w:val="00352680"/>
    <w:rsid w:val="00352B8D"/>
    <w:rsid w:val="003530B2"/>
    <w:rsid w:val="003533D7"/>
    <w:rsid w:val="00353406"/>
    <w:rsid w:val="003536E4"/>
    <w:rsid w:val="00353854"/>
    <w:rsid w:val="003538AF"/>
    <w:rsid w:val="00353911"/>
    <w:rsid w:val="00353C1A"/>
    <w:rsid w:val="00353D95"/>
    <w:rsid w:val="00354542"/>
    <w:rsid w:val="00354564"/>
    <w:rsid w:val="00354D3C"/>
    <w:rsid w:val="00354FCA"/>
    <w:rsid w:val="0035518D"/>
    <w:rsid w:val="003554CB"/>
    <w:rsid w:val="003554F1"/>
    <w:rsid w:val="003556D5"/>
    <w:rsid w:val="00355BD2"/>
    <w:rsid w:val="00355D1D"/>
    <w:rsid w:val="00355E72"/>
    <w:rsid w:val="00355F05"/>
    <w:rsid w:val="00356181"/>
    <w:rsid w:val="00356213"/>
    <w:rsid w:val="003563EF"/>
    <w:rsid w:val="003564A3"/>
    <w:rsid w:val="00356527"/>
    <w:rsid w:val="00356729"/>
    <w:rsid w:val="003569D5"/>
    <w:rsid w:val="00356A9A"/>
    <w:rsid w:val="00357183"/>
    <w:rsid w:val="003571FB"/>
    <w:rsid w:val="003572AD"/>
    <w:rsid w:val="00357452"/>
    <w:rsid w:val="00357ACE"/>
    <w:rsid w:val="00357B8C"/>
    <w:rsid w:val="00357BEF"/>
    <w:rsid w:val="00357C97"/>
    <w:rsid w:val="00357F8D"/>
    <w:rsid w:val="00360465"/>
    <w:rsid w:val="0036060A"/>
    <w:rsid w:val="00360668"/>
    <w:rsid w:val="0036087D"/>
    <w:rsid w:val="003608C6"/>
    <w:rsid w:val="003609C6"/>
    <w:rsid w:val="00360A12"/>
    <w:rsid w:val="00360A4E"/>
    <w:rsid w:val="00360A6C"/>
    <w:rsid w:val="00360A84"/>
    <w:rsid w:val="00360D6A"/>
    <w:rsid w:val="00360F0E"/>
    <w:rsid w:val="00360F10"/>
    <w:rsid w:val="0036114A"/>
    <w:rsid w:val="00361763"/>
    <w:rsid w:val="00361978"/>
    <w:rsid w:val="00361DE9"/>
    <w:rsid w:val="00361FD5"/>
    <w:rsid w:val="0036208E"/>
    <w:rsid w:val="003621EE"/>
    <w:rsid w:val="00362241"/>
    <w:rsid w:val="0036236B"/>
    <w:rsid w:val="0036264E"/>
    <w:rsid w:val="003626F5"/>
    <w:rsid w:val="003627F5"/>
    <w:rsid w:val="00362947"/>
    <w:rsid w:val="00362A3C"/>
    <w:rsid w:val="003631DE"/>
    <w:rsid w:val="00363215"/>
    <w:rsid w:val="0036347B"/>
    <w:rsid w:val="00363564"/>
    <w:rsid w:val="00363D12"/>
    <w:rsid w:val="00363DAB"/>
    <w:rsid w:val="00364574"/>
    <w:rsid w:val="003646BF"/>
    <w:rsid w:val="00364B9A"/>
    <w:rsid w:val="00364C0F"/>
    <w:rsid w:val="00364CFF"/>
    <w:rsid w:val="003653B1"/>
    <w:rsid w:val="0036554F"/>
    <w:rsid w:val="00365633"/>
    <w:rsid w:val="00365862"/>
    <w:rsid w:val="00365AEC"/>
    <w:rsid w:val="00365C6F"/>
    <w:rsid w:val="00366807"/>
    <w:rsid w:val="00366B00"/>
    <w:rsid w:val="00366F8D"/>
    <w:rsid w:val="00366FF2"/>
    <w:rsid w:val="00367003"/>
    <w:rsid w:val="0036752A"/>
    <w:rsid w:val="003676BF"/>
    <w:rsid w:val="00367880"/>
    <w:rsid w:val="00367CF4"/>
    <w:rsid w:val="00367D2F"/>
    <w:rsid w:val="0037009D"/>
    <w:rsid w:val="00370241"/>
    <w:rsid w:val="00370C38"/>
    <w:rsid w:val="00370D39"/>
    <w:rsid w:val="00370EF2"/>
    <w:rsid w:val="003710A9"/>
    <w:rsid w:val="00371A5B"/>
    <w:rsid w:val="00371EBE"/>
    <w:rsid w:val="0037232F"/>
    <w:rsid w:val="0037270F"/>
    <w:rsid w:val="003728CE"/>
    <w:rsid w:val="00372B8F"/>
    <w:rsid w:val="00372D4B"/>
    <w:rsid w:val="00373007"/>
    <w:rsid w:val="0037308F"/>
    <w:rsid w:val="003731B5"/>
    <w:rsid w:val="00373624"/>
    <w:rsid w:val="003737B7"/>
    <w:rsid w:val="00373945"/>
    <w:rsid w:val="00373A24"/>
    <w:rsid w:val="00373AF0"/>
    <w:rsid w:val="00373DE0"/>
    <w:rsid w:val="00373E45"/>
    <w:rsid w:val="003743C4"/>
    <w:rsid w:val="003746E8"/>
    <w:rsid w:val="0037490B"/>
    <w:rsid w:val="00374A7A"/>
    <w:rsid w:val="00374B32"/>
    <w:rsid w:val="00374CD9"/>
    <w:rsid w:val="00374E60"/>
    <w:rsid w:val="00374FF6"/>
    <w:rsid w:val="003756C5"/>
    <w:rsid w:val="003756F9"/>
    <w:rsid w:val="00375715"/>
    <w:rsid w:val="00375725"/>
    <w:rsid w:val="00375866"/>
    <w:rsid w:val="00375A9B"/>
    <w:rsid w:val="00375B20"/>
    <w:rsid w:val="00375C40"/>
    <w:rsid w:val="00375F08"/>
    <w:rsid w:val="00376781"/>
    <w:rsid w:val="00376DE8"/>
    <w:rsid w:val="00376FB7"/>
    <w:rsid w:val="0037707F"/>
    <w:rsid w:val="0037724D"/>
    <w:rsid w:val="00377273"/>
    <w:rsid w:val="00377361"/>
    <w:rsid w:val="003776D0"/>
    <w:rsid w:val="003778C4"/>
    <w:rsid w:val="00377D03"/>
    <w:rsid w:val="00377E44"/>
    <w:rsid w:val="00377FDB"/>
    <w:rsid w:val="003800EF"/>
    <w:rsid w:val="00380B0C"/>
    <w:rsid w:val="0038109F"/>
    <w:rsid w:val="0038118E"/>
    <w:rsid w:val="0038142E"/>
    <w:rsid w:val="003816ED"/>
    <w:rsid w:val="00381CC5"/>
    <w:rsid w:val="00381E28"/>
    <w:rsid w:val="00382016"/>
    <w:rsid w:val="003820D7"/>
    <w:rsid w:val="00382DAE"/>
    <w:rsid w:val="0038314B"/>
    <w:rsid w:val="00383196"/>
    <w:rsid w:val="003831EB"/>
    <w:rsid w:val="00383323"/>
    <w:rsid w:val="003833CC"/>
    <w:rsid w:val="003834D3"/>
    <w:rsid w:val="00383826"/>
    <w:rsid w:val="00383DCC"/>
    <w:rsid w:val="00383DEB"/>
    <w:rsid w:val="00384040"/>
    <w:rsid w:val="003846C8"/>
    <w:rsid w:val="00384A90"/>
    <w:rsid w:val="00384EC7"/>
    <w:rsid w:val="003850F0"/>
    <w:rsid w:val="003852EB"/>
    <w:rsid w:val="003855CF"/>
    <w:rsid w:val="00385683"/>
    <w:rsid w:val="003856AF"/>
    <w:rsid w:val="00385E21"/>
    <w:rsid w:val="00385EA6"/>
    <w:rsid w:val="00386039"/>
    <w:rsid w:val="0038628D"/>
    <w:rsid w:val="0038655D"/>
    <w:rsid w:val="00386586"/>
    <w:rsid w:val="003866E4"/>
    <w:rsid w:val="00386739"/>
    <w:rsid w:val="003867F6"/>
    <w:rsid w:val="003867FE"/>
    <w:rsid w:val="0038681B"/>
    <w:rsid w:val="0038693F"/>
    <w:rsid w:val="00386BC6"/>
    <w:rsid w:val="00386C5E"/>
    <w:rsid w:val="00386D4A"/>
    <w:rsid w:val="003871B2"/>
    <w:rsid w:val="00387245"/>
    <w:rsid w:val="00387414"/>
    <w:rsid w:val="00387495"/>
    <w:rsid w:val="003878FF"/>
    <w:rsid w:val="00387A2C"/>
    <w:rsid w:val="00387AB8"/>
    <w:rsid w:val="00387CD4"/>
    <w:rsid w:val="00390282"/>
    <w:rsid w:val="0039037A"/>
    <w:rsid w:val="00390546"/>
    <w:rsid w:val="00390669"/>
    <w:rsid w:val="0039073D"/>
    <w:rsid w:val="00390853"/>
    <w:rsid w:val="00390ADC"/>
    <w:rsid w:val="00390F2C"/>
    <w:rsid w:val="003912B9"/>
    <w:rsid w:val="003913DA"/>
    <w:rsid w:val="00391723"/>
    <w:rsid w:val="00391C37"/>
    <w:rsid w:val="00392677"/>
    <w:rsid w:val="0039271A"/>
    <w:rsid w:val="003927FB"/>
    <w:rsid w:val="00392BFB"/>
    <w:rsid w:val="00392FC3"/>
    <w:rsid w:val="0039309C"/>
    <w:rsid w:val="00393152"/>
    <w:rsid w:val="003931FB"/>
    <w:rsid w:val="00393397"/>
    <w:rsid w:val="00393407"/>
    <w:rsid w:val="00393639"/>
    <w:rsid w:val="0039391B"/>
    <w:rsid w:val="00393970"/>
    <w:rsid w:val="00393B0F"/>
    <w:rsid w:val="00393CF7"/>
    <w:rsid w:val="0039401E"/>
    <w:rsid w:val="0039452F"/>
    <w:rsid w:val="003946A2"/>
    <w:rsid w:val="00394A30"/>
    <w:rsid w:val="00394C6B"/>
    <w:rsid w:val="00394F89"/>
    <w:rsid w:val="003956D2"/>
    <w:rsid w:val="003958FF"/>
    <w:rsid w:val="00395AAA"/>
    <w:rsid w:val="00395C68"/>
    <w:rsid w:val="00395FA9"/>
    <w:rsid w:val="003961D3"/>
    <w:rsid w:val="003961DF"/>
    <w:rsid w:val="0039688B"/>
    <w:rsid w:val="003968C4"/>
    <w:rsid w:val="0039699D"/>
    <w:rsid w:val="00396C5F"/>
    <w:rsid w:val="00396D12"/>
    <w:rsid w:val="00396D41"/>
    <w:rsid w:val="00396D4D"/>
    <w:rsid w:val="00396DF9"/>
    <w:rsid w:val="00396F43"/>
    <w:rsid w:val="00397645"/>
    <w:rsid w:val="0039781B"/>
    <w:rsid w:val="0039788F"/>
    <w:rsid w:val="00397910"/>
    <w:rsid w:val="00397B35"/>
    <w:rsid w:val="00397DA4"/>
    <w:rsid w:val="003A0075"/>
    <w:rsid w:val="003A014D"/>
    <w:rsid w:val="003A0550"/>
    <w:rsid w:val="003A0552"/>
    <w:rsid w:val="003A0613"/>
    <w:rsid w:val="003A0745"/>
    <w:rsid w:val="003A083F"/>
    <w:rsid w:val="003A0905"/>
    <w:rsid w:val="003A108B"/>
    <w:rsid w:val="003A17BC"/>
    <w:rsid w:val="003A183E"/>
    <w:rsid w:val="003A1C96"/>
    <w:rsid w:val="003A1DB6"/>
    <w:rsid w:val="003A29BE"/>
    <w:rsid w:val="003A2A34"/>
    <w:rsid w:val="003A2FD7"/>
    <w:rsid w:val="003A3168"/>
    <w:rsid w:val="003A31CB"/>
    <w:rsid w:val="003A321A"/>
    <w:rsid w:val="003A32C4"/>
    <w:rsid w:val="003A35F6"/>
    <w:rsid w:val="003A3812"/>
    <w:rsid w:val="003A3CAC"/>
    <w:rsid w:val="003A3F9D"/>
    <w:rsid w:val="003A4106"/>
    <w:rsid w:val="003A41BA"/>
    <w:rsid w:val="003A493A"/>
    <w:rsid w:val="003A4DA3"/>
    <w:rsid w:val="003A50D1"/>
    <w:rsid w:val="003A5148"/>
    <w:rsid w:val="003A526F"/>
    <w:rsid w:val="003A52D7"/>
    <w:rsid w:val="003A5419"/>
    <w:rsid w:val="003A5A24"/>
    <w:rsid w:val="003A5A9C"/>
    <w:rsid w:val="003A5CFF"/>
    <w:rsid w:val="003A607A"/>
    <w:rsid w:val="003A60BA"/>
    <w:rsid w:val="003A61BB"/>
    <w:rsid w:val="003A6227"/>
    <w:rsid w:val="003A6333"/>
    <w:rsid w:val="003A6983"/>
    <w:rsid w:val="003A6B44"/>
    <w:rsid w:val="003A7001"/>
    <w:rsid w:val="003A746E"/>
    <w:rsid w:val="003A76F9"/>
    <w:rsid w:val="003A7F5F"/>
    <w:rsid w:val="003A7FF1"/>
    <w:rsid w:val="003B00A7"/>
    <w:rsid w:val="003B0495"/>
    <w:rsid w:val="003B04B5"/>
    <w:rsid w:val="003B05D7"/>
    <w:rsid w:val="003B07E3"/>
    <w:rsid w:val="003B0B2E"/>
    <w:rsid w:val="003B0BC9"/>
    <w:rsid w:val="003B0D86"/>
    <w:rsid w:val="003B1407"/>
    <w:rsid w:val="003B1530"/>
    <w:rsid w:val="003B15AB"/>
    <w:rsid w:val="003B160E"/>
    <w:rsid w:val="003B16D1"/>
    <w:rsid w:val="003B17A8"/>
    <w:rsid w:val="003B19CA"/>
    <w:rsid w:val="003B19F7"/>
    <w:rsid w:val="003B1B1A"/>
    <w:rsid w:val="003B1CA6"/>
    <w:rsid w:val="003B1CC6"/>
    <w:rsid w:val="003B1F52"/>
    <w:rsid w:val="003B1FEA"/>
    <w:rsid w:val="003B206F"/>
    <w:rsid w:val="003B25FA"/>
    <w:rsid w:val="003B270A"/>
    <w:rsid w:val="003B2DED"/>
    <w:rsid w:val="003B2E7A"/>
    <w:rsid w:val="003B3710"/>
    <w:rsid w:val="003B38AC"/>
    <w:rsid w:val="003B3911"/>
    <w:rsid w:val="003B3A36"/>
    <w:rsid w:val="003B3B0D"/>
    <w:rsid w:val="003B3E92"/>
    <w:rsid w:val="003B40F5"/>
    <w:rsid w:val="003B4435"/>
    <w:rsid w:val="003B4493"/>
    <w:rsid w:val="003B4CBC"/>
    <w:rsid w:val="003B5013"/>
    <w:rsid w:val="003B52D4"/>
    <w:rsid w:val="003B540E"/>
    <w:rsid w:val="003B550B"/>
    <w:rsid w:val="003B5517"/>
    <w:rsid w:val="003B56C5"/>
    <w:rsid w:val="003B5A76"/>
    <w:rsid w:val="003B5B37"/>
    <w:rsid w:val="003B5CB5"/>
    <w:rsid w:val="003B5E67"/>
    <w:rsid w:val="003B5EC1"/>
    <w:rsid w:val="003B5F97"/>
    <w:rsid w:val="003B62A2"/>
    <w:rsid w:val="003B636B"/>
    <w:rsid w:val="003B644B"/>
    <w:rsid w:val="003B693D"/>
    <w:rsid w:val="003B6C5B"/>
    <w:rsid w:val="003B6E2A"/>
    <w:rsid w:val="003B6F45"/>
    <w:rsid w:val="003B7CA5"/>
    <w:rsid w:val="003B7DA3"/>
    <w:rsid w:val="003C01A9"/>
    <w:rsid w:val="003C0633"/>
    <w:rsid w:val="003C06BA"/>
    <w:rsid w:val="003C0848"/>
    <w:rsid w:val="003C08E3"/>
    <w:rsid w:val="003C0935"/>
    <w:rsid w:val="003C10E9"/>
    <w:rsid w:val="003C14A5"/>
    <w:rsid w:val="003C16B1"/>
    <w:rsid w:val="003C170C"/>
    <w:rsid w:val="003C17A2"/>
    <w:rsid w:val="003C18AF"/>
    <w:rsid w:val="003C1FF4"/>
    <w:rsid w:val="003C2014"/>
    <w:rsid w:val="003C217F"/>
    <w:rsid w:val="003C2EF9"/>
    <w:rsid w:val="003C347B"/>
    <w:rsid w:val="003C35CA"/>
    <w:rsid w:val="003C3644"/>
    <w:rsid w:val="003C3931"/>
    <w:rsid w:val="003C39F2"/>
    <w:rsid w:val="003C3A9F"/>
    <w:rsid w:val="003C3E0A"/>
    <w:rsid w:val="003C4057"/>
    <w:rsid w:val="003C42F1"/>
    <w:rsid w:val="003C448C"/>
    <w:rsid w:val="003C4493"/>
    <w:rsid w:val="003C45E0"/>
    <w:rsid w:val="003C45F7"/>
    <w:rsid w:val="003C460D"/>
    <w:rsid w:val="003C4794"/>
    <w:rsid w:val="003C4828"/>
    <w:rsid w:val="003C4D1D"/>
    <w:rsid w:val="003C4DAB"/>
    <w:rsid w:val="003C4E35"/>
    <w:rsid w:val="003C51DB"/>
    <w:rsid w:val="003C52CB"/>
    <w:rsid w:val="003C59C7"/>
    <w:rsid w:val="003C5DD3"/>
    <w:rsid w:val="003C5E00"/>
    <w:rsid w:val="003C6092"/>
    <w:rsid w:val="003C60A7"/>
    <w:rsid w:val="003C631D"/>
    <w:rsid w:val="003C65E6"/>
    <w:rsid w:val="003C67A9"/>
    <w:rsid w:val="003C6C87"/>
    <w:rsid w:val="003C6DD0"/>
    <w:rsid w:val="003C6E98"/>
    <w:rsid w:val="003C6F00"/>
    <w:rsid w:val="003C6FC8"/>
    <w:rsid w:val="003C7240"/>
    <w:rsid w:val="003C7560"/>
    <w:rsid w:val="003C75AE"/>
    <w:rsid w:val="003C7B30"/>
    <w:rsid w:val="003D05EE"/>
    <w:rsid w:val="003D0616"/>
    <w:rsid w:val="003D0BF6"/>
    <w:rsid w:val="003D0CA8"/>
    <w:rsid w:val="003D0DBF"/>
    <w:rsid w:val="003D0FEB"/>
    <w:rsid w:val="003D1492"/>
    <w:rsid w:val="003D1594"/>
    <w:rsid w:val="003D1BDF"/>
    <w:rsid w:val="003D1EE3"/>
    <w:rsid w:val="003D1F68"/>
    <w:rsid w:val="003D21ED"/>
    <w:rsid w:val="003D2298"/>
    <w:rsid w:val="003D2567"/>
    <w:rsid w:val="003D2C70"/>
    <w:rsid w:val="003D2D96"/>
    <w:rsid w:val="003D2DAD"/>
    <w:rsid w:val="003D3020"/>
    <w:rsid w:val="003D3165"/>
    <w:rsid w:val="003D33C4"/>
    <w:rsid w:val="003D39B1"/>
    <w:rsid w:val="003D3A1E"/>
    <w:rsid w:val="003D3A5B"/>
    <w:rsid w:val="003D3A76"/>
    <w:rsid w:val="003D3AC7"/>
    <w:rsid w:val="003D3B51"/>
    <w:rsid w:val="003D3CFA"/>
    <w:rsid w:val="003D3FDB"/>
    <w:rsid w:val="003D4189"/>
    <w:rsid w:val="003D457D"/>
    <w:rsid w:val="003D482F"/>
    <w:rsid w:val="003D497D"/>
    <w:rsid w:val="003D4A87"/>
    <w:rsid w:val="003D4B50"/>
    <w:rsid w:val="003D507F"/>
    <w:rsid w:val="003D53DD"/>
    <w:rsid w:val="003D5844"/>
    <w:rsid w:val="003D589F"/>
    <w:rsid w:val="003D5B59"/>
    <w:rsid w:val="003D5D13"/>
    <w:rsid w:val="003D5E8F"/>
    <w:rsid w:val="003D6629"/>
    <w:rsid w:val="003D6662"/>
    <w:rsid w:val="003D6AC3"/>
    <w:rsid w:val="003D6EE5"/>
    <w:rsid w:val="003D6FEC"/>
    <w:rsid w:val="003D703D"/>
    <w:rsid w:val="003D712C"/>
    <w:rsid w:val="003D73D1"/>
    <w:rsid w:val="003D7513"/>
    <w:rsid w:val="003D7657"/>
    <w:rsid w:val="003D797B"/>
    <w:rsid w:val="003E0277"/>
    <w:rsid w:val="003E0392"/>
    <w:rsid w:val="003E0CB7"/>
    <w:rsid w:val="003E0CC0"/>
    <w:rsid w:val="003E158B"/>
    <w:rsid w:val="003E161E"/>
    <w:rsid w:val="003E18C4"/>
    <w:rsid w:val="003E1A63"/>
    <w:rsid w:val="003E1A97"/>
    <w:rsid w:val="003E1C3C"/>
    <w:rsid w:val="003E1E3D"/>
    <w:rsid w:val="003E20DF"/>
    <w:rsid w:val="003E2176"/>
    <w:rsid w:val="003E2412"/>
    <w:rsid w:val="003E244B"/>
    <w:rsid w:val="003E2456"/>
    <w:rsid w:val="003E2788"/>
    <w:rsid w:val="003E2994"/>
    <w:rsid w:val="003E2FE6"/>
    <w:rsid w:val="003E322F"/>
    <w:rsid w:val="003E325D"/>
    <w:rsid w:val="003E3665"/>
    <w:rsid w:val="003E3703"/>
    <w:rsid w:val="003E371A"/>
    <w:rsid w:val="003E385B"/>
    <w:rsid w:val="003E3B43"/>
    <w:rsid w:val="003E3D8B"/>
    <w:rsid w:val="003E4182"/>
    <w:rsid w:val="003E4772"/>
    <w:rsid w:val="003E4EDB"/>
    <w:rsid w:val="003E4F24"/>
    <w:rsid w:val="003E5280"/>
    <w:rsid w:val="003E544A"/>
    <w:rsid w:val="003E550C"/>
    <w:rsid w:val="003E560B"/>
    <w:rsid w:val="003E5708"/>
    <w:rsid w:val="003E571E"/>
    <w:rsid w:val="003E58D0"/>
    <w:rsid w:val="003E58D3"/>
    <w:rsid w:val="003E5CED"/>
    <w:rsid w:val="003E5D45"/>
    <w:rsid w:val="003E5E17"/>
    <w:rsid w:val="003E5EE1"/>
    <w:rsid w:val="003E661A"/>
    <w:rsid w:val="003E6717"/>
    <w:rsid w:val="003E674D"/>
    <w:rsid w:val="003E6A7D"/>
    <w:rsid w:val="003E6C5E"/>
    <w:rsid w:val="003E70CB"/>
    <w:rsid w:val="003E72C1"/>
    <w:rsid w:val="003E738D"/>
    <w:rsid w:val="003E74CE"/>
    <w:rsid w:val="003E7533"/>
    <w:rsid w:val="003E7832"/>
    <w:rsid w:val="003E7897"/>
    <w:rsid w:val="003E79EA"/>
    <w:rsid w:val="003E7B2C"/>
    <w:rsid w:val="003E7B7F"/>
    <w:rsid w:val="003E7BAD"/>
    <w:rsid w:val="003F0221"/>
    <w:rsid w:val="003F0367"/>
    <w:rsid w:val="003F04B2"/>
    <w:rsid w:val="003F0535"/>
    <w:rsid w:val="003F08D9"/>
    <w:rsid w:val="003F0A83"/>
    <w:rsid w:val="003F0B0C"/>
    <w:rsid w:val="003F0C8B"/>
    <w:rsid w:val="003F0CD9"/>
    <w:rsid w:val="003F0D34"/>
    <w:rsid w:val="003F13C1"/>
    <w:rsid w:val="003F142C"/>
    <w:rsid w:val="003F1FC3"/>
    <w:rsid w:val="003F2208"/>
    <w:rsid w:val="003F223D"/>
    <w:rsid w:val="003F29B0"/>
    <w:rsid w:val="003F29FC"/>
    <w:rsid w:val="003F2A22"/>
    <w:rsid w:val="003F332A"/>
    <w:rsid w:val="003F3350"/>
    <w:rsid w:val="003F335A"/>
    <w:rsid w:val="003F361D"/>
    <w:rsid w:val="003F3907"/>
    <w:rsid w:val="003F3AD4"/>
    <w:rsid w:val="003F3BF4"/>
    <w:rsid w:val="003F3D83"/>
    <w:rsid w:val="003F3E7A"/>
    <w:rsid w:val="003F40AE"/>
    <w:rsid w:val="003F44EF"/>
    <w:rsid w:val="003F48B9"/>
    <w:rsid w:val="003F49F4"/>
    <w:rsid w:val="003F4DEA"/>
    <w:rsid w:val="003F50C0"/>
    <w:rsid w:val="003F5162"/>
    <w:rsid w:val="003F51C6"/>
    <w:rsid w:val="003F54E1"/>
    <w:rsid w:val="003F5567"/>
    <w:rsid w:val="003F55D7"/>
    <w:rsid w:val="003F57A6"/>
    <w:rsid w:val="003F57E8"/>
    <w:rsid w:val="003F5AD5"/>
    <w:rsid w:val="003F5B27"/>
    <w:rsid w:val="003F6739"/>
    <w:rsid w:val="003F6BB1"/>
    <w:rsid w:val="003F6FCB"/>
    <w:rsid w:val="003F7219"/>
    <w:rsid w:val="003F72C7"/>
    <w:rsid w:val="003F73CD"/>
    <w:rsid w:val="003F7754"/>
    <w:rsid w:val="003F7F24"/>
    <w:rsid w:val="00400582"/>
    <w:rsid w:val="00400639"/>
    <w:rsid w:val="00400B0C"/>
    <w:rsid w:val="00400BEB"/>
    <w:rsid w:val="00400CE8"/>
    <w:rsid w:val="00400D71"/>
    <w:rsid w:val="00400DC5"/>
    <w:rsid w:val="00401D54"/>
    <w:rsid w:val="00401E73"/>
    <w:rsid w:val="00401F01"/>
    <w:rsid w:val="004030F6"/>
    <w:rsid w:val="00403116"/>
    <w:rsid w:val="0040334C"/>
    <w:rsid w:val="004035B6"/>
    <w:rsid w:val="004037AF"/>
    <w:rsid w:val="004037DC"/>
    <w:rsid w:val="00403806"/>
    <w:rsid w:val="00403B77"/>
    <w:rsid w:val="00403FC4"/>
    <w:rsid w:val="00404011"/>
    <w:rsid w:val="00404484"/>
    <w:rsid w:val="004044F7"/>
    <w:rsid w:val="00404556"/>
    <w:rsid w:val="0040475D"/>
    <w:rsid w:val="004049E4"/>
    <w:rsid w:val="00404F38"/>
    <w:rsid w:val="00404F94"/>
    <w:rsid w:val="0040506C"/>
    <w:rsid w:val="00405263"/>
    <w:rsid w:val="00405BCD"/>
    <w:rsid w:val="00405CA9"/>
    <w:rsid w:val="00406004"/>
    <w:rsid w:val="00406337"/>
    <w:rsid w:val="0040677A"/>
    <w:rsid w:val="00406B50"/>
    <w:rsid w:val="00406C20"/>
    <w:rsid w:val="00406E55"/>
    <w:rsid w:val="00406EAF"/>
    <w:rsid w:val="00406F6B"/>
    <w:rsid w:val="00407209"/>
    <w:rsid w:val="00407226"/>
    <w:rsid w:val="004074A8"/>
    <w:rsid w:val="004074CA"/>
    <w:rsid w:val="004074E1"/>
    <w:rsid w:val="00407972"/>
    <w:rsid w:val="00407A41"/>
    <w:rsid w:val="00407B31"/>
    <w:rsid w:val="00407B77"/>
    <w:rsid w:val="00407D33"/>
    <w:rsid w:val="004101B7"/>
    <w:rsid w:val="004101E9"/>
    <w:rsid w:val="004104D2"/>
    <w:rsid w:val="004105EB"/>
    <w:rsid w:val="00410653"/>
    <w:rsid w:val="00410CD4"/>
    <w:rsid w:val="00410F23"/>
    <w:rsid w:val="00410F79"/>
    <w:rsid w:val="00411006"/>
    <w:rsid w:val="0041121E"/>
    <w:rsid w:val="00411408"/>
    <w:rsid w:val="0041155C"/>
    <w:rsid w:val="00411BE7"/>
    <w:rsid w:val="00411D10"/>
    <w:rsid w:val="00412276"/>
    <w:rsid w:val="00412E24"/>
    <w:rsid w:val="004131E7"/>
    <w:rsid w:val="004133D0"/>
    <w:rsid w:val="00413640"/>
    <w:rsid w:val="00413875"/>
    <w:rsid w:val="00413A52"/>
    <w:rsid w:val="00413AB1"/>
    <w:rsid w:val="00413BE8"/>
    <w:rsid w:val="00413EC0"/>
    <w:rsid w:val="0041416F"/>
    <w:rsid w:val="004144BD"/>
    <w:rsid w:val="00414510"/>
    <w:rsid w:val="0041468A"/>
    <w:rsid w:val="004146FD"/>
    <w:rsid w:val="00414A4D"/>
    <w:rsid w:val="00414CB7"/>
    <w:rsid w:val="00414E23"/>
    <w:rsid w:val="00415239"/>
    <w:rsid w:val="004156BD"/>
    <w:rsid w:val="00415A77"/>
    <w:rsid w:val="00415AC9"/>
    <w:rsid w:val="00415E74"/>
    <w:rsid w:val="0041609E"/>
    <w:rsid w:val="004166DA"/>
    <w:rsid w:val="00416802"/>
    <w:rsid w:val="00416AA4"/>
    <w:rsid w:val="00416CF6"/>
    <w:rsid w:val="00416DE2"/>
    <w:rsid w:val="00416EED"/>
    <w:rsid w:val="00417012"/>
    <w:rsid w:val="004172DE"/>
    <w:rsid w:val="00417383"/>
    <w:rsid w:val="004174A0"/>
    <w:rsid w:val="0041755A"/>
    <w:rsid w:val="0041768D"/>
    <w:rsid w:val="004179F1"/>
    <w:rsid w:val="00417D14"/>
    <w:rsid w:val="00420373"/>
    <w:rsid w:val="00420C0E"/>
    <w:rsid w:val="00420D9E"/>
    <w:rsid w:val="00420E8D"/>
    <w:rsid w:val="0042118C"/>
    <w:rsid w:val="004211D2"/>
    <w:rsid w:val="004212B5"/>
    <w:rsid w:val="004212FF"/>
    <w:rsid w:val="004217E9"/>
    <w:rsid w:val="0042250D"/>
    <w:rsid w:val="004226DF"/>
    <w:rsid w:val="0042289F"/>
    <w:rsid w:val="0042295E"/>
    <w:rsid w:val="00422AB7"/>
    <w:rsid w:val="00422D2A"/>
    <w:rsid w:val="00423073"/>
    <w:rsid w:val="004230BA"/>
    <w:rsid w:val="004231ED"/>
    <w:rsid w:val="00423523"/>
    <w:rsid w:val="004235FF"/>
    <w:rsid w:val="00423807"/>
    <w:rsid w:val="00423A20"/>
    <w:rsid w:val="00423C67"/>
    <w:rsid w:val="00423DE7"/>
    <w:rsid w:val="0042425A"/>
    <w:rsid w:val="004242A1"/>
    <w:rsid w:val="00424514"/>
    <w:rsid w:val="00424661"/>
    <w:rsid w:val="004249A5"/>
    <w:rsid w:val="004249ED"/>
    <w:rsid w:val="00424BF0"/>
    <w:rsid w:val="00424CA4"/>
    <w:rsid w:val="00424E1E"/>
    <w:rsid w:val="00424E70"/>
    <w:rsid w:val="004250FF"/>
    <w:rsid w:val="00425673"/>
    <w:rsid w:val="004260E1"/>
    <w:rsid w:val="004265C9"/>
    <w:rsid w:val="00426864"/>
    <w:rsid w:val="00426AD4"/>
    <w:rsid w:val="00426B55"/>
    <w:rsid w:val="00426DFA"/>
    <w:rsid w:val="00426F50"/>
    <w:rsid w:val="00427034"/>
    <w:rsid w:val="00427216"/>
    <w:rsid w:val="00427345"/>
    <w:rsid w:val="0042747F"/>
    <w:rsid w:val="004279BF"/>
    <w:rsid w:val="00427D6C"/>
    <w:rsid w:val="00427E2C"/>
    <w:rsid w:val="00427E30"/>
    <w:rsid w:val="0043063E"/>
    <w:rsid w:val="00430803"/>
    <w:rsid w:val="004308A4"/>
    <w:rsid w:val="00430E54"/>
    <w:rsid w:val="004311AB"/>
    <w:rsid w:val="004316BA"/>
    <w:rsid w:val="0043189B"/>
    <w:rsid w:val="00431AF6"/>
    <w:rsid w:val="004321F2"/>
    <w:rsid w:val="00432288"/>
    <w:rsid w:val="004326C3"/>
    <w:rsid w:val="00432790"/>
    <w:rsid w:val="0043280D"/>
    <w:rsid w:val="0043283B"/>
    <w:rsid w:val="004329A4"/>
    <w:rsid w:val="004329D2"/>
    <w:rsid w:val="00432E58"/>
    <w:rsid w:val="00433021"/>
    <w:rsid w:val="00433029"/>
    <w:rsid w:val="0043316A"/>
    <w:rsid w:val="004331D3"/>
    <w:rsid w:val="0043356C"/>
    <w:rsid w:val="00433C42"/>
    <w:rsid w:val="00433C49"/>
    <w:rsid w:val="00433DE8"/>
    <w:rsid w:val="004340AB"/>
    <w:rsid w:val="004345CE"/>
    <w:rsid w:val="004346A9"/>
    <w:rsid w:val="004346C4"/>
    <w:rsid w:val="004348BC"/>
    <w:rsid w:val="004349C1"/>
    <w:rsid w:val="00435ABC"/>
    <w:rsid w:val="00435F89"/>
    <w:rsid w:val="00436301"/>
    <w:rsid w:val="00436313"/>
    <w:rsid w:val="0043680B"/>
    <w:rsid w:val="00436959"/>
    <w:rsid w:val="00436A07"/>
    <w:rsid w:val="00436B01"/>
    <w:rsid w:val="00436B6E"/>
    <w:rsid w:val="00436C40"/>
    <w:rsid w:val="00436D07"/>
    <w:rsid w:val="00436E63"/>
    <w:rsid w:val="00437287"/>
    <w:rsid w:val="00437AC3"/>
    <w:rsid w:val="00437D3C"/>
    <w:rsid w:val="00437DE6"/>
    <w:rsid w:val="00437F23"/>
    <w:rsid w:val="00440294"/>
    <w:rsid w:val="004402D8"/>
    <w:rsid w:val="00440623"/>
    <w:rsid w:val="00440C3A"/>
    <w:rsid w:val="00440CE7"/>
    <w:rsid w:val="0044131A"/>
    <w:rsid w:val="00441590"/>
    <w:rsid w:val="004417F1"/>
    <w:rsid w:val="004417FA"/>
    <w:rsid w:val="0044195D"/>
    <w:rsid w:val="00441CFD"/>
    <w:rsid w:val="004428C0"/>
    <w:rsid w:val="00442E72"/>
    <w:rsid w:val="00443156"/>
    <w:rsid w:val="004431DA"/>
    <w:rsid w:val="004433BA"/>
    <w:rsid w:val="00443496"/>
    <w:rsid w:val="004434F2"/>
    <w:rsid w:val="004436C9"/>
    <w:rsid w:val="00443765"/>
    <w:rsid w:val="0044387A"/>
    <w:rsid w:val="00443952"/>
    <w:rsid w:val="00443C7A"/>
    <w:rsid w:val="00443E1A"/>
    <w:rsid w:val="0044400D"/>
    <w:rsid w:val="00444252"/>
    <w:rsid w:val="00444262"/>
    <w:rsid w:val="00444428"/>
    <w:rsid w:val="0044444A"/>
    <w:rsid w:val="004446BC"/>
    <w:rsid w:val="004446F1"/>
    <w:rsid w:val="00444860"/>
    <w:rsid w:val="00444CF0"/>
    <w:rsid w:val="00444E5F"/>
    <w:rsid w:val="0044517C"/>
    <w:rsid w:val="00445237"/>
    <w:rsid w:val="0044548C"/>
    <w:rsid w:val="00445636"/>
    <w:rsid w:val="00445652"/>
    <w:rsid w:val="00445841"/>
    <w:rsid w:val="004458F3"/>
    <w:rsid w:val="00445BE4"/>
    <w:rsid w:val="00445E5F"/>
    <w:rsid w:val="00445FEA"/>
    <w:rsid w:val="00446373"/>
    <w:rsid w:val="004463BC"/>
    <w:rsid w:val="004472B7"/>
    <w:rsid w:val="00447324"/>
    <w:rsid w:val="0044736E"/>
    <w:rsid w:val="00447438"/>
    <w:rsid w:val="004477F9"/>
    <w:rsid w:val="0044780E"/>
    <w:rsid w:val="004478E7"/>
    <w:rsid w:val="00447CD2"/>
    <w:rsid w:val="00447F21"/>
    <w:rsid w:val="00450271"/>
    <w:rsid w:val="00450836"/>
    <w:rsid w:val="004508AA"/>
    <w:rsid w:val="00450C82"/>
    <w:rsid w:val="0045119F"/>
    <w:rsid w:val="0045121B"/>
    <w:rsid w:val="0045126E"/>
    <w:rsid w:val="004512B1"/>
    <w:rsid w:val="00451467"/>
    <w:rsid w:val="00451D67"/>
    <w:rsid w:val="00452247"/>
    <w:rsid w:val="0045227C"/>
    <w:rsid w:val="0045282B"/>
    <w:rsid w:val="00452842"/>
    <w:rsid w:val="00452BBF"/>
    <w:rsid w:val="00454262"/>
    <w:rsid w:val="00454868"/>
    <w:rsid w:val="004549F9"/>
    <w:rsid w:val="00454F64"/>
    <w:rsid w:val="00455031"/>
    <w:rsid w:val="00455220"/>
    <w:rsid w:val="0045528C"/>
    <w:rsid w:val="004553B8"/>
    <w:rsid w:val="00455833"/>
    <w:rsid w:val="00455BED"/>
    <w:rsid w:val="00456015"/>
    <w:rsid w:val="004566DE"/>
    <w:rsid w:val="00456718"/>
    <w:rsid w:val="0045689D"/>
    <w:rsid w:val="00456BF7"/>
    <w:rsid w:val="00456EC3"/>
    <w:rsid w:val="0045702F"/>
    <w:rsid w:val="0045704A"/>
    <w:rsid w:val="00457099"/>
    <w:rsid w:val="004571EF"/>
    <w:rsid w:val="0045758C"/>
    <w:rsid w:val="00457763"/>
    <w:rsid w:val="004579B9"/>
    <w:rsid w:val="00457C38"/>
    <w:rsid w:val="0046024B"/>
    <w:rsid w:val="0046059D"/>
    <w:rsid w:val="004606CA"/>
    <w:rsid w:val="0046091C"/>
    <w:rsid w:val="00460A60"/>
    <w:rsid w:val="00460E8E"/>
    <w:rsid w:val="0046125A"/>
    <w:rsid w:val="004612C8"/>
    <w:rsid w:val="00461383"/>
    <w:rsid w:val="004613D3"/>
    <w:rsid w:val="004616DD"/>
    <w:rsid w:val="00461F05"/>
    <w:rsid w:val="004627F2"/>
    <w:rsid w:val="004629CD"/>
    <w:rsid w:val="00462B30"/>
    <w:rsid w:val="00462D04"/>
    <w:rsid w:val="00462FFE"/>
    <w:rsid w:val="0046307D"/>
    <w:rsid w:val="00463290"/>
    <w:rsid w:val="004633E4"/>
    <w:rsid w:val="0046390C"/>
    <w:rsid w:val="0046390D"/>
    <w:rsid w:val="00463D23"/>
    <w:rsid w:val="00463EFA"/>
    <w:rsid w:val="004644B2"/>
    <w:rsid w:val="0046467A"/>
    <w:rsid w:val="00464759"/>
    <w:rsid w:val="00464ABC"/>
    <w:rsid w:val="00464FD5"/>
    <w:rsid w:val="004651B4"/>
    <w:rsid w:val="004651BA"/>
    <w:rsid w:val="004656B7"/>
    <w:rsid w:val="00465D8C"/>
    <w:rsid w:val="00465E20"/>
    <w:rsid w:val="00465EE6"/>
    <w:rsid w:val="004662A1"/>
    <w:rsid w:val="0046641F"/>
    <w:rsid w:val="004665AF"/>
    <w:rsid w:val="004667DA"/>
    <w:rsid w:val="0046682E"/>
    <w:rsid w:val="00466C9B"/>
    <w:rsid w:val="00466ECE"/>
    <w:rsid w:val="0046751F"/>
    <w:rsid w:val="004676A1"/>
    <w:rsid w:val="004676F1"/>
    <w:rsid w:val="00467798"/>
    <w:rsid w:val="00467830"/>
    <w:rsid w:val="00467991"/>
    <w:rsid w:val="00467E26"/>
    <w:rsid w:val="004703AF"/>
    <w:rsid w:val="0047046F"/>
    <w:rsid w:val="00470587"/>
    <w:rsid w:val="00470780"/>
    <w:rsid w:val="0047086C"/>
    <w:rsid w:val="00470937"/>
    <w:rsid w:val="00470E50"/>
    <w:rsid w:val="004710FB"/>
    <w:rsid w:val="0047166D"/>
    <w:rsid w:val="004716C1"/>
    <w:rsid w:val="00471E67"/>
    <w:rsid w:val="00471E7B"/>
    <w:rsid w:val="00471FC1"/>
    <w:rsid w:val="00472010"/>
    <w:rsid w:val="004720D9"/>
    <w:rsid w:val="004722E3"/>
    <w:rsid w:val="004728F8"/>
    <w:rsid w:val="0047296B"/>
    <w:rsid w:val="00472B1F"/>
    <w:rsid w:val="00472D50"/>
    <w:rsid w:val="00472DFF"/>
    <w:rsid w:val="00472F1E"/>
    <w:rsid w:val="004732DD"/>
    <w:rsid w:val="004733FE"/>
    <w:rsid w:val="0047369A"/>
    <w:rsid w:val="0047376D"/>
    <w:rsid w:val="00473817"/>
    <w:rsid w:val="00473819"/>
    <w:rsid w:val="004739A1"/>
    <w:rsid w:val="00473CE8"/>
    <w:rsid w:val="00473DE7"/>
    <w:rsid w:val="00473F2D"/>
    <w:rsid w:val="0047403A"/>
    <w:rsid w:val="004740C2"/>
    <w:rsid w:val="0047416E"/>
    <w:rsid w:val="00474205"/>
    <w:rsid w:val="00474342"/>
    <w:rsid w:val="00474466"/>
    <w:rsid w:val="004748FD"/>
    <w:rsid w:val="00474EC3"/>
    <w:rsid w:val="00475035"/>
    <w:rsid w:val="00475222"/>
    <w:rsid w:val="00475723"/>
    <w:rsid w:val="00475E87"/>
    <w:rsid w:val="00475EC5"/>
    <w:rsid w:val="004762B5"/>
    <w:rsid w:val="00476433"/>
    <w:rsid w:val="004764E9"/>
    <w:rsid w:val="004768A0"/>
    <w:rsid w:val="00476965"/>
    <w:rsid w:val="00476C4D"/>
    <w:rsid w:val="00476D05"/>
    <w:rsid w:val="00476E44"/>
    <w:rsid w:val="00477129"/>
    <w:rsid w:val="00477428"/>
    <w:rsid w:val="00477451"/>
    <w:rsid w:val="00477BE3"/>
    <w:rsid w:val="00477E33"/>
    <w:rsid w:val="00477EC6"/>
    <w:rsid w:val="004802FC"/>
    <w:rsid w:val="004803B8"/>
    <w:rsid w:val="004804BC"/>
    <w:rsid w:val="004805D6"/>
    <w:rsid w:val="00480822"/>
    <w:rsid w:val="00480A63"/>
    <w:rsid w:val="00481073"/>
    <w:rsid w:val="00481744"/>
    <w:rsid w:val="0048176F"/>
    <w:rsid w:val="00481876"/>
    <w:rsid w:val="00481A00"/>
    <w:rsid w:val="00481A5F"/>
    <w:rsid w:val="00481AC2"/>
    <w:rsid w:val="00481D0C"/>
    <w:rsid w:val="00481DC7"/>
    <w:rsid w:val="004824E3"/>
    <w:rsid w:val="00482828"/>
    <w:rsid w:val="00482A6A"/>
    <w:rsid w:val="0048331C"/>
    <w:rsid w:val="0048367A"/>
    <w:rsid w:val="00483900"/>
    <w:rsid w:val="00483B39"/>
    <w:rsid w:val="00483D98"/>
    <w:rsid w:val="00483FB2"/>
    <w:rsid w:val="0048409C"/>
    <w:rsid w:val="00484516"/>
    <w:rsid w:val="0048461E"/>
    <w:rsid w:val="0048476E"/>
    <w:rsid w:val="0048492D"/>
    <w:rsid w:val="00484A09"/>
    <w:rsid w:val="00484BEF"/>
    <w:rsid w:val="0048514E"/>
    <w:rsid w:val="00485388"/>
    <w:rsid w:val="00485B9A"/>
    <w:rsid w:val="00485C6B"/>
    <w:rsid w:val="00485ED8"/>
    <w:rsid w:val="00485F13"/>
    <w:rsid w:val="00486044"/>
    <w:rsid w:val="00486052"/>
    <w:rsid w:val="00486328"/>
    <w:rsid w:val="00486447"/>
    <w:rsid w:val="0048679D"/>
    <w:rsid w:val="00486947"/>
    <w:rsid w:val="004869B6"/>
    <w:rsid w:val="00486A25"/>
    <w:rsid w:val="00486B67"/>
    <w:rsid w:val="00486BCA"/>
    <w:rsid w:val="00486C60"/>
    <w:rsid w:val="00486E7B"/>
    <w:rsid w:val="00486FED"/>
    <w:rsid w:val="00487085"/>
    <w:rsid w:val="0048714F"/>
    <w:rsid w:val="0048725B"/>
    <w:rsid w:val="004879C6"/>
    <w:rsid w:val="00487A13"/>
    <w:rsid w:val="00487A1E"/>
    <w:rsid w:val="00487BFF"/>
    <w:rsid w:val="00490096"/>
    <w:rsid w:val="0049032F"/>
    <w:rsid w:val="00490428"/>
    <w:rsid w:val="00490976"/>
    <w:rsid w:val="00490B3B"/>
    <w:rsid w:val="00490C00"/>
    <w:rsid w:val="00490C5F"/>
    <w:rsid w:val="00490CC5"/>
    <w:rsid w:val="00490F13"/>
    <w:rsid w:val="00491355"/>
    <w:rsid w:val="00491442"/>
    <w:rsid w:val="004919D8"/>
    <w:rsid w:val="00491A81"/>
    <w:rsid w:val="00491F1F"/>
    <w:rsid w:val="004922CA"/>
    <w:rsid w:val="00492395"/>
    <w:rsid w:val="004923D7"/>
    <w:rsid w:val="004926BE"/>
    <w:rsid w:val="004927FE"/>
    <w:rsid w:val="00492882"/>
    <w:rsid w:val="0049289A"/>
    <w:rsid w:val="00492C2B"/>
    <w:rsid w:val="00492C36"/>
    <w:rsid w:val="004930AE"/>
    <w:rsid w:val="00493449"/>
    <w:rsid w:val="004937FE"/>
    <w:rsid w:val="004940DC"/>
    <w:rsid w:val="00494680"/>
    <w:rsid w:val="00494990"/>
    <w:rsid w:val="00494AE0"/>
    <w:rsid w:val="00494C63"/>
    <w:rsid w:val="00494EDB"/>
    <w:rsid w:val="00495A7B"/>
    <w:rsid w:val="00495ADD"/>
    <w:rsid w:val="00495F3F"/>
    <w:rsid w:val="00496229"/>
    <w:rsid w:val="004962D2"/>
    <w:rsid w:val="0049633D"/>
    <w:rsid w:val="0049651F"/>
    <w:rsid w:val="00496592"/>
    <w:rsid w:val="004965A7"/>
    <w:rsid w:val="004965FC"/>
    <w:rsid w:val="004967E9"/>
    <w:rsid w:val="00496C40"/>
    <w:rsid w:val="00496D8A"/>
    <w:rsid w:val="00496DBD"/>
    <w:rsid w:val="00496EFA"/>
    <w:rsid w:val="00496FF9"/>
    <w:rsid w:val="00497046"/>
    <w:rsid w:val="004970DA"/>
    <w:rsid w:val="00497B09"/>
    <w:rsid w:val="004A00D0"/>
    <w:rsid w:val="004A0489"/>
    <w:rsid w:val="004A089F"/>
    <w:rsid w:val="004A0A09"/>
    <w:rsid w:val="004A0A5E"/>
    <w:rsid w:val="004A0C55"/>
    <w:rsid w:val="004A0EE7"/>
    <w:rsid w:val="004A1426"/>
    <w:rsid w:val="004A1506"/>
    <w:rsid w:val="004A1723"/>
    <w:rsid w:val="004A1981"/>
    <w:rsid w:val="004A1B9F"/>
    <w:rsid w:val="004A1FB3"/>
    <w:rsid w:val="004A21BE"/>
    <w:rsid w:val="004A2A62"/>
    <w:rsid w:val="004A2E03"/>
    <w:rsid w:val="004A31CC"/>
    <w:rsid w:val="004A3428"/>
    <w:rsid w:val="004A3E14"/>
    <w:rsid w:val="004A3F41"/>
    <w:rsid w:val="004A4519"/>
    <w:rsid w:val="004A45E0"/>
    <w:rsid w:val="004A4B54"/>
    <w:rsid w:val="004A4CCE"/>
    <w:rsid w:val="004A5049"/>
    <w:rsid w:val="004A51BE"/>
    <w:rsid w:val="004A555C"/>
    <w:rsid w:val="004A5924"/>
    <w:rsid w:val="004A5CFE"/>
    <w:rsid w:val="004A5F86"/>
    <w:rsid w:val="004A607F"/>
    <w:rsid w:val="004A61BF"/>
    <w:rsid w:val="004A637A"/>
    <w:rsid w:val="004A6544"/>
    <w:rsid w:val="004A6A34"/>
    <w:rsid w:val="004A6C59"/>
    <w:rsid w:val="004A70FF"/>
    <w:rsid w:val="004A71E7"/>
    <w:rsid w:val="004A74D6"/>
    <w:rsid w:val="004A74E8"/>
    <w:rsid w:val="004A7504"/>
    <w:rsid w:val="004A7596"/>
    <w:rsid w:val="004A7608"/>
    <w:rsid w:val="004A782B"/>
    <w:rsid w:val="004A78AB"/>
    <w:rsid w:val="004A7B36"/>
    <w:rsid w:val="004A7C81"/>
    <w:rsid w:val="004B0122"/>
    <w:rsid w:val="004B012D"/>
    <w:rsid w:val="004B05A1"/>
    <w:rsid w:val="004B06D6"/>
    <w:rsid w:val="004B07DC"/>
    <w:rsid w:val="004B0836"/>
    <w:rsid w:val="004B0D7F"/>
    <w:rsid w:val="004B0D95"/>
    <w:rsid w:val="004B0E2D"/>
    <w:rsid w:val="004B12BD"/>
    <w:rsid w:val="004B141E"/>
    <w:rsid w:val="004B1AF6"/>
    <w:rsid w:val="004B1B50"/>
    <w:rsid w:val="004B1C88"/>
    <w:rsid w:val="004B1D02"/>
    <w:rsid w:val="004B1E12"/>
    <w:rsid w:val="004B1ED0"/>
    <w:rsid w:val="004B2002"/>
    <w:rsid w:val="004B22A1"/>
    <w:rsid w:val="004B2518"/>
    <w:rsid w:val="004B258E"/>
    <w:rsid w:val="004B25D1"/>
    <w:rsid w:val="004B25F2"/>
    <w:rsid w:val="004B2960"/>
    <w:rsid w:val="004B2BA3"/>
    <w:rsid w:val="004B2D86"/>
    <w:rsid w:val="004B2E15"/>
    <w:rsid w:val="004B2E90"/>
    <w:rsid w:val="004B3080"/>
    <w:rsid w:val="004B3120"/>
    <w:rsid w:val="004B3235"/>
    <w:rsid w:val="004B32F8"/>
    <w:rsid w:val="004B357B"/>
    <w:rsid w:val="004B36AB"/>
    <w:rsid w:val="004B3965"/>
    <w:rsid w:val="004B4053"/>
    <w:rsid w:val="004B4499"/>
    <w:rsid w:val="004B45B2"/>
    <w:rsid w:val="004B47E7"/>
    <w:rsid w:val="004B48DA"/>
    <w:rsid w:val="004B4916"/>
    <w:rsid w:val="004B495E"/>
    <w:rsid w:val="004B554F"/>
    <w:rsid w:val="004B57FF"/>
    <w:rsid w:val="004B5CAE"/>
    <w:rsid w:val="004B5E37"/>
    <w:rsid w:val="004B6379"/>
    <w:rsid w:val="004B688A"/>
    <w:rsid w:val="004B6A92"/>
    <w:rsid w:val="004B6C1D"/>
    <w:rsid w:val="004B6C73"/>
    <w:rsid w:val="004B6DEA"/>
    <w:rsid w:val="004B6DFF"/>
    <w:rsid w:val="004B6E8B"/>
    <w:rsid w:val="004B6ED2"/>
    <w:rsid w:val="004B71B4"/>
    <w:rsid w:val="004B7320"/>
    <w:rsid w:val="004B76EF"/>
    <w:rsid w:val="004B77A7"/>
    <w:rsid w:val="004B781A"/>
    <w:rsid w:val="004B79DE"/>
    <w:rsid w:val="004B7AFE"/>
    <w:rsid w:val="004B7E50"/>
    <w:rsid w:val="004B7EBA"/>
    <w:rsid w:val="004C0327"/>
    <w:rsid w:val="004C03E7"/>
    <w:rsid w:val="004C054D"/>
    <w:rsid w:val="004C0B41"/>
    <w:rsid w:val="004C0BC3"/>
    <w:rsid w:val="004C0C68"/>
    <w:rsid w:val="004C0F9D"/>
    <w:rsid w:val="004C135A"/>
    <w:rsid w:val="004C1575"/>
    <w:rsid w:val="004C18C0"/>
    <w:rsid w:val="004C1A1B"/>
    <w:rsid w:val="004C1A2C"/>
    <w:rsid w:val="004C1AB6"/>
    <w:rsid w:val="004C1BBA"/>
    <w:rsid w:val="004C1D78"/>
    <w:rsid w:val="004C1E1C"/>
    <w:rsid w:val="004C220F"/>
    <w:rsid w:val="004C254A"/>
    <w:rsid w:val="004C2964"/>
    <w:rsid w:val="004C2EED"/>
    <w:rsid w:val="004C3267"/>
    <w:rsid w:val="004C384C"/>
    <w:rsid w:val="004C3C9C"/>
    <w:rsid w:val="004C3D45"/>
    <w:rsid w:val="004C3EC5"/>
    <w:rsid w:val="004C3FD5"/>
    <w:rsid w:val="004C4180"/>
    <w:rsid w:val="004C42F0"/>
    <w:rsid w:val="004C4833"/>
    <w:rsid w:val="004C494D"/>
    <w:rsid w:val="004C4AF3"/>
    <w:rsid w:val="004C4FE0"/>
    <w:rsid w:val="004C50EB"/>
    <w:rsid w:val="004C51CF"/>
    <w:rsid w:val="004C579B"/>
    <w:rsid w:val="004C5CBD"/>
    <w:rsid w:val="004C5CE6"/>
    <w:rsid w:val="004C6204"/>
    <w:rsid w:val="004C63EB"/>
    <w:rsid w:val="004C6557"/>
    <w:rsid w:val="004C668F"/>
    <w:rsid w:val="004C678F"/>
    <w:rsid w:val="004C69DF"/>
    <w:rsid w:val="004C6A39"/>
    <w:rsid w:val="004C6E10"/>
    <w:rsid w:val="004C6F4F"/>
    <w:rsid w:val="004C752E"/>
    <w:rsid w:val="004C77E9"/>
    <w:rsid w:val="004C7A31"/>
    <w:rsid w:val="004C7DE8"/>
    <w:rsid w:val="004D017D"/>
    <w:rsid w:val="004D0248"/>
    <w:rsid w:val="004D03C4"/>
    <w:rsid w:val="004D04C0"/>
    <w:rsid w:val="004D0561"/>
    <w:rsid w:val="004D0723"/>
    <w:rsid w:val="004D07D1"/>
    <w:rsid w:val="004D0DF6"/>
    <w:rsid w:val="004D0E7F"/>
    <w:rsid w:val="004D18A7"/>
    <w:rsid w:val="004D19E0"/>
    <w:rsid w:val="004D1A26"/>
    <w:rsid w:val="004D1BAD"/>
    <w:rsid w:val="004D21C9"/>
    <w:rsid w:val="004D224E"/>
    <w:rsid w:val="004D263D"/>
    <w:rsid w:val="004D26E2"/>
    <w:rsid w:val="004D28E1"/>
    <w:rsid w:val="004D295B"/>
    <w:rsid w:val="004D2EF5"/>
    <w:rsid w:val="004D3003"/>
    <w:rsid w:val="004D33B8"/>
    <w:rsid w:val="004D3661"/>
    <w:rsid w:val="004D3769"/>
    <w:rsid w:val="004D37E6"/>
    <w:rsid w:val="004D3A29"/>
    <w:rsid w:val="004D3A2C"/>
    <w:rsid w:val="004D3E64"/>
    <w:rsid w:val="004D4475"/>
    <w:rsid w:val="004D45D9"/>
    <w:rsid w:val="004D45F2"/>
    <w:rsid w:val="004D47F5"/>
    <w:rsid w:val="004D4CC8"/>
    <w:rsid w:val="004D4D38"/>
    <w:rsid w:val="004D5256"/>
    <w:rsid w:val="004D53AE"/>
    <w:rsid w:val="004D5679"/>
    <w:rsid w:val="004D59A0"/>
    <w:rsid w:val="004D5A01"/>
    <w:rsid w:val="004D5A04"/>
    <w:rsid w:val="004D5B87"/>
    <w:rsid w:val="004D5CBE"/>
    <w:rsid w:val="004D5D31"/>
    <w:rsid w:val="004D5E30"/>
    <w:rsid w:val="004D62B9"/>
    <w:rsid w:val="004D6539"/>
    <w:rsid w:val="004D6BA0"/>
    <w:rsid w:val="004D6BF7"/>
    <w:rsid w:val="004D6C0E"/>
    <w:rsid w:val="004D6E01"/>
    <w:rsid w:val="004D6E81"/>
    <w:rsid w:val="004D6EE9"/>
    <w:rsid w:val="004D708F"/>
    <w:rsid w:val="004D73D6"/>
    <w:rsid w:val="004D7442"/>
    <w:rsid w:val="004D74F8"/>
    <w:rsid w:val="004D7568"/>
    <w:rsid w:val="004D75D9"/>
    <w:rsid w:val="004D77CE"/>
    <w:rsid w:val="004D7F67"/>
    <w:rsid w:val="004E0040"/>
    <w:rsid w:val="004E0230"/>
    <w:rsid w:val="004E04DB"/>
    <w:rsid w:val="004E0634"/>
    <w:rsid w:val="004E0D67"/>
    <w:rsid w:val="004E105D"/>
    <w:rsid w:val="004E1274"/>
    <w:rsid w:val="004E150C"/>
    <w:rsid w:val="004E1772"/>
    <w:rsid w:val="004E1C19"/>
    <w:rsid w:val="004E1EDC"/>
    <w:rsid w:val="004E1EE5"/>
    <w:rsid w:val="004E240A"/>
    <w:rsid w:val="004E2653"/>
    <w:rsid w:val="004E274E"/>
    <w:rsid w:val="004E2AD7"/>
    <w:rsid w:val="004E2D3D"/>
    <w:rsid w:val="004E2FAC"/>
    <w:rsid w:val="004E30C7"/>
    <w:rsid w:val="004E30E8"/>
    <w:rsid w:val="004E36BC"/>
    <w:rsid w:val="004E3B93"/>
    <w:rsid w:val="004E3BF1"/>
    <w:rsid w:val="004E44CF"/>
    <w:rsid w:val="004E4ED4"/>
    <w:rsid w:val="004E4F72"/>
    <w:rsid w:val="004E5341"/>
    <w:rsid w:val="004E5985"/>
    <w:rsid w:val="004E59F2"/>
    <w:rsid w:val="004E5D84"/>
    <w:rsid w:val="004E5DA5"/>
    <w:rsid w:val="004E6006"/>
    <w:rsid w:val="004E612E"/>
    <w:rsid w:val="004E6260"/>
    <w:rsid w:val="004E69B2"/>
    <w:rsid w:val="004E6C61"/>
    <w:rsid w:val="004E6DC5"/>
    <w:rsid w:val="004E73BA"/>
    <w:rsid w:val="004E752A"/>
    <w:rsid w:val="004E75DC"/>
    <w:rsid w:val="004E77A3"/>
    <w:rsid w:val="004E796D"/>
    <w:rsid w:val="004E7D8E"/>
    <w:rsid w:val="004E7F68"/>
    <w:rsid w:val="004F04E0"/>
    <w:rsid w:val="004F0610"/>
    <w:rsid w:val="004F0963"/>
    <w:rsid w:val="004F0A88"/>
    <w:rsid w:val="004F0B85"/>
    <w:rsid w:val="004F0BB8"/>
    <w:rsid w:val="004F0C01"/>
    <w:rsid w:val="004F1020"/>
    <w:rsid w:val="004F122A"/>
    <w:rsid w:val="004F1609"/>
    <w:rsid w:val="004F166E"/>
    <w:rsid w:val="004F1816"/>
    <w:rsid w:val="004F1887"/>
    <w:rsid w:val="004F1A39"/>
    <w:rsid w:val="004F1A80"/>
    <w:rsid w:val="004F1B73"/>
    <w:rsid w:val="004F1CAF"/>
    <w:rsid w:val="004F1CC2"/>
    <w:rsid w:val="004F1CDD"/>
    <w:rsid w:val="004F1EE5"/>
    <w:rsid w:val="004F2351"/>
    <w:rsid w:val="004F2758"/>
    <w:rsid w:val="004F2768"/>
    <w:rsid w:val="004F2A8C"/>
    <w:rsid w:val="004F2D04"/>
    <w:rsid w:val="004F2D47"/>
    <w:rsid w:val="004F2E34"/>
    <w:rsid w:val="004F2E9F"/>
    <w:rsid w:val="004F2FA7"/>
    <w:rsid w:val="004F2FB1"/>
    <w:rsid w:val="004F330F"/>
    <w:rsid w:val="004F37C7"/>
    <w:rsid w:val="004F3886"/>
    <w:rsid w:val="004F3968"/>
    <w:rsid w:val="004F3A01"/>
    <w:rsid w:val="004F3C36"/>
    <w:rsid w:val="004F3D47"/>
    <w:rsid w:val="004F43EC"/>
    <w:rsid w:val="004F44C0"/>
    <w:rsid w:val="004F4B1F"/>
    <w:rsid w:val="004F4C15"/>
    <w:rsid w:val="004F4FE3"/>
    <w:rsid w:val="004F503D"/>
    <w:rsid w:val="004F563A"/>
    <w:rsid w:val="004F563C"/>
    <w:rsid w:val="004F5849"/>
    <w:rsid w:val="004F58E1"/>
    <w:rsid w:val="004F613B"/>
    <w:rsid w:val="004F6249"/>
    <w:rsid w:val="004F63A6"/>
    <w:rsid w:val="004F652F"/>
    <w:rsid w:val="004F665F"/>
    <w:rsid w:val="004F6A13"/>
    <w:rsid w:val="004F6A96"/>
    <w:rsid w:val="004F6CF8"/>
    <w:rsid w:val="004F6EAF"/>
    <w:rsid w:val="004F7109"/>
    <w:rsid w:val="004F7A22"/>
    <w:rsid w:val="004F7AF3"/>
    <w:rsid w:val="004F7CD2"/>
    <w:rsid w:val="004F7E09"/>
    <w:rsid w:val="004F7FAD"/>
    <w:rsid w:val="005002ED"/>
    <w:rsid w:val="005005AE"/>
    <w:rsid w:val="005007D5"/>
    <w:rsid w:val="005007EA"/>
    <w:rsid w:val="00500A04"/>
    <w:rsid w:val="00500C13"/>
    <w:rsid w:val="0050101A"/>
    <w:rsid w:val="00501035"/>
    <w:rsid w:val="005010C8"/>
    <w:rsid w:val="005010F0"/>
    <w:rsid w:val="005012FD"/>
    <w:rsid w:val="0050142F"/>
    <w:rsid w:val="005014A2"/>
    <w:rsid w:val="00501AD6"/>
    <w:rsid w:val="00501FFF"/>
    <w:rsid w:val="0050228E"/>
    <w:rsid w:val="00502684"/>
    <w:rsid w:val="005027D3"/>
    <w:rsid w:val="00502AA9"/>
    <w:rsid w:val="00502D5A"/>
    <w:rsid w:val="00503383"/>
    <w:rsid w:val="00503629"/>
    <w:rsid w:val="0050368C"/>
    <w:rsid w:val="00503776"/>
    <w:rsid w:val="005038C3"/>
    <w:rsid w:val="0050390F"/>
    <w:rsid w:val="005039CB"/>
    <w:rsid w:val="00503A73"/>
    <w:rsid w:val="00503B17"/>
    <w:rsid w:val="00503C01"/>
    <w:rsid w:val="005041AA"/>
    <w:rsid w:val="0050454D"/>
    <w:rsid w:val="00504A88"/>
    <w:rsid w:val="00504AF2"/>
    <w:rsid w:val="00504B0F"/>
    <w:rsid w:val="00504CE2"/>
    <w:rsid w:val="00504D30"/>
    <w:rsid w:val="005058C5"/>
    <w:rsid w:val="00505EDF"/>
    <w:rsid w:val="005062A5"/>
    <w:rsid w:val="0050638F"/>
    <w:rsid w:val="00506610"/>
    <w:rsid w:val="00506741"/>
    <w:rsid w:val="00506842"/>
    <w:rsid w:val="00506858"/>
    <w:rsid w:val="0050686E"/>
    <w:rsid w:val="00506C54"/>
    <w:rsid w:val="00506C85"/>
    <w:rsid w:val="00506FCB"/>
    <w:rsid w:val="00507468"/>
    <w:rsid w:val="0050798F"/>
    <w:rsid w:val="00507A7F"/>
    <w:rsid w:val="00507BB1"/>
    <w:rsid w:val="0051000A"/>
    <w:rsid w:val="00510401"/>
    <w:rsid w:val="0051050F"/>
    <w:rsid w:val="00510671"/>
    <w:rsid w:val="005108DD"/>
    <w:rsid w:val="0051095B"/>
    <w:rsid w:val="00510B13"/>
    <w:rsid w:val="00510F05"/>
    <w:rsid w:val="0051114F"/>
    <w:rsid w:val="00511264"/>
    <w:rsid w:val="005112C6"/>
    <w:rsid w:val="005115ED"/>
    <w:rsid w:val="005117E0"/>
    <w:rsid w:val="00511841"/>
    <w:rsid w:val="00512600"/>
    <w:rsid w:val="00512832"/>
    <w:rsid w:val="00512C00"/>
    <w:rsid w:val="00512D05"/>
    <w:rsid w:val="00513005"/>
    <w:rsid w:val="00513067"/>
    <w:rsid w:val="0051310D"/>
    <w:rsid w:val="0051316B"/>
    <w:rsid w:val="00513202"/>
    <w:rsid w:val="00513275"/>
    <w:rsid w:val="00513425"/>
    <w:rsid w:val="00513861"/>
    <w:rsid w:val="00513916"/>
    <w:rsid w:val="00513D9E"/>
    <w:rsid w:val="00513F6C"/>
    <w:rsid w:val="0051467A"/>
    <w:rsid w:val="00514CD7"/>
    <w:rsid w:val="00514D9A"/>
    <w:rsid w:val="0051524B"/>
    <w:rsid w:val="0051539B"/>
    <w:rsid w:val="0051543D"/>
    <w:rsid w:val="0051579D"/>
    <w:rsid w:val="00515C70"/>
    <w:rsid w:val="00515E2C"/>
    <w:rsid w:val="00515FB7"/>
    <w:rsid w:val="005161F4"/>
    <w:rsid w:val="00516768"/>
    <w:rsid w:val="00516A2F"/>
    <w:rsid w:val="00516D9A"/>
    <w:rsid w:val="00516DE1"/>
    <w:rsid w:val="005173FA"/>
    <w:rsid w:val="0051751A"/>
    <w:rsid w:val="00517683"/>
    <w:rsid w:val="00517B02"/>
    <w:rsid w:val="00517CF6"/>
    <w:rsid w:val="005205BC"/>
    <w:rsid w:val="005207B6"/>
    <w:rsid w:val="0052090F"/>
    <w:rsid w:val="00520A18"/>
    <w:rsid w:val="00520AFF"/>
    <w:rsid w:val="00520D47"/>
    <w:rsid w:val="00520D8C"/>
    <w:rsid w:val="00520F1B"/>
    <w:rsid w:val="005213BF"/>
    <w:rsid w:val="0052145B"/>
    <w:rsid w:val="005218A0"/>
    <w:rsid w:val="00521ABE"/>
    <w:rsid w:val="00521AF8"/>
    <w:rsid w:val="00521DD0"/>
    <w:rsid w:val="0052203E"/>
    <w:rsid w:val="00522062"/>
    <w:rsid w:val="005223A4"/>
    <w:rsid w:val="00522427"/>
    <w:rsid w:val="005224EA"/>
    <w:rsid w:val="005226F0"/>
    <w:rsid w:val="00522789"/>
    <w:rsid w:val="00522A34"/>
    <w:rsid w:val="00523172"/>
    <w:rsid w:val="005234FD"/>
    <w:rsid w:val="00523585"/>
    <w:rsid w:val="00523844"/>
    <w:rsid w:val="00523B3E"/>
    <w:rsid w:val="00523DB3"/>
    <w:rsid w:val="00523F10"/>
    <w:rsid w:val="0052416E"/>
    <w:rsid w:val="0052490F"/>
    <w:rsid w:val="005254FC"/>
    <w:rsid w:val="0052596E"/>
    <w:rsid w:val="00525D5A"/>
    <w:rsid w:val="00525DFA"/>
    <w:rsid w:val="005260E2"/>
    <w:rsid w:val="005261F4"/>
    <w:rsid w:val="00526258"/>
    <w:rsid w:val="005266CB"/>
    <w:rsid w:val="005269CF"/>
    <w:rsid w:val="00526A13"/>
    <w:rsid w:val="00526D08"/>
    <w:rsid w:val="00526D71"/>
    <w:rsid w:val="00527005"/>
    <w:rsid w:val="005273AC"/>
    <w:rsid w:val="00530578"/>
    <w:rsid w:val="00530765"/>
    <w:rsid w:val="005307FE"/>
    <w:rsid w:val="00530AAA"/>
    <w:rsid w:val="00530D73"/>
    <w:rsid w:val="00530FDA"/>
    <w:rsid w:val="00531067"/>
    <w:rsid w:val="00531370"/>
    <w:rsid w:val="0053155D"/>
    <w:rsid w:val="00531592"/>
    <w:rsid w:val="00531743"/>
    <w:rsid w:val="00531904"/>
    <w:rsid w:val="00531AE9"/>
    <w:rsid w:val="00531B10"/>
    <w:rsid w:val="00532131"/>
    <w:rsid w:val="00532272"/>
    <w:rsid w:val="0053259F"/>
    <w:rsid w:val="005327BB"/>
    <w:rsid w:val="0053294D"/>
    <w:rsid w:val="00532A5B"/>
    <w:rsid w:val="00532B30"/>
    <w:rsid w:val="00532C11"/>
    <w:rsid w:val="00532D69"/>
    <w:rsid w:val="00532D79"/>
    <w:rsid w:val="00532DF3"/>
    <w:rsid w:val="00533101"/>
    <w:rsid w:val="0053319F"/>
    <w:rsid w:val="00533321"/>
    <w:rsid w:val="00533A68"/>
    <w:rsid w:val="00534156"/>
    <w:rsid w:val="00534307"/>
    <w:rsid w:val="00534344"/>
    <w:rsid w:val="005348E7"/>
    <w:rsid w:val="0053507C"/>
    <w:rsid w:val="005351CD"/>
    <w:rsid w:val="00535315"/>
    <w:rsid w:val="005355B9"/>
    <w:rsid w:val="00535617"/>
    <w:rsid w:val="00535AAD"/>
    <w:rsid w:val="00535D9A"/>
    <w:rsid w:val="005361B6"/>
    <w:rsid w:val="005365F2"/>
    <w:rsid w:val="005367C5"/>
    <w:rsid w:val="005368B2"/>
    <w:rsid w:val="00536BBF"/>
    <w:rsid w:val="00536BCB"/>
    <w:rsid w:val="00536BD1"/>
    <w:rsid w:val="0053713F"/>
    <w:rsid w:val="005371D2"/>
    <w:rsid w:val="005374B2"/>
    <w:rsid w:val="005374DC"/>
    <w:rsid w:val="0053758C"/>
    <w:rsid w:val="005375EE"/>
    <w:rsid w:val="0053768C"/>
    <w:rsid w:val="005378CD"/>
    <w:rsid w:val="00537AF1"/>
    <w:rsid w:val="00537DEA"/>
    <w:rsid w:val="00537F7E"/>
    <w:rsid w:val="00537F90"/>
    <w:rsid w:val="00537FF9"/>
    <w:rsid w:val="00540084"/>
    <w:rsid w:val="0054034A"/>
    <w:rsid w:val="00540397"/>
    <w:rsid w:val="00540497"/>
    <w:rsid w:val="005404C2"/>
    <w:rsid w:val="005405C0"/>
    <w:rsid w:val="005409DA"/>
    <w:rsid w:val="00540A23"/>
    <w:rsid w:val="00540D69"/>
    <w:rsid w:val="00540DAA"/>
    <w:rsid w:val="00541018"/>
    <w:rsid w:val="005410E4"/>
    <w:rsid w:val="005414BA"/>
    <w:rsid w:val="0054166F"/>
    <w:rsid w:val="0054196C"/>
    <w:rsid w:val="00541BF6"/>
    <w:rsid w:val="00541C13"/>
    <w:rsid w:val="00541D8B"/>
    <w:rsid w:val="00541E03"/>
    <w:rsid w:val="0054203B"/>
    <w:rsid w:val="0054208E"/>
    <w:rsid w:val="00542201"/>
    <w:rsid w:val="0054225A"/>
    <w:rsid w:val="005423B3"/>
    <w:rsid w:val="005425D4"/>
    <w:rsid w:val="0054285C"/>
    <w:rsid w:val="00542A7E"/>
    <w:rsid w:val="005431DC"/>
    <w:rsid w:val="0054321F"/>
    <w:rsid w:val="0054322C"/>
    <w:rsid w:val="005439BD"/>
    <w:rsid w:val="00543A09"/>
    <w:rsid w:val="00543B02"/>
    <w:rsid w:val="00543C3F"/>
    <w:rsid w:val="00543D8F"/>
    <w:rsid w:val="00543F6B"/>
    <w:rsid w:val="00544234"/>
    <w:rsid w:val="00544461"/>
    <w:rsid w:val="00544815"/>
    <w:rsid w:val="0054494D"/>
    <w:rsid w:val="00544B83"/>
    <w:rsid w:val="005453A1"/>
    <w:rsid w:val="005453C7"/>
    <w:rsid w:val="00545698"/>
    <w:rsid w:val="00545756"/>
    <w:rsid w:val="00545767"/>
    <w:rsid w:val="00545988"/>
    <w:rsid w:val="00545A6D"/>
    <w:rsid w:val="00545AAA"/>
    <w:rsid w:val="00545C9C"/>
    <w:rsid w:val="00545F80"/>
    <w:rsid w:val="005462E2"/>
    <w:rsid w:val="00546868"/>
    <w:rsid w:val="00546911"/>
    <w:rsid w:val="00546BEA"/>
    <w:rsid w:val="00546D89"/>
    <w:rsid w:val="00546EDC"/>
    <w:rsid w:val="005471BA"/>
    <w:rsid w:val="005473A7"/>
    <w:rsid w:val="00547580"/>
    <w:rsid w:val="00547AE2"/>
    <w:rsid w:val="00547CB2"/>
    <w:rsid w:val="005500EE"/>
    <w:rsid w:val="005502B7"/>
    <w:rsid w:val="0055037E"/>
    <w:rsid w:val="005507D4"/>
    <w:rsid w:val="005507E7"/>
    <w:rsid w:val="00550B3B"/>
    <w:rsid w:val="00550BD0"/>
    <w:rsid w:val="00550C94"/>
    <w:rsid w:val="00550CAB"/>
    <w:rsid w:val="00550FBC"/>
    <w:rsid w:val="005519FC"/>
    <w:rsid w:val="00551A0E"/>
    <w:rsid w:val="00551A27"/>
    <w:rsid w:val="00551DF6"/>
    <w:rsid w:val="00551ED9"/>
    <w:rsid w:val="005521E9"/>
    <w:rsid w:val="005522E8"/>
    <w:rsid w:val="00552830"/>
    <w:rsid w:val="00552A31"/>
    <w:rsid w:val="00552A6D"/>
    <w:rsid w:val="0055311F"/>
    <w:rsid w:val="005531BE"/>
    <w:rsid w:val="00553544"/>
    <w:rsid w:val="0055372F"/>
    <w:rsid w:val="00553901"/>
    <w:rsid w:val="00553A36"/>
    <w:rsid w:val="00553CAC"/>
    <w:rsid w:val="00553D07"/>
    <w:rsid w:val="005541DE"/>
    <w:rsid w:val="005541FE"/>
    <w:rsid w:val="0055444B"/>
    <w:rsid w:val="0055472F"/>
    <w:rsid w:val="0055475C"/>
    <w:rsid w:val="00554878"/>
    <w:rsid w:val="005548AE"/>
    <w:rsid w:val="005549BB"/>
    <w:rsid w:val="00554B27"/>
    <w:rsid w:val="00554E36"/>
    <w:rsid w:val="00555002"/>
    <w:rsid w:val="0055506C"/>
    <w:rsid w:val="00555137"/>
    <w:rsid w:val="0055524B"/>
    <w:rsid w:val="00555991"/>
    <w:rsid w:val="00555AD2"/>
    <w:rsid w:val="0055604A"/>
    <w:rsid w:val="0055606E"/>
    <w:rsid w:val="005563B1"/>
    <w:rsid w:val="00556798"/>
    <w:rsid w:val="005567F7"/>
    <w:rsid w:val="00556A6F"/>
    <w:rsid w:val="00556B2D"/>
    <w:rsid w:val="00556C49"/>
    <w:rsid w:val="00556E4C"/>
    <w:rsid w:val="00556ED0"/>
    <w:rsid w:val="005573A2"/>
    <w:rsid w:val="005574A9"/>
    <w:rsid w:val="005574CE"/>
    <w:rsid w:val="00557573"/>
    <w:rsid w:val="0055760A"/>
    <w:rsid w:val="00557868"/>
    <w:rsid w:val="00557869"/>
    <w:rsid w:val="00557C70"/>
    <w:rsid w:val="0056014C"/>
    <w:rsid w:val="0056032C"/>
    <w:rsid w:val="00560560"/>
    <w:rsid w:val="0056065E"/>
    <w:rsid w:val="00560683"/>
    <w:rsid w:val="005606DB"/>
    <w:rsid w:val="005608CE"/>
    <w:rsid w:val="00560A1A"/>
    <w:rsid w:val="00560C46"/>
    <w:rsid w:val="00560C93"/>
    <w:rsid w:val="00560CDA"/>
    <w:rsid w:val="00560FA1"/>
    <w:rsid w:val="00561027"/>
    <w:rsid w:val="005611B0"/>
    <w:rsid w:val="005612F9"/>
    <w:rsid w:val="005616DA"/>
    <w:rsid w:val="00562017"/>
    <w:rsid w:val="005620DC"/>
    <w:rsid w:val="005622A0"/>
    <w:rsid w:val="0056269A"/>
    <w:rsid w:val="00562C02"/>
    <w:rsid w:val="00562DE1"/>
    <w:rsid w:val="00563036"/>
    <w:rsid w:val="0056305C"/>
    <w:rsid w:val="005630EB"/>
    <w:rsid w:val="00563314"/>
    <w:rsid w:val="005635DC"/>
    <w:rsid w:val="0056386B"/>
    <w:rsid w:val="00563DBA"/>
    <w:rsid w:val="00563EC5"/>
    <w:rsid w:val="005640BB"/>
    <w:rsid w:val="005640C7"/>
    <w:rsid w:val="0056429F"/>
    <w:rsid w:val="005647D8"/>
    <w:rsid w:val="0056495E"/>
    <w:rsid w:val="00564B62"/>
    <w:rsid w:val="00564D32"/>
    <w:rsid w:val="00564DEA"/>
    <w:rsid w:val="00564E92"/>
    <w:rsid w:val="00564F95"/>
    <w:rsid w:val="0056519E"/>
    <w:rsid w:val="005655CD"/>
    <w:rsid w:val="00565681"/>
    <w:rsid w:val="00565729"/>
    <w:rsid w:val="00565B10"/>
    <w:rsid w:val="00565EE4"/>
    <w:rsid w:val="005660E4"/>
    <w:rsid w:val="00566343"/>
    <w:rsid w:val="005663E1"/>
    <w:rsid w:val="005669F6"/>
    <w:rsid w:val="00566D40"/>
    <w:rsid w:val="00566D50"/>
    <w:rsid w:val="00566F42"/>
    <w:rsid w:val="00567634"/>
    <w:rsid w:val="005677AE"/>
    <w:rsid w:val="005677CC"/>
    <w:rsid w:val="0056786E"/>
    <w:rsid w:val="00567949"/>
    <w:rsid w:val="005679C7"/>
    <w:rsid w:val="00567B49"/>
    <w:rsid w:val="00567B7E"/>
    <w:rsid w:val="00570151"/>
    <w:rsid w:val="005702E0"/>
    <w:rsid w:val="005705B8"/>
    <w:rsid w:val="005707EB"/>
    <w:rsid w:val="00570AD5"/>
    <w:rsid w:val="00571C3E"/>
    <w:rsid w:val="00571D46"/>
    <w:rsid w:val="00571F18"/>
    <w:rsid w:val="005721D8"/>
    <w:rsid w:val="0057268B"/>
    <w:rsid w:val="00572957"/>
    <w:rsid w:val="00572991"/>
    <w:rsid w:val="00572B84"/>
    <w:rsid w:val="00572DD9"/>
    <w:rsid w:val="00572ED9"/>
    <w:rsid w:val="00572EE3"/>
    <w:rsid w:val="0057314F"/>
    <w:rsid w:val="0057363C"/>
    <w:rsid w:val="00573784"/>
    <w:rsid w:val="00573A80"/>
    <w:rsid w:val="00573B18"/>
    <w:rsid w:val="00573C2A"/>
    <w:rsid w:val="00573E19"/>
    <w:rsid w:val="00573E8C"/>
    <w:rsid w:val="005741EF"/>
    <w:rsid w:val="00574542"/>
    <w:rsid w:val="0057454B"/>
    <w:rsid w:val="00574A54"/>
    <w:rsid w:val="00574A93"/>
    <w:rsid w:val="0057507E"/>
    <w:rsid w:val="00575137"/>
    <w:rsid w:val="005755BB"/>
    <w:rsid w:val="00575619"/>
    <w:rsid w:val="005758AE"/>
    <w:rsid w:val="00575A1C"/>
    <w:rsid w:val="00575C22"/>
    <w:rsid w:val="00575C77"/>
    <w:rsid w:val="00575C7D"/>
    <w:rsid w:val="00576385"/>
    <w:rsid w:val="00576420"/>
    <w:rsid w:val="0057664B"/>
    <w:rsid w:val="005766C9"/>
    <w:rsid w:val="00576A42"/>
    <w:rsid w:val="00576D13"/>
    <w:rsid w:val="00576FA2"/>
    <w:rsid w:val="005771A8"/>
    <w:rsid w:val="00577881"/>
    <w:rsid w:val="00577D36"/>
    <w:rsid w:val="00577F19"/>
    <w:rsid w:val="00580331"/>
    <w:rsid w:val="00580584"/>
    <w:rsid w:val="005807EB"/>
    <w:rsid w:val="005807F4"/>
    <w:rsid w:val="00581021"/>
    <w:rsid w:val="00581445"/>
    <w:rsid w:val="0058187C"/>
    <w:rsid w:val="0058218A"/>
    <w:rsid w:val="00582279"/>
    <w:rsid w:val="00582373"/>
    <w:rsid w:val="00582744"/>
    <w:rsid w:val="0058281C"/>
    <w:rsid w:val="00583320"/>
    <w:rsid w:val="0058357D"/>
    <w:rsid w:val="0058372A"/>
    <w:rsid w:val="005837BA"/>
    <w:rsid w:val="00583A53"/>
    <w:rsid w:val="00583A96"/>
    <w:rsid w:val="00583B50"/>
    <w:rsid w:val="00583DCF"/>
    <w:rsid w:val="00584327"/>
    <w:rsid w:val="005843F4"/>
    <w:rsid w:val="00584407"/>
    <w:rsid w:val="005845B4"/>
    <w:rsid w:val="00584A68"/>
    <w:rsid w:val="00584C3F"/>
    <w:rsid w:val="00584C95"/>
    <w:rsid w:val="00584E92"/>
    <w:rsid w:val="0058597E"/>
    <w:rsid w:val="00585A1B"/>
    <w:rsid w:val="00585C53"/>
    <w:rsid w:val="00585CE1"/>
    <w:rsid w:val="00585E76"/>
    <w:rsid w:val="00585F60"/>
    <w:rsid w:val="005866B0"/>
    <w:rsid w:val="005867A9"/>
    <w:rsid w:val="00586973"/>
    <w:rsid w:val="00586EAA"/>
    <w:rsid w:val="00587003"/>
    <w:rsid w:val="005875B2"/>
    <w:rsid w:val="00587785"/>
    <w:rsid w:val="005877F5"/>
    <w:rsid w:val="0058796A"/>
    <w:rsid w:val="005879C3"/>
    <w:rsid w:val="00587AFC"/>
    <w:rsid w:val="005901B6"/>
    <w:rsid w:val="0059031D"/>
    <w:rsid w:val="00590776"/>
    <w:rsid w:val="00591221"/>
    <w:rsid w:val="00591584"/>
    <w:rsid w:val="00591762"/>
    <w:rsid w:val="0059185A"/>
    <w:rsid w:val="00591997"/>
    <w:rsid w:val="0059199B"/>
    <w:rsid w:val="00591B32"/>
    <w:rsid w:val="00591E3F"/>
    <w:rsid w:val="00592004"/>
    <w:rsid w:val="0059221C"/>
    <w:rsid w:val="00592246"/>
    <w:rsid w:val="005927A7"/>
    <w:rsid w:val="0059280F"/>
    <w:rsid w:val="00592FB6"/>
    <w:rsid w:val="0059300B"/>
    <w:rsid w:val="00593090"/>
    <w:rsid w:val="00593126"/>
    <w:rsid w:val="00593509"/>
    <w:rsid w:val="00593C63"/>
    <w:rsid w:val="00593FB2"/>
    <w:rsid w:val="00594312"/>
    <w:rsid w:val="005943A4"/>
    <w:rsid w:val="00594495"/>
    <w:rsid w:val="00594970"/>
    <w:rsid w:val="005949AD"/>
    <w:rsid w:val="00595027"/>
    <w:rsid w:val="00595156"/>
    <w:rsid w:val="0059533A"/>
    <w:rsid w:val="005953F7"/>
    <w:rsid w:val="00595410"/>
    <w:rsid w:val="00595431"/>
    <w:rsid w:val="005956F0"/>
    <w:rsid w:val="00595A19"/>
    <w:rsid w:val="00595B18"/>
    <w:rsid w:val="00595FF1"/>
    <w:rsid w:val="005961CA"/>
    <w:rsid w:val="00596361"/>
    <w:rsid w:val="00596397"/>
    <w:rsid w:val="0059673D"/>
    <w:rsid w:val="0059681C"/>
    <w:rsid w:val="00596BE5"/>
    <w:rsid w:val="00596C6C"/>
    <w:rsid w:val="00597055"/>
    <w:rsid w:val="0059736A"/>
    <w:rsid w:val="00597B23"/>
    <w:rsid w:val="00597C6C"/>
    <w:rsid w:val="00597D33"/>
    <w:rsid w:val="00597EE9"/>
    <w:rsid w:val="00597FD7"/>
    <w:rsid w:val="005A01E5"/>
    <w:rsid w:val="005A03AE"/>
    <w:rsid w:val="005A0A1C"/>
    <w:rsid w:val="005A0D62"/>
    <w:rsid w:val="005A0EB9"/>
    <w:rsid w:val="005A1099"/>
    <w:rsid w:val="005A10F2"/>
    <w:rsid w:val="005A1515"/>
    <w:rsid w:val="005A15B1"/>
    <w:rsid w:val="005A1747"/>
    <w:rsid w:val="005A18E7"/>
    <w:rsid w:val="005A1AA1"/>
    <w:rsid w:val="005A1FC8"/>
    <w:rsid w:val="005A2279"/>
    <w:rsid w:val="005A24FA"/>
    <w:rsid w:val="005A26FF"/>
    <w:rsid w:val="005A2938"/>
    <w:rsid w:val="005A2941"/>
    <w:rsid w:val="005A2A3A"/>
    <w:rsid w:val="005A2B35"/>
    <w:rsid w:val="005A2CE9"/>
    <w:rsid w:val="005A3238"/>
    <w:rsid w:val="005A323F"/>
    <w:rsid w:val="005A32BA"/>
    <w:rsid w:val="005A35A2"/>
    <w:rsid w:val="005A35B6"/>
    <w:rsid w:val="005A3A40"/>
    <w:rsid w:val="005A3CE0"/>
    <w:rsid w:val="005A3EA2"/>
    <w:rsid w:val="005A415A"/>
    <w:rsid w:val="005A444F"/>
    <w:rsid w:val="005A4557"/>
    <w:rsid w:val="005A48D4"/>
    <w:rsid w:val="005A49F6"/>
    <w:rsid w:val="005A4C69"/>
    <w:rsid w:val="005A4F6C"/>
    <w:rsid w:val="005A56A1"/>
    <w:rsid w:val="005A596F"/>
    <w:rsid w:val="005A6231"/>
    <w:rsid w:val="005A62E5"/>
    <w:rsid w:val="005A6387"/>
    <w:rsid w:val="005A6674"/>
    <w:rsid w:val="005A6683"/>
    <w:rsid w:val="005A672E"/>
    <w:rsid w:val="005A6ADD"/>
    <w:rsid w:val="005A6C56"/>
    <w:rsid w:val="005A6C68"/>
    <w:rsid w:val="005A6DB0"/>
    <w:rsid w:val="005A70C4"/>
    <w:rsid w:val="005A7532"/>
    <w:rsid w:val="005A7B53"/>
    <w:rsid w:val="005A7D04"/>
    <w:rsid w:val="005A7D7D"/>
    <w:rsid w:val="005B0010"/>
    <w:rsid w:val="005B016D"/>
    <w:rsid w:val="005B045B"/>
    <w:rsid w:val="005B0532"/>
    <w:rsid w:val="005B083D"/>
    <w:rsid w:val="005B1050"/>
    <w:rsid w:val="005B15ED"/>
    <w:rsid w:val="005B184F"/>
    <w:rsid w:val="005B1A6B"/>
    <w:rsid w:val="005B1CA3"/>
    <w:rsid w:val="005B1DC4"/>
    <w:rsid w:val="005B1DF6"/>
    <w:rsid w:val="005B1E79"/>
    <w:rsid w:val="005B24C8"/>
    <w:rsid w:val="005B2876"/>
    <w:rsid w:val="005B3210"/>
    <w:rsid w:val="005B334E"/>
    <w:rsid w:val="005B35D6"/>
    <w:rsid w:val="005B3C3F"/>
    <w:rsid w:val="005B4365"/>
    <w:rsid w:val="005B4578"/>
    <w:rsid w:val="005B48F9"/>
    <w:rsid w:val="005B4BA1"/>
    <w:rsid w:val="005B512B"/>
    <w:rsid w:val="005B5429"/>
    <w:rsid w:val="005B5649"/>
    <w:rsid w:val="005B5C75"/>
    <w:rsid w:val="005B5E06"/>
    <w:rsid w:val="005B60F2"/>
    <w:rsid w:val="005B62C6"/>
    <w:rsid w:val="005B66F6"/>
    <w:rsid w:val="005B68A2"/>
    <w:rsid w:val="005B7206"/>
    <w:rsid w:val="005B74D0"/>
    <w:rsid w:val="005B751E"/>
    <w:rsid w:val="005B75A8"/>
    <w:rsid w:val="005B7982"/>
    <w:rsid w:val="005B7B1A"/>
    <w:rsid w:val="005B7D6F"/>
    <w:rsid w:val="005B7F4C"/>
    <w:rsid w:val="005C0062"/>
    <w:rsid w:val="005C0129"/>
    <w:rsid w:val="005C02B0"/>
    <w:rsid w:val="005C0394"/>
    <w:rsid w:val="005C06EA"/>
    <w:rsid w:val="005C0D22"/>
    <w:rsid w:val="005C105A"/>
    <w:rsid w:val="005C12F8"/>
    <w:rsid w:val="005C1526"/>
    <w:rsid w:val="005C18E0"/>
    <w:rsid w:val="005C19A6"/>
    <w:rsid w:val="005C1B83"/>
    <w:rsid w:val="005C1E47"/>
    <w:rsid w:val="005C1E64"/>
    <w:rsid w:val="005C1F5D"/>
    <w:rsid w:val="005C20EB"/>
    <w:rsid w:val="005C2329"/>
    <w:rsid w:val="005C26DB"/>
    <w:rsid w:val="005C2A64"/>
    <w:rsid w:val="005C2D8C"/>
    <w:rsid w:val="005C2D97"/>
    <w:rsid w:val="005C2E53"/>
    <w:rsid w:val="005C2EFE"/>
    <w:rsid w:val="005C3123"/>
    <w:rsid w:val="005C3734"/>
    <w:rsid w:val="005C3774"/>
    <w:rsid w:val="005C3A4E"/>
    <w:rsid w:val="005C3CF7"/>
    <w:rsid w:val="005C3F11"/>
    <w:rsid w:val="005C3F6C"/>
    <w:rsid w:val="005C405F"/>
    <w:rsid w:val="005C4DD2"/>
    <w:rsid w:val="005C5105"/>
    <w:rsid w:val="005C5286"/>
    <w:rsid w:val="005C544E"/>
    <w:rsid w:val="005C5586"/>
    <w:rsid w:val="005C55DC"/>
    <w:rsid w:val="005C567D"/>
    <w:rsid w:val="005C5CA5"/>
    <w:rsid w:val="005C6048"/>
    <w:rsid w:val="005C625A"/>
    <w:rsid w:val="005C632C"/>
    <w:rsid w:val="005C6967"/>
    <w:rsid w:val="005C69EB"/>
    <w:rsid w:val="005C6ADE"/>
    <w:rsid w:val="005C6CCA"/>
    <w:rsid w:val="005C6DC1"/>
    <w:rsid w:val="005C6E01"/>
    <w:rsid w:val="005C6EA2"/>
    <w:rsid w:val="005C72DB"/>
    <w:rsid w:val="005C7368"/>
    <w:rsid w:val="005C7515"/>
    <w:rsid w:val="005C78B8"/>
    <w:rsid w:val="005C78E8"/>
    <w:rsid w:val="005C7983"/>
    <w:rsid w:val="005C7BBF"/>
    <w:rsid w:val="005C7E74"/>
    <w:rsid w:val="005C7F84"/>
    <w:rsid w:val="005D0087"/>
    <w:rsid w:val="005D0564"/>
    <w:rsid w:val="005D0844"/>
    <w:rsid w:val="005D0A22"/>
    <w:rsid w:val="005D0BF7"/>
    <w:rsid w:val="005D0E2C"/>
    <w:rsid w:val="005D0EFE"/>
    <w:rsid w:val="005D1159"/>
    <w:rsid w:val="005D17F3"/>
    <w:rsid w:val="005D1983"/>
    <w:rsid w:val="005D1C52"/>
    <w:rsid w:val="005D1EA6"/>
    <w:rsid w:val="005D1FC4"/>
    <w:rsid w:val="005D2229"/>
    <w:rsid w:val="005D25C0"/>
    <w:rsid w:val="005D29E8"/>
    <w:rsid w:val="005D2AAC"/>
    <w:rsid w:val="005D2AC4"/>
    <w:rsid w:val="005D2B11"/>
    <w:rsid w:val="005D3154"/>
    <w:rsid w:val="005D37F6"/>
    <w:rsid w:val="005D380C"/>
    <w:rsid w:val="005D3931"/>
    <w:rsid w:val="005D397D"/>
    <w:rsid w:val="005D3A07"/>
    <w:rsid w:val="005D4064"/>
    <w:rsid w:val="005D4126"/>
    <w:rsid w:val="005D4258"/>
    <w:rsid w:val="005D428D"/>
    <w:rsid w:val="005D433F"/>
    <w:rsid w:val="005D455F"/>
    <w:rsid w:val="005D492E"/>
    <w:rsid w:val="005D50A4"/>
    <w:rsid w:val="005D5788"/>
    <w:rsid w:val="005D57F4"/>
    <w:rsid w:val="005D5E5C"/>
    <w:rsid w:val="005D5EA1"/>
    <w:rsid w:val="005D6555"/>
    <w:rsid w:val="005D6C65"/>
    <w:rsid w:val="005D6CE8"/>
    <w:rsid w:val="005D70D7"/>
    <w:rsid w:val="005D72B0"/>
    <w:rsid w:val="005D7439"/>
    <w:rsid w:val="005D749F"/>
    <w:rsid w:val="005D7576"/>
    <w:rsid w:val="005D769D"/>
    <w:rsid w:val="005D7864"/>
    <w:rsid w:val="005D78C6"/>
    <w:rsid w:val="005D7F75"/>
    <w:rsid w:val="005D7FFD"/>
    <w:rsid w:val="005E004D"/>
    <w:rsid w:val="005E0245"/>
    <w:rsid w:val="005E049C"/>
    <w:rsid w:val="005E0509"/>
    <w:rsid w:val="005E0582"/>
    <w:rsid w:val="005E0610"/>
    <w:rsid w:val="005E0624"/>
    <w:rsid w:val="005E0F6F"/>
    <w:rsid w:val="005E1895"/>
    <w:rsid w:val="005E19E0"/>
    <w:rsid w:val="005E1B55"/>
    <w:rsid w:val="005E1D13"/>
    <w:rsid w:val="005E1E66"/>
    <w:rsid w:val="005E1F15"/>
    <w:rsid w:val="005E2027"/>
    <w:rsid w:val="005E20AD"/>
    <w:rsid w:val="005E20D2"/>
    <w:rsid w:val="005E2278"/>
    <w:rsid w:val="005E2742"/>
    <w:rsid w:val="005E2937"/>
    <w:rsid w:val="005E2B95"/>
    <w:rsid w:val="005E2C20"/>
    <w:rsid w:val="005E2D0C"/>
    <w:rsid w:val="005E30B8"/>
    <w:rsid w:val="005E310B"/>
    <w:rsid w:val="005E333D"/>
    <w:rsid w:val="005E3702"/>
    <w:rsid w:val="005E39D0"/>
    <w:rsid w:val="005E3ACE"/>
    <w:rsid w:val="005E3C4F"/>
    <w:rsid w:val="005E3EA3"/>
    <w:rsid w:val="005E3FCC"/>
    <w:rsid w:val="005E3FD6"/>
    <w:rsid w:val="005E4035"/>
    <w:rsid w:val="005E4355"/>
    <w:rsid w:val="005E45A7"/>
    <w:rsid w:val="005E4698"/>
    <w:rsid w:val="005E4857"/>
    <w:rsid w:val="005E4C5C"/>
    <w:rsid w:val="005E56F1"/>
    <w:rsid w:val="005E5709"/>
    <w:rsid w:val="005E5D3E"/>
    <w:rsid w:val="005E5DF2"/>
    <w:rsid w:val="005E61AE"/>
    <w:rsid w:val="005E629C"/>
    <w:rsid w:val="005E643E"/>
    <w:rsid w:val="005E6A58"/>
    <w:rsid w:val="005E6E46"/>
    <w:rsid w:val="005E6EA5"/>
    <w:rsid w:val="005E7676"/>
    <w:rsid w:val="005E7871"/>
    <w:rsid w:val="005E787E"/>
    <w:rsid w:val="005E7AFC"/>
    <w:rsid w:val="005E7BAD"/>
    <w:rsid w:val="005E7E70"/>
    <w:rsid w:val="005F0275"/>
    <w:rsid w:val="005F0481"/>
    <w:rsid w:val="005F0528"/>
    <w:rsid w:val="005F052E"/>
    <w:rsid w:val="005F054E"/>
    <w:rsid w:val="005F075A"/>
    <w:rsid w:val="005F07DA"/>
    <w:rsid w:val="005F0BC3"/>
    <w:rsid w:val="005F0CFF"/>
    <w:rsid w:val="005F1634"/>
    <w:rsid w:val="005F1836"/>
    <w:rsid w:val="005F1AA0"/>
    <w:rsid w:val="005F1AEF"/>
    <w:rsid w:val="005F1BBC"/>
    <w:rsid w:val="005F1C51"/>
    <w:rsid w:val="005F1C9E"/>
    <w:rsid w:val="005F1E60"/>
    <w:rsid w:val="005F2167"/>
    <w:rsid w:val="005F2693"/>
    <w:rsid w:val="005F2756"/>
    <w:rsid w:val="005F295B"/>
    <w:rsid w:val="005F2AB0"/>
    <w:rsid w:val="005F2D9C"/>
    <w:rsid w:val="005F3723"/>
    <w:rsid w:val="005F382F"/>
    <w:rsid w:val="005F3926"/>
    <w:rsid w:val="005F4094"/>
    <w:rsid w:val="005F42B3"/>
    <w:rsid w:val="005F4817"/>
    <w:rsid w:val="005F4B0D"/>
    <w:rsid w:val="005F4E48"/>
    <w:rsid w:val="005F4EA3"/>
    <w:rsid w:val="005F4EEC"/>
    <w:rsid w:val="005F5318"/>
    <w:rsid w:val="005F535B"/>
    <w:rsid w:val="005F555D"/>
    <w:rsid w:val="005F557D"/>
    <w:rsid w:val="005F56F4"/>
    <w:rsid w:val="005F5A51"/>
    <w:rsid w:val="005F5B16"/>
    <w:rsid w:val="005F5F7E"/>
    <w:rsid w:val="005F6017"/>
    <w:rsid w:val="005F6164"/>
    <w:rsid w:val="005F65E2"/>
    <w:rsid w:val="005F69D8"/>
    <w:rsid w:val="005F6CCD"/>
    <w:rsid w:val="005F6E33"/>
    <w:rsid w:val="005F6E51"/>
    <w:rsid w:val="005F71AF"/>
    <w:rsid w:val="005F7715"/>
    <w:rsid w:val="005F7797"/>
    <w:rsid w:val="005F788D"/>
    <w:rsid w:val="005F79F3"/>
    <w:rsid w:val="005F7A2B"/>
    <w:rsid w:val="005F7A6E"/>
    <w:rsid w:val="005F7CB8"/>
    <w:rsid w:val="005F7DC9"/>
    <w:rsid w:val="005F7E28"/>
    <w:rsid w:val="00600003"/>
    <w:rsid w:val="0060022F"/>
    <w:rsid w:val="006004A8"/>
    <w:rsid w:val="006004F2"/>
    <w:rsid w:val="006005C9"/>
    <w:rsid w:val="006005CC"/>
    <w:rsid w:val="0060064E"/>
    <w:rsid w:val="00600FCC"/>
    <w:rsid w:val="006010F0"/>
    <w:rsid w:val="0060138C"/>
    <w:rsid w:val="006014E2"/>
    <w:rsid w:val="00601511"/>
    <w:rsid w:val="0060169F"/>
    <w:rsid w:val="006016A5"/>
    <w:rsid w:val="00601C44"/>
    <w:rsid w:val="00601CA5"/>
    <w:rsid w:val="00601E63"/>
    <w:rsid w:val="00601FBC"/>
    <w:rsid w:val="00602099"/>
    <w:rsid w:val="006021EF"/>
    <w:rsid w:val="00602297"/>
    <w:rsid w:val="006024D2"/>
    <w:rsid w:val="00602B99"/>
    <w:rsid w:val="00602BE1"/>
    <w:rsid w:val="00602EBE"/>
    <w:rsid w:val="00603797"/>
    <w:rsid w:val="00603AA2"/>
    <w:rsid w:val="00603D7C"/>
    <w:rsid w:val="00604133"/>
    <w:rsid w:val="006042EC"/>
    <w:rsid w:val="0060431B"/>
    <w:rsid w:val="006044D5"/>
    <w:rsid w:val="00604638"/>
    <w:rsid w:val="00604785"/>
    <w:rsid w:val="006047B2"/>
    <w:rsid w:val="00604860"/>
    <w:rsid w:val="00604A4A"/>
    <w:rsid w:val="00604AFB"/>
    <w:rsid w:val="00604D50"/>
    <w:rsid w:val="0060529D"/>
    <w:rsid w:val="0060533E"/>
    <w:rsid w:val="0060546C"/>
    <w:rsid w:val="006054EA"/>
    <w:rsid w:val="006054EF"/>
    <w:rsid w:val="006056C2"/>
    <w:rsid w:val="00605C5C"/>
    <w:rsid w:val="0060632A"/>
    <w:rsid w:val="006065C4"/>
    <w:rsid w:val="00606EF1"/>
    <w:rsid w:val="00606EF3"/>
    <w:rsid w:val="0060769C"/>
    <w:rsid w:val="006078F7"/>
    <w:rsid w:val="00607A1D"/>
    <w:rsid w:val="00607C14"/>
    <w:rsid w:val="00607CD7"/>
    <w:rsid w:val="00607DC0"/>
    <w:rsid w:val="00610204"/>
    <w:rsid w:val="00610438"/>
    <w:rsid w:val="00610505"/>
    <w:rsid w:val="00610A13"/>
    <w:rsid w:val="00610C34"/>
    <w:rsid w:val="00610F6B"/>
    <w:rsid w:val="00611233"/>
    <w:rsid w:val="006113F3"/>
    <w:rsid w:val="006115F7"/>
    <w:rsid w:val="00611700"/>
    <w:rsid w:val="0061170A"/>
    <w:rsid w:val="00611815"/>
    <w:rsid w:val="00611B44"/>
    <w:rsid w:val="00611C7D"/>
    <w:rsid w:val="006124A0"/>
    <w:rsid w:val="006127DC"/>
    <w:rsid w:val="00612982"/>
    <w:rsid w:val="00612CAE"/>
    <w:rsid w:val="00612DCC"/>
    <w:rsid w:val="00613A9F"/>
    <w:rsid w:val="00613BCB"/>
    <w:rsid w:val="00613FCE"/>
    <w:rsid w:val="006140DB"/>
    <w:rsid w:val="00614424"/>
    <w:rsid w:val="006144EC"/>
    <w:rsid w:val="00614927"/>
    <w:rsid w:val="00615230"/>
    <w:rsid w:val="006154EF"/>
    <w:rsid w:val="00615521"/>
    <w:rsid w:val="006155F8"/>
    <w:rsid w:val="006156B0"/>
    <w:rsid w:val="00615C60"/>
    <w:rsid w:val="00615E0A"/>
    <w:rsid w:val="00616213"/>
    <w:rsid w:val="006163C1"/>
    <w:rsid w:val="0061671F"/>
    <w:rsid w:val="006167A7"/>
    <w:rsid w:val="006167C9"/>
    <w:rsid w:val="00616CAD"/>
    <w:rsid w:val="00616D5D"/>
    <w:rsid w:val="00616E80"/>
    <w:rsid w:val="00616FCF"/>
    <w:rsid w:val="0061729D"/>
    <w:rsid w:val="00617410"/>
    <w:rsid w:val="006178E4"/>
    <w:rsid w:val="006179D0"/>
    <w:rsid w:val="006179FE"/>
    <w:rsid w:val="00617A34"/>
    <w:rsid w:val="00617C32"/>
    <w:rsid w:val="00617DFF"/>
    <w:rsid w:val="00617F6D"/>
    <w:rsid w:val="00617FE6"/>
    <w:rsid w:val="006201BA"/>
    <w:rsid w:val="006208E8"/>
    <w:rsid w:val="00620BD8"/>
    <w:rsid w:val="00620C63"/>
    <w:rsid w:val="00620E78"/>
    <w:rsid w:val="00620F72"/>
    <w:rsid w:val="0062119C"/>
    <w:rsid w:val="0062135B"/>
    <w:rsid w:val="00621537"/>
    <w:rsid w:val="006215A5"/>
    <w:rsid w:val="0062195F"/>
    <w:rsid w:val="00621A28"/>
    <w:rsid w:val="00621A4A"/>
    <w:rsid w:val="00621AB2"/>
    <w:rsid w:val="00621DD6"/>
    <w:rsid w:val="00622042"/>
    <w:rsid w:val="00622153"/>
    <w:rsid w:val="006222C0"/>
    <w:rsid w:val="00622351"/>
    <w:rsid w:val="00622589"/>
    <w:rsid w:val="0062262B"/>
    <w:rsid w:val="006229B5"/>
    <w:rsid w:val="00622AB2"/>
    <w:rsid w:val="00622AB5"/>
    <w:rsid w:val="00622C5B"/>
    <w:rsid w:val="00622CB1"/>
    <w:rsid w:val="00623000"/>
    <w:rsid w:val="006232C7"/>
    <w:rsid w:val="00623356"/>
    <w:rsid w:val="00623705"/>
    <w:rsid w:val="00623A2F"/>
    <w:rsid w:val="00623A6E"/>
    <w:rsid w:val="00623B45"/>
    <w:rsid w:val="00623C12"/>
    <w:rsid w:val="00623EB9"/>
    <w:rsid w:val="0062404E"/>
    <w:rsid w:val="006240AE"/>
    <w:rsid w:val="0062442D"/>
    <w:rsid w:val="006249C7"/>
    <w:rsid w:val="00624A50"/>
    <w:rsid w:val="00624C60"/>
    <w:rsid w:val="00624D9D"/>
    <w:rsid w:val="00624E35"/>
    <w:rsid w:val="00625270"/>
    <w:rsid w:val="00625591"/>
    <w:rsid w:val="00625748"/>
    <w:rsid w:val="00625B98"/>
    <w:rsid w:val="00625EEE"/>
    <w:rsid w:val="006262E2"/>
    <w:rsid w:val="00626495"/>
    <w:rsid w:val="00626580"/>
    <w:rsid w:val="0062705B"/>
    <w:rsid w:val="0062720D"/>
    <w:rsid w:val="00627321"/>
    <w:rsid w:val="00627464"/>
    <w:rsid w:val="006274AE"/>
    <w:rsid w:val="00627510"/>
    <w:rsid w:val="00630224"/>
    <w:rsid w:val="00630875"/>
    <w:rsid w:val="00630DE2"/>
    <w:rsid w:val="00630FF1"/>
    <w:rsid w:val="00631014"/>
    <w:rsid w:val="0063109A"/>
    <w:rsid w:val="006310C7"/>
    <w:rsid w:val="00631179"/>
    <w:rsid w:val="006312EE"/>
    <w:rsid w:val="00631546"/>
    <w:rsid w:val="006317E0"/>
    <w:rsid w:val="00631BE5"/>
    <w:rsid w:val="00631D6A"/>
    <w:rsid w:val="00631F22"/>
    <w:rsid w:val="006320B8"/>
    <w:rsid w:val="00632473"/>
    <w:rsid w:val="00632587"/>
    <w:rsid w:val="00632C35"/>
    <w:rsid w:val="00632FBA"/>
    <w:rsid w:val="0063309A"/>
    <w:rsid w:val="006332DC"/>
    <w:rsid w:val="00633619"/>
    <w:rsid w:val="006338E3"/>
    <w:rsid w:val="00633B95"/>
    <w:rsid w:val="00633C10"/>
    <w:rsid w:val="0063432A"/>
    <w:rsid w:val="00634467"/>
    <w:rsid w:val="006346DF"/>
    <w:rsid w:val="00635AC3"/>
    <w:rsid w:val="00635B91"/>
    <w:rsid w:val="00635D3B"/>
    <w:rsid w:val="00635F1A"/>
    <w:rsid w:val="00636075"/>
    <w:rsid w:val="006362C6"/>
    <w:rsid w:val="006363D3"/>
    <w:rsid w:val="0063641A"/>
    <w:rsid w:val="0063655F"/>
    <w:rsid w:val="006365D7"/>
    <w:rsid w:val="00636632"/>
    <w:rsid w:val="00636943"/>
    <w:rsid w:val="00636A72"/>
    <w:rsid w:val="00636F94"/>
    <w:rsid w:val="00636F9F"/>
    <w:rsid w:val="00637318"/>
    <w:rsid w:val="00637382"/>
    <w:rsid w:val="006373F3"/>
    <w:rsid w:val="0063762F"/>
    <w:rsid w:val="00637639"/>
    <w:rsid w:val="00637C16"/>
    <w:rsid w:val="00637DC3"/>
    <w:rsid w:val="0064062C"/>
    <w:rsid w:val="0064064A"/>
    <w:rsid w:val="00640663"/>
    <w:rsid w:val="00640C00"/>
    <w:rsid w:val="00640FCF"/>
    <w:rsid w:val="006410C4"/>
    <w:rsid w:val="00641715"/>
    <w:rsid w:val="006418EB"/>
    <w:rsid w:val="00641C19"/>
    <w:rsid w:val="00641E79"/>
    <w:rsid w:val="006425FF"/>
    <w:rsid w:val="006426E1"/>
    <w:rsid w:val="00642820"/>
    <w:rsid w:val="00642F9F"/>
    <w:rsid w:val="00643032"/>
    <w:rsid w:val="00643214"/>
    <w:rsid w:val="00643249"/>
    <w:rsid w:val="00643289"/>
    <w:rsid w:val="006433DD"/>
    <w:rsid w:val="0064361F"/>
    <w:rsid w:val="00643B23"/>
    <w:rsid w:val="00643CEC"/>
    <w:rsid w:val="00644676"/>
    <w:rsid w:val="00644686"/>
    <w:rsid w:val="0064487B"/>
    <w:rsid w:val="006449E4"/>
    <w:rsid w:val="00644ABA"/>
    <w:rsid w:val="00644ACB"/>
    <w:rsid w:val="00644B8D"/>
    <w:rsid w:val="00644C4C"/>
    <w:rsid w:val="00644C83"/>
    <w:rsid w:val="00644E15"/>
    <w:rsid w:val="00644F84"/>
    <w:rsid w:val="00645337"/>
    <w:rsid w:val="0064562C"/>
    <w:rsid w:val="00645A6A"/>
    <w:rsid w:val="00645CF9"/>
    <w:rsid w:val="0064626F"/>
    <w:rsid w:val="0064632F"/>
    <w:rsid w:val="00646792"/>
    <w:rsid w:val="0064690B"/>
    <w:rsid w:val="00646C87"/>
    <w:rsid w:val="00646D4A"/>
    <w:rsid w:val="00646DB3"/>
    <w:rsid w:val="00647260"/>
    <w:rsid w:val="0064761D"/>
    <w:rsid w:val="00647F28"/>
    <w:rsid w:val="00650024"/>
    <w:rsid w:val="00650300"/>
    <w:rsid w:val="006503AC"/>
    <w:rsid w:val="00650406"/>
    <w:rsid w:val="006504C4"/>
    <w:rsid w:val="00650636"/>
    <w:rsid w:val="00650A97"/>
    <w:rsid w:val="00651025"/>
    <w:rsid w:val="006511AB"/>
    <w:rsid w:val="006513B9"/>
    <w:rsid w:val="00651531"/>
    <w:rsid w:val="00651987"/>
    <w:rsid w:val="00651BE4"/>
    <w:rsid w:val="00651CE0"/>
    <w:rsid w:val="00651EBE"/>
    <w:rsid w:val="00652491"/>
    <w:rsid w:val="00652B06"/>
    <w:rsid w:val="00652E78"/>
    <w:rsid w:val="006531C3"/>
    <w:rsid w:val="006533B6"/>
    <w:rsid w:val="00653916"/>
    <w:rsid w:val="00653AF6"/>
    <w:rsid w:val="00653B5B"/>
    <w:rsid w:val="00653BCF"/>
    <w:rsid w:val="00653F0B"/>
    <w:rsid w:val="00653F6A"/>
    <w:rsid w:val="00653FC2"/>
    <w:rsid w:val="00654064"/>
    <w:rsid w:val="006541B4"/>
    <w:rsid w:val="00654542"/>
    <w:rsid w:val="00654565"/>
    <w:rsid w:val="0065459C"/>
    <w:rsid w:val="006547DC"/>
    <w:rsid w:val="00654944"/>
    <w:rsid w:val="006549FE"/>
    <w:rsid w:val="00654CDF"/>
    <w:rsid w:val="00654F08"/>
    <w:rsid w:val="0065564A"/>
    <w:rsid w:val="006556BF"/>
    <w:rsid w:val="00655B16"/>
    <w:rsid w:val="00655BBA"/>
    <w:rsid w:val="00655CC7"/>
    <w:rsid w:val="00655FBE"/>
    <w:rsid w:val="00656115"/>
    <w:rsid w:val="00656304"/>
    <w:rsid w:val="00656A19"/>
    <w:rsid w:val="00656B15"/>
    <w:rsid w:val="00656B2C"/>
    <w:rsid w:val="00656ED1"/>
    <w:rsid w:val="006570AD"/>
    <w:rsid w:val="006574A0"/>
    <w:rsid w:val="0065798C"/>
    <w:rsid w:val="00657E71"/>
    <w:rsid w:val="00657E9E"/>
    <w:rsid w:val="00660183"/>
    <w:rsid w:val="006601DA"/>
    <w:rsid w:val="0066031C"/>
    <w:rsid w:val="00660674"/>
    <w:rsid w:val="00660A91"/>
    <w:rsid w:val="00660C8B"/>
    <w:rsid w:val="00660D00"/>
    <w:rsid w:val="00660F32"/>
    <w:rsid w:val="00661057"/>
    <w:rsid w:val="006610B2"/>
    <w:rsid w:val="00661222"/>
    <w:rsid w:val="0066129F"/>
    <w:rsid w:val="00661D04"/>
    <w:rsid w:val="00661E95"/>
    <w:rsid w:val="00661FD5"/>
    <w:rsid w:val="00662148"/>
    <w:rsid w:val="006621F4"/>
    <w:rsid w:val="006622B5"/>
    <w:rsid w:val="00662933"/>
    <w:rsid w:val="00662A7C"/>
    <w:rsid w:val="00662C9D"/>
    <w:rsid w:val="00662CF7"/>
    <w:rsid w:val="00662D3D"/>
    <w:rsid w:val="00662E36"/>
    <w:rsid w:val="00662FE4"/>
    <w:rsid w:val="00664361"/>
    <w:rsid w:val="006644D1"/>
    <w:rsid w:val="0066461E"/>
    <w:rsid w:val="00664695"/>
    <w:rsid w:val="00664F48"/>
    <w:rsid w:val="00664F49"/>
    <w:rsid w:val="00664F9F"/>
    <w:rsid w:val="00665252"/>
    <w:rsid w:val="00665307"/>
    <w:rsid w:val="00665442"/>
    <w:rsid w:val="006656D7"/>
    <w:rsid w:val="006659A4"/>
    <w:rsid w:val="006659DF"/>
    <w:rsid w:val="0066629A"/>
    <w:rsid w:val="00666623"/>
    <w:rsid w:val="00666662"/>
    <w:rsid w:val="0066672E"/>
    <w:rsid w:val="00666757"/>
    <w:rsid w:val="00667179"/>
    <w:rsid w:val="00667480"/>
    <w:rsid w:val="0066769F"/>
    <w:rsid w:val="00667AB0"/>
    <w:rsid w:val="00667BB8"/>
    <w:rsid w:val="00667ED5"/>
    <w:rsid w:val="0067013F"/>
    <w:rsid w:val="00670242"/>
    <w:rsid w:val="00670467"/>
    <w:rsid w:val="0067053C"/>
    <w:rsid w:val="00670692"/>
    <w:rsid w:val="006709C6"/>
    <w:rsid w:val="00670A5B"/>
    <w:rsid w:val="00671276"/>
    <w:rsid w:val="00671374"/>
    <w:rsid w:val="006713B9"/>
    <w:rsid w:val="00671466"/>
    <w:rsid w:val="00671770"/>
    <w:rsid w:val="006717CF"/>
    <w:rsid w:val="00671EC5"/>
    <w:rsid w:val="00671F10"/>
    <w:rsid w:val="00671F15"/>
    <w:rsid w:val="006723AD"/>
    <w:rsid w:val="006723FE"/>
    <w:rsid w:val="00672420"/>
    <w:rsid w:val="006726B4"/>
    <w:rsid w:val="006729EA"/>
    <w:rsid w:val="00672CA6"/>
    <w:rsid w:val="00672FEB"/>
    <w:rsid w:val="00672FF6"/>
    <w:rsid w:val="00673036"/>
    <w:rsid w:val="00673231"/>
    <w:rsid w:val="00673629"/>
    <w:rsid w:val="00673B76"/>
    <w:rsid w:val="00674038"/>
    <w:rsid w:val="00674362"/>
    <w:rsid w:val="0067442A"/>
    <w:rsid w:val="00674432"/>
    <w:rsid w:val="00674433"/>
    <w:rsid w:val="00674645"/>
    <w:rsid w:val="0067475C"/>
    <w:rsid w:val="0067479D"/>
    <w:rsid w:val="006747FD"/>
    <w:rsid w:val="00674C46"/>
    <w:rsid w:val="0067528E"/>
    <w:rsid w:val="006752FC"/>
    <w:rsid w:val="00675393"/>
    <w:rsid w:val="0067549C"/>
    <w:rsid w:val="00675509"/>
    <w:rsid w:val="0067593E"/>
    <w:rsid w:val="00675A46"/>
    <w:rsid w:val="00675B04"/>
    <w:rsid w:val="00675C03"/>
    <w:rsid w:val="00675C1F"/>
    <w:rsid w:val="00675FED"/>
    <w:rsid w:val="0067604B"/>
    <w:rsid w:val="006761F3"/>
    <w:rsid w:val="0067630C"/>
    <w:rsid w:val="006767E7"/>
    <w:rsid w:val="00676B3B"/>
    <w:rsid w:val="00676E3E"/>
    <w:rsid w:val="00677214"/>
    <w:rsid w:val="00677287"/>
    <w:rsid w:val="006772B7"/>
    <w:rsid w:val="006772E5"/>
    <w:rsid w:val="00677368"/>
    <w:rsid w:val="006774A3"/>
    <w:rsid w:val="0067773E"/>
    <w:rsid w:val="0067783A"/>
    <w:rsid w:val="00677DD7"/>
    <w:rsid w:val="00677FFB"/>
    <w:rsid w:val="00680468"/>
    <w:rsid w:val="00680565"/>
    <w:rsid w:val="006806AC"/>
    <w:rsid w:val="006808BD"/>
    <w:rsid w:val="00680BDC"/>
    <w:rsid w:val="00680C20"/>
    <w:rsid w:val="00680F94"/>
    <w:rsid w:val="0068107A"/>
    <w:rsid w:val="00681283"/>
    <w:rsid w:val="00681419"/>
    <w:rsid w:val="00681AB5"/>
    <w:rsid w:val="00681E2B"/>
    <w:rsid w:val="00681F39"/>
    <w:rsid w:val="00682089"/>
    <w:rsid w:val="0068279F"/>
    <w:rsid w:val="006827BD"/>
    <w:rsid w:val="006827DD"/>
    <w:rsid w:val="00682998"/>
    <w:rsid w:val="00682DB6"/>
    <w:rsid w:val="00682F6D"/>
    <w:rsid w:val="00683050"/>
    <w:rsid w:val="00683079"/>
    <w:rsid w:val="006830CA"/>
    <w:rsid w:val="00683286"/>
    <w:rsid w:val="006832CC"/>
    <w:rsid w:val="00683463"/>
    <w:rsid w:val="006834C1"/>
    <w:rsid w:val="006835A0"/>
    <w:rsid w:val="006836CF"/>
    <w:rsid w:val="00683727"/>
    <w:rsid w:val="00683D01"/>
    <w:rsid w:val="00683DD4"/>
    <w:rsid w:val="00683E6F"/>
    <w:rsid w:val="00683EDC"/>
    <w:rsid w:val="006843B8"/>
    <w:rsid w:val="0068443F"/>
    <w:rsid w:val="00684FD3"/>
    <w:rsid w:val="00685048"/>
    <w:rsid w:val="00685060"/>
    <w:rsid w:val="006850AB"/>
    <w:rsid w:val="0068539F"/>
    <w:rsid w:val="006858D4"/>
    <w:rsid w:val="00685ADC"/>
    <w:rsid w:val="00685E4C"/>
    <w:rsid w:val="006864BE"/>
    <w:rsid w:val="00686517"/>
    <w:rsid w:val="00686A5F"/>
    <w:rsid w:val="00686CEC"/>
    <w:rsid w:val="00686EC2"/>
    <w:rsid w:val="00687174"/>
    <w:rsid w:val="006872FD"/>
    <w:rsid w:val="006873EE"/>
    <w:rsid w:val="00687901"/>
    <w:rsid w:val="00687B32"/>
    <w:rsid w:val="00687CF0"/>
    <w:rsid w:val="00687D36"/>
    <w:rsid w:val="00687EBD"/>
    <w:rsid w:val="0069060B"/>
    <w:rsid w:val="00690833"/>
    <w:rsid w:val="00690959"/>
    <w:rsid w:val="006910C5"/>
    <w:rsid w:val="006915FC"/>
    <w:rsid w:val="006917AF"/>
    <w:rsid w:val="006917BB"/>
    <w:rsid w:val="00691887"/>
    <w:rsid w:val="006919A3"/>
    <w:rsid w:val="006919F8"/>
    <w:rsid w:val="00691DD6"/>
    <w:rsid w:val="00692649"/>
    <w:rsid w:val="006927CD"/>
    <w:rsid w:val="006928CF"/>
    <w:rsid w:val="00692A1F"/>
    <w:rsid w:val="00692AB4"/>
    <w:rsid w:val="00692C40"/>
    <w:rsid w:val="00692CB2"/>
    <w:rsid w:val="0069313B"/>
    <w:rsid w:val="00693273"/>
    <w:rsid w:val="006932AC"/>
    <w:rsid w:val="0069341A"/>
    <w:rsid w:val="006934E5"/>
    <w:rsid w:val="0069358C"/>
    <w:rsid w:val="0069359F"/>
    <w:rsid w:val="006939B4"/>
    <w:rsid w:val="00693BFD"/>
    <w:rsid w:val="00693D49"/>
    <w:rsid w:val="00693DDD"/>
    <w:rsid w:val="00693FD3"/>
    <w:rsid w:val="0069406A"/>
    <w:rsid w:val="006943F0"/>
    <w:rsid w:val="00694AB5"/>
    <w:rsid w:val="00694B26"/>
    <w:rsid w:val="00694ED3"/>
    <w:rsid w:val="00694EEA"/>
    <w:rsid w:val="00694FD3"/>
    <w:rsid w:val="00695139"/>
    <w:rsid w:val="006956CF"/>
    <w:rsid w:val="006959BB"/>
    <w:rsid w:val="00695EC3"/>
    <w:rsid w:val="006964EB"/>
    <w:rsid w:val="00696801"/>
    <w:rsid w:val="00696E0D"/>
    <w:rsid w:val="006972B3"/>
    <w:rsid w:val="006978B6"/>
    <w:rsid w:val="00697C4A"/>
    <w:rsid w:val="006A0054"/>
    <w:rsid w:val="006A03B9"/>
    <w:rsid w:val="006A0713"/>
    <w:rsid w:val="006A09D1"/>
    <w:rsid w:val="006A0AFC"/>
    <w:rsid w:val="006A0C63"/>
    <w:rsid w:val="006A1033"/>
    <w:rsid w:val="006A1166"/>
    <w:rsid w:val="006A17EE"/>
    <w:rsid w:val="006A187B"/>
    <w:rsid w:val="006A19BE"/>
    <w:rsid w:val="006A1D97"/>
    <w:rsid w:val="006A200A"/>
    <w:rsid w:val="006A32BE"/>
    <w:rsid w:val="006A35E4"/>
    <w:rsid w:val="006A36DB"/>
    <w:rsid w:val="006A3CA6"/>
    <w:rsid w:val="006A3F7C"/>
    <w:rsid w:val="006A3F9C"/>
    <w:rsid w:val="006A4132"/>
    <w:rsid w:val="006A4E47"/>
    <w:rsid w:val="006A4FC4"/>
    <w:rsid w:val="006A50EC"/>
    <w:rsid w:val="006A52F9"/>
    <w:rsid w:val="006A52FC"/>
    <w:rsid w:val="006A53F5"/>
    <w:rsid w:val="006A5974"/>
    <w:rsid w:val="006A59C0"/>
    <w:rsid w:val="006A606A"/>
    <w:rsid w:val="006A609C"/>
    <w:rsid w:val="006A6333"/>
    <w:rsid w:val="006A6711"/>
    <w:rsid w:val="006A684D"/>
    <w:rsid w:val="006A6C82"/>
    <w:rsid w:val="006A6CAA"/>
    <w:rsid w:val="006A71FA"/>
    <w:rsid w:val="006A7244"/>
    <w:rsid w:val="006A7442"/>
    <w:rsid w:val="006A74F5"/>
    <w:rsid w:val="006A770F"/>
    <w:rsid w:val="006A77CD"/>
    <w:rsid w:val="006A7AE7"/>
    <w:rsid w:val="006A7B58"/>
    <w:rsid w:val="006A7EF3"/>
    <w:rsid w:val="006B003E"/>
    <w:rsid w:val="006B0044"/>
    <w:rsid w:val="006B0374"/>
    <w:rsid w:val="006B05DF"/>
    <w:rsid w:val="006B05F8"/>
    <w:rsid w:val="006B0A8A"/>
    <w:rsid w:val="006B0C68"/>
    <w:rsid w:val="006B0E50"/>
    <w:rsid w:val="006B0ED8"/>
    <w:rsid w:val="006B129F"/>
    <w:rsid w:val="006B1341"/>
    <w:rsid w:val="006B13A1"/>
    <w:rsid w:val="006B1472"/>
    <w:rsid w:val="006B1656"/>
    <w:rsid w:val="006B1689"/>
    <w:rsid w:val="006B1740"/>
    <w:rsid w:val="006B1931"/>
    <w:rsid w:val="006B1BFE"/>
    <w:rsid w:val="006B1D74"/>
    <w:rsid w:val="006B2500"/>
    <w:rsid w:val="006B2608"/>
    <w:rsid w:val="006B29CB"/>
    <w:rsid w:val="006B2B26"/>
    <w:rsid w:val="006B2BF8"/>
    <w:rsid w:val="006B2C64"/>
    <w:rsid w:val="006B2C7A"/>
    <w:rsid w:val="006B30AA"/>
    <w:rsid w:val="006B3371"/>
    <w:rsid w:val="006B34E6"/>
    <w:rsid w:val="006B360E"/>
    <w:rsid w:val="006B369C"/>
    <w:rsid w:val="006B3D74"/>
    <w:rsid w:val="006B3DCC"/>
    <w:rsid w:val="006B3FA6"/>
    <w:rsid w:val="006B41AA"/>
    <w:rsid w:val="006B4997"/>
    <w:rsid w:val="006B4A90"/>
    <w:rsid w:val="006B4DE0"/>
    <w:rsid w:val="006B4DED"/>
    <w:rsid w:val="006B4E00"/>
    <w:rsid w:val="006B5041"/>
    <w:rsid w:val="006B5115"/>
    <w:rsid w:val="006B51C6"/>
    <w:rsid w:val="006B5344"/>
    <w:rsid w:val="006B53A9"/>
    <w:rsid w:val="006B548B"/>
    <w:rsid w:val="006B54F3"/>
    <w:rsid w:val="006B555F"/>
    <w:rsid w:val="006B5945"/>
    <w:rsid w:val="006B60E1"/>
    <w:rsid w:val="006B614E"/>
    <w:rsid w:val="006B63E9"/>
    <w:rsid w:val="006B651E"/>
    <w:rsid w:val="006B6552"/>
    <w:rsid w:val="006B66E4"/>
    <w:rsid w:val="006B677B"/>
    <w:rsid w:val="006B6B96"/>
    <w:rsid w:val="006B6C9A"/>
    <w:rsid w:val="006B6CA6"/>
    <w:rsid w:val="006B6E21"/>
    <w:rsid w:val="006B747F"/>
    <w:rsid w:val="006B74D1"/>
    <w:rsid w:val="006B7589"/>
    <w:rsid w:val="006B76AC"/>
    <w:rsid w:val="006B7A14"/>
    <w:rsid w:val="006B7AA8"/>
    <w:rsid w:val="006B7B98"/>
    <w:rsid w:val="006C01A0"/>
    <w:rsid w:val="006C0212"/>
    <w:rsid w:val="006C0238"/>
    <w:rsid w:val="006C03DB"/>
    <w:rsid w:val="006C05F2"/>
    <w:rsid w:val="006C08E0"/>
    <w:rsid w:val="006C0C46"/>
    <w:rsid w:val="006C0D69"/>
    <w:rsid w:val="006C1252"/>
    <w:rsid w:val="006C14FE"/>
    <w:rsid w:val="006C195F"/>
    <w:rsid w:val="006C230C"/>
    <w:rsid w:val="006C2445"/>
    <w:rsid w:val="006C246C"/>
    <w:rsid w:val="006C266B"/>
    <w:rsid w:val="006C2830"/>
    <w:rsid w:val="006C28A6"/>
    <w:rsid w:val="006C28CE"/>
    <w:rsid w:val="006C28F9"/>
    <w:rsid w:val="006C29C2"/>
    <w:rsid w:val="006C2A5A"/>
    <w:rsid w:val="006C2A91"/>
    <w:rsid w:val="006C2C1A"/>
    <w:rsid w:val="006C2FD3"/>
    <w:rsid w:val="006C303F"/>
    <w:rsid w:val="006C3087"/>
    <w:rsid w:val="006C31CF"/>
    <w:rsid w:val="006C3363"/>
    <w:rsid w:val="006C348E"/>
    <w:rsid w:val="006C3B69"/>
    <w:rsid w:val="006C3D60"/>
    <w:rsid w:val="006C3DB3"/>
    <w:rsid w:val="006C3EDA"/>
    <w:rsid w:val="006C4017"/>
    <w:rsid w:val="006C402B"/>
    <w:rsid w:val="006C4151"/>
    <w:rsid w:val="006C44F7"/>
    <w:rsid w:val="006C4941"/>
    <w:rsid w:val="006C4B9D"/>
    <w:rsid w:val="006C4CA2"/>
    <w:rsid w:val="006C4E1F"/>
    <w:rsid w:val="006C51D2"/>
    <w:rsid w:val="006C5328"/>
    <w:rsid w:val="006C53C0"/>
    <w:rsid w:val="006C55BA"/>
    <w:rsid w:val="006C57A4"/>
    <w:rsid w:val="006C5999"/>
    <w:rsid w:val="006C5D34"/>
    <w:rsid w:val="006C5D86"/>
    <w:rsid w:val="006C5F2B"/>
    <w:rsid w:val="006C5F88"/>
    <w:rsid w:val="006C647A"/>
    <w:rsid w:val="006C698B"/>
    <w:rsid w:val="006C69EF"/>
    <w:rsid w:val="006C6A96"/>
    <w:rsid w:val="006C6AAB"/>
    <w:rsid w:val="006C769D"/>
    <w:rsid w:val="006C775B"/>
    <w:rsid w:val="006C7956"/>
    <w:rsid w:val="006C7B76"/>
    <w:rsid w:val="006C7C32"/>
    <w:rsid w:val="006C7F35"/>
    <w:rsid w:val="006C7FA0"/>
    <w:rsid w:val="006C7FFC"/>
    <w:rsid w:val="006D0014"/>
    <w:rsid w:val="006D0259"/>
    <w:rsid w:val="006D031E"/>
    <w:rsid w:val="006D0625"/>
    <w:rsid w:val="006D0856"/>
    <w:rsid w:val="006D0B3E"/>
    <w:rsid w:val="006D0D92"/>
    <w:rsid w:val="006D0DEB"/>
    <w:rsid w:val="006D0F37"/>
    <w:rsid w:val="006D1045"/>
    <w:rsid w:val="006D11A8"/>
    <w:rsid w:val="006D11AB"/>
    <w:rsid w:val="006D11E6"/>
    <w:rsid w:val="006D1601"/>
    <w:rsid w:val="006D1AAD"/>
    <w:rsid w:val="006D1AB7"/>
    <w:rsid w:val="006D1BBD"/>
    <w:rsid w:val="006D1C15"/>
    <w:rsid w:val="006D1E74"/>
    <w:rsid w:val="006D208B"/>
    <w:rsid w:val="006D20D3"/>
    <w:rsid w:val="006D2222"/>
    <w:rsid w:val="006D2501"/>
    <w:rsid w:val="006D2CA0"/>
    <w:rsid w:val="006D3223"/>
    <w:rsid w:val="006D3519"/>
    <w:rsid w:val="006D3593"/>
    <w:rsid w:val="006D3715"/>
    <w:rsid w:val="006D38E2"/>
    <w:rsid w:val="006D38EA"/>
    <w:rsid w:val="006D3AF1"/>
    <w:rsid w:val="006D3D70"/>
    <w:rsid w:val="006D3F6C"/>
    <w:rsid w:val="006D41F0"/>
    <w:rsid w:val="006D434C"/>
    <w:rsid w:val="006D44A4"/>
    <w:rsid w:val="006D456E"/>
    <w:rsid w:val="006D4669"/>
    <w:rsid w:val="006D477C"/>
    <w:rsid w:val="006D47C5"/>
    <w:rsid w:val="006D47CD"/>
    <w:rsid w:val="006D4B02"/>
    <w:rsid w:val="006D4BE9"/>
    <w:rsid w:val="006D4EBC"/>
    <w:rsid w:val="006D505E"/>
    <w:rsid w:val="006D50FB"/>
    <w:rsid w:val="006D5147"/>
    <w:rsid w:val="006D5387"/>
    <w:rsid w:val="006D561C"/>
    <w:rsid w:val="006D567E"/>
    <w:rsid w:val="006D5694"/>
    <w:rsid w:val="006D5AB9"/>
    <w:rsid w:val="006D5BBB"/>
    <w:rsid w:val="006D5D3F"/>
    <w:rsid w:val="006D5F08"/>
    <w:rsid w:val="006D60F1"/>
    <w:rsid w:val="006D6624"/>
    <w:rsid w:val="006D6A86"/>
    <w:rsid w:val="006D74C8"/>
    <w:rsid w:val="006D772E"/>
    <w:rsid w:val="006D799E"/>
    <w:rsid w:val="006D7A68"/>
    <w:rsid w:val="006D7B09"/>
    <w:rsid w:val="006D7CC2"/>
    <w:rsid w:val="006D7D1F"/>
    <w:rsid w:val="006E007C"/>
    <w:rsid w:val="006E0484"/>
    <w:rsid w:val="006E06A0"/>
    <w:rsid w:val="006E06D4"/>
    <w:rsid w:val="006E0735"/>
    <w:rsid w:val="006E089E"/>
    <w:rsid w:val="006E0A6F"/>
    <w:rsid w:val="006E17DC"/>
    <w:rsid w:val="006E187D"/>
    <w:rsid w:val="006E1C9C"/>
    <w:rsid w:val="006E2002"/>
    <w:rsid w:val="006E263A"/>
    <w:rsid w:val="006E2F32"/>
    <w:rsid w:val="006E3475"/>
    <w:rsid w:val="006E3AA1"/>
    <w:rsid w:val="006E3DDD"/>
    <w:rsid w:val="006E3FE3"/>
    <w:rsid w:val="006E409D"/>
    <w:rsid w:val="006E42DD"/>
    <w:rsid w:val="006E4580"/>
    <w:rsid w:val="006E4842"/>
    <w:rsid w:val="006E489F"/>
    <w:rsid w:val="006E4EF1"/>
    <w:rsid w:val="006E520A"/>
    <w:rsid w:val="006E52BF"/>
    <w:rsid w:val="006E5345"/>
    <w:rsid w:val="006E562C"/>
    <w:rsid w:val="006E588E"/>
    <w:rsid w:val="006E6298"/>
    <w:rsid w:val="006E650D"/>
    <w:rsid w:val="006E66F8"/>
    <w:rsid w:val="006E685D"/>
    <w:rsid w:val="006E6CFC"/>
    <w:rsid w:val="006E7100"/>
    <w:rsid w:val="006E713D"/>
    <w:rsid w:val="006E71DC"/>
    <w:rsid w:val="006E7424"/>
    <w:rsid w:val="006E7548"/>
    <w:rsid w:val="006E7551"/>
    <w:rsid w:val="006E76F2"/>
    <w:rsid w:val="006E772B"/>
    <w:rsid w:val="006E79F7"/>
    <w:rsid w:val="006F02CF"/>
    <w:rsid w:val="006F03EC"/>
    <w:rsid w:val="006F0444"/>
    <w:rsid w:val="006F04AE"/>
    <w:rsid w:val="006F05B7"/>
    <w:rsid w:val="006F08AC"/>
    <w:rsid w:val="006F08B1"/>
    <w:rsid w:val="006F0AA9"/>
    <w:rsid w:val="006F0EA7"/>
    <w:rsid w:val="006F105C"/>
    <w:rsid w:val="006F1903"/>
    <w:rsid w:val="006F1AC8"/>
    <w:rsid w:val="006F1B50"/>
    <w:rsid w:val="006F1B68"/>
    <w:rsid w:val="006F1D6B"/>
    <w:rsid w:val="006F1E40"/>
    <w:rsid w:val="006F1F7D"/>
    <w:rsid w:val="006F2094"/>
    <w:rsid w:val="006F20ED"/>
    <w:rsid w:val="006F266C"/>
    <w:rsid w:val="006F2759"/>
    <w:rsid w:val="006F28A6"/>
    <w:rsid w:val="006F2ECA"/>
    <w:rsid w:val="006F3398"/>
    <w:rsid w:val="006F3719"/>
    <w:rsid w:val="006F37C0"/>
    <w:rsid w:val="006F38D8"/>
    <w:rsid w:val="006F39D4"/>
    <w:rsid w:val="006F3BA4"/>
    <w:rsid w:val="006F42A2"/>
    <w:rsid w:val="006F42B2"/>
    <w:rsid w:val="006F47F9"/>
    <w:rsid w:val="006F489E"/>
    <w:rsid w:val="006F4D72"/>
    <w:rsid w:val="006F4FB5"/>
    <w:rsid w:val="006F4FC2"/>
    <w:rsid w:val="006F5026"/>
    <w:rsid w:val="006F52F1"/>
    <w:rsid w:val="006F564A"/>
    <w:rsid w:val="006F5658"/>
    <w:rsid w:val="006F5ADE"/>
    <w:rsid w:val="006F5B5A"/>
    <w:rsid w:val="006F5C89"/>
    <w:rsid w:val="006F5DF9"/>
    <w:rsid w:val="006F6173"/>
    <w:rsid w:val="006F665C"/>
    <w:rsid w:val="006F69B1"/>
    <w:rsid w:val="006F6AA6"/>
    <w:rsid w:val="006F6B4B"/>
    <w:rsid w:val="006F6CDD"/>
    <w:rsid w:val="006F6E4B"/>
    <w:rsid w:val="006F7394"/>
    <w:rsid w:val="006F76FA"/>
    <w:rsid w:val="006F785A"/>
    <w:rsid w:val="006F79F9"/>
    <w:rsid w:val="006F7BD0"/>
    <w:rsid w:val="006F7E03"/>
    <w:rsid w:val="006F7FCC"/>
    <w:rsid w:val="007002DB"/>
    <w:rsid w:val="00700A63"/>
    <w:rsid w:val="00700C79"/>
    <w:rsid w:val="00700D0F"/>
    <w:rsid w:val="00700E4A"/>
    <w:rsid w:val="0070105E"/>
    <w:rsid w:val="00701158"/>
    <w:rsid w:val="007011FA"/>
    <w:rsid w:val="0070140A"/>
    <w:rsid w:val="007014D2"/>
    <w:rsid w:val="007014E8"/>
    <w:rsid w:val="007018AB"/>
    <w:rsid w:val="00701DD0"/>
    <w:rsid w:val="0070213C"/>
    <w:rsid w:val="00702A1A"/>
    <w:rsid w:val="00702A6C"/>
    <w:rsid w:val="00702A8B"/>
    <w:rsid w:val="00702CF4"/>
    <w:rsid w:val="00702E0B"/>
    <w:rsid w:val="00702F85"/>
    <w:rsid w:val="0070319C"/>
    <w:rsid w:val="007034D6"/>
    <w:rsid w:val="0070358D"/>
    <w:rsid w:val="007036E1"/>
    <w:rsid w:val="0070375D"/>
    <w:rsid w:val="007038B7"/>
    <w:rsid w:val="00703C37"/>
    <w:rsid w:val="00704181"/>
    <w:rsid w:val="00704306"/>
    <w:rsid w:val="007043D2"/>
    <w:rsid w:val="00704678"/>
    <w:rsid w:val="00704682"/>
    <w:rsid w:val="007046ED"/>
    <w:rsid w:val="0070495A"/>
    <w:rsid w:val="00704AB6"/>
    <w:rsid w:val="00704AF2"/>
    <w:rsid w:val="00704E90"/>
    <w:rsid w:val="007053C5"/>
    <w:rsid w:val="007056A4"/>
    <w:rsid w:val="00705B47"/>
    <w:rsid w:val="00705CD8"/>
    <w:rsid w:val="00705F12"/>
    <w:rsid w:val="007060BE"/>
    <w:rsid w:val="007060EA"/>
    <w:rsid w:val="007063AF"/>
    <w:rsid w:val="007063D3"/>
    <w:rsid w:val="00706921"/>
    <w:rsid w:val="0070692F"/>
    <w:rsid w:val="007069F6"/>
    <w:rsid w:val="00706E12"/>
    <w:rsid w:val="007070E1"/>
    <w:rsid w:val="0070729C"/>
    <w:rsid w:val="0070743B"/>
    <w:rsid w:val="00707655"/>
    <w:rsid w:val="0070794F"/>
    <w:rsid w:val="00707CD2"/>
    <w:rsid w:val="00707E22"/>
    <w:rsid w:val="00707ECA"/>
    <w:rsid w:val="0071037A"/>
    <w:rsid w:val="007105FF"/>
    <w:rsid w:val="00710950"/>
    <w:rsid w:val="00710BF2"/>
    <w:rsid w:val="00710D82"/>
    <w:rsid w:val="00710F3E"/>
    <w:rsid w:val="007110C3"/>
    <w:rsid w:val="007114DB"/>
    <w:rsid w:val="00711764"/>
    <w:rsid w:val="007118B8"/>
    <w:rsid w:val="00711AF8"/>
    <w:rsid w:val="00711BE7"/>
    <w:rsid w:val="00712320"/>
    <w:rsid w:val="007126A7"/>
    <w:rsid w:val="0071272D"/>
    <w:rsid w:val="0071279D"/>
    <w:rsid w:val="00712E0B"/>
    <w:rsid w:val="00712E46"/>
    <w:rsid w:val="0071321B"/>
    <w:rsid w:val="007135E8"/>
    <w:rsid w:val="00713AA8"/>
    <w:rsid w:val="00713BFA"/>
    <w:rsid w:val="00713DF7"/>
    <w:rsid w:val="00713EDA"/>
    <w:rsid w:val="007144B7"/>
    <w:rsid w:val="007146B1"/>
    <w:rsid w:val="00714CDE"/>
    <w:rsid w:val="00715063"/>
    <w:rsid w:val="0071506C"/>
    <w:rsid w:val="007150B0"/>
    <w:rsid w:val="00715198"/>
    <w:rsid w:val="007152A0"/>
    <w:rsid w:val="007158D9"/>
    <w:rsid w:val="00715ACC"/>
    <w:rsid w:val="00715BB9"/>
    <w:rsid w:val="00715D4E"/>
    <w:rsid w:val="00715FC6"/>
    <w:rsid w:val="00716054"/>
    <w:rsid w:val="00716414"/>
    <w:rsid w:val="00716AE6"/>
    <w:rsid w:val="00716B65"/>
    <w:rsid w:val="00716C41"/>
    <w:rsid w:val="00716D39"/>
    <w:rsid w:val="00716E5C"/>
    <w:rsid w:val="007172E9"/>
    <w:rsid w:val="00717536"/>
    <w:rsid w:val="00717844"/>
    <w:rsid w:val="00717B85"/>
    <w:rsid w:val="00717C00"/>
    <w:rsid w:val="00717E98"/>
    <w:rsid w:val="00717F88"/>
    <w:rsid w:val="00720294"/>
    <w:rsid w:val="007202E1"/>
    <w:rsid w:val="00720367"/>
    <w:rsid w:val="00720466"/>
    <w:rsid w:val="00720ACE"/>
    <w:rsid w:val="00720E9F"/>
    <w:rsid w:val="00721236"/>
    <w:rsid w:val="00721367"/>
    <w:rsid w:val="00721816"/>
    <w:rsid w:val="00721868"/>
    <w:rsid w:val="00721EC1"/>
    <w:rsid w:val="00721F16"/>
    <w:rsid w:val="007220AC"/>
    <w:rsid w:val="007224B6"/>
    <w:rsid w:val="007226A7"/>
    <w:rsid w:val="00722B82"/>
    <w:rsid w:val="00723027"/>
    <w:rsid w:val="00723378"/>
    <w:rsid w:val="00723B27"/>
    <w:rsid w:val="00723BDA"/>
    <w:rsid w:val="00723F83"/>
    <w:rsid w:val="00723FAA"/>
    <w:rsid w:val="00724174"/>
    <w:rsid w:val="007244A7"/>
    <w:rsid w:val="0072454E"/>
    <w:rsid w:val="00724642"/>
    <w:rsid w:val="00724649"/>
    <w:rsid w:val="007246B7"/>
    <w:rsid w:val="007248D2"/>
    <w:rsid w:val="00724AA9"/>
    <w:rsid w:val="00724AC3"/>
    <w:rsid w:val="00724BB8"/>
    <w:rsid w:val="00724BE0"/>
    <w:rsid w:val="007253F7"/>
    <w:rsid w:val="0072593E"/>
    <w:rsid w:val="007259DA"/>
    <w:rsid w:val="00725A73"/>
    <w:rsid w:val="00725F2A"/>
    <w:rsid w:val="007265BF"/>
    <w:rsid w:val="007267B0"/>
    <w:rsid w:val="007267BB"/>
    <w:rsid w:val="0072697A"/>
    <w:rsid w:val="00726BA1"/>
    <w:rsid w:val="00726EFA"/>
    <w:rsid w:val="007270F1"/>
    <w:rsid w:val="007273A8"/>
    <w:rsid w:val="007275AC"/>
    <w:rsid w:val="007277BE"/>
    <w:rsid w:val="0072783B"/>
    <w:rsid w:val="00727B73"/>
    <w:rsid w:val="00727D34"/>
    <w:rsid w:val="00727DB3"/>
    <w:rsid w:val="00727FE4"/>
    <w:rsid w:val="007301D6"/>
    <w:rsid w:val="007302E5"/>
    <w:rsid w:val="0073033D"/>
    <w:rsid w:val="00730450"/>
    <w:rsid w:val="00730613"/>
    <w:rsid w:val="007306D3"/>
    <w:rsid w:val="00730A14"/>
    <w:rsid w:val="00731416"/>
    <w:rsid w:val="00731503"/>
    <w:rsid w:val="00731542"/>
    <w:rsid w:val="00731D94"/>
    <w:rsid w:val="00731F22"/>
    <w:rsid w:val="0073215A"/>
    <w:rsid w:val="007321AF"/>
    <w:rsid w:val="00732581"/>
    <w:rsid w:val="0073271B"/>
    <w:rsid w:val="00732827"/>
    <w:rsid w:val="0073295B"/>
    <w:rsid w:val="00732964"/>
    <w:rsid w:val="007329F4"/>
    <w:rsid w:val="00732A13"/>
    <w:rsid w:val="00732B92"/>
    <w:rsid w:val="00732C88"/>
    <w:rsid w:val="00733140"/>
    <w:rsid w:val="00733426"/>
    <w:rsid w:val="00733A1B"/>
    <w:rsid w:val="00733C40"/>
    <w:rsid w:val="00733E6B"/>
    <w:rsid w:val="00734269"/>
    <w:rsid w:val="0073427C"/>
    <w:rsid w:val="00734534"/>
    <w:rsid w:val="007346AB"/>
    <w:rsid w:val="00734867"/>
    <w:rsid w:val="0073493F"/>
    <w:rsid w:val="0073494A"/>
    <w:rsid w:val="00734A1B"/>
    <w:rsid w:val="00734A31"/>
    <w:rsid w:val="00734C25"/>
    <w:rsid w:val="00734EFD"/>
    <w:rsid w:val="00735092"/>
    <w:rsid w:val="007350B3"/>
    <w:rsid w:val="0073547B"/>
    <w:rsid w:val="00735634"/>
    <w:rsid w:val="00735657"/>
    <w:rsid w:val="00735BAB"/>
    <w:rsid w:val="00735C38"/>
    <w:rsid w:val="00735D39"/>
    <w:rsid w:val="00735E27"/>
    <w:rsid w:val="00735EB5"/>
    <w:rsid w:val="00736009"/>
    <w:rsid w:val="0073604D"/>
    <w:rsid w:val="007361B9"/>
    <w:rsid w:val="00736452"/>
    <w:rsid w:val="007367A3"/>
    <w:rsid w:val="00736831"/>
    <w:rsid w:val="007369BD"/>
    <w:rsid w:val="00736C19"/>
    <w:rsid w:val="0073750A"/>
    <w:rsid w:val="00737B7D"/>
    <w:rsid w:val="00737B8D"/>
    <w:rsid w:val="00737C3E"/>
    <w:rsid w:val="00737FEA"/>
    <w:rsid w:val="00740323"/>
    <w:rsid w:val="00741898"/>
    <w:rsid w:val="00741A20"/>
    <w:rsid w:val="00741A97"/>
    <w:rsid w:val="00741E3A"/>
    <w:rsid w:val="00741E6A"/>
    <w:rsid w:val="007420A8"/>
    <w:rsid w:val="00742311"/>
    <w:rsid w:val="00742497"/>
    <w:rsid w:val="0074309F"/>
    <w:rsid w:val="0074323D"/>
    <w:rsid w:val="007432E2"/>
    <w:rsid w:val="00743719"/>
    <w:rsid w:val="00743BAB"/>
    <w:rsid w:val="00744303"/>
    <w:rsid w:val="0074433E"/>
    <w:rsid w:val="007445BF"/>
    <w:rsid w:val="00744739"/>
    <w:rsid w:val="00744837"/>
    <w:rsid w:val="00744888"/>
    <w:rsid w:val="00745103"/>
    <w:rsid w:val="00745142"/>
    <w:rsid w:val="00745385"/>
    <w:rsid w:val="007454C7"/>
    <w:rsid w:val="007455B5"/>
    <w:rsid w:val="00745681"/>
    <w:rsid w:val="007458B4"/>
    <w:rsid w:val="00745F2C"/>
    <w:rsid w:val="00745F63"/>
    <w:rsid w:val="00745F76"/>
    <w:rsid w:val="0074616A"/>
    <w:rsid w:val="00746771"/>
    <w:rsid w:val="00746B07"/>
    <w:rsid w:val="00746B30"/>
    <w:rsid w:val="00746DAA"/>
    <w:rsid w:val="007473E6"/>
    <w:rsid w:val="0074765C"/>
    <w:rsid w:val="007476D2"/>
    <w:rsid w:val="00747707"/>
    <w:rsid w:val="00750181"/>
    <w:rsid w:val="00750329"/>
    <w:rsid w:val="00750500"/>
    <w:rsid w:val="007507F9"/>
    <w:rsid w:val="0075082C"/>
    <w:rsid w:val="0075095C"/>
    <w:rsid w:val="007509CC"/>
    <w:rsid w:val="00750E30"/>
    <w:rsid w:val="00750EE1"/>
    <w:rsid w:val="00751038"/>
    <w:rsid w:val="00751066"/>
    <w:rsid w:val="0075137D"/>
    <w:rsid w:val="00751473"/>
    <w:rsid w:val="007514A9"/>
    <w:rsid w:val="0075178A"/>
    <w:rsid w:val="00751D3B"/>
    <w:rsid w:val="00751EBD"/>
    <w:rsid w:val="00751F6C"/>
    <w:rsid w:val="007521C5"/>
    <w:rsid w:val="00752265"/>
    <w:rsid w:val="00752757"/>
    <w:rsid w:val="0075286E"/>
    <w:rsid w:val="00752B5E"/>
    <w:rsid w:val="00752C9F"/>
    <w:rsid w:val="00752E28"/>
    <w:rsid w:val="00752ED1"/>
    <w:rsid w:val="0075347F"/>
    <w:rsid w:val="00753588"/>
    <w:rsid w:val="00753725"/>
    <w:rsid w:val="0075382C"/>
    <w:rsid w:val="00753A17"/>
    <w:rsid w:val="00753CF2"/>
    <w:rsid w:val="0075405D"/>
    <w:rsid w:val="00754932"/>
    <w:rsid w:val="00754E0F"/>
    <w:rsid w:val="00754E35"/>
    <w:rsid w:val="00754F9C"/>
    <w:rsid w:val="0075517D"/>
    <w:rsid w:val="0075529A"/>
    <w:rsid w:val="0075566D"/>
    <w:rsid w:val="00755750"/>
    <w:rsid w:val="007558F1"/>
    <w:rsid w:val="00755AD4"/>
    <w:rsid w:val="00755F8A"/>
    <w:rsid w:val="00755FEB"/>
    <w:rsid w:val="007562FE"/>
    <w:rsid w:val="007563D8"/>
    <w:rsid w:val="00756414"/>
    <w:rsid w:val="0075720C"/>
    <w:rsid w:val="0075748B"/>
    <w:rsid w:val="00757571"/>
    <w:rsid w:val="00757659"/>
    <w:rsid w:val="00757675"/>
    <w:rsid w:val="00757A26"/>
    <w:rsid w:val="00757D44"/>
    <w:rsid w:val="00757DC3"/>
    <w:rsid w:val="00757EDF"/>
    <w:rsid w:val="00757FD8"/>
    <w:rsid w:val="0076027E"/>
    <w:rsid w:val="00760464"/>
    <w:rsid w:val="0076064D"/>
    <w:rsid w:val="00760862"/>
    <w:rsid w:val="00760BDA"/>
    <w:rsid w:val="00760CE3"/>
    <w:rsid w:val="00761119"/>
    <w:rsid w:val="0076164F"/>
    <w:rsid w:val="00761671"/>
    <w:rsid w:val="00761A2B"/>
    <w:rsid w:val="00761D79"/>
    <w:rsid w:val="00761E54"/>
    <w:rsid w:val="00762060"/>
    <w:rsid w:val="0076211F"/>
    <w:rsid w:val="007621CF"/>
    <w:rsid w:val="007623D1"/>
    <w:rsid w:val="00762753"/>
    <w:rsid w:val="0076284F"/>
    <w:rsid w:val="00762A89"/>
    <w:rsid w:val="00762C41"/>
    <w:rsid w:val="007630FF"/>
    <w:rsid w:val="0076347D"/>
    <w:rsid w:val="007634E9"/>
    <w:rsid w:val="00763BE6"/>
    <w:rsid w:val="00763DE5"/>
    <w:rsid w:val="0076424C"/>
    <w:rsid w:val="007642C2"/>
    <w:rsid w:val="007643BF"/>
    <w:rsid w:val="00764F2A"/>
    <w:rsid w:val="00764F90"/>
    <w:rsid w:val="007650D1"/>
    <w:rsid w:val="00765245"/>
    <w:rsid w:val="007655EB"/>
    <w:rsid w:val="007659F0"/>
    <w:rsid w:val="00765BFF"/>
    <w:rsid w:val="00765CDE"/>
    <w:rsid w:val="00765D7D"/>
    <w:rsid w:val="00765EC6"/>
    <w:rsid w:val="00766311"/>
    <w:rsid w:val="0076637C"/>
    <w:rsid w:val="007666FE"/>
    <w:rsid w:val="007667C5"/>
    <w:rsid w:val="00767011"/>
    <w:rsid w:val="007672FC"/>
    <w:rsid w:val="00767405"/>
    <w:rsid w:val="00767479"/>
    <w:rsid w:val="00767A27"/>
    <w:rsid w:val="00767AEA"/>
    <w:rsid w:val="00767B42"/>
    <w:rsid w:val="00767E66"/>
    <w:rsid w:val="00767EBC"/>
    <w:rsid w:val="00767FAF"/>
    <w:rsid w:val="00770125"/>
    <w:rsid w:val="007707EC"/>
    <w:rsid w:val="007708EC"/>
    <w:rsid w:val="00770973"/>
    <w:rsid w:val="007709A6"/>
    <w:rsid w:val="007709DA"/>
    <w:rsid w:val="00770AF2"/>
    <w:rsid w:val="00770C4A"/>
    <w:rsid w:val="00770CC1"/>
    <w:rsid w:val="0077106B"/>
    <w:rsid w:val="00771478"/>
    <w:rsid w:val="007716D9"/>
    <w:rsid w:val="00771D49"/>
    <w:rsid w:val="00771ECB"/>
    <w:rsid w:val="00772039"/>
    <w:rsid w:val="0077223C"/>
    <w:rsid w:val="00772262"/>
    <w:rsid w:val="0077272E"/>
    <w:rsid w:val="0077278D"/>
    <w:rsid w:val="00772863"/>
    <w:rsid w:val="00772ADC"/>
    <w:rsid w:val="00772BE7"/>
    <w:rsid w:val="00772CC5"/>
    <w:rsid w:val="00772DFB"/>
    <w:rsid w:val="00773085"/>
    <w:rsid w:val="007730E9"/>
    <w:rsid w:val="00773243"/>
    <w:rsid w:val="007732CB"/>
    <w:rsid w:val="007732F5"/>
    <w:rsid w:val="00773830"/>
    <w:rsid w:val="007738F8"/>
    <w:rsid w:val="00773E1C"/>
    <w:rsid w:val="00773E7D"/>
    <w:rsid w:val="0077430D"/>
    <w:rsid w:val="0077447D"/>
    <w:rsid w:val="007749EE"/>
    <w:rsid w:val="00774D62"/>
    <w:rsid w:val="00775035"/>
    <w:rsid w:val="0077559F"/>
    <w:rsid w:val="007759F2"/>
    <w:rsid w:val="00775BE6"/>
    <w:rsid w:val="00775C5E"/>
    <w:rsid w:val="00776064"/>
    <w:rsid w:val="00776081"/>
    <w:rsid w:val="00776100"/>
    <w:rsid w:val="00776108"/>
    <w:rsid w:val="00776770"/>
    <w:rsid w:val="00776994"/>
    <w:rsid w:val="00776AEC"/>
    <w:rsid w:val="00776B61"/>
    <w:rsid w:val="00776EA4"/>
    <w:rsid w:val="007774B8"/>
    <w:rsid w:val="007775AB"/>
    <w:rsid w:val="007776EF"/>
    <w:rsid w:val="00777741"/>
    <w:rsid w:val="0077797A"/>
    <w:rsid w:val="00777B4D"/>
    <w:rsid w:val="00777EF1"/>
    <w:rsid w:val="0078033F"/>
    <w:rsid w:val="00780563"/>
    <w:rsid w:val="00780779"/>
    <w:rsid w:val="007807E7"/>
    <w:rsid w:val="00780947"/>
    <w:rsid w:val="0078097C"/>
    <w:rsid w:val="00780A8F"/>
    <w:rsid w:val="00780E1A"/>
    <w:rsid w:val="00781036"/>
    <w:rsid w:val="00781234"/>
    <w:rsid w:val="00781475"/>
    <w:rsid w:val="00781764"/>
    <w:rsid w:val="0078197C"/>
    <w:rsid w:val="00781A04"/>
    <w:rsid w:val="00781D0A"/>
    <w:rsid w:val="00781DF6"/>
    <w:rsid w:val="00781F36"/>
    <w:rsid w:val="00782849"/>
    <w:rsid w:val="007828BF"/>
    <w:rsid w:val="007829FB"/>
    <w:rsid w:val="00782BA7"/>
    <w:rsid w:val="00783167"/>
    <w:rsid w:val="007831B9"/>
    <w:rsid w:val="007833DF"/>
    <w:rsid w:val="00783807"/>
    <w:rsid w:val="00783AD6"/>
    <w:rsid w:val="00783AFA"/>
    <w:rsid w:val="00783B9C"/>
    <w:rsid w:val="00783C6B"/>
    <w:rsid w:val="00783FA0"/>
    <w:rsid w:val="007842C4"/>
    <w:rsid w:val="0078434D"/>
    <w:rsid w:val="00784452"/>
    <w:rsid w:val="0078463C"/>
    <w:rsid w:val="00784C50"/>
    <w:rsid w:val="00784C93"/>
    <w:rsid w:val="00784C9A"/>
    <w:rsid w:val="00784F0C"/>
    <w:rsid w:val="007851D1"/>
    <w:rsid w:val="0078551A"/>
    <w:rsid w:val="007856C6"/>
    <w:rsid w:val="007859A0"/>
    <w:rsid w:val="00785C7F"/>
    <w:rsid w:val="00785FDB"/>
    <w:rsid w:val="007862A3"/>
    <w:rsid w:val="0078662A"/>
    <w:rsid w:val="007869A9"/>
    <w:rsid w:val="00786AF6"/>
    <w:rsid w:val="00786B78"/>
    <w:rsid w:val="007872C5"/>
    <w:rsid w:val="00787340"/>
    <w:rsid w:val="00787766"/>
    <w:rsid w:val="00787962"/>
    <w:rsid w:val="00787A05"/>
    <w:rsid w:val="00787CE2"/>
    <w:rsid w:val="00787E58"/>
    <w:rsid w:val="00790266"/>
    <w:rsid w:val="007905A4"/>
    <w:rsid w:val="00790DCA"/>
    <w:rsid w:val="00790E1E"/>
    <w:rsid w:val="00790E26"/>
    <w:rsid w:val="00791075"/>
    <w:rsid w:val="007913D7"/>
    <w:rsid w:val="0079165B"/>
    <w:rsid w:val="0079173D"/>
    <w:rsid w:val="00791BF6"/>
    <w:rsid w:val="00791E97"/>
    <w:rsid w:val="00792400"/>
    <w:rsid w:val="00792583"/>
    <w:rsid w:val="00792605"/>
    <w:rsid w:val="007926FA"/>
    <w:rsid w:val="007929BD"/>
    <w:rsid w:val="00792C6F"/>
    <w:rsid w:val="00792E65"/>
    <w:rsid w:val="0079389A"/>
    <w:rsid w:val="007938F2"/>
    <w:rsid w:val="00793C1E"/>
    <w:rsid w:val="00793D41"/>
    <w:rsid w:val="00793D88"/>
    <w:rsid w:val="00793F0A"/>
    <w:rsid w:val="0079483D"/>
    <w:rsid w:val="00794975"/>
    <w:rsid w:val="00794F0F"/>
    <w:rsid w:val="00795023"/>
    <w:rsid w:val="00795381"/>
    <w:rsid w:val="00795CF0"/>
    <w:rsid w:val="00795F1C"/>
    <w:rsid w:val="0079629B"/>
    <w:rsid w:val="007962CE"/>
    <w:rsid w:val="0079639D"/>
    <w:rsid w:val="007966E0"/>
    <w:rsid w:val="0079679C"/>
    <w:rsid w:val="007967DA"/>
    <w:rsid w:val="00796A04"/>
    <w:rsid w:val="00796D45"/>
    <w:rsid w:val="0079722E"/>
    <w:rsid w:val="00797564"/>
    <w:rsid w:val="00797651"/>
    <w:rsid w:val="00797664"/>
    <w:rsid w:val="0079772B"/>
    <w:rsid w:val="007978B9"/>
    <w:rsid w:val="007A0114"/>
    <w:rsid w:val="007A0411"/>
    <w:rsid w:val="007A04EC"/>
    <w:rsid w:val="007A0877"/>
    <w:rsid w:val="007A0F41"/>
    <w:rsid w:val="007A1001"/>
    <w:rsid w:val="007A1012"/>
    <w:rsid w:val="007A1183"/>
    <w:rsid w:val="007A11FC"/>
    <w:rsid w:val="007A1750"/>
    <w:rsid w:val="007A1A9D"/>
    <w:rsid w:val="007A1AC2"/>
    <w:rsid w:val="007A1C8A"/>
    <w:rsid w:val="007A1CBC"/>
    <w:rsid w:val="007A1FC9"/>
    <w:rsid w:val="007A1FD3"/>
    <w:rsid w:val="007A229F"/>
    <w:rsid w:val="007A28DC"/>
    <w:rsid w:val="007A3180"/>
    <w:rsid w:val="007A31B5"/>
    <w:rsid w:val="007A3333"/>
    <w:rsid w:val="007A3549"/>
    <w:rsid w:val="007A35DB"/>
    <w:rsid w:val="007A370A"/>
    <w:rsid w:val="007A3B89"/>
    <w:rsid w:val="007A3BFD"/>
    <w:rsid w:val="007A3C1D"/>
    <w:rsid w:val="007A3E89"/>
    <w:rsid w:val="007A41F8"/>
    <w:rsid w:val="007A4269"/>
    <w:rsid w:val="007A4C58"/>
    <w:rsid w:val="007A503F"/>
    <w:rsid w:val="007A532C"/>
    <w:rsid w:val="007A550A"/>
    <w:rsid w:val="007A5553"/>
    <w:rsid w:val="007A56EC"/>
    <w:rsid w:val="007A5C7F"/>
    <w:rsid w:val="007A6487"/>
    <w:rsid w:val="007A65B3"/>
    <w:rsid w:val="007A66BA"/>
    <w:rsid w:val="007A69EB"/>
    <w:rsid w:val="007A72AD"/>
    <w:rsid w:val="007A74E3"/>
    <w:rsid w:val="007A7502"/>
    <w:rsid w:val="007A77F7"/>
    <w:rsid w:val="007A7834"/>
    <w:rsid w:val="007A7F48"/>
    <w:rsid w:val="007A7FEC"/>
    <w:rsid w:val="007AE176"/>
    <w:rsid w:val="007B0083"/>
    <w:rsid w:val="007B013E"/>
    <w:rsid w:val="007B0700"/>
    <w:rsid w:val="007B0A60"/>
    <w:rsid w:val="007B0AF9"/>
    <w:rsid w:val="007B0CDF"/>
    <w:rsid w:val="007B1045"/>
    <w:rsid w:val="007B14F7"/>
    <w:rsid w:val="007B16E3"/>
    <w:rsid w:val="007B17F6"/>
    <w:rsid w:val="007B1B64"/>
    <w:rsid w:val="007B1C9E"/>
    <w:rsid w:val="007B1D90"/>
    <w:rsid w:val="007B223D"/>
    <w:rsid w:val="007B267C"/>
    <w:rsid w:val="007B2AE1"/>
    <w:rsid w:val="007B2D0C"/>
    <w:rsid w:val="007B2E97"/>
    <w:rsid w:val="007B312E"/>
    <w:rsid w:val="007B37B3"/>
    <w:rsid w:val="007B3D53"/>
    <w:rsid w:val="007B4584"/>
    <w:rsid w:val="007B462F"/>
    <w:rsid w:val="007B47B1"/>
    <w:rsid w:val="007B4C1E"/>
    <w:rsid w:val="007B4D87"/>
    <w:rsid w:val="007B4E89"/>
    <w:rsid w:val="007B52F6"/>
    <w:rsid w:val="007B55A2"/>
    <w:rsid w:val="007B55C9"/>
    <w:rsid w:val="007B576E"/>
    <w:rsid w:val="007B5863"/>
    <w:rsid w:val="007B5931"/>
    <w:rsid w:val="007B5942"/>
    <w:rsid w:val="007B5CF8"/>
    <w:rsid w:val="007B5EEF"/>
    <w:rsid w:val="007B60D9"/>
    <w:rsid w:val="007B6154"/>
    <w:rsid w:val="007B6213"/>
    <w:rsid w:val="007B6272"/>
    <w:rsid w:val="007B6792"/>
    <w:rsid w:val="007B68C8"/>
    <w:rsid w:val="007B69D0"/>
    <w:rsid w:val="007B6BF1"/>
    <w:rsid w:val="007B6CC8"/>
    <w:rsid w:val="007B6D96"/>
    <w:rsid w:val="007B6E8D"/>
    <w:rsid w:val="007B7274"/>
    <w:rsid w:val="007B7353"/>
    <w:rsid w:val="007B740E"/>
    <w:rsid w:val="007B7460"/>
    <w:rsid w:val="007C07D4"/>
    <w:rsid w:val="007C097E"/>
    <w:rsid w:val="007C0A34"/>
    <w:rsid w:val="007C0AE2"/>
    <w:rsid w:val="007C0DD3"/>
    <w:rsid w:val="007C108C"/>
    <w:rsid w:val="007C170F"/>
    <w:rsid w:val="007C183F"/>
    <w:rsid w:val="007C193A"/>
    <w:rsid w:val="007C1B4D"/>
    <w:rsid w:val="007C1CC5"/>
    <w:rsid w:val="007C1D37"/>
    <w:rsid w:val="007C2663"/>
    <w:rsid w:val="007C280E"/>
    <w:rsid w:val="007C2AD1"/>
    <w:rsid w:val="007C3004"/>
    <w:rsid w:val="007C31C9"/>
    <w:rsid w:val="007C36F8"/>
    <w:rsid w:val="007C375D"/>
    <w:rsid w:val="007C38F4"/>
    <w:rsid w:val="007C3C04"/>
    <w:rsid w:val="007C436E"/>
    <w:rsid w:val="007C44A9"/>
    <w:rsid w:val="007C45F2"/>
    <w:rsid w:val="007C49B7"/>
    <w:rsid w:val="007C4A4C"/>
    <w:rsid w:val="007C4E59"/>
    <w:rsid w:val="007C4F54"/>
    <w:rsid w:val="007C509B"/>
    <w:rsid w:val="007C50FC"/>
    <w:rsid w:val="007C5306"/>
    <w:rsid w:val="007C530D"/>
    <w:rsid w:val="007C5401"/>
    <w:rsid w:val="007C547C"/>
    <w:rsid w:val="007C5694"/>
    <w:rsid w:val="007C5D35"/>
    <w:rsid w:val="007C5E0D"/>
    <w:rsid w:val="007C5FF0"/>
    <w:rsid w:val="007C6029"/>
    <w:rsid w:val="007C613F"/>
    <w:rsid w:val="007C6314"/>
    <w:rsid w:val="007C6452"/>
    <w:rsid w:val="007C64AE"/>
    <w:rsid w:val="007C65DE"/>
    <w:rsid w:val="007C6ACC"/>
    <w:rsid w:val="007C6AF8"/>
    <w:rsid w:val="007C6CA1"/>
    <w:rsid w:val="007C6D0E"/>
    <w:rsid w:val="007C6D97"/>
    <w:rsid w:val="007C7003"/>
    <w:rsid w:val="007C7038"/>
    <w:rsid w:val="007C70B4"/>
    <w:rsid w:val="007C733F"/>
    <w:rsid w:val="007C73BB"/>
    <w:rsid w:val="007C789D"/>
    <w:rsid w:val="007C7A7B"/>
    <w:rsid w:val="007C7C67"/>
    <w:rsid w:val="007C7D71"/>
    <w:rsid w:val="007D0A05"/>
    <w:rsid w:val="007D0B7E"/>
    <w:rsid w:val="007D0E44"/>
    <w:rsid w:val="007D1347"/>
    <w:rsid w:val="007D19D1"/>
    <w:rsid w:val="007D1C4F"/>
    <w:rsid w:val="007D1C57"/>
    <w:rsid w:val="007D1D7C"/>
    <w:rsid w:val="007D1E18"/>
    <w:rsid w:val="007D1F21"/>
    <w:rsid w:val="007D1F2C"/>
    <w:rsid w:val="007D2B9A"/>
    <w:rsid w:val="007D2C00"/>
    <w:rsid w:val="007D2E05"/>
    <w:rsid w:val="007D306D"/>
    <w:rsid w:val="007D320B"/>
    <w:rsid w:val="007D335B"/>
    <w:rsid w:val="007D3A22"/>
    <w:rsid w:val="007D3B85"/>
    <w:rsid w:val="007D3ECC"/>
    <w:rsid w:val="007D40EA"/>
    <w:rsid w:val="007D420F"/>
    <w:rsid w:val="007D4595"/>
    <w:rsid w:val="007D4B6C"/>
    <w:rsid w:val="007D4CBB"/>
    <w:rsid w:val="007D5443"/>
    <w:rsid w:val="007D5ACC"/>
    <w:rsid w:val="007D5C89"/>
    <w:rsid w:val="007D5CED"/>
    <w:rsid w:val="007D5DEA"/>
    <w:rsid w:val="007D5E5E"/>
    <w:rsid w:val="007D5EBB"/>
    <w:rsid w:val="007D6424"/>
    <w:rsid w:val="007D646A"/>
    <w:rsid w:val="007D6920"/>
    <w:rsid w:val="007D6D94"/>
    <w:rsid w:val="007D6DA6"/>
    <w:rsid w:val="007D6EF5"/>
    <w:rsid w:val="007D7006"/>
    <w:rsid w:val="007D70B5"/>
    <w:rsid w:val="007D72D6"/>
    <w:rsid w:val="007D73D9"/>
    <w:rsid w:val="007D7481"/>
    <w:rsid w:val="007D785F"/>
    <w:rsid w:val="007D7978"/>
    <w:rsid w:val="007D7E75"/>
    <w:rsid w:val="007D7F04"/>
    <w:rsid w:val="007D7F9D"/>
    <w:rsid w:val="007E00F8"/>
    <w:rsid w:val="007E018A"/>
    <w:rsid w:val="007E04D7"/>
    <w:rsid w:val="007E10B0"/>
    <w:rsid w:val="007E11E1"/>
    <w:rsid w:val="007E1239"/>
    <w:rsid w:val="007E134A"/>
    <w:rsid w:val="007E1843"/>
    <w:rsid w:val="007E2355"/>
    <w:rsid w:val="007E2391"/>
    <w:rsid w:val="007E2486"/>
    <w:rsid w:val="007E2AF2"/>
    <w:rsid w:val="007E2D27"/>
    <w:rsid w:val="007E30D7"/>
    <w:rsid w:val="007E3337"/>
    <w:rsid w:val="007E33EA"/>
    <w:rsid w:val="007E3A05"/>
    <w:rsid w:val="007E3AD6"/>
    <w:rsid w:val="007E3C13"/>
    <w:rsid w:val="007E3C24"/>
    <w:rsid w:val="007E3EE2"/>
    <w:rsid w:val="007E40B9"/>
    <w:rsid w:val="007E4161"/>
    <w:rsid w:val="007E466B"/>
    <w:rsid w:val="007E48F8"/>
    <w:rsid w:val="007E497E"/>
    <w:rsid w:val="007E49F3"/>
    <w:rsid w:val="007E4B9D"/>
    <w:rsid w:val="007E50FD"/>
    <w:rsid w:val="007E54C2"/>
    <w:rsid w:val="007E559D"/>
    <w:rsid w:val="007E55A8"/>
    <w:rsid w:val="007E560D"/>
    <w:rsid w:val="007E59E6"/>
    <w:rsid w:val="007E5B27"/>
    <w:rsid w:val="007E64B3"/>
    <w:rsid w:val="007E6657"/>
    <w:rsid w:val="007E6A0B"/>
    <w:rsid w:val="007E6BBE"/>
    <w:rsid w:val="007E6DAE"/>
    <w:rsid w:val="007E7535"/>
    <w:rsid w:val="007E75FC"/>
    <w:rsid w:val="007E778B"/>
    <w:rsid w:val="007E79A5"/>
    <w:rsid w:val="007E7AB6"/>
    <w:rsid w:val="007E7D49"/>
    <w:rsid w:val="007E7FDF"/>
    <w:rsid w:val="007F0092"/>
    <w:rsid w:val="007F00D3"/>
    <w:rsid w:val="007F013D"/>
    <w:rsid w:val="007F0207"/>
    <w:rsid w:val="007F058E"/>
    <w:rsid w:val="007F05E2"/>
    <w:rsid w:val="007F05E3"/>
    <w:rsid w:val="007F06D7"/>
    <w:rsid w:val="007F0BD4"/>
    <w:rsid w:val="007F0D38"/>
    <w:rsid w:val="007F0DCE"/>
    <w:rsid w:val="007F1613"/>
    <w:rsid w:val="007F1970"/>
    <w:rsid w:val="007F1BBF"/>
    <w:rsid w:val="007F2246"/>
    <w:rsid w:val="007F23EC"/>
    <w:rsid w:val="007F2D7F"/>
    <w:rsid w:val="007F2FBD"/>
    <w:rsid w:val="007F3077"/>
    <w:rsid w:val="007F3746"/>
    <w:rsid w:val="007F37E4"/>
    <w:rsid w:val="007F3A1C"/>
    <w:rsid w:val="007F3B45"/>
    <w:rsid w:val="007F3E80"/>
    <w:rsid w:val="007F3F9D"/>
    <w:rsid w:val="007F4071"/>
    <w:rsid w:val="007F4326"/>
    <w:rsid w:val="007F4347"/>
    <w:rsid w:val="007F452D"/>
    <w:rsid w:val="007F4AB8"/>
    <w:rsid w:val="007F4D08"/>
    <w:rsid w:val="007F5059"/>
    <w:rsid w:val="007F54C5"/>
    <w:rsid w:val="007F54D4"/>
    <w:rsid w:val="007F5581"/>
    <w:rsid w:val="007F5A56"/>
    <w:rsid w:val="007F5A6B"/>
    <w:rsid w:val="007F5E01"/>
    <w:rsid w:val="007F5E53"/>
    <w:rsid w:val="007F5F16"/>
    <w:rsid w:val="007F5F56"/>
    <w:rsid w:val="007F6082"/>
    <w:rsid w:val="007F6254"/>
    <w:rsid w:val="007F6373"/>
    <w:rsid w:val="007F6392"/>
    <w:rsid w:val="007F64DC"/>
    <w:rsid w:val="007F6767"/>
    <w:rsid w:val="007F6BAA"/>
    <w:rsid w:val="007F6D16"/>
    <w:rsid w:val="007F7571"/>
    <w:rsid w:val="007F76C7"/>
    <w:rsid w:val="007F7E65"/>
    <w:rsid w:val="007F7ED6"/>
    <w:rsid w:val="008006E9"/>
    <w:rsid w:val="008006F0"/>
    <w:rsid w:val="00800782"/>
    <w:rsid w:val="00800835"/>
    <w:rsid w:val="00800EF9"/>
    <w:rsid w:val="008010CF"/>
    <w:rsid w:val="00801396"/>
    <w:rsid w:val="0080174D"/>
    <w:rsid w:val="00801891"/>
    <w:rsid w:val="0080216B"/>
    <w:rsid w:val="00802345"/>
    <w:rsid w:val="008023EB"/>
    <w:rsid w:val="008024D2"/>
    <w:rsid w:val="0080258B"/>
    <w:rsid w:val="008025D6"/>
    <w:rsid w:val="008026FC"/>
    <w:rsid w:val="008028F8"/>
    <w:rsid w:val="00802C8D"/>
    <w:rsid w:val="00802E6E"/>
    <w:rsid w:val="00802EEE"/>
    <w:rsid w:val="00802F29"/>
    <w:rsid w:val="00803AB2"/>
    <w:rsid w:val="00803C20"/>
    <w:rsid w:val="00803F00"/>
    <w:rsid w:val="00804125"/>
    <w:rsid w:val="0080418F"/>
    <w:rsid w:val="00804253"/>
    <w:rsid w:val="00804866"/>
    <w:rsid w:val="00804A98"/>
    <w:rsid w:val="00804C2E"/>
    <w:rsid w:val="00804D95"/>
    <w:rsid w:val="00804E9C"/>
    <w:rsid w:val="00804F27"/>
    <w:rsid w:val="00804FA4"/>
    <w:rsid w:val="008055C5"/>
    <w:rsid w:val="008057C8"/>
    <w:rsid w:val="00805897"/>
    <w:rsid w:val="00805AD2"/>
    <w:rsid w:val="00805E52"/>
    <w:rsid w:val="00806041"/>
    <w:rsid w:val="008064AE"/>
    <w:rsid w:val="008064CF"/>
    <w:rsid w:val="008065B1"/>
    <w:rsid w:val="008067C5"/>
    <w:rsid w:val="00806D76"/>
    <w:rsid w:val="00806F77"/>
    <w:rsid w:val="008071BD"/>
    <w:rsid w:val="0080730E"/>
    <w:rsid w:val="0080761D"/>
    <w:rsid w:val="00807A26"/>
    <w:rsid w:val="00807A38"/>
    <w:rsid w:val="00807A8C"/>
    <w:rsid w:val="00810006"/>
    <w:rsid w:val="00810AE1"/>
    <w:rsid w:val="00810FFE"/>
    <w:rsid w:val="008110C8"/>
    <w:rsid w:val="0081112D"/>
    <w:rsid w:val="00811330"/>
    <w:rsid w:val="00811CBD"/>
    <w:rsid w:val="00811CE2"/>
    <w:rsid w:val="008123D8"/>
    <w:rsid w:val="00812678"/>
    <w:rsid w:val="0081290B"/>
    <w:rsid w:val="00812EF9"/>
    <w:rsid w:val="00813444"/>
    <w:rsid w:val="00813715"/>
    <w:rsid w:val="00813774"/>
    <w:rsid w:val="00813857"/>
    <w:rsid w:val="00813A75"/>
    <w:rsid w:val="00813E06"/>
    <w:rsid w:val="00814481"/>
    <w:rsid w:val="008147B8"/>
    <w:rsid w:val="0081489C"/>
    <w:rsid w:val="0081499C"/>
    <w:rsid w:val="00814B75"/>
    <w:rsid w:val="00814C97"/>
    <w:rsid w:val="00814F3C"/>
    <w:rsid w:val="008150EE"/>
    <w:rsid w:val="0081512C"/>
    <w:rsid w:val="00815231"/>
    <w:rsid w:val="008154C9"/>
    <w:rsid w:val="0081570A"/>
    <w:rsid w:val="00815AC1"/>
    <w:rsid w:val="00815E5B"/>
    <w:rsid w:val="00815F82"/>
    <w:rsid w:val="00815FD9"/>
    <w:rsid w:val="008160A5"/>
    <w:rsid w:val="0081610A"/>
    <w:rsid w:val="00816221"/>
    <w:rsid w:val="0081622A"/>
    <w:rsid w:val="00816282"/>
    <w:rsid w:val="008165AC"/>
    <w:rsid w:val="0081678A"/>
    <w:rsid w:val="00816838"/>
    <w:rsid w:val="0081697C"/>
    <w:rsid w:val="008170F0"/>
    <w:rsid w:val="00817322"/>
    <w:rsid w:val="00817875"/>
    <w:rsid w:val="00817B08"/>
    <w:rsid w:val="00817CD6"/>
    <w:rsid w:val="00817DF6"/>
    <w:rsid w:val="00817FF7"/>
    <w:rsid w:val="00817FFA"/>
    <w:rsid w:val="008204A9"/>
    <w:rsid w:val="008204E4"/>
    <w:rsid w:val="00820631"/>
    <w:rsid w:val="008206E3"/>
    <w:rsid w:val="00820A63"/>
    <w:rsid w:val="00820C0E"/>
    <w:rsid w:val="00820C28"/>
    <w:rsid w:val="00820E6F"/>
    <w:rsid w:val="00820FC7"/>
    <w:rsid w:val="00820FD3"/>
    <w:rsid w:val="00821144"/>
    <w:rsid w:val="0082130C"/>
    <w:rsid w:val="00821364"/>
    <w:rsid w:val="00821A4E"/>
    <w:rsid w:val="00821B5B"/>
    <w:rsid w:val="00821B88"/>
    <w:rsid w:val="00821C06"/>
    <w:rsid w:val="00821C85"/>
    <w:rsid w:val="00821E41"/>
    <w:rsid w:val="00821E4B"/>
    <w:rsid w:val="00821ECE"/>
    <w:rsid w:val="00822094"/>
    <w:rsid w:val="00822119"/>
    <w:rsid w:val="0082229B"/>
    <w:rsid w:val="008225A5"/>
    <w:rsid w:val="0082270F"/>
    <w:rsid w:val="00822A6E"/>
    <w:rsid w:val="00822C3B"/>
    <w:rsid w:val="008231A0"/>
    <w:rsid w:val="00823296"/>
    <w:rsid w:val="00823368"/>
    <w:rsid w:val="00823537"/>
    <w:rsid w:val="00823568"/>
    <w:rsid w:val="008237DB"/>
    <w:rsid w:val="00823880"/>
    <w:rsid w:val="00823C2F"/>
    <w:rsid w:val="00823CF8"/>
    <w:rsid w:val="00823D06"/>
    <w:rsid w:val="0082403E"/>
    <w:rsid w:val="00824175"/>
    <w:rsid w:val="00824323"/>
    <w:rsid w:val="00824370"/>
    <w:rsid w:val="008243E7"/>
    <w:rsid w:val="008246A7"/>
    <w:rsid w:val="0082471D"/>
    <w:rsid w:val="00824745"/>
    <w:rsid w:val="00824AD5"/>
    <w:rsid w:val="00824AF5"/>
    <w:rsid w:val="00824DDA"/>
    <w:rsid w:val="00824DFC"/>
    <w:rsid w:val="00824F2F"/>
    <w:rsid w:val="00824F33"/>
    <w:rsid w:val="00824F3B"/>
    <w:rsid w:val="00824FA5"/>
    <w:rsid w:val="00825005"/>
    <w:rsid w:val="0082537B"/>
    <w:rsid w:val="0082592D"/>
    <w:rsid w:val="00825AF6"/>
    <w:rsid w:val="00825F21"/>
    <w:rsid w:val="008261B9"/>
    <w:rsid w:val="008263E5"/>
    <w:rsid w:val="00827107"/>
    <w:rsid w:val="00827268"/>
    <w:rsid w:val="0082727C"/>
    <w:rsid w:val="00827944"/>
    <w:rsid w:val="00827C61"/>
    <w:rsid w:val="00827F60"/>
    <w:rsid w:val="0083017D"/>
    <w:rsid w:val="008302CC"/>
    <w:rsid w:val="00830646"/>
    <w:rsid w:val="0083069B"/>
    <w:rsid w:val="00830C65"/>
    <w:rsid w:val="00830DC6"/>
    <w:rsid w:val="00830E89"/>
    <w:rsid w:val="008311C7"/>
    <w:rsid w:val="00831305"/>
    <w:rsid w:val="00831750"/>
    <w:rsid w:val="00831D4C"/>
    <w:rsid w:val="00831D61"/>
    <w:rsid w:val="0083287B"/>
    <w:rsid w:val="0083295A"/>
    <w:rsid w:val="00832B6F"/>
    <w:rsid w:val="00832D72"/>
    <w:rsid w:val="008331D0"/>
    <w:rsid w:val="008334B0"/>
    <w:rsid w:val="0083354C"/>
    <w:rsid w:val="00833964"/>
    <w:rsid w:val="008339CE"/>
    <w:rsid w:val="00833A9B"/>
    <w:rsid w:val="00833AB8"/>
    <w:rsid w:val="00833B33"/>
    <w:rsid w:val="00833C35"/>
    <w:rsid w:val="00833D05"/>
    <w:rsid w:val="00833D2C"/>
    <w:rsid w:val="008341B2"/>
    <w:rsid w:val="00834E9F"/>
    <w:rsid w:val="00834F42"/>
    <w:rsid w:val="008352CF"/>
    <w:rsid w:val="00835508"/>
    <w:rsid w:val="0083558A"/>
    <w:rsid w:val="00835AC0"/>
    <w:rsid w:val="00835E7D"/>
    <w:rsid w:val="00835E9E"/>
    <w:rsid w:val="008363E5"/>
    <w:rsid w:val="0083659E"/>
    <w:rsid w:val="00836A0D"/>
    <w:rsid w:val="00836DD0"/>
    <w:rsid w:val="008377C8"/>
    <w:rsid w:val="00837BA8"/>
    <w:rsid w:val="00837E6B"/>
    <w:rsid w:val="00840416"/>
    <w:rsid w:val="00840515"/>
    <w:rsid w:val="00840693"/>
    <w:rsid w:val="008406F0"/>
    <w:rsid w:val="008409DC"/>
    <w:rsid w:val="00840F18"/>
    <w:rsid w:val="00840F62"/>
    <w:rsid w:val="008415A4"/>
    <w:rsid w:val="0084182B"/>
    <w:rsid w:val="0084190E"/>
    <w:rsid w:val="00841AEE"/>
    <w:rsid w:val="00841BCA"/>
    <w:rsid w:val="00841C76"/>
    <w:rsid w:val="00841CA3"/>
    <w:rsid w:val="00841D49"/>
    <w:rsid w:val="00841E20"/>
    <w:rsid w:val="008420E3"/>
    <w:rsid w:val="00842234"/>
    <w:rsid w:val="008425A6"/>
    <w:rsid w:val="0084284F"/>
    <w:rsid w:val="00842850"/>
    <w:rsid w:val="00842C0E"/>
    <w:rsid w:val="00842E91"/>
    <w:rsid w:val="00842F01"/>
    <w:rsid w:val="00843135"/>
    <w:rsid w:val="008432F6"/>
    <w:rsid w:val="0084350C"/>
    <w:rsid w:val="00844008"/>
    <w:rsid w:val="008445FC"/>
    <w:rsid w:val="0084476F"/>
    <w:rsid w:val="00844CF0"/>
    <w:rsid w:val="00844E0D"/>
    <w:rsid w:val="00845715"/>
    <w:rsid w:val="008459FA"/>
    <w:rsid w:val="00845A42"/>
    <w:rsid w:val="00845A8F"/>
    <w:rsid w:val="00845D51"/>
    <w:rsid w:val="008461CA"/>
    <w:rsid w:val="00846A82"/>
    <w:rsid w:val="00846C7D"/>
    <w:rsid w:val="00846E17"/>
    <w:rsid w:val="00846F94"/>
    <w:rsid w:val="008471B3"/>
    <w:rsid w:val="008473D9"/>
    <w:rsid w:val="00847527"/>
    <w:rsid w:val="008475EF"/>
    <w:rsid w:val="00847ACA"/>
    <w:rsid w:val="00847AD2"/>
    <w:rsid w:val="00847C9A"/>
    <w:rsid w:val="00847CD6"/>
    <w:rsid w:val="00847E39"/>
    <w:rsid w:val="0085034E"/>
    <w:rsid w:val="0085094D"/>
    <w:rsid w:val="00850DA9"/>
    <w:rsid w:val="00850F63"/>
    <w:rsid w:val="00850FE5"/>
    <w:rsid w:val="00851095"/>
    <w:rsid w:val="008512C1"/>
    <w:rsid w:val="008517AF"/>
    <w:rsid w:val="00851D58"/>
    <w:rsid w:val="00851E34"/>
    <w:rsid w:val="00851E5F"/>
    <w:rsid w:val="00852345"/>
    <w:rsid w:val="008526C7"/>
    <w:rsid w:val="008526CB"/>
    <w:rsid w:val="00852777"/>
    <w:rsid w:val="00852894"/>
    <w:rsid w:val="008528CA"/>
    <w:rsid w:val="00852909"/>
    <w:rsid w:val="0085291E"/>
    <w:rsid w:val="00852B3D"/>
    <w:rsid w:val="00852F42"/>
    <w:rsid w:val="00852F84"/>
    <w:rsid w:val="00853023"/>
    <w:rsid w:val="00853143"/>
    <w:rsid w:val="008531E4"/>
    <w:rsid w:val="00853B0B"/>
    <w:rsid w:val="00853B6A"/>
    <w:rsid w:val="00854219"/>
    <w:rsid w:val="00854296"/>
    <w:rsid w:val="008545C0"/>
    <w:rsid w:val="00854916"/>
    <w:rsid w:val="00854BF8"/>
    <w:rsid w:val="00854DCB"/>
    <w:rsid w:val="00855100"/>
    <w:rsid w:val="0085531B"/>
    <w:rsid w:val="00855415"/>
    <w:rsid w:val="0085594B"/>
    <w:rsid w:val="00855EB2"/>
    <w:rsid w:val="00856808"/>
    <w:rsid w:val="00856872"/>
    <w:rsid w:val="0085706B"/>
    <w:rsid w:val="008571C9"/>
    <w:rsid w:val="008572E3"/>
    <w:rsid w:val="0085733F"/>
    <w:rsid w:val="008574FE"/>
    <w:rsid w:val="008576DA"/>
    <w:rsid w:val="008579CF"/>
    <w:rsid w:val="00857B89"/>
    <w:rsid w:val="00857C47"/>
    <w:rsid w:val="00857D3C"/>
    <w:rsid w:val="0086034A"/>
    <w:rsid w:val="00860609"/>
    <w:rsid w:val="00860621"/>
    <w:rsid w:val="0086063A"/>
    <w:rsid w:val="00860A36"/>
    <w:rsid w:val="00860CA2"/>
    <w:rsid w:val="00861004"/>
    <w:rsid w:val="0086100B"/>
    <w:rsid w:val="00861109"/>
    <w:rsid w:val="00861520"/>
    <w:rsid w:val="008615B3"/>
    <w:rsid w:val="00861684"/>
    <w:rsid w:val="00861E3A"/>
    <w:rsid w:val="00861EF9"/>
    <w:rsid w:val="00862249"/>
    <w:rsid w:val="0086245D"/>
    <w:rsid w:val="00862673"/>
    <w:rsid w:val="0086276C"/>
    <w:rsid w:val="008627D6"/>
    <w:rsid w:val="008627F3"/>
    <w:rsid w:val="0086284C"/>
    <w:rsid w:val="0086290B"/>
    <w:rsid w:val="00862DA9"/>
    <w:rsid w:val="00862F47"/>
    <w:rsid w:val="00862F66"/>
    <w:rsid w:val="008632C4"/>
    <w:rsid w:val="00863BB7"/>
    <w:rsid w:val="00863DB3"/>
    <w:rsid w:val="00863E90"/>
    <w:rsid w:val="00863FBF"/>
    <w:rsid w:val="0086411F"/>
    <w:rsid w:val="00864284"/>
    <w:rsid w:val="00864302"/>
    <w:rsid w:val="00864651"/>
    <w:rsid w:val="00864A28"/>
    <w:rsid w:val="00864A2F"/>
    <w:rsid w:val="00864A3E"/>
    <w:rsid w:val="00864A7B"/>
    <w:rsid w:val="00864CCE"/>
    <w:rsid w:val="00864E93"/>
    <w:rsid w:val="008650FE"/>
    <w:rsid w:val="00865127"/>
    <w:rsid w:val="00865383"/>
    <w:rsid w:val="0086563D"/>
    <w:rsid w:val="008656D6"/>
    <w:rsid w:val="00865CFB"/>
    <w:rsid w:val="00866091"/>
    <w:rsid w:val="008661C7"/>
    <w:rsid w:val="0086664D"/>
    <w:rsid w:val="0086674A"/>
    <w:rsid w:val="00866963"/>
    <w:rsid w:val="00866C5E"/>
    <w:rsid w:val="00866DB0"/>
    <w:rsid w:val="00866EE0"/>
    <w:rsid w:val="00866FDA"/>
    <w:rsid w:val="008700F4"/>
    <w:rsid w:val="00870189"/>
    <w:rsid w:val="00870352"/>
    <w:rsid w:val="00870728"/>
    <w:rsid w:val="0087085E"/>
    <w:rsid w:val="00870ABD"/>
    <w:rsid w:val="00870ADB"/>
    <w:rsid w:val="00870E36"/>
    <w:rsid w:val="00870F06"/>
    <w:rsid w:val="00871088"/>
    <w:rsid w:val="0087111B"/>
    <w:rsid w:val="00871144"/>
    <w:rsid w:val="0087125C"/>
    <w:rsid w:val="0087147F"/>
    <w:rsid w:val="008715F3"/>
    <w:rsid w:val="0087180C"/>
    <w:rsid w:val="008718DC"/>
    <w:rsid w:val="008718F7"/>
    <w:rsid w:val="00871CCD"/>
    <w:rsid w:val="00871F4C"/>
    <w:rsid w:val="0087223C"/>
    <w:rsid w:val="0087230C"/>
    <w:rsid w:val="00872C03"/>
    <w:rsid w:val="0087325E"/>
    <w:rsid w:val="00873278"/>
    <w:rsid w:val="00873365"/>
    <w:rsid w:val="0087397B"/>
    <w:rsid w:val="00873A72"/>
    <w:rsid w:val="00873A95"/>
    <w:rsid w:val="00873B20"/>
    <w:rsid w:val="008744E5"/>
    <w:rsid w:val="00874697"/>
    <w:rsid w:val="00874752"/>
    <w:rsid w:val="008749CB"/>
    <w:rsid w:val="00874A7F"/>
    <w:rsid w:val="00874E28"/>
    <w:rsid w:val="00874FD7"/>
    <w:rsid w:val="00875083"/>
    <w:rsid w:val="008751E0"/>
    <w:rsid w:val="008752E9"/>
    <w:rsid w:val="008753D7"/>
    <w:rsid w:val="00875525"/>
    <w:rsid w:val="00875539"/>
    <w:rsid w:val="00875674"/>
    <w:rsid w:val="00875BEA"/>
    <w:rsid w:val="00875CC1"/>
    <w:rsid w:val="00875FB6"/>
    <w:rsid w:val="0087621D"/>
    <w:rsid w:val="008763D2"/>
    <w:rsid w:val="00876403"/>
    <w:rsid w:val="008764C3"/>
    <w:rsid w:val="008765E9"/>
    <w:rsid w:val="00876854"/>
    <w:rsid w:val="00876900"/>
    <w:rsid w:val="00876C3F"/>
    <w:rsid w:val="00876D85"/>
    <w:rsid w:val="00877284"/>
    <w:rsid w:val="00877332"/>
    <w:rsid w:val="00877372"/>
    <w:rsid w:val="008779D5"/>
    <w:rsid w:val="00877EC1"/>
    <w:rsid w:val="00880523"/>
    <w:rsid w:val="0088088C"/>
    <w:rsid w:val="00880DCA"/>
    <w:rsid w:val="00880E7E"/>
    <w:rsid w:val="0088102E"/>
    <w:rsid w:val="008812FF"/>
    <w:rsid w:val="008813CB"/>
    <w:rsid w:val="008816B0"/>
    <w:rsid w:val="00881943"/>
    <w:rsid w:val="00881A51"/>
    <w:rsid w:val="0088210F"/>
    <w:rsid w:val="008823BE"/>
    <w:rsid w:val="008824B7"/>
    <w:rsid w:val="008825ED"/>
    <w:rsid w:val="00882AE5"/>
    <w:rsid w:val="00882F80"/>
    <w:rsid w:val="00882FF1"/>
    <w:rsid w:val="0088340E"/>
    <w:rsid w:val="008835C8"/>
    <w:rsid w:val="00883A38"/>
    <w:rsid w:val="00883A3E"/>
    <w:rsid w:val="00883A4C"/>
    <w:rsid w:val="0088411C"/>
    <w:rsid w:val="008844EA"/>
    <w:rsid w:val="00884907"/>
    <w:rsid w:val="00885038"/>
    <w:rsid w:val="008852B6"/>
    <w:rsid w:val="00885400"/>
    <w:rsid w:val="00885462"/>
    <w:rsid w:val="0088554C"/>
    <w:rsid w:val="008855C6"/>
    <w:rsid w:val="00885B03"/>
    <w:rsid w:val="00885BE3"/>
    <w:rsid w:val="00885C17"/>
    <w:rsid w:val="008864FB"/>
    <w:rsid w:val="008865BB"/>
    <w:rsid w:val="008868D0"/>
    <w:rsid w:val="00886A9F"/>
    <w:rsid w:val="00886C85"/>
    <w:rsid w:val="00886D55"/>
    <w:rsid w:val="0088796B"/>
    <w:rsid w:val="00887AB7"/>
    <w:rsid w:val="00887D07"/>
    <w:rsid w:val="00887F26"/>
    <w:rsid w:val="00887F60"/>
    <w:rsid w:val="00890448"/>
    <w:rsid w:val="00890997"/>
    <w:rsid w:val="00890AA5"/>
    <w:rsid w:val="00890C61"/>
    <w:rsid w:val="0089114C"/>
    <w:rsid w:val="00891385"/>
    <w:rsid w:val="008916A9"/>
    <w:rsid w:val="00891AC4"/>
    <w:rsid w:val="00891AF6"/>
    <w:rsid w:val="008922D6"/>
    <w:rsid w:val="00892604"/>
    <w:rsid w:val="0089283D"/>
    <w:rsid w:val="00892C1B"/>
    <w:rsid w:val="00892D80"/>
    <w:rsid w:val="00892E72"/>
    <w:rsid w:val="0089320E"/>
    <w:rsid w:val="0089326B"/>
    <w:rsid w:val="008933AD"/>
    <w:rsid w:val="00893781"/>
    <w:rsid w:val="0089380B"/>
    <w:rsid w:val="00893B88"/>
    <w:rsid w:val="00893D6B"/>
    <w:rsid w:val="00893EEE"/>
    <w:rsid w:val="0089403A"/>
    <w:rsid w:val="0089431E"/>
    <w:rsid w:val="0089452E"/>
    <w:rsid w:val="00894692"/>
    <w:rsid w:val="00894770"/>
    <w:rsid w:val="00894775"/>
    <w:rsid w:val="00894A4E"/>
    <w:rsid w:val="00894BE3"/>
    <w:rsid w:val="00894EA9"/>
    <w:rsid w:val="0089523E"/>
    <w:rsid w:val="00895591"/>
    <w:rsid w:val="008955A7"/>
    <w:rsid w:val="00895CC5"/>
    <w:rsid w:val="00895D60"/>
    <w:rsid w:val="008962C9"/>
    <w:rsid w:val="00896549"/>
    <w:rsid w:val="00896675"/>
    <w:rsid w:val="008968B2"/>
    <w:rsid w:val="00896A4B"/>
    <w:rsid w:val="00896E16"/>
    <w:rsid w:val="00896EFA"/>
    <w:rsid w:val="0089707E"/>
    <w:rsid w:val="00897126"/>
    <w:rsid w:val="0089729B"/>
    <w:rsid w:val="00897749"/>
    <w:rsid w:val="0089777C"/>
    <w:rsid w:val="00897AA7"/>
    <w:rsid w:val="00897B74"/>
    <w:rsid w:val="008A02BA"/>
    <w:rsid w:val="008A056D"/>
    <w:rsid w:val="008A0777"/>
    <w:rsid w:val="008A0BB1"/>
    <w:rsid w:val="008A0C63"/>
    <w:rsid w:val="008A117A"/>
    <w:rsid w:val="008A1246"/>
    <w:rsid w:val="008A1582"/>
    <w:rsid w:val="008A15C4"/>
    <w:rsid w:val="008A172B"/>
    <w:rsid w:val="008A1B4C"/>
    <w:rsid w:val="008A1C52"/>
    <w:rsid w:val="008A1CF0"/>
    <w:rsid w:val="008A1E75"/>
    <w:rsid w:val="008A2186"/>
    <w:rsid w:val="008A22E8"/>
    <w:rsid w:val="008A231F"/>
    <w:rsid w:val="008A2560"/>
    <w:rsid w:val="008A2AEB"/>
    <w:rsid w:val="008A2B8F"/>
    <w:rsid w:val="008A2F87"/>
    <w:rsid w:val="008A3591"/>
    <w:rsid w:val="008A3CBE"/>
    <w:rsid w:val="008A42C2"/>
    <w:rsid w:val="008A4477"/>
    <w:rsid w:val="008A4832"/>
    <w:rsid w:val="008A4AF9"/>
    <w:rsid w:val="008A4B05"/>
    <w:rsid w:val="008A4BA7"/>
    <w:rsid w:val="008A4EAF"/>
    <w:rsid w:val="008A5043"/>
    <w:rsid w:val="008A542E"/>
    <w:rsid w:val="008A54BA"/>
    <w:rsid w:val="008A55C6"/>
    <w:rsid w:val="008A5609"/>
    <w:rsid w:val="008A6417"/>
    <w:rsid w:val="008A65FA"/>
    <w:rsid w:val="008A6A00"/>
    <w:rsid w:val="008A6DA7"/>
    <w:rsid w:val="008A6F2B"/>
    <w:rsid w:val="008A6FC9"/>
    <w:rsid w:val="008A722D"/>
    <w:rsid w:val="008A726E"/>
    <w:rsid w:val="008A74BE"/>
    <w:rsid w:val="008A7582"/>
    <w:rsid w:val="008A79BB"/>
    <w:rsid w:val="008A7AB9"/>
    <w:rsid w:val="008A7FAC"/>
    <w:rsid w:val="008B010A"/>
    <w:rsid w:val="008B0548"/>
    <w:rsid w:val="008B0626"/>
    <w:rsid w:val="008B064D"/>
    <w:rsid w:val="008B0674"/>
    <w:rsid w:val="008B06D5"/>
    <w:rsid w:val="008B0703"/>
    <w:rsid w:val="008B0931"/>
    <w:rsid w:val="008B097D"/>
    <w:rsid w:val="008B0FBC"/>
    <w:rsid w:val="008B13F7"/>
    <w:rsid w:val="008B14A0"/>
    <w:rsid w:val="008B14CE"/>
    <w:rsid w:val="008B15BE"/>
    <w:rsid w:val="008B1635"/>
    <w:rsid w:val="008B193C"/>
    <w:rsid w:val="008B1D39"/>
    <w:rsid w:val="008B1EBA"/>
    <w:rsid w:val="008B22AA"/>
    <w:rsid w:val="008B2698"/>
    <w:rsid w:val="008B31FE"/>
    <w:rsid w:val="008B3381"/>
    <w:rsid w:val="008B34D7"/>
    <w:rsid w:val="008B37B5"/>
    <w:rsid w:val="008B3820"/>
    <w:rsid w:val="008B3A11"/>
    <w:rsid w:val="008B3AA9"/>
    <w:rsid w:val="008B3AB9"/>
    <w:rsid w:val="008B4686"/>
    <w:rsid w:val="008B46CB"/>
    <w:rsid w:val="008B4E4D"/>
    <w:rsid w:val="008B4EA7"/>
    <w:rsid w:val="008B504B"/>
    <w:rsid w:val="008B5183"/>
    <w:rsid w:val="008B521D"/>
    <w:rsid w:val="008B549F"/>
    <w:rsid w:val="008B5871"/>
    <w:rsid w:val="008B5998"/>
    <w:rsid w:val="008B59AF"/>
    <w:rsid w:val="008B5BB2"/>
    <w:rsid w:val="008B62F7"/>
    <w:rsid w:val="008B631F"/>
    <w:rsid w:val="008B6392"/>
    <w:rsid w:val="008B6732"/>
    <w:rsid w:val="008B6A5A"/>
    <w:rsid w:val="008B6D13"/>
    <w:rsid w:val="008B6E81"/>
    <w:rsid w:val="008B6E82"/>
    <w:rsid w:val="008B6EC7"/>
    <w:rsid w:val="008B6ECA"/>
    <w:rsid w:val="008B72DC"/>
    <w:rsid w:val="008B7317"/>
    <w:rsid w:val="008B74C5"/>
    <w:rsid w:val="008B76F8"/>
    <w:rsid w:val="008B7971"/>
    <w:rsid w:val="008B7B4A"/>
    <w:rsid w:val="008C008B"/>
    <w:rsid w:val="008C0352"/>
    <w:rsid w:val="008C0582"/>
    <w:rsid w:val="008C09B3"/>
    <w:rsid w:val="008C10B9"/>
    <w:rsid w:val="008C1461"/>
    <w:rsid w:val="008C1DE1"/>
    <w:rsid w:val="008C1F55"/>
    <w:rsid w:val="008C23C8"/>
    <w:rsid w:val="008C2460"/>
    <w:rsid w:val="008C24CE"/>
    <w:rsid w:val="008C2586"/>
    <w:rsid w:val="008C2780"/>
    <w:rsid w:val="008C28B0"/>
    <w:rsid w:val="008C2C69"/>
    <w:rsid w:val="008C3005"/>
    <w:rsid w:val="008C34FF"/>
    <w:rsid w:val="008C353D"/>
    <w:rsid w:val="008C35B6"/>
    <w:rsid w:val="008C366C"/>
    <w:rsid w:val="008C3786"/>
    <w:rsid w:val="008C38E2"/>
    <w:rsid w:val="008C393E"/>
    <w:rsid w:val="008C3A51"/>
    <w:rsid w:val="008C3E22"/>
    <w:rsid w:val="008C3FCD"/>
    <w:rsid w:val="008C404E"/>
    <w:rsid w:val="008C407B"/>
    <w:rsid w:val="008C44DA"/>
    <w:rsid w:val="008C4B99"/>
    <w:rsid w:val="008C4DA6"/>
    <w:rsid w:val="008C52CA"/>
    <w:rsid w:val="008C5420"/>
    <w:rsid w:val="008C54AF"/>
    <w:rsid w:val="008C5508"/>
    <w:rsid w:val="008C56EF"/>
    <w:rsid w:val="008C57FF"/>
    <w:rsid w:val="008C5A9A"/>
    <w:rsid w:val="008C5CBF"/>
    <w:rsid w:val="008C5D0E"/>
    <w:rsid w:val="008C6186"/>
    <w:rsid w:val="008C6387"/>
    <w:rsid w:val="008C6462"/>
    <w:rsid w:val="008C6652"/>
    <w:rsid w:val="008C690E"/>
    <w:rsid w:val="008C6989"/>
    <w:rsid w:val="008C6B2F"/>
    <w:rsid w:val="008C6BB7"/>
    <w:rsid w:val="008C6BDC"/>
    <w:rsid w:val="008C6F3E"/>
    <w:rsid w:val="008C6FEF"/>
    <w:rsid w:val="008C71F9"/>
    <w:rsid w:val="008C7225"/>
    <w:rsid w:val="008C72D8"/>
    <w:rsid w:val="008C748C"/>
    <w:rsid w:val="008C7B9E"/>
    <w:rsid w:val="008C7D76"/>
    <w:rsid w:val="008D0175"/>
    <w:rsid w:val="008D02CC"/>
    <w:rsid w:val="008D0521"/>
    <w:rsid w:val="008D07A9"/>
    <w:rsid w:val="008D07E8"/>
    <w:rsid w:val="008D092F"/>
    <w:rsid w:val="008D09AD"/>
    <w:rsid w:val="008D0F03"/>
    <w:rsid w:val="008D0F70"/>
    <w:rsid w:val="008D0FA2"/>
    <w:rsid w:val="008D114E"/>
    <w:rsid w:val="008D12B5"/>
    <w:rsid w:val="008D1479"/>
    <w:rsid w:val="008D1A0F"/>
    <w:rsid w:val="008D1C3D"/>
    <w:rsid w:val="008D1DCB"/>
    <w:rsid w:val="008D1E9A"/>
    <w:rsid w:val="008D206B"/>
    <w:rsid w:val="008D20E7"/>
    <w:rsid w:val="008D2274"/>
    <w:rsid w:val="008D27FD"/>
    <w:rsid w:val="008D297C"/>
    <w:rsid w:val="008D3035"/>
    <w:rsid w:val="008D30C8"/>
    <w:rsid w:val="008D312E"/>
    <w:rsid w:val="008D337D"/>
    <w:rsid w:val="008D3542"/>
    <w:rsid w:val="008D370D"/>
    <w:rsid w:val="008D3998"/>
    <w:rsid w:val="008D4062"/>
    <w:rsid w:val="008D4299"/>
    <w:rsid w:val="008D4414"/>
    <w:rsid w:val="008D45DB"/>
    <w:rsid w:val="008D4797"/>
    <w:rsid w:val="008D4C05"/>
    <w:rsid w:val="008D4EAB"/>
    <w:rsid w:val="008D56ED"/>
    <w:rsid w:val="008D592D"/>
    <w:rsid w:val="008D592F"/>
    <w:rsid w:val="008D593C"/>
    <w:rsid w:val="008D5962"/>
    <w:rsid w:val="008D5E80"/>
    <w:rsid w:val="008D69B7"/>
    <w:rsid w:val="008D6FBA"/>
    <w:rsid w:val="008D7310"/>
    <w:rsid w:val="008D75EB"/>
    <w:rsid w:val="008D766D"/>
    <w:rsid w:val="008D77C8"/>
    <w:rsid w:val="008D7A8D"/>
    <w:rsid w:val="008E00AB"/>
    <w:rsid w:val="008E01C3"/>
    <w:rsid w:val="008E0289"/>
    <w:rsid w:val="008E02D3"/>
    <w:rsid w:val="008E0789"/>
    <w:rsid w:val="008E07F8"/>
    <w:rsid w:val="008E0B26"/>
    <w:rsid w:val="008E0FC6"/>
    <w:rsid w:val="008E11E8"/>
    <w:rsid w:val="008E12D3"/>
    <w:rsid w:val="008E1C4F"/>
    <w:rsid w:val="008E22DA"/>
    <w:rsid w:val="008E24C9"/>
    <w:rsid w:val="008E26FF"/>
    <w:rsid w:val="008E28F4"/>
    <w:rsid w:val="008E2B2C"/>
    <w:rsid w:val="008E2C2F"/>
    <w:rsid w:val="008E3022"/>
    <w:rsid w:val="008E3370"/>
    <w:rsid w:val="008E345A"/>
    <w:rsid w:val="008E3689"/>
    <w:rsid w:val="008E3A38"/>
    <w:rsid w:val="008E3BF4"/>
    <w:rsid w:val="008E3D02"/>
    <w:rsid w:val="008E3DFD"/>
    <w:rsid w:val="008E400A"/>
    <w:rsid w:val="008E425A"/>
    <w:rsid w:val="008E43CB"/>
    <w:rsid w:val="008E44FE"/>
    <w:rsid w:val="008E459E"/>
    <w:rsid w:val="008E4611"/>
    <w:rsid w:val="008E46DB"/>
    <w:rsid w:val="008E483D"/>
    <w:rsid w:val="008E4871"/>
    <w:rsid w:val="008E4B86"/>
    <w:rsid w:val="008E4BA7"/>
    <w:rsid w:val="008E4C9E"/>
    <w:rsid w:val="008E4EA0"/>
    <w:rsid w:val="008E569D"/>
    <w:rsid w:val="008E56FA"/>
    <w:rsid w:val="008E5A63"/>
    <w:rsid w:val="008E5A82"/>
    <w:rsid w:val="008E5BC0"/>
    <w:rsid w:val="008E5BF1"/>
    <w:rsid w:val="008E5F37"/>
    <w:rsid w:val="008E5F72"/>
    <w:rsid w:val="008E607F"/>
    <w:rsid w:val="008E64CA"/>
    <w:rsid w:val="008E681F"/>
    <w:rsid w:val="008E6A48"/>
    <w:rsid w:val="008E6AAC"/>
    <w:rsid w:val="008E6B81"/>
    <w:rsid w:val="008E6B9B"/>
    <w:rsid w:val="008E71D0"/>
    <w:rsid w:val="008E74AA"/>
    <w:rsid w:val="008E7826"/>
    <w:rsid w:val="008E7BF1"/>
    <w:rsid w:val="008F014C"/>
    <w:rsid w:val="008F020E"/>
    <w:rsid w:val="008F04F9"/>
    <w:rsid w:val="008F0535"/>
    <w:rsid w:val="008F0584"/>
    <w:rsid w:val="008F0867"/>
    <w:rsid w:val="008F0A99"/>
    <w:rsid w:val="008F0C93"/>
    <w:rsid w:val="008F0E11"/>
    <w:rsid w:val="008F0E84"/>
    <w:rsid w:val="008F0F09"/>
    <w:rsid w:val="008F0FCE"/>
    <w:rsid w:val="008F1053"/>
    <w:rsid w:val="008F1367"/>
    <w:rsid w:val="008F1372"/>
    <w:rsid w:val="008F1419"/>
    <w:rsid w:val="008F14C3"/>
    <w:rsid w:val="008F1794"/>
    <w:rsid w:val="008F1AB2"/>
    <w:rsid w:val="008F1BBF"/>
    <w:rsid w:val="008F1C33"/>
    <w:rsid w:val="008F1E9B"/>
    <w:rsid w:val="008F20FA"/>
    <w:rsid w:val="008F2255"/>
    <w:rsid w:val="008F2589"/>
    <w:rsid w:val="008F27E9"/>
    <w:rsid w:val="008F2CF8"/>
    <w:rsid w:val="008F2EFC"/>
    <w:rsid w:val="008F2F82"/>
    <w:rsid w:val="008F3261"/>
    <w:rsid w:val="008F33AD"/>
    <w:rsid w:val="008F33E0"/>
    <w:rsid w:val="008F372B"/>
    <w:rsid w:val="008F373C"/>
    <w:rsid w:val="008F37C3"/>
    <w:rsid w:val="008F3956"/>
    <w:rsid w:val="008F3B8F"/>
    <w:rsid w:val="008F3C07"/>
    <w:rsid w:val="008F3CD8"/>
    <w:rsid w:val="008F3D5C"/>
    <w:rsid w:val="008F3DA9"/>
    <w:rsid w:val="008F3F58"/>
    <w:rsid w:val="008F4374"/>
    <w:rsid w:val="008F45A9"/>
    <w:rsid w:val="008F4755"/>
    <w:rsid w:val="008F4BCD"/>
    <w:rsid w:val="008F4E1E"/>
    <w:rsid w:val="008F4FC9"/>
    <w:rsid w:val="008F4FDD"/>
    <w:rsid w:val="008F50DC"/>
    <w:rsid w:val="008F52A3"/>
    <w:rsid w:val="008F59A7"/>
    <w:rsid w:val="008F59D0"/>
    <w:rsid w:val="008F5AF7"/>
    <w:rsid w:val="008F674F"/>
    <w:rsid w:val="008F677D"/>
    <w:rsid w:val="008F681C"/>
    <w:rsid w:val="008F6929"/>
    <w:rsid w:val="008F6BCA"/>
    <w:rsid w:val="008F6C9A"/>
    <w:rsid w:val="008F6E89"/>
    <w:rsid w:val="008F70A8"/>
    <w:rsid w:val="008F713C"/>
    <w:rsid w:val="008F71C0"/>
    <w:rsid w:val="008F73D8"/>
    <w:rsid w:val="008F7549"/>
    <w:rsid w:val="008F7586"/>
    <w:rsid w:val="008F7BF9"/>
    <w:rsid w:val="00900115"/>
    <w:rsid w:val="009003C9"/>
    <w:rsid w:val="00900A5F"/>
    <w:rsid w:val="00900E01"/>
    <w:rsid w:val="00900EDA"/>
    <w:rsid w:val="009010A9"/>
    <w:rsid w:val="00901479"/>
    <w:rsid w:val="00901481"/>
    <w:rsid w:val="00901C21"/>
    <w:rsid w:val="00901DA2"/>
    <w:rsid w:val="00901E01"/>
    <w:rsid w:val="00901E2E"/>
    <w:rsid w:val="00902116"/>
    <w:rsid w:val="00902217"/>
    <w:rsid w:val="0090248F"/>
    <w:rsid w:val="009025A7"/>
    <w:rsid w:val="009026BB"/>
    <w:rsid w:val="00902705"/>
    <w:rsid w:val="009028D1"/>
    <w:rsid w:val="00902FAC"/>
    <w:rsid w:val="0090317D"/>
    <w:rsid w:val="00903405"/>
    <w:rsid w:val="00903521"/>
    <w:rsid w:val="009036D2"/>
    <w:rsid w:val="0090383C"/>
    <w:rsid w:val="00904167"/>
    <w:rsid w:val="009046D7"/>
    <w:rsid w:val="00904A45"/>
    <w:rsid w:val="00904B46"/>
    <w:rsid w:val="00904FFE"/>
    <w:rsid w:val="009050A7"/>
    <w:rsid w:val="00905283"/>
    <w:rsid w:val="00905981"/>
    <w:rsid w:val="00905B24"/>
    <w:rsid w:val="00905EB9"/>
    <w:rsid w:val="00905F3B"/>
    <w:rsid w:val="0090610E"/>
    <w:rsid w:val="00906184"/>
    <w:rsid w:val="00906303"/>
    <w:rsid w:val="00906682"/>
    <w:rsid w:val="0090689C"/>
    <w:rsid w:val="009068D1"/>
    <w:rsid w:val="00906B44"/>
    <w:rsid w:val="00906DA8"/>
    <w:rsid w:val="00907041"/>
    <w:rsid w:val="0090707E"/>
    <w:rsid w:val="009074EE"/>
    <w:rsid w:val="00907A2A"/>
    <w:rsid w:val="00907F16"/>
    <w:rsid w:val="009102C0"/>
    <w:rsid w:val="00910359"/>
    <w:rsid w:val="00910A59"/>
    <w:rsid w:val="00910C22"/>
    <w:rsid w:val="00910C50"/>
    <w:rsid w:val="00910C76"/>
    <w:rsid w:val="00910D0C"/>
    <w:rsid w:val="00910ECD"/>
    <w:rsid w:val="00910F78"/>
    <w:rsid w:val="00911868"/>
    <w:rsid w:val="00911B6A"/>
    <w:rsid w:val="00911FEB"/>
    <w:rsid w:val="009120D9"/>
    <w:rsid w:val="009121F6"/>
    <w:rsid w:val="009123D2"/>
    <w:rsid w:val="009125DA"/>
    <w:rsid w:val="009129D1"/>
    <w:rsid w:val="00912B6F"/>
    <w:rsid w:val="00912BD8"/>
    <w:rsid w:val="00912DC0"/>
    <w:rsid w:val="00912E7A"/>
    <w:rsid w:val="009133F0"/>
    <w:rsid w:val="0091395E"/>
    <w:rsid w:val="00913AB3"/>
    <w:rsid w:val="00914737"/>
    <w:rsid w:val="009149F9"/>
    <w:rsid w:val="00915082"/>
    <w:rsid w:val="00915748"/>
    <w:rsid w:val="00915753"/>
    <w:rsid w:val="009163C4"/>
    <w:rsid w:val="00916532"/>
    <w:rsid w:val="00916575"/>
    <w:rsid w:val="009166AB"/>
    <w:rsid w:val="009166F0"/>
    <w:rsid w:val="0091679E"/>
    <w:rsid w:val="00916AA5"/>
    <w:rsid w:val="00916BE0"/>
    <w:rsid w:val="00916E76"/>
    <w:rsid w:val="00916EBC"/>
    <w:rsid w:val="00917263"/>
    <w:rsid w:val="00917289"/>
    <w:rsid w:val="00917384"/>
    <w:rsid w:val="00917554"/>
    <w:rsid w:val="00917561"/>
    <w:rsid w:val="00917786"/>
    <w:rsid w:val="00917A29"/>
    <w:rsid w:val="00917E40"/>
    <w:rsid w:val="009201E3"/>
    <w:rsid w:val="00920369"/>
    <w:rsid w:val="00920861"/>
    <w:rsid w:val="009208C0"/>
    <w:rsid w:val="009208FF"/>
    <w:rsid w:val="00920A07"/>
    <w:rsid w:val="00920AF2"/>
    <w:rsid w:val="00920DE1"/>
    <w:rsid w:val="009210A4"/>
    <w:rsid w:val="0092128B"/>
    <w:rsid w:val="0092147F"/>
    <w:rsid w:val="0092149C"/>
    <w:rsid w:val="009215E8"/>
    <w:rsid w:val="009217B5"/>
    <w:rsid w:val="00921A90"/>
    <w:rsid w:val="00921BB4"/>
    <w:rsid w:val="00921F0A"/>
    <w:rsid w:val="00921F65"/>
    <w:rsid w:val="009222EA"/>
    <w:rsid w:val="00922364"/>
    <w:rsid w:val="009223C9"/>
    <w:rsid w:val="009228A2"/>
    <w:rsid w:val="00922A2C"/>
    <w:rsid w:val="009231E6"/>
    <w:rsid w:val="0092332C"/>
    <w:rsid w:val="009233F9"/>
    <w:rsid w:val="009236DE"/>
    <w:rsid w:val="00923A9D"/>
    <w:rsid w:val="00923F99"/>
    <w:rsid w:val="0092429E"/>
    <w:rsid w:val="009242D1"/>
    <w:rsid w:val="0092462B"/>
    <w:rsid w:val="00924685"/>
    <w:rsid w:val="00924825"/>
    <w:rsid w:val="009249CD"/>
    <w:rsid w:val="00924CBF"/>
    <w:rsid w:val="00924DDC"/>
    <w:rsid w:val="00924FC3"/>
    <w:rsid w:val="00925041"/>
    <w:rsid w:val="009250D1"/>
    <w:rsid w:val="0092575A"/>
    <w:rsid w:val="00925BA3"/>
    <w:rsid w:val="00925CC9"/>
    <w:rsid w:val="00925EB6"/>
    <w:rsid w:val="00925EBA"/>
    <w:rsid w:val="00926399"/>
    <w:rsid w:val="00926F4C"/>
    <w:rsid w:val="00927383"/>
    <w:rsid w:val="0092773A"/>
    <w:rsid w:val="0092773F"/>
    <w:rsid w:val="00927865"/>
    <w:rsid w:val="00927AE3"/>
    <w:rsid w:val="00927DE4"/>
    <w:rsid w:val="00927DF3"/>
    <w:rsid w:val="009303F2"/>
    <w:rsid w:val="00930451"/>
    <w:rsid w:val="00930657"/>
    <w:rsid w:val="00930E6E"/>
    <w:rsid w:val="00931014"/>
    <w:rsid w:val="00931121"/>
    <w:rsid w:val="0093120F"/>
    <w:rsid w:val="00931556"/>
    <w:rsid w:val="0093170B"/>
    <w:rsid w:val="00931789"/>
    <w:rsid w:val="00931ACA"/>
    <w:rsid w:val="00931C7E"/>
    <w:rsid w:val="00931CB3"/>
    <w:rsid w:val="00931DA1"/>
    <w:rsid w:val="00932130"/>
    <w:rsid w:val="0093218C"/>
    <w:rsid w:val="0093235C"/>
    <w:rsid w:val="00932897"/>
    <w:rsid w:val="00932B17"/>
    <w:rsid w:val="0093347B"/>
    <w:rsid w:val="009337F3"/>
    <w:rsid w:val="009338D0"/>
    <w:rsid w:val="00933B99"/>
    <w:rsid w:val="00933BBE"/>
    <w:rsid w:val="00933E0C"/>
    <w:rsid w:val="009346E9"/>
    <w:rsid w:val="0093482F"/>
    <w:rsid w:val="009348DE"/>
    <w:rsid w:val="009349F6"/>
    <w:rsid w:val="00934F56"/>
    <w:rsid w:val="00935043"/>
    <w:rsid w:val="0093542A"/>
    <w:rsid w:val="00935899"/>
    <w:rsid w:val="00935930"/>
    <w:rsid w:val="009359D3"/>
    <w:rsid w:val="00935A50"/>
    <w:rsid w:val="00935CA1"/>
    <w:rsid w:val="00935FC7"/>
    <w:rsid w:val="009362AC"/>
    <w:rsid w:val="0093643C"/>
    <w:rsid w:val="0093651A"/>
    <w:rsid w:val="009367B2"/>
    <w:rsid w:val="009368B6"/>
    <w:rsid w:val="009368B8"/>
    <w:rsid w:val="00936DC8"/>
    <w:rsid w:val="00936E58"/>
    <w:rsid w:val="009371A4"/>
    <w:rsid w:val="009379B2"/>
    <w:rsid w:val="00937A3B"/>
    <w:rsid w:val="00937B8E"/>
    <w:rsid w:val="00937F78"/>
    <w:rsid w:val="009406A6"/>
    <w:rsid w:val="00940D09"/>
    <w:rsid w:val="00940F3E"/>
    <w:rsid w:val="00941178"/>
    <w:rsid w:val="009417E3"/>
    <w:rsid w:val="00941A18"/>
    <w:rsid w:val="00942323"/>
    <w:rsid w:val="0094247A"/>
    <w:rsid w:val="00942552"/>
    <w:rsid w:val="009425EC"/>
    <w:rsid w:val="009427A7"/>
    <w:rsid w:val="00942A6A"/>
    <w:rsid w:val="00942B5D"/>
    <w:rsid w:val="00942B6E"/>
    <w:rsid w:val="009430B1"/>
    <w:rsid w:val="00943328"/>
    <w:rsid w:val="00943613"/>
    <w:rsid w:val="009438ED"/>
    <w:rsid w:val="00943B34"/>
    <w:rsid w:val="00943C95"/>
    <w:rsid w:val="009442D6"/>
    <w:rsid w:val="0094476E"/>
    <w:rsid w:val="009447DA"/>
    <w:rsid w:val="009449D3"/>
    <w:rsid w:val="00944C84"/>
    <w:rsid w:val="00944D56"/>
    <w:rsid w:val="00944DB6"/>
    <w:rsid w:val="00944F36"/>
    <w:rsid w:val="00945248"/>
    <w:rsid w:val="009453BC"/>
    <w:rsid w:val="0094546B"/>
    <w:rsid w:val="009454C3"/>
    <w:rsid w:val="0094580E"/>
    <w:rsid w:val="00945856"/>
    <w:rsid w:val="00945A7C"/>
    <w:rsid w:val="00945F20"/>
    <w:rsid w:val="00945FFF"/>
    <w:rsid w:val="0094601E"/>
    <w:rsid w:val="009466DA"/>
    <w:rsid w:val="009466DD"/>
    <w:rsid w:val="009467D3"/>
    <w:rsid w:val="00946B0A"/>
    <w:rsid w:val="00946D00"/>
    <w:rsid w:val="00946E0B"/>
    <w:rsid w:val="0094707E"/>
    <w:rsid w:val="00947717"/>
    <w:rsid w:val="00947F2B"/>
    <w:rsid w:val="00950192"/>
    <w:rsid w:val="00950D8E"/>
    <w:rsid w:val="00951870"/>
    <w:rsid w:val="009518AD"/>
    <w:rsid w:val="00951D87"/>
    <w:rsid w:val="00952791"/>
    <w:rsid w:val="00952B40"/>
    <w:rsid w:val="00952C12"/>
    <w:rsid w:val="00952CC7"/>
    <w:rsid w:val="00952F2F"/>
    <w:rsid w:val="00953078"/>
    <w:rsid w:val="00953298"/>
    <w:rsid w:val="00953491"/>
    <w:rsid w:val="00953801"/>
    <w:rsid w:val="00953843"/>
    <w:rsid w:val="00953A92"/>
    <w:rsid w:val="00953E58"/>
    <w:rsid w:val="00953EB3"/>
    <w:rsid w:val="009546D6"/>
    <w:rsid w:val="0095504E"/>
    <w:rsid w:val="00955273"/>
    <w:rsid w:val="009554AF"/>
    <w:rsid w:val="009555D2"/>
    <w:rsid w:val="0095567C"/>
    <w:rsid w:val="009557A8"/>
    <w:rsid w:val="009559F1"/>
    <w:rsid w:val="00955DD2"/>
    <w:rsid w:val="00955DFC"/>
    <w:rsid w:val="009563FD"/>
    <w:rsid w:val="00956526"/>
    <w:rsid w:val="009565C8"/>
    <w:rsid w:val="009567C3"/>
    <w:rsid w:val="00956B2A"/>
    <w:rsid w:val="00956F14"/>
    <w:rsid w:val="009570C3"/>
    <w:rsid w:val="00957194"/>
    <w:rsid w:val="00957461"/>
    <w:rsid w:val="00957AAA"/>
    <w:rsid w:val="00960309"/>
    <w:rsid w:val="009607A2"/>
    <w:rsid w:val="00960B17"/>
    <w:rsid w:val="00960C36"/>
    <w:rsid w:val="00960D35"/>
    <w:rsid w:val="00960FCE"/>
    <w:rsid w:val="00961208"/>
    <w:rsid w:val="009613C2"/>
    <w:rsid w:val="00961631"/>
    <w:rsid w:val="009616AF"/>
    <w:rsid w:val="009619B6"/>
    <w:rsid w:val="00961FAB"/>
    <w:rsid w:val="0096248F"/>
    <w:rsid w:val="0096286F"/>
    <w:rsid w:val="009628B7"/>
    <w:rsid w:val="00962AD0"/>
    <w:rsid w:val="00962C2C"/>
    <w:rsid w:val="00962D66"/>
    <w:rsid w:val="009631B4"/>
    <w:rsid w:val="009631FD"/>
    <w:rsid w:val="009634E6"/>
    <w:rsid w:val="0096398B"/>
    <w:rsid w:val="009639C8"/>
    <w:rsid w:val="00963D58"/>
    <w:rsid w:val="00963DCF"/>
    <w:rsid w:val="00964045"/>
    <w:rsid w:val="009645E6"/>
    <w:rsid w:val="009650C5"/>
    <w:rsid w:val="00965201"/>
    <w:rsid w:val="009652B2"/>
    <w:rsid w:val="009653B5"/>
    <w:rsid w:val="009654DC"/>
    <w:rsid w:val="009656CF"/>
    <w:rsid w:val="00965AA5"/>
    <w:rsid w:val="00965AD6"/>
    <w:rsid w:val="00965B77"/>
    <w:rsid w:val="00965CBB"/>
    <w:rsid w:val="009660F4"/>
    <w:rsid w:val="0096621C"/>
    <w:rsid w:val="0096671E"/>
    <w:rsid w:val="00966A11"/>
    <w:rsid w:val="0096726B"/>
    <w:rsid w:val="00967445"/>
    <w:rsid w:val="00967958"/>
    <w:rsid w:val="00967AA1"/>
    <w:rsid w:val="009700DA"/>
    <w:rsid w:val="009707F4"/>
    <w:rsid w:val="0097091A"/>
    <w:rsid w:val="009709A4"/>
    <w:rsid w:val="00970A03"/>
    <w:rsid w:val="00970BBB"/>
    <w:rsid w:val="00970DBA"/>
    <w:rsid w:val="0097100C"/>
    <w:rsid w:val="009714CB"/>
    <w:rsid w:val="009715AC"/>
    <w:rsid w:val="009718C6"/>
    <w:rsid w:val="00971928"/>
    <w:rsid w:val="0097194A"/>
    <w:rsid w:val="00971993"/>
    <w:rsid w:val="009719B0"/>
    <w:rsid w:val="00971A92"/>
    <w:rsid w:val="00971C15"/>
    <w:rsid w:val="00971C1C"/>
    <w:rsid w:val="00971D36"/>
    <w:rsid w:val="00971EB3"/>
    <w:rsid w:val="00971F5B"/>
    <w:rsid w:val="009721B2"/>
    <w:rsid w:val="00972550"/>
    <w:rsid w:val="00972647"/>
    <w:rsid w:val="00972E18"/>
    <w:rsid w:val="00972F33"/>
    <w:rsid w:val="009734CD"/>
    <w:rsid w:val="009735B5"/>
    <w:rsid w:val="009736FE"/>
    <w:rsid w:val="00973B24"/>
    <w:rsid w:val="00973B2B"/>
    <w:rsid w:val="00973C54"/>
    <w:rsid w:val="00974000"/>
    <w:rsid w:val="00974116"/>
    <w:rsid w:val="00974130"/>
    <w:rsid w:val="0097470D"/>
    <w:rsid w:val="00974A21"/>
    <w:rsid w:val="00974C73"/>
    <w:rsid w:val="00974D33"/>
    <w:rsid w:val="00974E76"/>
    <w:rsid w:val="009750BE"/>
    <w:rsid w:val="009756F4"/>
    <w:rsid w:val="00975754"/>
    <w:rsid w:val="00975B48"/>
    <w:rsid w:val="00975C52"/>
    <w:rsid w:val="00975DBF"/>
    <w:rsid w:val="00975EA9"/>
    <w:rsid w:val="00975FDC"/>
    <w:rsid w:val="00976620"/>
    <w:rsid w:val="00976ADA"/>
    <w:rsid w:val="00976F50"/>
    <w:rsid w:val="009773FF"/>
    <w:rsid w:val="00977625"/>
    <w:rsid w:val="00977836"/>
    <w:rsid w:val="009779CE"/>
    <w:rsid w:val="00980076"/>
    <w:rsid w:val="00980179"/>
    <w:rsid w:val="0098028D"/>
    <w:rsid w:val="009802E3"/>
    <w:rsid w:val="009803A4"/>
    <w:rsid w:val="00980506"/>
    <w:rsid w:val="00980695"/>
    <w:rsid w:val="009806DA"/>
    <w:rsid w:val="009807D8"/>
    <w:rsid w:val="00980A0F"/>
    <w:rsid w:val="00980B1C"/>
    <w:rsid w:val="00980B55"/>
    <w:rsid w:val="0098105D"/>
    <w:rsid w:val="00981303"/>
    <w:rsid w:val="0098167B"/>
    <w:rsid w:val="009816D5"/>
    <w:rsid w:val="00981748"/>
    <w:rsid w:val="00981876"/>
    <w:rsid w:val="0098192D"/>
    <w:rsid w:val="00981B61"/>
    <w:rsid w:val="00981FE2"/>
    <w:rsid w:val="009820FC"/>
    <w:rsid w:val="009821B0"/>
    <w:rsid w:val="00982416"/>
    <w:rsid w:val="0098248A"/>
    <w:rsid w:val="009824D1"/>
    <w:rsid w:val="0098268E"/>
    <w:rsid w:val="00982B10"/>
    <w:rsid w:val="00982F13"/>
    <w:rsid w:val="00982F8F"/>
    <w:rsid w:val="00983154"/>
    <w:rsid w:val="009831A9"/>
    <w:rsid w:val="00983253"/>
    <w:rsid w:val="00983336"/>
    <w:rsid w:val="00983481"/>
    <w:rsid w:val="009836DB"/>
    <w:rsid w:val="00983971"/>
    <w:rsid w:val="00983A7B"/>
    <w:rsid w:val="00983AA7"/>
    <w:rsid w:val="00983C45"/>
    <w:rsid w:val="00983CF8"/>
    <w:rsid w:val="00983EA2"/>
    <w:rsid w:val="00984046"/>
    <w:rsid w:val="00984120"/>
    <w:rsid w:val="009844BE"/>
    <w:rsid w:val="00984571"/>
    <w:rsid w:val="009845B7"/>
    <w:rsid w:val="0098468C"/>
    <w:rsid w:val="009848AD"/>
    <w:rsid w:val="00984C87"/>
    <w:rsid w:val="00984E9E"/>
    <w:rsid w:val="00984FBC"/>
    <w:rsid w:val="00985070"/>
    <w:rsid w:val="009850D1"/>
    <w:rsid w:val="009851A0"/>
    <w:rsid w:val="0098527E"/>
    <w:rsid w:val="009852C8"/>
    <w:rsid w:val="009854CE"/>
    <w:rsid w:val="00985A81"/>
    <w:rsid w:val="00985AC6"/>
    <w:rsid w:val="00985DDB"/>
    <w:rsid w:val="00985E0C"/>
    <w:rsid w:val="00986026"/>
    <w:rsid w:val="0098608E"/>
    <w:rsid w:val="00986204"/>
    <w:rsid w:val="00986292"/>
    <w:rsid w:val="009863D6"/>
    <w:rsid w:val="00986480"/>
    <w:rsid w:val="00986B09"/>
    <w:rsid w:val="00986B68"/>
    <w:rsid w:val="00987523"/>
    <w:rsid w:val="0098798B"/>
    <w:rsid w:val="009879A7"/>
    <w:rsid w:val="00987B44"/>
    <w:rsid w:val="00987D39"/>
    <w:rsid w:val="00987F92"/>
    <w:rsid w:val="00987FC8"/>
    <w:rsid w:val="00987FFD"/>
    <w:rsid w:val="00990163"/>
    <w:rsid w:val="0099016F"/>
    <w:rsid w:val="0099054B"/>
    <w:rsid w:val="00990577"/>
    <w:rsid w:val="00990919"/>
    <w:rsid w:val="00990FAA"/>
    <w:rsid w:val="00991315"/>
    <w:rsid w:val="00991479"/>
    <w:rsid w:val="009917DA"/>
    <w:rsid w:val="00991803"/>
    <w:rsid w:val="00991B73"/>
    <w:rsid w:val="00991BE8"/>
    <w:rsid w:val="00991DA0"/>
    <w:rsid w:val="00991F36"/>
    <w:rsid w:val="00992015"/>
    <w:rsid w:val="009922A8"/>
    <w:rsid w:val="00992450"/>
    <w:rsid w:val="00992568"/>
    <w:rsid w:val="009927E7"/>
    <w:rsid w:val="0099292E"/>
    <w:rsid w:val="00992F9C"/>
    <w:rsid w:val="00992FC2"/>
    <w:rsid w:val="00993206"/>
    <w:rsid w:val="009934B5"/>
    <w:rsid w:val="009935A1"/>
    <w:rsid w:val="009937DC"/>
    <w:rsid w:val="00993A99"/>
    <w:rsid w:val="00993BDE"/>
    <w:rsid w:val="0099411A"/>
    <w:rsid w:val="0099426C"/>
    <w:rsid w:val="00994531"/>
    <w:rsid w:val="00994536"/>
    <w:rsid w:val="009945A5"/>
    <w:rsid w:val="00994731"/>
    <w:rsid w:val="0099475E"/>
    <w:rsid w:val="009949D5"/>
    <w:rsid w:val="00994AF5"/>
    <w:rsid w:val="00994CC9"/>
    <w:rsid w:val="00994D68"/>
    <w:rsid w:val="00994E54"/>
    <w:rsid w:val="00995043"/>
    <w:rsid w:val="00995066"/>
    <w:rsid w:val="009951A8"/>
    <w:rsid w:val="0099524A"/>
    <w:rsid w:val="009952E2"/>
    <w:rsid w:val="00995399"/>
    <w:rsid w:val="00995727"/>
    <w:rsid w:val="009958EF"/>
    <w:rsid w:val="00995DB2"/>
    <w:rsid w:val="00995F8D"/>
    <w:rsid w:val="00996137"/>
    <w:rsid w:val="0099683F"/>
    <w:rsid w:val="0099691A"/>
    <w:rsid w:val="00996DB4"/>
    <w:rsid w:val="00996F84"/>
    <w:rsid w:val="00997599"/>
    <w:rsid w:val="009975B3"/>
    <w:rsid w:val="00997CAE"/>
    <w:rsid w:val="00997E4A"/>
    <w:rsid w:val="00997E70"/>
    <w:rsid w:val="00997EDC"/>
    <w:rsid w:val="00997FBB"/>
    <w:rsid w:val="009A0224"/>
    <w:rsid w:val="009A0392"/>
    <w:rsid w:val="009A0983"/>
    <w:rsid w:val="009A0A73"/>
    <w:rsid w:val="009A12EB"/>
    <w:rsid w:val="009A132C"/>
    <w:rsid w:val="009A1384"/>
    <w:rsid w:val="009A1F78"/>
    <w:rsid w:val="009A2293"/>
    <w:rsid w:val="009A2469"/>
    <w:rsid w:val="009A2612"/>
    <w:rsid w:val="009A2C3D"/>
    <w:rsid w:val="009A2DD4"/>
    <w:rsid w:val="009A2DDB"/>
    <w:rsid w:val="009A2F3A"/>
    <w:rsid w:val="009A32D1"/>
    <w:rsid w:val="009A3681"/>
    <w:rsid w:val="009A3772"/>
    <w:rsid w:val="009A38EB"/>
    <w:rsid w:val="009A3B5B"/>
    <w:rsid w:val="009A3C70"/>
    <w:rsid w:val="009A3CB8"/>
    <w:rsid w:val="009A40CB"/>
    <w:rsid w:val="009A44CA"/>
    <w:rsid w:val="009A451C"/>
    <w:rsid w:val="009A4610"/>
    <w:rsid w:val="009A491C"/>
    <w:rsid w:val="009A4A8E"/>
    <w:rsid w:val="009A4F3C"/>
    <w:rsid w:val="009A5223"/>
    <w:rsid w:val="009A5296"/>
    <w:rsid w:val="009A52AE"/>
    <w:rsid w:val="009A53D8"/>
    <w:rsid w:val="009A5724"/>
    <w:rsid w:val="009A5865"/>
    <w:rsid w:val="009A5E40"/>
    <w:rsid w:val="009A6312"/>
    <w:rsid w:val="009A63C2"/>
    <w:rsid w:val="009A6600"/>
    <w:rsid w:val="009A66C4"/>
    <w:rsid w:val="009A69F5"/>
    <w:rsid w:val="009A6AA9"/>
    <w:rsid w:val="009A7111"/>
    <w:rsid w:val="009A7465"/>
    <w:rsid w:val="009A75DA"/>
    <w:rsid w:val="009A772D"/>
    <w:rsid w:val="009A7B66"/>
    <w:rsid w:val="009A7B91"/>
    <w:rsid w:val="009A7D39"/>
    <w:rsid w:val="009A7F2C"/>
    <w:rsid w:val="009B0238"/>
    <w:rsid w:val="009B0579"/>
    <w:rsid w:val="009B05E4"/>
    <w:rsid w:val="009B06FF"/>
    <w:rsid w:val="009B0C0B"/>
    <w:rsid w:val="009B0C95"/>
    <w:rsid w:val="009B0D03"/>
    <w:rsid w:val="009B0E9B"/>
    <w:rsid w:val="009B100B"/>
    <w:rsid w:val="009B117B"/>
    <w:rsid w:val="009B1584"/>
    <w:rsid w:val="009B1754"/>
    <w:rsid w:val="009B1F0B"/>
    <w:rsid w:val="009B1FA8"/>
    <w:rsid w:val="009B2313"/>
    <w:rsid w:val="009B2669"/>
    <w:rsid w:val="009B2BAE"/>
    <w:rsid w:val="009B2C2B"/>
    <w:rsid w:val="009B3133"/>
    <w:rsid w:val="009B3C80"/>
    <w:rsid w:val="009B3CDB"/>
    <w:rsid w:val="009B3F0E"/>
    <w:rsid w:val="009B44F8"/>
    <w:rsid w:val="009B4A98"/>
    <w:rsid w:val="009B525A"/>
    <w:rsid w:val="009B556C"/>
    <w:rsid w:val="009B5910"/>
    <w:rsid w:val="009B59C0"/>
    <w:rsid w:val="009B5E67"/>
    <w:rsid w:val="009B61E5"/>
    <w:rsid w:val="009B663C"/>
    <w:rsid w:val="009B6649"/>
    <w:rsid w:val="009B668C"/>
    <w:rsid w:val="009B6802"/>
    <w:rsid w:val="009B69BB"/>
    <w:rsid w:val="009B6BF3"/>
    <w:rsid w:val="009B6C35"/>
    <w:rsid w:val="009B6EA7"/>
    <w:rsid w:val="009B718F"/>
    <w:rsid w:val="009B7418"/>
    <w:rsid w:val="009B74E0"/>
    <w:rsid w:val="009B7752"/>
    <w:rsid w:val="009B78A5"/>
    <w:rsid w:val="009B78BE"/>
    <w:rsid w:val="009B7A97"/>
    <w:rsid w:val="009B7AD1"/>
    <w:rsid w:val="009C02E5"/>
    <w:rsid w:val="009C072D"/>
    <w:rsid w:val="009C075A"/>
    <w:rsid w:val="009C08CE"/>
    <w:rsid w:val="009C1139"/>
    <w:rsid w:val="009C156C"/>
    <w:rsid w:val="009C1A60"/>
    <w:rsid w:val="009C1CB9"/>
    <w:rsid w:val="009C22BC"/>
    <w:rsid w:val="009C267A"/>
    <w:rsid w:val="009C275F"/>
    <w:rsid w:val="009C2A51"/>
    <w:rsid w:val="009C2F32"/>
    <w:rsid w:val="009C31DE"/>
    <w:rsid w:val="009C3219"/>
    <w:rsid w:val="009C330C"/>
    <w:rsid w:val="009C3801"/>
    <w:rsid w:val="009C3EA0"/>
    <w:rsid w:val="009C4176"/>
    <w:rsid w:val="009C4248"/>
    <w:rsid w:val="009C42AA"/>
    <w:rsid w:val="009C42C9"/>
    <w:rsid w:val="009C43BD"/>
    <w:rsid w:val="009C4684"/>
    <w:rsid w:val="009C4B01"/>
    <w:rsid w:val="009C4BA7"/>
    <w:rsid w:val="009C4BE5"/>
    <w:rsid w:val="009C4BFD"/>
    <w:rsid w:val="009C52EF"/>
    <w:rsid w:val="009C56B6"/>
    <w:rsid w:val="009C587D"/>
    <w:rsid w:val="009C593E"/>
    <w:rsid w:val="009C59A3"/>
    <w:rsid w:val="009C5A46"/>
    <w:rsid w:val="009C5A76"/>
    <w:rsid w:val="009C5AE5"/>
    <w:rsid w:val="009C5E61"/>
    <w:rsid w:val="009C61EA"/>
    <w:rsid w:val="009C6399"/>
    <w:rsid w:val="009C6665"/>
    <w:rsid w:val="009C67A0"/>
    <w:rsid w:val="009C67D4"/>
    <w:rsid w:val="009C67EF"/>
    <w:rsid w:val="009C6A22"/>
    <w:rsid w:val="009C6A63"/>
    <w:rsid w:val="009C6BE8"/>
    <w:rsid w:val="009C6C96"/>
    <w:rsid w:val="009C7118"/>
    <w:rsid w:val="009C750F"/>
    <w:rsid w:val="009C7567"/>
    <w:rsid w:val="009C761F"/>
    <w:rsid w:val="009C7632"/>
    <w:rsid w:val="009C7D77"/>
    <w:rsid w:val="009C7E45"/>
    <w:rsid w:val="009D0137"/>
    <w:rsid w:val="009D0167"/>
    <w:rsid w:val="009D0471"/>
    <w:rsid w:val="009D0566"/>
    <w:rsid w:val="009D057A"/>
    <w:rsid w:val="009D076B"/>
    <w:rsid w:val="009D07A3"/>
    <w:rsid w:val="009D099A"/>
    <w:rsid w:val="009D0AC7"/>
    <w:rsid w:val="009D0ADD"/>
    <w:rsid w:val="009D14D7"/>
    <w:rsid w:val="009D167A"/>
    <w:rsid w:val="009D1893"/>
    <w:rsid w:val="009D1F5A"/>
    <w:rsid w:val="009D1F9F"/>
    <w:rsid w:val="009D208F"/>
    <w:rsid w:val="009D232A"/>
    <w:rsid w:val="009D2514"/>
    <w:rsid w:val="009D2731"/>
    <w:rsid w:val="009D29E5"/>
    <w:rsid w:val="009D2C92"/>
    <w:rsid w:val="009D2E5C"/>
    <w:rsid w:val="009D300B"/>
    <w:rsid w:val="009D34EA"/>
    <w:rsid w:val="009D369E"/>
    <w:rsid w:val="009D3B8B"/>
    <w:rsid w:val="009D3DEF"/>
    <w:rsid w:val="009D4430"/>
    <w:rsid w:val="009D4490"/>
    <w:rsid w:val="009D46EF"/>
    <w:rsid w:val="009D47E4"/>
    <w:rsid w:val="009D48AB"/>
    <w:rsid w:val="009D4A32"/>
    <w:rsid w:val="009D4DAB"/>
    <w:rsid w:val="009D5357"/>
    <w:rsid w:val="009D53E5"/>
    <w:rsid w:val="009D55E8"/>
    <w:rsid w:val="009D570E"/>
    <w:rsid w:val="009D5A68"/>
    <w:rsid w:val="009D5B74"/>
    <w:rsid w:val="009D5EBB"/>
    <w:rsid w:val="009D5FEA"/>
    <w:rsid w:val="009D6154"/>
    <w:rsid w:val="009D6534"/>
    <w:rsid w:val="009D6925"/>
    <w:rsid w:val="009D6A4E"/>
    <w:rsid w:val="009D6B0E"/>
    <w:rsid w:val="009D6E15"/>
    <w:rsid w:val="009D7273"/>
    <w:rsid w:val="009D78CB"/>
    <w:rsid w:val="009D7A83"/>
    <w:rsid w:val="009D7AA8"/>
    <w:rsid w:val="009D7B78"/>
    <w:rsid w:val="009D7EDB"/>
    <w:rsid w:val="009D7FBF"/>
    <w:rsid w:val="009E0017"/>
    <w:rsid w:val="009E0705"/>
    <w:rsid w:val="009E078B"/>
    <w:rsid w:val="009E092B"/>
    <w:rsid w:val="009E0F70"/>
    <w:rsid w:val="009E0F92"/>
    <w:rsid w:val="009E11D1"/>
    <w:rsid w:val="009E170B"/>
    <w:rsid w:val="009E19E8"/>
    <w:rsid w:val="009E1D36"/>
    <w:rsid w:val="009E1EF9"/>
    <w:rsid w:val="009E1FE4"/>
    <w:rsid w:val="009E222B"/>
    <w:rsid w:val="009E23C2"/>
    <w:rsid w:val="009E250B"/>
    <w:rsid w:val="009E287C"/>
    <w:rsid w:val="009E299E"/>
    <w:rsid w:val="009E2C64"/>
    <w:rsid w:val="009E3295"/>
    <w:rsid w:val="009E33A0"/>
    <w:rsid w:val="009E362E"/>
    <w:rsid w:val="009E3D5E"/>
    <w:rsid w:val="009E4238"/>
    <w:rsid w:val="009E436D"/>
    <w:rsid w:val="009E4798"/>
    <w:rsid w:val="009E4854"/>
    <w:rsid w:val="009E4A66"/>
    <w:rsid w:val="009E4BED"/>
    <w:rsid w:val="009E4C3A"/>
    <w:rsid w:val="009E4F5C"/>
    <w:rsid w:val="009E55F8"/>
    <w:rsid w:val="009E58B0"/>
    <w:rsid w:val="009E5F2C"/>
    <w:rsid w:val="009E64EB"/>
    <w:rsid w:val="009E6790"/>
    <w:rsid w:val="009E67EE"/>
    <w:rsid w:val="009E6883"/>
    <w:rsid w:val="009E69D6"/>
    <w:rsid w:val="009E6A16"/>
    <w:rsid w:val="009E6E96"/>
    <w:rsid w:val="009E6EF9"/>
    <w:rsid w:val="009E6FFC"/>
    <w:rsid w:val="009E73D2"/>
    <w:rsid w:val="009E7748"/>
    <w:rsid w:val="009E774C"/>
    <w:rsid w:val="009E788A"/>
    <w:rsid w:val="009E7976"/>
    <w:rsid w:val="009E7C18"/>
    <w:rsid w:val="009F03F8"/>
    <w:rsid w:val="009F0663"/>
    <w:rsid w:val="009F080B"/>
    <w:rsid w:val="009F094B"/>
    <w:rsid w:val="009F0A26"/>
    <w:rsid w:val="009F0D35"/>
    <w:rsid w:val="009F0DC8"/>
    <w:rsid w:val="009F0F13"/>
    <w:rsid w:val="009F0F19"/>
    <w:rsid w:val="009F130C"/>
    <w:rsid w:val="009F1567"/>
    <w:rsid w:val="009F19CA"/>
    <w:rsid w:val="009F1A42"/>
    <w:rsid w:val="009F1C66"/>
    <w:rsid w:val="009F1D86"/>
    <w:rsid w:val="009F1FDA"/>
    <w:rsid w:val="009F20E4"/>
    <w:rsid w:val="009F2128"/>
    <w:rsid w:val="009F2188"/>
    <w:rsid w:val="009F22CF"/>
    <w:rsid w:val="009F239E"/>
    <w:rsid w:val="009F2500"/>
    <w:rsid w:val="009F25FB"/>
    <w:rsid w:val="009F2FA4"/>
    <w:rsid w:val="009F3238"/>
    <w:rsid w:val="009F32A6"/>
    <w:rsid w:val="009F32BB"/>
    <w:rsid w:val="009F384D"/>
    <w:rsid w:val="009F3E0A"/>
    <w:rsid w:val="009F43D7"/>
    <w:rsid w:val="009F4413"/>
    <w:rsid w:val="009F44C7"/>
    <w:rsid w:val="009F4B91"/>
    <w:rsid w:val="009F4CC6"/>
    <w:rsid w:val="009F4D73"/>
    <w:rsid w:val="009F4F72"/>
    <w:rsid w:val="009F4FAD"/>
    <w:rsid w:val="009F52D4"/>
    <w:rsid w:val="009F5537"/>
    <w:rsid w:val="009F5A32"/>
    <w:rsid w:val="009F5AF2"/>
    <w:rsid w:val="009F653D"/>
    <w:rsid w:val="009F67CA"/>
    <w:rsid w:val="009F689C"/>
    <w:rsid w:val="009F7323"/>
    <w:rsid w:val="009F738D"/>
    <w:rsid w:val="009F76C2"/>
    <w:rsid w:val="009F78BD"/>
    <w:rsid w:val="009F7AC8"/>
    <w:rsid w:val="009F7CBA"/>
    <w:rsid w:val="00A0022E"/>
    <w:rsid w:val="00A00451"/>
    <w:rsid w:val="00A00779"/>
    <w:rsid w:val="00A00864"/>
    <w:rsid w:val="00A00D00"/>
    <w:rsid w:val="00A00E4B"/>
    <w:rsid w:val="00A00E96"/>
    <w:rsid w:val="00A00FC6"/>
    <w:rsid w:val="00A013F4"/>
    <w:rsid w:val="00A014ED"/>
    <w:rsid w:val="00A0181E"/>
    <w:rsid w:val="00A01998"/>
    <w:rsid w:val="00A019AE"/>
    <w:rsid w:val="00A01B13"/>
    <w:rsid w:val="00A01CDF"/>
    <w:rsid w:val="00A01F3A"/>
    <w:rsid w:val="00A022A6"/>
    <w:rsid w:val="00A02406"/>
    <w:rsid w:val="00A024D2"/>
    <w:rsid w:val="00A02590"/>
    <w:rsid w:val="00A02605"/>
    <w:rsid w:val="00A02F46"/>
    <w:rsid w:val="00A02FF7"/>
    <w:rsid w:val="00A03194"/>
    <w:rsid w:val="00A03197"/>
    <w:rsid w:val="00A03866"/>
    <w:rsid w:val="00A03C6F"/>
    <w:rsid w:val="00A04048"/>
    <w:rsid w:val="00A04AD5"/>
    <w:rsid w:val="00A04C93"/>
    <w:rsid w:val="00A04D54"/>
    <w:rsid w:val="00A04DA0"/>
    <w:rsid w:val="00A04F6B"/>
    <w:rsid w:val="00A04FE7"/>
    <w:rsid w:val="00A055E7"/>
    <w:rsid w:val="00A0563D"/>
    <w:rsid w:val="00A0578C"/>
    <w:rsid w:val="00A0598C"/>
    <w:rsid w:val="00A05DB6"/>
    <w:rsid w:val="00A05EEC"/>
    <w:rsid w:val="00A05F07"/>
    <w:rsid w:val="00A05F1F"/>
    <w:rsid w:val="00A060A4"/>
    <w:rsid w:val="00A060FD"/>
    <w:rsid w:val="00A062DE"/>
    <w:rsid w:val="00A06686"/>
    <w:rsid w:val="00A06725"/>
    <w:rsid w:val="00A06DBA"/>
    <w:rsid w:val="00A071CD"/>
    <w:rsid w:val="00A0720C"/>
    <w:rsid w:val="00A07245"/>
    <w:rsid w:val="00A07376"/>
    <w:rsid w:val="00A074C3"/>
    <w:rsid w:val="00A0757A"/>
    <w:rsid w:val="00A075AC"/>
    <w:rsid w:val="00A076E1"/>
    <w:rsid w:val="00A07710"/>
    <w:rsid w:val="00A0789A"/>
    <w:rsid w:val="00A079C6"/>
    <w:rsid w:val="00A07A0A"/>
    <w:rsid w:val="00A07DB3"/>
    <w:rsid w:val="00A1038E"/>
    <w:rsid w:val="00A10395"/>
    <w:rsid w:val="00A10406"/>
    <w:rsid w:val="00A1045D"/>
    <w:rsid w:val="00A104AB"/>
    <w:rsid w:val="00A105E0"/>
    <w:rsid w:val="00A10693"/>
    <w:rsid w:val="00A1080D"/>
    <w:rsid w:val="00A10BB9"/>
    <w:rsid w:val="00A10F66"/>
    <w:rsid w:val="00A10FA0"/>
    <w:rsid w:val="00A1107A"/>
    <w:rsid w:val="00A11164"/>
    <w:rsid w:val="00A11393"/>
    <w:rsid w:val="00A114DE"/>
    <w:rsid w:val="00A117F3"/>
    <w:rsid w:val="00A1188B"/>
    <w:rsid w:val="00A11997"/>
    <w:rsid w:val="00A11C6A"/>
    <w:rsid w:val="00A11DA2"/>
    <w:rsid w:val="00A1211C"/>
    <w:rsid w:val="00A121B2"/>
    <w:rsid w:val="00A124CC"/>
    <w:rsid w:val="00A12E43"/>
    <w:rsid w:val="00A12E50"/>
    <w:rsid w:val="00A1329B"/>
    <w:rsid w:val="00A13379"/>
    <w:rsid w:val="00A134A2"/>
    <w:rsid w:val="00A135DF"/>
    <w:rsid w:val="00A136E7"/>
    <w:rsid w:val="00A13A33"/>
    <w:rsid w:val="00A13C9F"/>
    <w:rsid w:val="00A13DEF"/>
    <w:rsid w:val="00A143DB"/>
    <w:rsid w:val="00A1469D"/>
    <w:rsid w:val="00A14721"/>
    <w:rsid w:val="00A14769"/>
    <w:rsid w:val="00A14B0B"/>
    <w:rsid w:val="00A14C38"/>
    <w:rsid w:val="00A14C79"/>
    <w:rsid w:val="00A14C8B"/>
    <w:rsid w:val="00A14E50"/>
    <w:rsid w:val="00A15309"/>
    <w:rsid w:val="00A15E98"/>
    <w:rsid w:val="00A1626D"/>
    <w:rsid w:val="00A169ED"/>
    <w:rsid w:val="00A17075"/>
    <w:rsid w:val="00A17548"/>
    <w:rsid w:val="00A17700"/>
    <w:rsid w:val="00A177BA"/>
    <w:rsid w:val="00A177E3"/>
    <w:rsid w:val="00A17D31"/>
    <w:rsid w:val="00A17DAF"/>
    <w:rsid w:val="00A20250"/>
    <w:rsid w:val="00A203F3"/>
    <w:rsid w:val="00A2085A"/>
    <w:rsid w:val="00A20958"/>
    <w:rsid w:val="00A20A9C"/>
    <w:rsid w:val="00A20E5D"/>
    <w:rsid w:val="00A20E66"/>
    <w:rsid w:val="00A212E8"/>
    <w:rsid w:val="00A21469"/>
    <w:rsid w:val="00A215B8"/>
    <w:rsid w:val="00A2169B"/>
    <w:rsid w:val="00A21881"/>
    <w:rsid w:val="00A21ACE"/>
    <w:rsid w:val="00A21D9F"/>
    <w:rsid w:val="00A21DE9"/>
    <w:rsid w:val="00A21F96"/>
    <w:rsid w:val="00A2241D"/>
    <w:rsid w:val="00A22605"/>
    <w:rsid w:val="00A227F5"/>
    <w:rsid w:val="00A22DA0"/>
    <w:rsid w:val="00A22FCE"/>
    <w:rsid w:val="00A23067"/>
    <w:rsid w:val="00A23081"/>
    <w:rsid w:val="00A23149"/>
    <w:rsid w:val="00A23162"/>
    <w:rsid w:val="00A23345"/>
    <w:rsid w:val="00A235BA"/>
    <w:rsid w:val="00A23C9C"/>
    <w:rsid w:val="00A23DC6"/>
    <w:rsid w:val="00A2401E"/>
    <w:rsid w:val="00A24508"/>
    <w:rsid w:val="00A24A70"/>
    <w:rsid w:val="00A24F5F"/>
    <w:rsid w:val="00A252B9"/>
    <w:rsid w:val="00A25528"/>
    <w:rsid w:val="00A2580E"/>
    <w:rsid w:val="00A25AD7"/>
    <w:rsid w:val="00A25C2F"/>
    <w:rsid w:val="00A25ECA"/>
    <w:rsid w:val="00A25F69"/>
    <w:rsid w:val="00A2606C"/>
    <w:rsid w:val="00A263E5"/>
    <w:rsid w:val="00A2647B"/>
    <w:rsid w:val="00A26A7D"/>
    <w:rsid w:val="00A26D1A"/>
    <w:rsid w:val="00A27291"/>
    <w:rsid w:val="00A274D1"/>
    <w:rsid w:val="00A27557"/>
    <w:rsid w:val="00A27CCE"/>
    <w:rsid w:val="00A27D97"/>
    <w:rsid w:val="00A302FA"/>
    <w:rsid w:val="00A30564"/>
    <w:rsid w:val="00A30872"/>
    <w:rsid w:val="00A309EF"/>
    <w:rsid w:val="00A30D98"/>
    <w:rsid w:val="00A320E0"/>
    <w:rsid w:val="00A321DE"/>
    <w:rsid w:val="00A32332"/>
    <w:rsid w:val="00A32471"/>
    <w:rsid w:val="00A324EC"/>
    <w:rsid w:val="00A32690"/>
    <w:rsid w:val="00A32841"/>
    <w:rsid w:val="00A329F9"/>
    <w:rsid w:val="00A32A66"/>
    <w:rsid w:val="00A32B5A"/>
    <w:rsid w:val="00A32D4A"/>
    <w:rsid w:val="00A33037"/>
    <w:rsid w:val="00A33129"/>
    <w:rsid w:val="00A33367"/>
    <w:rsid w:val="00A33486"/>
    <w:rsid w:val="00A33747"/>
    <w:rsid w:val="00A338CC"/>
    <w:rsid w:val="00A33A8D"/>
    <w:rsid w:val="00A33A90"/>
    <w:rsid w:val="00A33ED1"/>
    <w:rsid w:val="00A34532"/>
    <w:rsid w:val="00A345D9"/>
    <w:rsid w:val="00A350B8"/>
    <w:rsid w:val="00A35172"/>
    <w:rsid w:val="00A351C8"/>
    <w:rsid w:val="00A35294"/>
    <w:rsid w:val="00A35360"/>
    <w:rsid w:val="00A353AD"/>
    <w:rsid w:val="00A35427"/>
    <w:rsid w:val="00A355BF"/>
    <w:rsid w:val="00A35626"/>
    <w:rsid w:val="00A359CF"/>
    <w:rsid w:val="00A359E1"/>
    <w:rsid w:val="00A35A77"/>
    <w:rsid w:val="00A35A86"/>
    <w:rsid w:val="00A35CF5"/>
    <w:rsid w:val="00A35D83"/>
    <w:rsid w:val="00A35DEA"/>
    <w:rsid w:val="00A35F9A"/>
    <w:rsid w:val="00A36221"/>
    <w:rsid w:val="00A365A9"/>
    <w:rsid w:val="00A365AF"/>
    <w:rsid w:val="00A36806"/>
    <w:rsid w:val="00A36874"/>
    <w:rsid w:val="00A36EC9"/>
    <w:rsid w:val="00A37249"/>
    <w:rsid w:val="00A372CA"/>
    <w:rsid w:val="00A37568"/>
    <w:rsid w:val="00A40011"/>
    <w:rsid w:val="00A40040"/>
    <w:rsid w:val="00A4035C"/>
    <w:rsid w:val="00A40629"/>
    <w:rsid w:val="00A40CD9"/>
    <w:rsid w:val="00A40DBC"/>
    <w:rsid w:val="00A40EB9"/>
    <w:rsid w:val="00A40FFF"/>
    <w:rsid w:val="00A4169E"/>
    <w:rsid w:val="00A416E8"/>
    <w:rsid w:val="00A417C3"/>
    <w:rsid w:val="00A41A05"/>
    <w:rsid w:val="00A41C55"/>
    <w:rsid w:val="00A41CA7"/>
    <w:rsid w:val="00A41D60"/>
    <w:rsid w:val="00A41D9D"/>
    <w:rsid w:val="00A42135"/>
    <w:rsid w:val="00A4254B"/>
    <w:rsid w:val="00A42811"/>
    <w:rsid w:val="00A42860"/>
    <w:rsid w:val="00A428B2"/>
    <w:rsid w:val="00A42BFB"/>
    <w:rsid w:val="00A42C0C"/>
    <w:rsid w:val="00A42DF3"/>
    <w:rsid w:val="00A431DD"/>
    <w:rsid w:val="00A432BD"/>
    <w:rsid w:val="00A43585"/>
    <w:rsid w:val="00A43622"/>
    <w:rsid w:val="00A43EE3"/>
    <w:rsid w:val="00A43F87"/>
    <w:rsid w:val="00A44282"/>
    <w:rsid w:val="00A445EE"/>
    <w:rsid w:val="00A446C1"/>
    <w:rsid w:val="00A44733"/>
    <w:rsid w:val="00A44760"/>
    <w:rsid w:val="00A4486B"/>
    <w:rsid w:val="00A44ABA"/>
    <w:rsid w:val="00A44D8A"/>
    <w:rsid w:val="00A44EC1"/>
    <w:rsid w:val="00A45142"/>
    <w:rsid w:val="00A45195"/>
    <w:rsid w:val="00A45447"/>
    <w:rsid w:val="00A4545D"/>
    <w:rsid w:val="00A454AA"/>
    <w:rsid w:val="00A45794"/>
    <w:rsid w:val="00A45973"/>
    <w:rsid w:val="00A4602D"/>
    <w:rsid w:val="00A46331"/>
    <w:rsid w:val="00A463E1"/>
    <w:rsid w:val="00A46472"/>
    <w:rsid w:val="00A469C5"/>
    <w:rsid w:val="00A46E28"/>
    <w:rsid w:val="00A46E61"/>
    <w:rsid w:val="00A46EB9"/>
    <w:rsid w:val="00A46F04"/>
    <w:rsid w:val="00A47693"/>
    <w:rsid w:val="00A50375"/>
    <w:rsid w:val="00A50461"/>
    <w:rsid w:val="00A50537"/>
    <w:rsid w:val="00A506E2"/>
    <w:rsid w:val="00A50835"/>
    <w:rsid w:val="00A50905"/>
    <w:rsid w:val="00A50934"/>
    <w:rsid w:val="00A50CEF"/>
    <w:rsid w:val="00A50EAD"/>
    <w:rsid w:val="00A512A7"/>
    <w:rsid w:val="00A514AE"/>
    <w:rsid w:val="00A5193E"/>
    <w:rsid w:val="00A51E47"/>
    <w:rsid w:val="00A524CB"/>
    <w:rsid w:val="00A5272E"/>
    <w:rsid w:val="00A5287B"/>
    <w:rsid w:val="00A52AE9"/>
    <w:rsid w:val="00A52BD6"/>
    <w:rsid w:val="00A53041"/>
    <w:rsid w:val="00A533C0"/>
    <w:rsid w:val="00A534C0"/>
    <w:rsid w:val="00A53BED"/>
    <w:rsid w:val="00A53FB1"/>
    <w:rsid w:val="00A543FC"/>
    <w:rsid w:val="00A54D19"/>
    <w:rsid w:val="00A54E83"/>
    <w:rsid w:val="00A55093"/>
    <w:rsid w:val="00A550F3"/>
    <w:rsid w:val="00A55337"/>
    <w:rsid w:val="00A5549D"/>
    <w:rsid w:val="00A55878"/>
    <w:rsid w:val="00A55B2B"/>
    <w:rsid w:val="00A55B6D"/>
    <w:rsid w:val="00A5623B"/>
    <w:rsid w:val="00A56553"/>
    <w:rsid w:val="00A56599"/>
    <w:rsid w:val="00A56D5B"/>
    <w:rsid w:val="00A57051"/>
    <w:rsid w:val="00A57216"/>
    <w:rsid w:val="00A575A4"/>
    <w:rsid w:val="00A575CD"/>
    <w:rsid w:val="00A5777A"/>
    <w:rsid w:val="00A577ED"/>
    <w:rsid w:val="00A577F7"/>
    <w:rsid w:val="00A578EE"/>
    <w:rsid w:val="00A57A45"/>
    <w:rsid w:val="00A60066"/>
    <w:rsid w:val="00A60CE0"/>
    <w:rsid w:val="00A60DD4"/>
    <w:rsid w:val="00A6145F"/>
    <w:rsid w:val="00A61922"/>
    <w:rsid w:val="00A6194D"/>
    <w:rsid w:val="00A61B6E"/>
    <w:rsid w:val="00A61B84"/>
    <w:rsid w:val="00A61F21"/>
    <w:rsid w:val="00A620B1"/>
    <w:rsid w:val="00A621A9"/>
    <w:rsid w:val="00A62273"/>
    <w:rsid w:val="00A62B3A"/>
    <w:rsid w:val="00A6339F"/>
    <w:rsid w:val="00A633FD"/>
    <w:rsid w:val="00A63599"/>
    <w:rsid w:val="00A63610"/>
    <w:rsid w:val="00A63EAB"/>
    <w:rsid w:val="00A6408E"/>
    <w:rsid w:val="00A649D4"/>
    <w:rsid w:val="00A64D16"/>
    <w:rsid w:val="00A650D2"/>
    <w:rsid w:val="00A6542E"/>
    <w:rsid w:val="00A65465"/>
    <w:rsid w:val="00A65674"/>
    <w:rsid w:val="00A65A33"/>
    <w:rsid w:val="00A65A9F"/>
    <w:rsid w:val="00A65AB5"/>
    <w:rsid w:val="00A65CE2"/>
    <w:rsid w:val="00A66108"/>
    <w:rsid w:val="00A661BD"/>
    <w:rsid w:val="00A66725"/>
    <w:rsid w:val="00A66B40"/>
    <w:rsid w:val="00A66F13"/>
    <w:rsid w:val="00A66F52"/>
    <w:rsid w:val="00A6731D"/>
    <w:rsid w:val="00A67930"/>
    <w:rsid w:val="00A67DF7"/>
    <w:rsid w:val="00A67EBB"/>
    <w:rsid w:val="00A67F25"/>
    <w:rsid w:val="00A67FF8"/>
    <w:rsid w:val="00A70037"/>
    <w:rsid w:val="00A700E1"/>
    <w:rsid w:val="00A7023D"/>
    <w:rsid w:val="00A70252"/>
    <w:rsid w:val="00A702A5"/>
    <w:rsid w:val="00A7030D"/>
    <w:rsid w:val="00A7030E"/>
    <w:rsid w:val="00A70553"/>
    <w:rsid w:val="00A70659"/>
    <w:rsid w:val="00A70772"/>
    <w:rsid w:val="00A709A8"/>
    <w:rsid w:val="00A711B0"/>
    <w:rsid w:val="00A71203"/>
    <w:rsid w:val="00A71390"/>
    <w:rsid w:val="00A71488"/>
    <w:rsid w:val="00A71764"/>
    <w:rsid w:val="00A71961"/>
    <w:rsid w:val="00A71CB0"/>
    <w:rsid w:val="00A71D22"/>
    <w:rsid w:val="00A720CC"/>
    <w:rsid w:val="00A7210B"/>
    <w:rsid w:val="00A72199"/>
    <w:rsid w:val="00A72541"/>
    <w:rsid w:val="00A72543"/>
    <w:rsid w:val="00A72544"/>
    <w:rsid w:val="00A7271E"/>
    <w:rsid w:val="00A72900"/>
    <w:rsid w:val="00A72B2F"/>
    <w:rsid w:val="00A72D2D"/>
    <w:rsid w:val="00A731F9"/>
    <w:rsid w:val="00A732B6"/>
    <w:rsid w:val="00A73475"/>
    <w:rsid w:val="00A738A3"/>
    <w:rsid w:val="00A739DF"/>
    <w:rsid w:val="00A73A2D"/>
    <w:rsid w:val="00A73A5A"/>
    <w:rsid w:val="00A73DAA"/>
    <w:rsid w:val="00A742C2"/>
    <w:rsid w:val="00A74844"/>
    <w:rsid w:val="00A749BD"/>
    <w:rsid w:val="00A74B72"/>
    <w:rsid w:val="00A74CCE"/>
    <w:rsid w:val="00A74F4C"/>
    <w:rsid w:val="00A751A5"/>
    <w:rsid w:val="00A75281"/>
    <w:rsid w:val="00A75607"/>
    <w:rsid w:val="00A75A3A"/>
    <w:rsid w:val="00A75AA2"/>
    <w:rsid w:val="00A75CED"/>
    <w:rsid w:val="00A75F05"/>
    <w:rsid w:val="00A75F8A"/>
    <w:rsid w:val="00A76038"/>
    <w:rsid w:val="00A760E7"/>
    <w:rsid w:val="00A76209"/>
    <w:rsid w:val="00A763DA"/>
    <w:rsid w:val="00A76705"/>
    <w:rsid w:val="00A76B83"/>
    <w:rsid w:val="00A76C0E"/>
    <w:rsid w:val="00A76C7D"/>
    <w:rsid w:val="00A76FDD"/>
    <w:rsid w:val="00A77055"/>
    <w:rsid w:val="00A77142"/>
    <w:rsid w:val="00A776E3"/>
    <w:rsid w:val="00A7791D"/>
    <w:rsid w:val="00A779FE"/>
    <w:rsid w:val="00A77A0B"/>
    <w:rsid w:val="00A77BE7"/>
    <w:rsid w:val="00A77E22"/>
    <w:rsid w:val="00A80281"/>
    <w:rsid w:val="00A803E2"/>
    <w:rsid w:val="00A806ED"/>
    <w:rsid w:val="00A80A5F"/>
    <w:rsid w:val="00A80AED"/>
    <w:rsid w:val="00A80B77"/>
    <w:rsid w:val="00A80C3B"/>
    <w:rsid w:val="00A80EFE"/>
    <w:rsid w:val="00A80FB1"/>
    <w:rsid w:val="00A80FE9"/>
    <w:rsid w:val="00A81239"/>
    <w:rsid w:val="00A81314"/>
    <w:rsid w:val="00A816B2"/>
    <w:rsid w:val="00A81AB5"/>
    <w:rsid w:val="00A81B9A"/>
    <w:rsid w:val="00A81DF1"/>
    <w:rsid w:val="00A81FF6"/>
    <w:rsid w:val="00A82081"/>
    <w:rsid w:val="00A821C5"/>
    <w:rsid w:val="00A8270D"/>
    <w:rsid w:val="00A82A7E"/>
    <w:rsid w:val="00A82D6E"/>
    <w:rsid w:val="00A830B8"/>
    <w:rsid w:val="00A833E1"/>
    <w:rsid w:val="00A83532"/>
    <w:rsid w:val="00A83564"/>
    <w:rsid w:val="00A83BA5"/>
    <w:rsid w:val="00A83C16"/>
    <w:rsid w:val="00A83EC4"/>
    <w:rsid w:val="00A841C9"/>
    <w:rsid w:val="00A841E3"/>
    <w:rsid w:val="00A84502"/>
    <w:rsid w:val="00A84771"/>
    <w:rsid w:val="00A84804"/>
    <w:rsid w:val="00A8485D"/>
    <w:rsid w:val="00A849AC"/>
    <w:rsid w:val="00A84B16"/>
    <w:rsid w:val="00A84F53"/>
    <w:rsid w:val="00A85002"/>
    <w:rsid w:val="00A85029"/>
    <w:rsid w:val="00A85186"/>
    <w:rsid w:val="00A852DA"/>
    <w:rsid w:val="00A853CD"/>
    <w:rsid w:val="00A853E9"/>
    <w:rsid w:val="00A8568B"/>
    <w:rsid w:val="00A85696"/>
    <w:rsid w:val="00A85716"/>
    <w:rsid w:val="00A857AD"/>
    <w:rsid w:val="00A85A77"/>
    <w:rsid w:val="00A85BCA"/>
    <w:rsid w:val="00A85D89"/>
    <w:rsid w:val="00A85DC0"/>
    <w:rsid w:val="00A8615D"/>
    <w:rsid w:val="00A86498"/>
    <w:rsid w:val="00A864B9"/>
    <w:rsid w:val="00A864EE"/>
    <w:rsid w:val="00A865BE"/>
    <w:rsid w:val="00A866C4"/>
    <w:rsid w:val="00A866F2"/>
    <w:rsid w:val="00A8685A"/>
    <w:rsid w:val="00A86967"/>
    <w:rsid w:val="00A86EB9"/>
    <w:rsid w:val="00A87090"/>
    <w:rsid w:val="00A876CA"/>
    <w:rsid w:val="00A877D7"/>
    <w:rsid w:val="00A879CD"/>
    <w:rsid w:val="00A87B7C"/>
    <w:rsid w:val="00A87C54"/>
    <w:rsid w:val="00A9061F"/>
    <w:rsid w:val="00A909BC"/>
    <w:rsid w:val="00A90E67"/>
    <w:rsid w:val="00A913D5"/>
    <w:rsid w:val="00A91A74"/>
    <w:rsid w:val="00A91D51"/>
    <w:rsid w:val="00A91ED9"/>
    <w:rsid w:val="00A91F02"/>
    <w:rsid w:val="00A9205A"/>
    <w:rsid w:val="00A920C4"/>
    <w:rsid w:val="00A92221"/>
    <w:rsid w:val="00A9235E"/>
    <w:rsid w:val="00A92411"/>
    <w:rsid w:val="00A9245D"/>
    <w:rsid w:val="00A9249E"/>
    <w:rsid w:val="00A925AF"/>
    <w:rsid w:val="00A926E2"/>
    <w:rsid w:val="00A92728"/>
    <w:rsid w:val="00A92DB7"/>
    <w:rsid w:val="00A9372C"/>
    <w:rsid w:val="00A9393A"/>
    <w:rsid w:val="00A93A7A"/>
    <w:rsid w:val="00A93B5E"/>
    <w:rsid w:val="00A93BE0"/>
    <w:rsid w:val="00A93C49"/>
    <w:rsid w:val="00A9406D"/>
    <w:rsid w:val="00A940D5"/>
    <w:rsid w:val="00A940EC"/>
    <w:rsid w:val="00A9430C"/>
    <w:rsid w:val="00A94827"/>
    <w:rsid w:val="00A94AE6"/>
    <w:rsid w:val="00A94FFE"/>
    <w:rsid w:val="00A95001"/>
    <w:rsid w:val="00A951B9"/>
    <w:rsid w:val="00A9520A"/>
    <w:rsid w:val="00A952FD"/>
    <w:rsid w:val="00A95A86"/>
    <w:rsid w:val="00A95B0E"/>
    <w:rsid w:val="00A95E03"/>
    <w:rsid w:val="00A95E67"/>
    <w:rsid w:val="00A95F13"/>
    <w:rsid w:val="00A96037"/>
    <w:rsid w:val="00A9670E"/>
    <w:rsid w:val="00A968AA"/>
    <w:rsid w:val="00A968AF"/>
    <w:rsid w:val="00A96978"/>
    <w:rsid w:val="00A96F18"/>
    <w:rsid w:val="00A96F38"/>
    <w:rsid w:val="00A96F56"/>
    <w:rsid w:val="00A97753"/>
    <w:rsid w:val="00A978C4"/>
    <w:rsid w:val="00A9799B"/>
    <w:rsid w:val="00A97CFC"/>
    <w:rsid w:val="00AA007C"/>
    <w:rsid w:val="00AA03B3"/>
    <w:rsid w:val="00AA06AA"/>
    <w:rsid w:val="00AA0AE9"/>
    <w:rsid w:val="00AA0DC8"/>
    <w:rsid w:val="00AA0EA1"/>
    <w:rsid w:val="00AA0FD4"/>
    <w:rsid w:val="00AA16E1"/>
    <w:rsid w:val="00AA1809"/>
    <w:rsid w:val="00AA196A"/>
    <w:rsid w:val="00AA19BF"/>
    <w:rsid w:val="00AA1AA8"/>
    <w:rsid w:val="00AA1CBD"/>
    <w:rsid w:val="00AA1ED7"/>
    <w:rsid w:val="00AA2041"/>
    <w:rsid w:val="00AA23DD"/>
    <w:rsid w:val="00AA2492"/>
    <w:rsid w:val="00AA25D6"/>
    <w:rsid w:val="00AA26DC"/>
    <w:rsid w:val="00AA2FE0"/>
    <w:rsid w:val="00AA3077"/>
    <w:rsid w:val="00AA3443"/>
    <w:rsid w:val="00AA3526"/>
    <w:rsid w:val="00AA3682"/>
    <w:rsid w:val="00AA384D"/>
    <w:rsid w:val="00AA3872"/>
    <w:rsid w:val="00AA392B"/>
    <w:rsid w:val="00AA3A02"/>
    <w:rsid w:val="00AA3FC6"/>
    <w:rsid w:val="00AA4220"/>
    <w:rsid w:val="00AA430A"/>
    <w:rsid w:val="00AA438B"/>
    <w:rsid w:val="00AA4408"/>
    <w:rsid w:val="00AA456B"/>
    <w:rsid w:val="00AA495B"/>
    <w:rsid w:val="00AA4B8C"/>
    <w:rsid w:val="00AA4CA9"/>
    <w:rsid w:val="00AA4F7D"/>
    <w:rsid w:val="00AA5694"/>
    <w:rsid w:val="00AA5C29"/>
    <w:rsid w:val="00AA5EE9"/>
    <w:rsid w:val="00AA5EFB"/>
    <w:rsid w:val="00AA61C0"/>
    <w:rsid w:val="00AA62B5"/>
    <w:rsid w:val="00AA6375"/>
    <w:rsid w:val="00AA65DF"/>
    <w:rsid w:val="00AA698A"/>
    <w:rsid w:val="00AA6F39"/>
    <w:rsid w:val="00AA6FFD"/>
    <w:rsid w:val="00AA7053"/>
    <w:rsid w:val="00AA718E"/>
    <w:rsid w:val="00AA7283"/>
    <w:rsid w:val="00AA7642"/>
    <w:rsid w:val="00AA76F6"/>
    <w:rsid w:val="00AA781E"/>
    <w:rsid w:val="00AA7D00"/>
    <w:rsid w:val="00AB040B"/>
    <w:rsid w:val="00AB0BB6"/>
    <w:rsid w:val="00AB0C92"/>
    <w:rsid w:val="00AB0DED"/>
    <w:rsid w:val="00AB0E6D"/>
    <w:rsid w:val="00AB0FDE"/>
    <w:rsid w:val="00AB1099"/>
    <w:rsid w:val="00AB129F"/>
    <w:rsid w:val="00AB16E1"/>
    <w:rsid w:val="00AB23F2"/>
    <w:rsid w:val="00AB27D6"/>
    <w:rsid w:val="00AB282B"/>
    <w:rsid w:val="00AB2B7F"/>
    <w:rsid w:val="00AB2F50"/>
    <w:rsid w:val="00AB307A"/>
    <w:rsid w:val="00AB31B4"/>
    <w:rsid w:val="00AB327F"/>
    <w:rsid w:val="00AB32AD"/>
    <w:rsid w:val="00AB34A8"/>
    <w:rsid w:val="00AB3845"/>
    <w:rsid w:val="00AB3A72"/>
    <w:rsid w:val="00AB3CC1"/>
    <w:rsid w:val="00AB3EA3"/>
    <w:rsid w:val="00AB3EE3"/>
    <w:rsid w:val="00AB419D"/>
    <w:rsid w:val="00AB42E4"/>
    <w:rsid w:val="00AB4B58"/>
    <w:rsid w:val="00AB510F"/>
    <w:rsid w:val="00AB5462"/>
    <w:rsid w:val="00AB56D6"/>
    <w:rsid w:val="00AB5811"/>
    <w:rsid w:val="00AB5949"/>
    <w:rsid w:val="00AB5C41"/>
    <w:rsid w:val="00AB5D02"/>
    <w:rsid w:val="00AB5DF6"/>
    <w:rsid w:val="00AB5F7A"/>
    <w:rsid w:val="00AB68CE"/>
    <w:rsid w:val="00AB6B20"/>
    <w:rsid w:val="00AB6B47"/>
    <w:rsid w:val="00AB6D65"/>
    <w:rsid w:val="00AB6E92"/>
    <w:rsid w:val="00AB6F25"/>
    <w:rsid w:val="00AB72DD"/>
    <w:rsid w:val="00AB73E4"/>
    <w:rsid w:val="00AB75E3"/>
    <w:rsid w:val="00AB7825"/>
    <w:rsid w:val="00AB79C7"/>
    <w:rsid w:val="00AB7B38"/>
    <w:rsid w:val="00AC0243"/>
    <w:rsid w:val="00AC062A"/>
    <w:rsid w:val="00AC08B1"/>
    <w:rsid w:val="00AC0C79"/>
    <w:rsid w:val="00AC0D21"/>
    <w:rsid w:val="00AC0D3F"/>
    <w:rsid w:val="00AC0E98"/>
    <w:rsid w:val="00AC0EE7"/>
    <w:rsid w:val="00AC0F64"/>
    <w:rsid w:val="00AC11F4"/>
    <w:rsid w:val="00AC1770"/>
    <w:rsid w:val="00AC182E"/>
    <w:rsid w:val="00AC1A06"/>
    <w:rsid w:val="00AC1B8D"/>
    <w:rsid w:val="00AC1BE7"/>
    <w:rsid w:val="00AC1E9A"/>
    <w:rsid w:val="00AC1EDF"/>
    <w:rsid w:val="00AC212B"/>
    <w:rsid w:val="00AC283A"/>
    <w:rsid w:val="00AC2877"/>
    <w:rsid w:val="00AC2A9C"/>
    <w:rsid w:val="00AC2CA6"/>
    <w:rsid w:val="00AC2F02"/>
    <w:rsid w:val="00AC322A"/>
    <w:rsid w:val="00AC36B4"/>
    <w:rsid w:val="00AC38E4"/>
    <w:rsid w:val="00AC3B00"/>
    <w:rsid w:val="00AC3B0D"/>
    <w:rsid w:val="00AC3B2C"/>
    <w:rsid w:val="00AC3BEA"/>
    <w:rsid w:val="00AC3FAC"/>
    <w:rsid w:val="00AC41A6"/>
    <w:rsid w:val="00AC42A7"/>
    <w:rsid w:val="00AC44FA"/>
    <w:rsid w:val="00AC4609"/>
    <w:rsid w:val="00AC49F9"/>
    <w:rsid w:val="00AC4B73"/>
    <w:rsid w:val="00AC4BBE"/>
    <w:rsid w:val="00AC4F16"/>
    <w:rsid w:val="00AC4F19"/>
    <w:rsid w:val="00AC5058"/>
    <w:rsid w:val="00AC5407"/>
    <w:rsid w:val="00AC5BE2"/>
    <w:rsid w:val="00AC5C54"/>
    <w:rsid w:val="00AC5FD2"/>
    <w:rsid w:val="00AC604A"/>
    <w:rsid w:val="00AC623C"/>
    <w:rsid w:val="00AC66A4"/>
    <w:rsid w:val="00AC66BE"/>
    <w:rsid w:val="00AC68C4"/>
    <w:rsid w:val="00AC68FA"/>
    <w:rsid w:val="00AC6995"/>
    <w:rsid w:val="00AC6E5F"/>
    <w:rsid w:val="00AC6F20"/>
    <w:rsid w:val="00AC7707"/>
    <w:rsid w:val="00AC770A"/>
    <w:rsid w:val="00AC783F"/>
    <w:rsid w:val="00AC7BA7"/>
    <w:rsid w:val="00AC7EC4"/>
    <w:rsid w:val="00AD01F9"/>
    <w:rsid w:val="00AD0485"/>
    <w:rsid w:val="00AD0553"/>
    <w:rsid w:val="00AD0587"/>
    <w:rsid w:val="00AD0718"/>
    <w:rsid w:val="00AD087C"/>
    <w:rsid w:val="00AD0A0F"/>
    <w:rsid w:val="00AD119E"/>
    <w:rsid w:val="00AD149E"/>
    <w:rsid w:val="00AD1800"/>
    <w:rsid w:val="00AD198B"/>
    <w:rsid w:val="00AD1B11"/>
    <w:rsid w:val="00AD1FAE"/>
    <w:rsid w:val="00AD22B0"/>
    <w:rsid w:val="00AD23B5"/>
    <w:rsid w:val="00AD2400"/>
    <w:rsid w:val="00AD2480"/>
    <w:rsid w:val="00AD24B5"/>
    <w:rsid w:val="00AD2790"/>
    <w:rsid w:val="00AD27E6"/>
    <w:rsid w:val="00AD2BBC"/>
    <w:rsid w:val="00AD2C9D"/>
    <w:rsid w:val="00AD2FAF"/>
    <w:rsid w:val="00AD315E"/>
    <w:rsid w:val="00AD3600"/>
    <w:rsid w:val="00AD3900"/>
    <w:rsid w:val="00AD3905"/>
    <w:rsid w:val="00AD3A51"/>
    <w:rsid w:val="00AD3D2B"/>
    <w:rsid w:val="00AD3D42"/>
    <w:rsid w:val="00AD3FCD"/>
    <w:rsid w:val="00AD4012"/>
    <w:rsid w:val="00AD43BB"/>
    <w:rsid w:val="00AD44A1"/>
    <w:rsid w:val="00AD4523"/>
    <w:rsid w:val="00AD472C"/>
    <w:rsid w:val="00AD482A"/>
    <w:rsid w:val="00AD4B98"/>
    <w:rsid w:val="00AD4BC4"/>
    <w:rsid w:val="00AD4BE8"/>
    <w:rsid w:val="00AD546E"/>
    <w:rsid w:val="00AD5715"/>
    <w:rsid w:val="00AD5CDA"/>
    <w:rsid w:val="00AD5F90"/>
    <w:rsid w:val="00AD633C"/>
    <w:rsid w:val="00AD6372"/>
    <w:rsid w:val="00AD647F"/>
    <w:rsid w:val="00AD64ED"/>
    <w:rsid w:val="00AD66D9"/>
    <w:rsid w:val="00AD686A"/>
    <w:rsid w:val="00AD6A1A"/>
    <w:rsid w:val="00AD6AC3"/>
    <w:rsid w:val="00AD6AC6"/>
    <w:rsid w:val="00AD6D08"/>
    <w:rsid w:val="00AD6EEF"/>
    <w:rsid w:val="00AD6FD6"/>
    <w:rsid w:val="00AD7011"/>
    <w:rsid w:val="00AD7383"/>
    <w:rsid w:val="00AD7681"/>
    <w:rsid w:val="00AD77EA"/>
    <w:rsid w:val="00AD7995"/>
    <w:rsid w:val="00AD7F55"/>
    <w:rsid w:val="00AD7F5D"/>
    <w:rsid w:val="00AE04D1"/>
    <w:rsid w:val="00AE04F6"/>
    <w:rsid w:val="00AE07AF"/>
    <w:rsid w:val="00AE084F"/>
    <w:rsid w:val="00AE0D9B"/>
    <w:rsid w:val="00AE0E91"/>
    <w:rsid w:val="00AE1109"/>
    <w:rsid w:val="00AE1317"/>
    <w:rsid w:val="00AE14F3"/>
    <w:rsid w:val="00AE15A3"/>
    <w:rsid w:val="00AE15FF"/>
    <w:rsid w:val="00AE164F"/>
    <w:rsid w:val="00AE1B41"/>
    <w:rsid w:val="00AE1B77"/>
    <w:rsid w:val="00AE1D4E"/>
    <w:rsid w:val="00AE22B3"/>
    <w:rsid w:val="00AE23AE"/>
    <w:rsid w:val="00AE28D8"/>
    <w:rsid w:val="00AE2A8B"/>
    <w:rsid w:val="00AE2E37"/>
    <w:rsid w:val="00AE304B"/>
    <w:rsid w:val="00AE345B"/>
    <w:rsid w:val="00AE3C43"/>
    <w:rsid w:val="00AE3CDF"/>
    <w:rsid w:val="00AE3D92"/>
    <w:rsid w:val="00AE3E44"/>
    <w:rsid w:val="00AE3E45"/>
    <w:rsid w:val="00AE3E52"/>
    <w:rsid w:val="00AE3FA2"/>
    <w:rsid w:val="00AE40D6"/>
    <w:rsid w:val="00AE441D"/>
    <w:rsid w:val="00AE4835"/>
    <w:rsid w:val="00AE48A4"/>
    <w:rsid w:val="00AE493A"/>
    <w:rsid w:val="00AE4DAB"/>
    <w:rsid w:val="00AE4E16"/>
    <w:rsid w:val="00AE4F10"/>
    <w:rsid w:val="00AE51A4"/>
    <w:rsid w:val="00AE53C1"/>
    <w:rsid w:val="00AE580F"/>
    <w:rsid w:val="00AE5839"/>
    <w:rsid w:val="00AE5890"/>
    <w:rsid w:val="00AE5B8E"/>
    <w:rsid w:val="00AE5CDF"/>
    <w:rsid w:val="00AE5D30"/>
    <w:rsid w:val="00AE5D81"/>
    <w:rsid w:val="00AE5E38"/>
    <w:rsid w:val="00AE5E77"/>
    <w:rsid w:val="00AE5E9E"/>
    <w:rsid w:val="00AE607F"/>
    <w:rsid w:val="00AE6259"/>
    <w:rsid w:val="00AE666C"/>
    <w:rsid w:val="00AE682F"/>
    <w:rsid w:val="00AE6969"/>
    <w:rsid w:val="00AE6BCD"/>
    <w:rsid w:val="00AE6C09"/>
    <w:rsid w:val="00AE6C1D"/>
    <w:rsid w:val="00AE71A6"/>
    <w:rsid w:val="00AE72B8"/>
    <w:rsid w:val="00AE770B"/>
    <w:rsid w:val="00AE789D"/>
    <w:rsid w:val="00AE79E7"/>
    <w:rsid w:val="00AE7C4D"/>
    <w:rsid w:val="00AE7C86"/>
    <w:rsid w:val="00AE7CC6"/>
    <w:rsid w:val="00AF01AE"/>
    <w:rsid w:val="00AF0266"/>
    <w:rsid w:val="00AF02DF"/>
    <w:rsid w:val="00AF03AC"/>
    <w:rsid w:val="00AF0551"/>
    <w:rsid w:val="00AF05EF"/>
    <w:rsid w:val="00AF0A77"/>
    <w:rsid w:val="00AF0BE3"/>
    <w:rsid w:val="00AF0F33"/>
    <w:rsid w:val="00AF104A"/>
    <w:rsid w:val="00AF1080"/>
    <w:rsid w:val="00AF1518"/>
    <w:rsid w:val="00AF1527"/>
    <w:rsid w:val="00AF1808"/>
    <w:rsid w:val="00AF1A10"/>
    <w:rsid w:val="00AF1AA7"/>
    <w:rsid w:val="00AF1D42"/>
    <w:rsid w:val="00AF1E78"/>
    <w:rsid w:val="00AF23CB"/>
    <w:rsid w:val="00AF2991"/>
    <w:rsid w:val="00AF2C16"/>
    <w:rsid w:val="00AF3072"/>
    <w:rsid w:val="00AF35D8"/>
    <w:rsid w:val="00AF3753"/>
    <w:rsid w:val="00AF3A22"/>
    <w:rsid w:val="00AF3A2B"/>
    <w:rsid w:val="00AF3DE0"/>
    <w:rsid w:val="00AF3F21"/>
    <w:rsid w:val="00AF3F83"/>
    <w:rsid w:val="00AF4373"/>
    <w:rsid w:val="00AF4E0E"/>
    <w:rsid w:val="00AF4F82"/>
    <w:rsid w:val="00AF5143"/>
    <w:rsid w:val="00AF5EE5"/>
    <w:rsid w:val="00AF61D5"/>
    <w:rsid w:val="00AF6343"/>
    <w:rsid w:val="00AF6377"/>
    <w:rsid w:val="00AF647A"/>
    <w:rsid w:val="00AF6666"/>
    <w:rsid w:val="00AF6E1E"/>
    <w:rsid w:val="00AF6F57"/>
    <w:rsid w:val="00AF759B"/>
    <w:rsid w:val="00AF75E5"/>
    <w:rsid w:val="00AF7799"/>
    <w:rsid w:val="00AF7832"/>
    <w:rsid w:val="00AF7A2F"/>
    <w:rsid w:val="00AF7AD8"/>
    <w:rsid w:val="00AF7B9B"/>
    <w:rsid w:val="00AF7C70"/>
    <w:rsid w:val="00AF7C8E"/>
    <w:rsid w:val="00AF7E1F"/>
    <w:rsid w:val="00AF7EE4"/>
    <w:rsid w:val="00AF7F70"/>
    <w:rsid w:val="00AF7FA2"/>
    <w:rsid w:val="00B001C6"/>
    <w:rsid w:val="00B0044A"/>
    <w:rsid w:val="00B00934"/>
    <w:rsid w:val="00B009F9"/>
    <w:rsid w:val="00B00C42"/>
    <w:rsid w:val="00B00E53"/>
    <w:rsid w:val="00B0110C"/>
    <w:rsid w:val="00B013FC"/>
    <w:rsid w:val="00B014C0"/>
    <w:rsid w:val="00B0166B"/>
    <w:rsid w:val="00B01682"/>
    <w:rsid w:val="00B01950"/>
    <w:rsid w:val="00B02053"/>
    <w:rsid w:val="00B0218A"/>
    <w:rsid w:val="00B024C7"/>
    <w:rsid w:val="00B02881"/>
    <w:rsid w:val="00B02E22"/>
    <w:rsid w:val="00B03105"/>
    <w:rsid w:val="00B0313C"/>
    <w:rsid w:val="00B031A8"/>
    <w:rsid w:val="00B03215"/>
    <w:rsid w:val="00B0336F"/>
    <w:rsid w:val="00B03386"/>
    <w:rsid w:val="00B03476"/>
    <w:rsid w:val="00B035A6"/>
    <w:rsid w:val="00B03A5C"/>
    <w:rsid w:val="00B03B71"/>
    <w:rsid w:val="00B03F7E"/>
    <w:rsid w:val="00B040A1"/>
    <w:rsid w:val="00B044F5"/>
    <w:rsid w:val="00B04569"/>
    <w:rsid w:val="00B047A9"/>
    <w:rsid w:val="00B04983"/>
    <w:rsid w:val="00B049CB"/>
    <w:rsid w:val="00B04E29"/>
    <w:rsid w:val="00B050D7"/>
    <w:rsid w:val="00B05897"/>
    <w:rsid w:val="00B059AE"/>
    <w:rsid w:val="00B05C1E"/>
    <w:rsid w:val="00B05DCA"/>
    <w:rsid w:val="00B05F5D"/>
    <w:rsid w:val="00B06234"/>
    <w:rsid w:val="00B06413"/>
    <w:rsid w:val="00B065B4"/>
    <w:rsid w:val="00B06D9F"/>
    <w:rsid w:val="00B0729D"/>
    <w:rsid w:val="00B073A1"/>
    <w:rsid w:val="00B0766F"/>
    <w:rsid w:val="00B0777C"/>
    <w:rsid w:val="00B077F4"/>
    <w:rsid w:val="00B078A0"/>
    <w:rsid w:val="00B07A8A"/>
    <w:rsid w:val="00B07ADC"/>
    <w:rsid w:val="00B07DAC"/>
    <w:rsid w:val="00B07E1E"/>
    <w:rsid w:val="00B07E63"/>
    <w:rsid w:val="00B07E88"/>
    <w:rsid w:val="00B07F1F"/>
    <w:rsid w:val="00B07FF7"/>
    <w:rsid w:val="00B10136"/>
    <w:rsid w:val="00B1072A"/>
    <w:rsid w:val="00B10731"/>
    <w:rsid w:val="00B10DC5"/>
    <w:rsid w:val="00B110B5"/>
    <w:rsid w:val="00B1113C"/>
    <w:rsid w:val="00B11364"/>
    <w:rsid w:val="00B11455"/>
    <w:rsid w:val="00B1166D"/>
    <w:rsid w:val="00B1169B"/>
    <w:rsid w:val="00B11E10"/>
    <w:rsid w:val="00B11F13"/>
    <w:rsid w:val="00B12342"/>
    <w:rsid w:val="00B12636"/>
    <w:rsid w:val="00B12782"/>
    <w:rsid w:val="00B12867"/>
    <w:rsid w:val="00B12C2B"/>
    <w:rsid w:val="00B133AE"/>
    <w:rsid w:val="00B135E3"/>
    <w:rsid w:val="00B137A5"/>
    <w:rsid w:val="00B138C2"/>
    <w:rsid w:val="00B1399E"/>
    <w:rsid w:val="00B13C9B"/>
    <w:rsid w:val="00B13D15"/>
    <w:rsid w:val="00B13D8A"/>
    <w:rsid w:val="00B13FD6"/>
    <w:rsid w:val="00B1431B"/>
    <w:rsid w:val="00B1441D"/>
    <w:rsid w:val="00B146D8"/>
    <w:rsid w:val="00B1476E"/>
    <w:rsid w:val="00B14924"/>
    <w:rsid w:val="00B14AE1"/>
    <w:rsid w:val="00B14B2B"/>
    <w:rsid w:val="00B14ED4"/>
    <w:rsid w:val="00B14F33"/>
    <w:rsid w:val="00B153D8"/>
    <w:rsid w:val="00B154D1"/>
    <w:rsid w:val="00B1559E"/>
    <w:rsid w:val="00B15893"/>
    <w:rsid w:val="00B1595B"/>
    <w:rsid w:val="00B15997"/>
    <w:rsid w:val="00B159CD"/>
    <w:rsid w:val="00B15F78"/>
    <w:rsid w:val="00B1667B"/>
    <w:rsid w:val="00B16729"/>
    <w:rsid w:val="00B167F6"/>
    <w:rsid w:val="00B1698F"/>
    <w:rsid w:val="00B16BF4"/>
    <w:rsid w:val="00B16C24"/>
    <w:rsid w:val="00B16F20"/>
    <w:rsid w:val="00B16F84"/>
    <w:rsid w:val="00B16FA5"/>
    <w:rsid w:val="00B1706B"/>
    <w:rsid w:val="00B17403"/>
    <w:rsid w:val="00B1789A"/>
    <w:rsid w:val="00B179E2"/>
    <w:rsid w:val="00B17AAC"/>
    <w:rsid w:val="00B17D48"/>
    <w:rsid w:val="00B17D49"/>
    <w:rsid w:val="00B202C3"/>
    <w:rsid w:val="00B20463"/>
    <w:rsid w:val="00B20B25"/>
    <w:rsid w:val="00B20DD1"/>
    <w:rsid w:val="00B20EA6"/>
    <w:rsid w:val="00B20ED2"/>
    <w:rsid w:val="00B2107E"/>
    <w:rsid w:val="00B211E7"/>
    <w:rsid w:val="00B2186C"/>
    <w:rsid w:val="00B21923"/>
    <w:rsid w:val="00B21A3F"/>
    <w:rsid w:val="00B21A72"/>
    <w:rsid w:val="00B21AAB"/>
    <w:rsid w:val="00B21B2C"/>
    <w:rsid w:val="00B21C51"/>
    <w:rsid w:val="00B21F03"/>
    <w:rsid w:val="00B220CF"/>
    <w:rsid w:val="00B228A3"/>
    <w:rsid w:val="00B229DE"/>
    <w:rsid w:val="00B2316D"/>
    <w:rsid w:val="00B235C3"/>
    <w:rsid w:val="00B236D3"/>
    <w:rsid w:val="00B23FAB"/>
    <w:rsid w:val="00B23FB8"/>
    <w:rsid w:val="00B23FB9"/>
    <w:rsid w:val="00B2410D"/>
    <w:rsid w:val="00B24150"/>
    <w:rsid w:val="00B24268"/>
    <w:rsid w:val="00B243BB"/>
    <w:rsid w:val="00B244FA"/>
    <w:rsid w:val="00B24513"/>
    <w:rsid w:val="00B24767"/>
    <w:rsid w:val="00B2485D"/>
    <w:rsid w:val="00B24893"/>
    <w:rsid w:val="00B24EE2"/>
    <w:rsid w:val="00B24EF7"/>
    <w:rsid w:val="00B25387"/>
    <w:rsid w:val="00B2563A"/>
    <w:rsid w:val="00B2564B"/>
    <w:rsid w:val="00B257D1"/>
    <w:rsid w:val="00B25936"/>
    <w:rsid w:val="00B25A37"/>
    <w:rsid w:val="00B25DDF"/>
    <w:rsid w:val="00B264A0"/>
    <w:rsid w:val="00B267B9"/>
    <w:rsid w:val="00B26996"/>
    <w:rsid w:val="00B26E27"/>
    <w:rsid w:val="00B26F36"/>
    <w:rsid w:val="00B270E8"/>
    <w:rsid w:val="00B2740C"/>
    <w:rsid w:val="00B274F9"/>
    <w:rsid w:val="00B27786"/>
    <w:rsid w:val="00B27C30"/>
    <w:rsid w:val="00B27F54"/>
    <w:rsid w:val="00B27FDB"/>
    <w:rsid w:val="00B3064F"/>
    <w:rsid w:val="00B306A0"/>
    <w:rsid w:val="00B3076B"/>
    <w:rsid w:val="00B30C42"/>
    <w:rsid w:val="00B30DBB"/>
    <w:rsid w:val="00B313F2"/>
    <w:rsid w:val="00B31492"/>
    <w:rsid w:val="00B31753"/>
    <w:rsid w:val="00B31BAC"/>
    <w:rsid w:val="00B31BF7"/>
    <w:rsid w:val="00B31C22"/>
    <w:rsid w:val="00B31F90"/>
    <w:rsid w:val="00B31FAC"/>
    <w:rsid w:val="00B31FD6"/>
    <w:rsid w:val="00B32143"/>
    <w:rsid w:val="00B321C4"/>
    <w:rsid w:val="00B324DF"/>
    <w:rsid w:val="00B3261F"/>
    <w:rsid w:val="00B3262E"/>
    <w:rsid w:val="00B3288F"/>
    <w:rsid w:val="00B32C57"/>
    <w:rsid w:val="00B32E86"/>
    <w:rsid w:val="00B32F80"/>
    <w:rsid w:val="00B33077"/>
    <w:rsid w:val="00B33087"/>
    <w:rsid w:val="00B3324A"/>
    <w:rsid w:val="00B3328A"/>
    <w:rsid w:val="00B333B1"/>
    <w:rsid w:val="00B33678"/>
    <w:rsid w:val="00B3369D"/>
    <w:rsid w:val="00B33AE3"/>
    <w:rsid w:val="00B33CFB"/>
    <w:rsid w:val="00B33D77"/>
    <w:rsid w:val="00B34052"/>
    <w:rsid w:val="00B3432F"/>
    <w:rsid w:val="00B34387"/>
    <w:rsid w:val="00B3453B"/>
    <w:rsid w:val="00B34619"/>
    <w:rsid w:val="00B346DB"/>
    <w:rsid w:val="00B347D8"/>
    <w:rsid w:val="00B34B25"/>
    <w:rsid w:val="00B34F92"/>
    <w:rsid w:val="00B351E9"/>
    <w:rsid w:val="00B352A2"/>
    <w:rsid w:val="00B35646"/>
    <w:rsid w:val="00B358A5"/>
    <w:rsid w:val="00B358F6"/>
    <w:rsid w:val="00B35A11"/>
    <w:rsid w:val="00B35C42"/>
    <w:rsid w:val="00B362B2"/>
    <w:rsid w:val="00B3635D"/>
    <w:rsid w:val="00B365D1"/>
    <w:rsid w:val="00B36692"/>
    <w:rsid w:val="00B3690B"/>
    <w:rsid w:val="00B3694F"/>
    <w:rsid w:val="00B36C46"/>
    <w:rsid w:val="00B36F56"/>
    <w:rsid w:val="00B373A9"/>
    <w:rsid w:val="00B37A22"/>
    <w:rsid w:val="00B37F33"/>
    <w:rsid w:val="00B40172"/>
    <w:rsid w:val="00B40783"/>
    <w:rsid w:val="00B40967"/>
    <w:rsid w:val="00B40AD5"/>
    <w:rsid w:val="00B40C7D"/>
    <w:rsid w:val="00B40F00"/>
    <w:rsid w:val="00B412D7"/>
    <w:rsid w:val="00B41843"/>
    <w:rsid w:val="00B41945"/>
    <w:rsid w:val="00B41A0E"/>
    <w:rsid w:val="00B41C52"/>
    <w:rsid w:val="00B42229"/>
    <w:rsid w:val="00B4228D"/>
    <w:rsid w:val="00B425BA"/>
    <w:rsid w:val="00B426CA"/>
    <w:rsid w:val="00B42770"/>
    <w:rsid w:val="00B428B5"/>
    <w:rsid w:val="00B42A8F"/>
    <w:rsid w:val="00B42B71"/>
    <w:rsid w:val="00B42C87"/>
    <w:rsid w:val="00B42D88"/>
    <w:rsid w:val="00B43147"/>
    <w:rsid w:val="00B4354D"/>
    <w:rsid w:val="00B43782"/>
    <w:rsid w:val="00B438CC"/>
    <w:rsid w:val="00B43906"/>
    <w:rsid w:val="00B43EA2"/>
    <w:rsid w:val="00B4494E"/>
    <w:rsid w:val="00B44DD0"/>
    <w:rsid w:val="00B45320"/>
    <w:rsid w:val="00B45449"/>
    <w:rsid w:val="00B4548F"/>
    <w:rsid w:val="00B45601"/>
    <w:rsid w:val="00B45A32"/>
    <w:rsid w:val="00B45E25"/>
    <w:rsid w:val="00B4603C"/>
    <w:rsid w:val="00B4605B"/>
    <w:rsid w:val="00B4619D"/>
    <w:rsid w:val="00B46CF7"/>
    <w:rsid w:val="00B46D2F"/>
    <w:rsid w:val="00B4713C"/>
    <w:rsid w:val="00B47A50"/>
    <w:rsid w:val="00B47B59"/>
    <w:rsid w:val="00B47D95"/>
    <w:rsid w:val="00B47DF8"/>
    <w:rsid w:val="00B50205"/>
    <w:rsid w:val="00B5052F"/>
    <w:rsid w:val="00B50997"/>
    <w:rsid w:val="00B50EE9"/>
    <w:rsid w:val="00B50EF3"/>
    <w:rsid w:val="00B51055"/>
    <w:rsid w:val="00B512E4"/>
    <w:rsid w:val="00B5147C"/>
    <w:rsid w:val="00B518AE"/>
    <w:rsid w:val="00B51C5F"/>
    <w:rsid w:val="00B51DF0"/>
    <w:rsid w:val="00B51FFC"/>
    <w:rsid w:val="00B5202C"/>
    <w:rsid w:val="00B52696"/>
    <w:rsid w:val="00B52C55"/>
    <w:rsid w:val="00B52EFF"/>
    <w:rsid w:val="00B53094"/>
    <w:rsid w:val="00B53440"/>
    <w:rsid w:val="00B535C4"/>
    <w:rsid w:val="00B535FD"/>
    <w:rsid w:val="00B53F67"/>
    <w:rsid w:val="00B54096"/>
    <w:rsid w:val="00B541A5"/>
    <w:rsid w:val="00B5426D"/>
    <w:rsid w:val="00B54346"/>
    <w:rsid w:val="00B546EE"/>
    <w:rsid w:val="00B54AA0"/>
    <w:rsid w:val="00B54B43"/>
    <w:rsid w:val="00B54B61"/>
    <w:rsid w:val="00B54B87"/>
    <w:rsid w:val="00B54BE0"/>
    <w:rsid w:val="00B551C6"/>
    <w:rsid w:val="00B5551A"/>
    <w:rsid w:val="00B55550"/>
    <w:rsid w:val="00B55AAE"/>
    <w:rsid w:val="00B56095"/>
    <w:rsid w:val="00B561A9"/>
    <w:rsid w:val="00B561D1"/>
    <w:rsid w:val="00B568A8"/>
    <w:rsid w:val="00B56958"/>
    <w:rsid w:val="00B56BB9"/>
    <w:rsid w:val="00B56FEE"/>
    <w:rsid w:val="00B5779B"/>
    <w:rsid w:val="00B57B06"/>
    <w:rsid w:val="00B57C9F"/>
    <w:rsid w:val="00B57E95"/>
    <w:rsid w:val="00B57F52"/>
    <w:rsid w:val="00B6103C"/>
    <w:rsid w:val="00B611AB"/>
    <w:rsid w:val="00B61301"/>
    <w:rsid w:val="00B61303"/>
    <w:rsid w:val="00B6133F"/>
    <w:rsid w:val="00B6143C"/>
    <w:rsid w:val="00B616BA"/>
    <w:rsid w:val="00B61A22"/>
    <w:rsid w:val="00B61A3D"/>
    <w:rsid w:val="00B61B89"/>
    <w:rsid w:val="00B61F46"/>
    <w:rsid w:val="00B62107"/>
    <w:rsid w:val="00B6222B"/>
    <w:rsid w:val="00B622CA"/>
    <w:rsid w:val="00B62366"/>
    <w:rsid w:val="00B6253E"/>
    <w:rsid w:val="00B62570"/>
    <w:rsid w:val="00B6268B"/>
    <w:rsid w:val="00B6294A"/>
    <w:rsid w:val="00B62A85"/>
    <w:rsid w:val="00B62CF8"/>
    <w:rsid w:val="00B62F7F"/>
    <w:rsid w:val="00B633C1"/>
    <w:rsid w:val="00B63B29"/>
    <w:rsid w:val="00B63DB0"/>
    <w:rsid w:val="00B640BD"/>
    <w:rsid w:val="00B644F1"/>
    <w:rsid w:val="00B6482A"/>
    <w:rsid w:val="00B648D7"/>
    <w:rsid w:val="00B64A96"/>
    <w:rsid w:val="00B64C54"/>
    <w:rsid w:val="00B64D2C"/>
    <w:rsid w:val="00B64FA6"/>
    <w:rsid w:val="00B6523E"/>
    <w:rsid w:val="00B65266"/>
    <w:rsid w:val="00B6596A"/>
    <w:rsid w:val="00B65F8D"/>
    <w:rsid w:val="00B66204"/>
    <w:rsid w:val="00B66337"/>
    <w:rsid w:val="00B665DA"/>
    <w:rsid w:val="00B6674A"/>
    <w:rsid w:val="00B6676D"/>
    <w:rsid w:val="00B66970"/>
    <w:rsid w:val="00B66A54"/>
    <w:rsid w:val="00B66B68"/>
    <w:rsid w:val="00B66D61"/>
    <w:rsid w:val="00B670A5"/>
    <w:rsid w:val="00B674AC"/>
    <w:rsid w:val="00B67512"/>
    <w:rsid w:val="00B6760C"/>
    <w:rsid w:val="00B67988"/>
    <w:rsid w:val="00B67A0C"/>
    <w:rsid w:val="00B67B6C"/>
    <w:rsid w:val="00B67C0D"/>
    <w:rsid w:val="00B67C33"/>
    <w:rsid w:val="00B67D65"/>
    <w:rsid w:val="00B67E84"/>
    <w:rsid w:val="00B704F7"/>
    <w:rsid w:val="00B70688"/>
    <w:rsid w:val="00B7070A"/>
    <w:rsid w:val="00B708EB"/>
    <w:rsid w:val="00B70B92"/>
    <w:rsid w:val="00B70D01"/>
    <w:rsid w:val="00B70F4A"/>
    <w:rsid w:val="00B710FF"/>
    <w:rsid w:val="00B7143B"/>
    <w:rsid w:val="00B71628"/>
    <w:rsid w:val="00B71775"/>
    <w:rsid w:val="00B71940"/>
    <w:rsid w:val="00B71D8E"/>
    <w:rsid w:val="00B71DBB"/>
    <w:rsid w:val="00B71F66"/>
    <w:rsid w:val="00B7293F"/>
    <w:rsid w:val="00B73222"/>
    <w:rsid w:val="00B735D2"/>
    <w:rsid w:val="00B7373A"/>
    <w:rsid w:val="00B7394B"/>
    <w:rsid w:val="00B739F2"/>
    <w:rsid w:val="00B73DD0"/>
    <w:rsid w:val="00B73DD2"/>
    <w:rsid w:val="00B73EC9"/>
    <w:rsid w:val="00B73F09"/>
    <w:rsid w:val="00B73FD4"/>
    <w:rsid w:val="00B74103"/>
    <w:rsid w:val="00B74970"/>
    <w:rsid w:val="00B74BDE"/>
    <w:rsid w:val="00B75288"/>
    <w:rsid w:val="00B755EB"/>
    <w:rsid w:val="00B761D8"/>
    <w:rsid w:val="00B76832"/>
    <w:rsid w:val="00B769B9"/>
    <w:rsid w:val="00B769E6"/>
    <w:rsid w:val="00B770C1"/>
    <w:rsid w:val="00B774D9"/>
    <w:rsid w:val="00B777B8"/>
    <w:rsid w:val="00B778DC"/>
    <w:rsid w:val="00B77A7C"/>
    <w:rsid w:val="00B77ABF"/>
    <w:rsid w:val="00B77E41"/>
    <w:rsid w:val="00B77F81"/>
    <w:rsid w:val="00B8013C"/>
    <w:rsid w:val="00B8018D"/>
    <w:rsid w:val="00B8021E"/>
    <w:rsid w:val="00B80259"/>
    <w:rsid w:val="00B803D8"/>
    <w:rsid w:val="00B8083B"/>
    <w:rsid w:val="00B80D21"/>
    <w:rsid w:val="00B80FF8"/>
    <w:rsid w:val="00B819D8"/>
    <w:rsid w:val="00B81BAA"/>
    <w:rsid w:val="00B81D20"/>
    <w:rsid w:val="00B81F64"/>
    <w:rsid w:val="00B82020"/>
    <w:rsid w:val="00B8297B"/>
    <w:rsid w:val="00B82F29"/>
    <w:rsid w:val="00B82F49"/>
    <w:rsid w:val="00B83234"/>
    <w:rsid w:val="00B83A0E"/>
    <w:rsid w:val="00B83B5E"/>
    <w:rsid w:val="00B83FA9"/>
    <w:rsid w:val="00B840D9"/>
    <w:rsid w:val="00B8412B"/>
    <w:rsid w:val="00B8441B"/>
    <w:rsid w:val="00B844E7"/>
    <w:rsid w:val="00B84869"/>
    <w:rsid w:val="00B848F2"/>
    <w:rsid w:val="00B84D9B"/>
    <w:rsid w:val="00B84DB9"/>
    <w:rsid w:val="00B8503D"/>
    <w:rsid w:val="00B850BA"/>
    <w:rsid w:val="00B85302"/>
    <w:rsid w:val="00B85317"/>
    <w:rsid w:val="00B85718"/>
    <w:rsid w:val="00B8579A"/>
    <w:rsid w:val="00B85B70"/>
    <w:rsid w:val="00B85D45"/>
    <w:rsid w:val="00B85DE0"/>
    <w:rsid w:val="00B860C2"/>
    <w:rsid w:val="00B86146"/>
    <w:rsid w:val="00B864DF"/>
    <w:rsid w:val="00B865DA"/>
    <w:rsid w:val="00B86C70"/>
    <w:rsid w:val="00B86CE0"/>
    <w:rsid w:val="00B8721E"/>
    <w:rsid w:val="00B87256"/>
    <w:rsid w:val="00B874D8"/>
    <w:rsid w:val="00B87D44"/>
    <w:rsid w:val="00B87EA7"/>
    <w:rsid w:val="00B90141"/>
    <w:rsid w:val="00B9017C"/>
    <w:rsid w:val="00B902BF"/>
    <w:rsid w:val="00B90642"/>
    <w:rsid w:val="00B90AA1"/>
    <w:rsid w:val="00B90ACB"/>
    <w:rsid w:val="00B90C50"/>
    <w:rsid w:val="00B90CA9"/>
    <w:rsid w:val="00B90D48"/>
    <w:rsid w:val="00B90EB6"/>
    <w:rsid w:val="00B90EC3"/>
    <w:rsid w:val="00B910FE"/>
    <w:rsid w:val="00B911A7"/>
    <w:rsid w:val="00B91281"/>
    <w:rsid w:val="00B91547"/>
    <w:rsid w:val="00B917F5"/>
    <w:rsid w:val="00B91860"/>
    <w:rsid w:val="00B91E0A"/>
    <w:rsid w:val="00B91EB9"/>
    <w:rsid w:val="00B9216E"/>
    <w:rsid w:val="00B92373"/>
    <w:rsid w:val="00B923C3"/>
    <w:rsid w:val="00B92459"/>
    <w:rsid w:val="00B92469"/>
    <w:rsid w:val="00B937AA"/>
    <w:rsid w:val="00B93833"/>
    <w:rsid w:val="00B93A0D"/>
    <w:rsid w:val="00B93D24"/>
    <w:rsid w:val="00B93D28"/>
    <w:rsid w:val="00B93F89"/>
    <w:rsid w:val="00B93FCF"/>
    <w:rsid w:val="00B9450B"/>
    <w:rsid w:val="00B94644"/>
    <w:rsid w:val="00B9477C"/>
    <w:rsid w:val="00B94A80"/>
    <w:rsid w:val="00B94F0D"/>
    <w:rsid w:val="00B9502E"/>
    <w:rsid w:val="00B955CF"/>
    <w:rsid w:val="00B95BAA"/>
    <w:rsid w:val="00B95D77"/>
    <w:rsid w:val="00B96308"/>
    <w:rsid w:val="00B96BE0"/>
    <w:rsid w:val="00B96D40"/>
    <w:rsid w:val="00B97095"/>
    <w:rsid w:val="00B97A34"/>
    <w:rsid w:val="00B97BD4"/>
    <w:rsid w:val="00B97FF6"/>
    <w:rsid w:val="00BA02F3"/>
    <w:rsid w:val="00BA03EF"/>
    <w:rsid w:val="00BA04B9"/>
    <w:rsid w:val="00BA0558"/>
    <w:rsid w:val="00BA07B1"/>
    <w:rsid w:val="00BA0848"/>
    <w:rsid w:val="00BA0998"/>
    <w:rsid w:val="00BA0CAC"/>
    <w:rsid w:val="00BA16E1"/>
    <w:rsid w:val="00BA1775"/>
    <w:rsid w:val="00BA190C"/>
    <w:rsid w:val="00BA1DB9"/>
    <w:rsid w:val="00BA1E54"/>
    <w:rsid w:val="00BA22B3"/>
    <w:rsid w:val="00BA240E"/>
    <w:rsid w:val="00BA2915"/>
    <w:rsid w:val="00BA2A5D"/>
    <w:rsid w:val="00BA2E1E"/>
    <w:rsid w:val="00BA2FC4"/>
    <w:rsid w:val="00BA3069"/>
    <w:rsid w:val="00BA3077"/>
    <w:rsid w:val="00BA3DB6"/>
    <w:rsid w:val="00BA4077"/>
    <w:rsid w:val="00BA422C"/>
    <w:rsid w:val="00BA45BB"/>
    <w:rsid w:val="00BA491E"/>
    <w:rsid w:val="00BA4956"/>
    <w:rsid w:val="00BA4A82"/>
    <w:rsid w:val="00BA4B14"/>
    <w:rsid w:val="00BA4BCF"/>
    <w:rsid w:val="00BA55C2"/>
    <w:rsid w:val="00BA55FE"/>
    <w:rsid w:val="00BA5724"/>
    <w:rsid w:val="00BA58AA"/>
    <w:rsid w:val="00BA59F6"/>
    <w:rsid w:val="00BA5A0B"/>
    <w:rsid w:val="00BA5E93"/>
    <w:rsid w:val="00BA5F1B"/>
    <w:rsid w:val="00BA65A1"/>
    <w:rsid w:val="00BA69D6"/>
    <w:rsid w:val="00BA69F0"/>
    <w:rsid w:val="00BA6F21"/>
    <w:rsid w:val="00BA72E0"/>
    <w:rsid w:val="00BA73AE"/>
    <w:rsid w:val="00BA7691"/>
    <w:rsid w:val="00BA7779"/>
    <w:rsid w:val="00BA7A0E"/>
    <w:rsid w:val="00BB0048"/>
    <w:rsid w:val="00BB0796"/>
    <w:rsid w:val="00BB07A8"/>
    <w:rsid w:val="00BB0B41"/>
    <w:rsid w:val="00BB0C39"/>
    <w:rsid w:val="00BB0F17"/>
    <w:rsid w:val="00BB1011"/>
    <w:rsid w:val="00BB1317"/>
    <w:rsid w:val="00BB1568"/>
    <w:rsid w:val="00BB1598"/>
    <w:rsid w:val="00BB15D6"/>
    <w:rsid w:val="00BB1940"/>
    <w:rsid w:val="00BB1B5A"/>
    <w:rsid w:val="00BB1BA3"/>
    <w:rsid w:val="00BB1E02"/>
    <w:rsid w:val="00BB218E"/>
    <w:rsid w:val="00BB21BC"/>
    <w:rsid w:val="00BB22C1"/>
    <w:rsid w:val="00BB24E7"/>
    <w:rsid w:val="00BB2636"/>
    <w:rsid w:val="00BB2854"/>
    <w:rsid w:val="00BB28C7"/>
    <w:rsid w:val="00BB2A1C"/>
    <w:rsid w:val="00BB2C4D"/>
    <w:rsid w:val="00BB3126"/>
    <w:rsid w:val="00BB37AB"/>
    <w:rsid w:val="00BB3F4F"/>
    <w:rsid w:val="00BB4129"/>
    <w:rsid w:val="00BB450E"/>
    <w:rsid w:val="00BB4728"/>
    <w:rsid w:val="00BB4B34"/>
    <w:rsid w:val="00BB4BE9"/>
    <w:rsid w:val="00BB4D08"/>
    <w:rsid w:val="00BB4D84"/>
    <w:rsid w:val="00BB4DD7"/>
    <w:rsid w:val="00BB51B3"/>
    <w:rsid w:val="00BB5286"/>
    <w:rsid w:val="00BB5549"/>
    <w:rsid w:val="00BB5C27"/>
    <w:rsid w:val="00BB5E49"/>
    <w:rsid w:val="00BB6129"/>
    <w:rsid w:val="00BB6262"/>
    <w:rsid w:val="00BB6725"/>
    <w:rsid w:val="00BB6BFF"/>
    <w:rsid w:val="00BB6D83"/>
    <w:rsid w:val="00BB6F22"/>
    <w:rsid w:val="00BB73F0"/>
    <w:rsid w:val="00BB7558"/>
    <w:rsid w:val="00BB7598"/>
    <w:rsid w:val="00BB7639"/>
    <w:rsid w:val="00BB7999"/>
    <w:rsid w:val="00BB79A8"/>
    <w:rsid w:val="00BB7D80"/>
    <w:rsid w:val="00BB7FB8"/>
    <w:rsid w:val="00BB7FE6"/>
    <w:rsid w:val="00BC00D6"/>
    <w:rsid w:val="00BC0151"/>
    <w:rsid w:val="00BC026B"/>
    <w:rsid w:val="00BC0323"/>
    <w:rsid w:val="00BC0349"/>
    <w:rsid w:val="00BC088E"/>
    <w:rsid w:val="00BC0A09"/>
    <w:rsid w:val="00BC106C"/>
    <w:rsid w:val="00BC14B2"/>
    <w:rsid w:val="00BC1608"/>
    <w:rsid w:val="00BC172C"/>
    <w:rsid w:val="00BC1F5B"/>
    <w:rsid w:val="00BC222D"/>
    <w:rsid w:val="00BC27EC"/>
    <w:rsid w:val="00BC29BE"/>
    <w:rsid w:val="00BC2DA5"/>
    <w:rsid w:val="00BC3193"/>
    <w:rsid w:val="00BC349F"/>
    <w:rsid w:val="00BC37DD"/>
    <w:rsid w:val="00BC3827"/>
    <w:rsid w:val="00BC3A64"/>
    <w:rsid w:val="00BC3DF4"/>
    <w:rsid w:val="00BC3F2E"/>
    <w:rsid w:val="00BC3FC1"/>
    <w:rsid w:val="00BC4099"/>
    <w:rsid w:val="00BC437E"/>
    <w:rsid w:val="00BC4383"/>
    <w:rsid w:val="00BC47CE"/>
    <w:rsid w:val="00BC4FEF"/>
    <w:rsid w:val="00BC56AB"/>
    <w:rsid w:val="00BC59AE"/>
    <w:rsid w:val="00BC5F4D"/>
    <w:rsid w:val="00BC6039"/>
    <w:rsid w:val="00BC639E"/>
    <w:rsid w:val="00BC6759"/>
    <w:rsid w:val="00BC67D3"/>
    <w:rsid w:val="00BC6B9C"/>
    <w:rsid w:val="00BC6BBF"/>
    <w:rsid w:val="00BC6CC8"/>
    <w:rsid w:val="00BC6CDB"/>
    <w:rsid w:val="00BC7034"/>
    <w:rsid w:val="00BC735C"/>
    <w:rsid w:val="00BC744D"/>
    <w:rsid w:val="00BC7547"/>
    <w:rsid w:val="00BC77E2"/>
    <w:rsid w:val="00BC7B0E"/>
    <w:rsid w:val="00BC7E45"/>
    <w:rsid w:val="00BD0126"/>
    <w:rsid w:val="00BD065D"/>
    <w:rsid w:val="00BD07C2"/>
    <w:rsid w:val="00BD0A31"/>
    <w:rsid w:val="00BD0A9F"/>
    <w:rsid w:val="00BD0D7C"/>
    <w:rsid w:val="00BD0EF4"/>
    <w:rsid w:val="00BD1733"/>
    <w:rsid w:val="00BD190D"/>
    <w:rsid w:val="00BD1A83"/>
    <w:rsid w:val="00BD1FD9"/>
    <w:rsid w:val="00BD2155"/>
    <w:rsid w:val="00BD2448"/>
    <w:rsid w:val="00BD2470"/>
    <w:rsid w:val="00BD24EB"/>
    <w:rsid w:val="00BD275F"/>
    <w:rsid w:val="00BD2A10"/>
    <w:rsid w:val="00BD2ADE"/>
    <w:rsid w:val="00BD2F28"/>
    <w:rsid w:val="00BD3275"/>
    <w:rsid w:val="00BD33DA"/>
    <w:rsid w:val="00BD3483"/>
    <w:rsid w:val="00BD360A"/>
    <w:rsid w:val="00BD37EB"/>
    <w:rsid w:val="00BD383B"/>
    <w:rsid w:val="00BD3AC9"/>
    <w:rsid w:val="00BD3D52"/>
    <w:rsid w:val="00BD3DDF"/>
    <w:rsid w:val="00BD4457"/>
    <w:rsid w:val="00BD44F1"/>
    <w:rsid w:val="00BD4718"/>
    <w:rsid w:val="00BD47C6"/>
    <w:rsid w:val="00BD4A86"/>
    <w:rsid w:val="00BD4A9F"/>
    <w:rsid w:val="00BD4BA5"/>
    <w:rsid w:val="00BD4BFD"/>
    <w:rsid w:val="00BD4D37"/>
    <w:rsid w:val="00BD4D9D"/>
    <w:rsid w:val="00BD548D"/>
    <w:rsid w:val="00BD55DC"/>
    <w:rsid w:val="00BD5776"/>
    <w:rsid w:val="00BD57BB"/>
    <w:rsid w:val="00BD59CB"/>
    <w:rsid w:val="00BD5A21"/>
    <w:rsid w:val="00BD634B"/>
    <w:rsid w:val="00BD6CD7"/>
    <w:rsid w:val="00BD6D4A"/>
    <w:rsid w:val="00BD6DEE"/>
    <w:rsid w:val="00BD7068"/>
    <w:rsid w:val="00BD74B6"/>
    <w:rsid w:val="00BD757A"/>
    <w:rsid w:val="00BD7BC3"/>
    <w:rsid w:val="00BD7CD2"/>
    <w:rsid w:val="00BE021F"/>
    <w:rsid w:val="00BE0377"/>
    <w:rsid w:val="00BE056F"/>
    <w:rsid w:val="00BE05DB"/>
    <w:rsid w:val="00BE09C7"/>
    <w:rsid w:val="00BE0A1B"/>
    <w:rsid w:val="00BE0B8A"/>
    <w:rsid w:val="00BE0F6D"/>
    <w:rsid w:val="00BE1568"/>
    <w:rsid w:val="00BE1648"/>
    <w:rsid w:val="00BE19B5"/>
    <w:rsid w:val="00BE1A0C"/>
    <w:rsid w:val="00BE2002"/>
    <w:rsid w:val="00BE204B"/>
    <w:rsid w:val="00BE2AB9"/>
    <w:rsid w:val="00BE2D98"/>
    <w:rsid w:val="00BE306C"/>
    <w:rsid w:val="00BE34FB"/>
    <w:rsid w:val="00BE3BF7"/>
    <w:rsid w:val="00BE3CF2"/>
    <w:rsid w:val="00BE41CB"/>
    <w:rsid w:val="00BE4870"/>
    <w:rsid w:val="00BE4947"/>
    <w:rsid w:val="00BE49E8"/>
    <w:rsid w:val="00BE52F6"/>
    <w:rsid w:val="00BE541D"/>
    <w:rsid w:val="00BE584C"/>
    <w:rsid w:val="00BE5859"/>
    <w:rsid w:val="00BE58F2"/>
    <w:rsid w:val="00BE595F"/>
    <w:rsid w:val="00BE5A1D"/>
    <w:rsid w:val="00BE5CE9"/>
    <w:rsid w:val="00BE5D06"/>
    <w:rsid w:val="00BE5F09"/>
    <w:rsid w:val="00BE60CD"/>
    <w:rsid w:val="00BE6116"/>
    <w:rsid w:val="00BE6131"/>
    <w:rsid w:val="00BE6197"/>
    <w:rsid w:val="00BE6288"/>
    <w:rsid w:val="00BE6311"/>
    <w:rsid w:val="00BE6519"/>
    <w:rsid w:val="00BE672B"/>
    <w:rsid w:val="00BE6831"/>
    <w:rsid w:val="00BE7124"/>
    <w:rsid w:val="00BE74F5"/>
    <w:rsid w:val="00BE7993"/>
    <w:rsid w:val="00BE7A8A"/>
    <w:rsid w:val="00BE7DC3"/>
    <w:rsid w:val="00BF02D0"/>
    <w:rsid w:val="00BF0497"/>
    <w:rsid w:val="00BF078C"/>
    <w:rsid w:val="00BF0F43"/>
    <w:rsid w:val="00BF15AD"/>
    <w:rsid w:val="00BF192D"/>
    <w:rsid w:val="00BF22B5"/>
    <w:rsid w:val="00BF2898"/>
    <w:rsid w:val="00BF3088"/>
    <w:rsid w:val="00BF3327"/>
    <w:rsid w:val="00BF379D"/>
    <w:rsid w:val="00BF37C0"/>
    <w:rsid w:val="00BF3ECB"/>
    <w:rsid w:val="00BF418B"/>
    <w:rsid w:val="00BF443D"/>
    <w:rsid w:val="00BF48BC"/>
    <w:rsid w:val="00BF4C19"/>
    <w:rsid w:val="00BF4C9D"/>
    <w:rsid w:val="00BF4D16"/>
    <w:rsid w:val="00BF4DEA"/>
    <w:rsid w:val="00BF56D2"/>
    <w:rsid w:val="00BF577F"/>
    <w:rsid w:val="00BF58F2"/>
    <w:rsid w:val="00BF5ADD"/>
    <w:rsid w:val="00BF5D84"/>
    <w:rsid w:val="00BF5E4B"/>
    <w:rsid w:val="00BF62B5"/>
    <w:rsid w:val="00BF65D1"/>
    <w:rsid w:val="00BF6A6A"/>
    <w:rsid w:val="00BF72E3"/>
    <w:rsid w:val="00BF7ADE"/>
    <w:rsid w:val="00BF7B41"/>
    <w:rsid w:val="00BF7B81"/>
    <w:rsid w:val="00BF7D14"/>
    <w:rsid w:val="00BF7F93"/>
    <w:rsid w:val="00C00032"/>
    <w:rsid w:val="00C001C3"/>
    <w:rsid w:val="00C004C9"/>
    <w:rsid w:val="00C00769"/>
    <w:rsid w:val="00C00A2D"/>
    <w:rsid w:val="00C00B8C"/>
    <w:rsid w:val="00C00DC3"/>
    <w:rsid w:val="00C01A9F"/>
    <w:rsid w:val="00C01CB5"/>
    <w:rsid w:val="00C01DB9"/>
    <w:rsid w:val="00C02421"/>
    <w:rsid w:val="00C0249B"/>
    <w:rsid w:val="00C02523"/>
    <w:rsid w:val="00C0263A"/>
    <w:rsid w:val="00C02669"/>
    <w:rsid w:val="00C02DD2"/>
    <w:rsid w:val="00C031D3"/>
    <w:rsid w:val="00C0345A"/>
    <w:rsid w:val="00C0370F"/>
    <w:rsid w:val="00C03C0A"/>
    <w:rsid w:val="00C03D9D"/>
    <w:rsid w:val="00C0422A"/>
    <w:rsid w:val="00C042BE"/>
    <w:rsid w:val="00C050A5"/>
    <w:rsid w:val="00C05163"/>
    <w:rsid w:val="00C056CD"/>
    <w:rsid w:val="00C057E9"/>
    <w:rsid w:val="00C05983"/>
    <w:rsid w:val="00C05CFD"/>
    <w:rsid w:val="00C05F9F"/>
    <w:rsid w:val="00C06106"/>
    <w:rsid w:val="00C06214"/>
    <w:rsid w:val="00C069BC"/>
    <w:rsid w:val="00C06D73"/>
    <w:rsid w:val="00C06D7E"/>
    <w:rsid w:val="00C06EFC"/>
    <w:rsid w:val="00C06FEB"/>
    <w:rsid w:val="00C0723A"/>
    <w:rsid w:val="00C072D9"/>
    <w:rsid w:val="00C0744B"/>
    <w:rsid w:val="00C074FB"/>
    <w:rsid w:val="00C076D4"/>
    <w:rsid w:val="00C076F1"/>
    <w:rsid w:val="00C07E41"/>
    <w:rsid w:val="00C07E61"/>
    <w:rsid w:val="00C102F0"/>
    <w:rsid w:val="00C103E5"/>
    <w:rsid w:val="00C1040F"/>
    <w:rsid w:val="00C1054B"/>
    <w:rsid w:val="00C109C4"/>
    <w:rsid w:val="00C10F42"/>
    <w:rsid w:val="00C10F9E"/>
    <w:rsid w:val="00C110AB"/>
    <w:rsid w:val="00C11197"/>
    <w:rsid w:val="00C115EC"/>
    <w:rsid w:val="00C11BDB"/>
    <w:rsid w:val="00C11F81"/>
    <w:rsid w:val="00C1217E"/>
    <w:rsid w:val="00C124DC"/>
    <w:rsid w:val="00C12602"/>
    <w:rsid w:val="00C12622"/>
    <w:rsid w:val="00C1273F"/>
    <w:rsid w:val="00C12A00"/>
    <w:rsid w:val="00C12F1C"/>
    <w:rsid w:val="00C13453"/>
    <w:rsid w:val="00C139B9"/>
    <w:rsid w:val="00C139DE"/>
    <w:rsid w:val="00C14070"/>
    <w:rsid w:val="00C1416E"/>
    <w:rsid w:val="00C141F4"/>
    <w:rsid w:val="00C143BB"/>
    <w:rsid w:val="00C145BC"/>
    <w:rsid w:val="00C147FA"/>
    <w:rsid w:val="00C14814"/>
    <w:rsid w:val="00C14CEA"/>
    <w:rsid w:val="00C14D34"/>
    <w:rsid w:val="00C14D72"/>
    <w:rsid w:val="00C14D78"/>
    <w:rsid w:val="00C152AF"/>
    <w:rsid w:val="00C15480"/>
    <w:rsid w:val="00C154B3"/>
    <w:rsid w:val="00C15886"/>
    <w:rsid w:val="00C158C3"/>
    <w:rsid w:val="00C15BBB"/>
    <w:rsid w:val="00C15FD2"/>
    <w:rsid w:val="00C162FB"/>
    <w:rsid w:val="00C16C12"/>
    <w:rsid w:val="00C16E58"/>
    <w:rsid w:val="00C16F2D"/>
    <w:rsid w:val="00C1709A"/>
    <w:rsid w:val="00C170C6"/>
    <w:rsid w:val="00C170D7"/>
    <w:rsid w:val="00C173D7"/>
    <w:rsid w:val="00C173E5"/>
    <w:rsid w:val="00C17543"/>
    <w:rsid w:val="00C17768"/>
    <w:rsid w:val="00C17809"/>
    <w:rsid w:val="00C178E4"/>
    <w:rsid w:val="00C178FD"/>
    <w:rsid w:val="00C17A5C"/>
    <w:rsid w:val="00C17AD8"/>
    <w:rsid w:val="00C17C64"/>
    <w:rsid w:val="00C17CD2"/>
    <w:rsid w:val="00C17D52"/>
    <w:rsid w:val="00C17DA6"/>
    <w:rsid w:val="00C203CE"/>
    <w:rsid w:val="00C203E9"/>
    <w:rsid w:val="00C2041D"/>
    <w:rsid w:val="00C2079D"/>
    <w:rsid w:val="00C207C2"/>
    <w:rsid w:val="00C20CEA"/>
    <w:rsid w:val="00C20DF7"/>
    <w:rsid w:val="00C20E79"/>
    <w:rsid w:val="00C20F95"/>
    <w:rsid w:val="00C2165A"/>
    <w:rsid w:val="00C2183B"/>
    <w:rsid w:val="00C218A5"/>
    <w:rsid w:val="00C2190B"/>
    <w:rsid w:val="00C219C2"/>
    <w:rsid w:val="00C21C49"/>
    <w:rsid w:val="00C21D57"/>
    <w:rsid w:val="00C21D7B"/>
    <w:rsid w:val="00C220FA"/>
    <w:rsid w:val="00C223E6"/>
    <w:rsid w:val="00C2246C"/>
    <w:rsid w:val="00C227F6"/>
    <w:rsid w:val="00C22EEF"/>
    <w:rsid w:val="00C233C8"/>
    <w:rsid w:val="00C236BA"/>
    <w:rsid w:val="00C23909"/>
    <w:rsid w:val="00C23F07"/>
    <w:rsid w:val="00C24006"/>
    <w:rsid w:val="00C241D6"/>
    <w:rsid w:val="00C241E8"/>
    <w:rsid w:val="00C242A4"/>
    <w:rsid w:val="00C248B9"/>
    <w:rsid w:val="00C249B9"/>
    <w:rsid w:val="00C24DDB"/>
    <w:rsid w:val="00C24DE7"/>
    <w:rsid w:val="00C25274"/>
    <w:rsid w:val="00C2528F"/>
    <w:rsid w:val="00C25607"/>
    <w:rsid w:val="00C25686"/>
    <w:rsid w:val="00C25728"/>
    <w:rsid w:val="00C25AE6"/>
    <w:rsid w:val="00C25D03"/>
    <w:rsid w:val="00C25F61"/>
    <w:rsid w:val="00C26314"/>
    <w:rsid w:val="00C2687C"/>
    <w:rsid w:val="00C26C8A"/>
    <w:rsid w:val="00C27032"/>
    <w:rsid w:val="00C2745A"/>
    <w:rsid w:val="00C27EB7"/>
    <w:rsid w:val="00C27EF3"/>
    <w:rsid w:val="00C300FA"/>
    <w:rsid w:val="00C30323"/>
    <w:rsid w:val="00C303A0"/>
    <w:rsid w:val="00C307EE"/>
    <w:rsid w:val="00C30911"/>
    <w:rsid w:val="00C30984"/>
    <w:rsid w:val="00C30C33"/>
    <w:rsid w:val="00C30D7B"/>
    <w:rsid w:val="00C31621"/>
    <w:rsid w:val="00C317A0"/>
    <w:rsid w:val="00C317A6"/>
    <w:rsid w:val="00C31911"/>
    <w:rsid w:val="00C3199C"/>
    <w:rsid w:val="00C31D77"/>
    <w:rsid w:val="00C3219F"/>
    <w:rsid w:val="00C32876"/>
    <w:rsid w:val="00C32B3E"/>
    <w:rsid w:val="00C32B64"/>
    <w:rsid w:val="00C33131"/>
    <w:rsid w:val="00C33683"/>
    <w:rsid w:val="00C3386F"/>
    <w:rsid w:val="00C33AD3"/>
    <w:rsid w:val="00C33B5D"/>
    <w:rsid w:val="00C33CE8"/>
    <w:rsid w:val="00C33DA5"/>
    <w:rsid w:val="00C33DA8"/>
    <w:rsid w:val="00C34221"/>
    <w:rsid w:val="00C342C8"/>
    <w:rsid w:val="00C342EB"/>
    <w:rsid w:val="00C345C9"/>
    <w:rsid w:val="00C347F8"/>
    <w:rsid w:val="00C34AFB"/>
    <w:rsid w:val="00C34D18"/>
    <w:rsid w:val="00C34E6B"/>
    <w:rsid w:val="00C34EB2"/>
    <w:rsid w:val="00C34F83"/>
    <w:rsid w:val="00C34F8E"/>
    <w:rsid w:val="00C34FE6"/>
    <w:rsid w:val="00C35073"/>
    <w:rsid w:val="00C350ED"/>
    <w:rsid w:val="00C357F7"/>
    <w:rsid w:val="00C358D0"/>
    <w:rsid w:val="00C35947"/>
    <w:rsid w:val="00C35A6A"/>
    <w:rsid w:val="00C35D48"/>
    <w:rsid w:val="00C36274"/>
    <w:rsid w:val="00C36494"/>
    <w:rsid w:val="00C36546"/>
    <w:rsid w:val="00C36B60"/>
    <w:rsid w:val="00C36BB5"/>
    <w:rsid w:val="00C36FB8"/>
    <w:rsid w:val="00C37172"/>
    <w:rsid w:val="00C376E3"/>
    <w:rsid w:val="00C37A3C"/>
    <w:rsid w:val="00C37BCE"/>
    <w:rsid w:val="00C37D40"/>
    <w:rsid w:val="00C37E56"/>
    <w:rsid w:val="00C40137"/>
    <w:rsid w:val="00C404D4"/>
    <w:rsid w:val="00C4051D"/>
    <w:rsid w:val="00C40688"/>
    <w:rsid w:val="00C406FC"/>
    <w:rsid w:val="00C40AD0"/>
    <w:rsid w:val="00C40C3E"/>
    <w:rsid w:val="00C40CD9"/>
    <w:rsid w:val="00C40CF0"/>
    <w:rsid w:val="00C412D3"/>
    <w:rsid w:val="00C413C0"/>
    <w:rsid w:val="00C419D0"/>
    <w:rsid w:val="00C41E1C"/>
    <w:rsid w:val="00C41F58"/>
    <w:rsid w:val="00C4202E"/>
    <w:rsid w:val="00C42076"/>
    <w:rsid w:val="00C42173"/>
    <w:rsid w:val="00C421BF"/>
    <w:rsid w:val="00C424E1"/>
    <w:rsid w:val="00C425E2"/>
    <w:rsid w:val="00C427BE"/>
    <w:rsid w:val="00C42C67"/>
    <w:rsid w:val="00C42EB1"/>
    <w:rsid w:val="00C42EE3"/>
    <w:rsid w:val="00C43060"/>
    <w:rsid w:val="00C4313B"/>
    <w:rsid w:val="00C435C7"/>
    <w:rsid w:val="00C4365A"/>
    <w:rsid w:val="00C4377A"/>
    <w:rsid w:val="00C439C2"/>
    <w:rsid w:val="00C43AB0"/>
    <w:rsid w:val="00C43AD7"/>
    <w:rsid w:val="00C442E0"/>
    <w:rsid w:val="00C4495E"/>
    <w:rsid w:val="00C44971"/>
    <w:rsid w:val="00C44980"/>
    <w:rsid w:val="00C4526B"/>
    <w:rsid w:val="00C452A2"/>
    <w:rsid w:val="00C452DD"/>
    <w:rsid w:val="00C454F2"/>
    <w:rsid w:val="00C45506"/>
    <w:rsid w:val="00C457A1"/>
    <w:rsid w:val="00C458CE"/>
    <w:rsid w:val="00C45B0C"/>
    <w:rsid w:val="00C45B39"/>
    <w:rsid w:val="00C45BF0"/>
    <w:rsid w:val="00C45E4E"/>
    <w:rsid w:val="00C45E98"/>
    <w:rsid w:val="00C45EFC"/>
    <w:rsid w:val="00C4611D"/>
    <w:rsid w:val="00C46203"/>
    <w:rsid w:val="00C46AE0"/>
    <w:rsid w:val="00C46B8C"/>
    <w:rsid w:val="00C46D86"/>
    <w:rsid w:val="00C46F83"/>
    <w:rsid w:val="00C47478"/>
    <w:rsid w:val="00C474D0"/>
    <w:rsid w:val="00C47601"/>
    <w:rsid w:val="00C4778B"/>
    <w:rsid w:val="00C47865"/>
    <w:rsid w:val="00C47D67"/>
    <w:rsid w:val="00C47E07"/>
    <w:rsid w:val="00C47F2E"/>
    <w:rsid w:val="00C5005E"/>
    <w:rsid w:val="00C50062"/>
    <w:rsid w:val="00C500F1"/>
    <w:rsid w:val="00C5012D"/>
    <w:rsid w:val="00C5046F"/>
    <w:rsid w:val="00C505D4"/>
    <w:rsid w:val="00C50796"/>
    <w:rsid w:val="00C509B8"/>
    <w:rsid w:val="00C50AE5"/>
    <w:rsid w:val="00C50B0B"/>
    <w:rsid w:val="00C50B5E"/>
    <w:rsid w:val="00C50CA6"/>
    <w:rsid w:val="00C50E19"/>
    <w:rsid w:val="00C51014"/>
    <w:rsid w:val="00C51173"/>
    <w:rsid w:val="00C5135C"/>
    <w:rsid w:val="00C51590"/>
    <w:rsid w:val="00C51C18"/>
    <w:rsid w:val="00C51C4D"/>
    <w:rsid w:val="00C51DED"/>
    <w:rsid w:val="00C5239D"/>
    <w:rsid w:val="00C525F6"/>
    <w:rsid w:val="00C5266A"/>
    <w:rsid w:val="00C5285D"/>
    <w:rsid w:val="00C52ACC"/>
    <w:rsid w:val="00C52C48"/>
    <w:rsid w:val="00C5321F"/>
    <w:rsid w:val="00C53658"/>
    <w:rsid w:val="00C5377D"/>
    <w:rsid w:val="00C53786"/>
    <w:rsid w:val="00C53883"/>
    <w:rsid w:val="00C539B0"/>
    <w:rsid w:val="00C5400E"/>
    <w:rsid w:val="00C54086"/>
    <w:rsid w:val="00C54315"/>
    <w:rsid w:val="00C5455E"/>
    <w:rsid w:val="00C5488C"/>
    <w:rsid w:val="00C54DF1"/>
    <w:rsid w:val="00C55ABD"/>
    <w:rsid w:val="00C55AEE"/>
    <w:rsid w:val="00C55AFB"/>
    <w:rsid w:val="00C55C83"/>
    <w:rsid w:val="00C55FE1"/>
    <w:rsid w:val="00C5625A"/>
    <w:rsid w:val="00C56299"/>
    <w:rsid w:val="00C569F9"/>
    <w:rsid w:val="00C56D1A"/>
    <w:rsid w:val="00C56FFF"/>
    <w:rsid w:val="00C5707A"/>
    <w:rsid w:val="00C574BF"/>
    <w:rsid w:val="00C5774E"/>
    <w:rsid w:val="00C57904"/>
    <w:rsid w:val="00C57992"/>
    <w:rsid w:val="00C57E01"/>
    <w:rsid w:val="00C57E2C"/>
    <w:rsid w:val="00C60324"/>
    <w:rsid w:val="00C605F3"/>
    <w:rsid w:val="00C609E9"/>
    <w:rsid w:val="00C60BAB"/>
    <w:rsid w:val="00C60D0A"/>
    <w:rsid w:val="00C6120D"/>
    <w:rsid w:val="00C61339"/>
    <w:rsid w:val="00C613C6"/>
    <w:rsid w:val="00C616CF"/>
    <w:rsid w:val="00C62012"/>
    <w:rsid w:val="00C6204A"/>
    <w:rsid w:val="00C625AE"/>
    <w:rsid w:val="00C62A46"/>
    <w:rsid w:val="00C638CF"/>
    <w:rsid w:val="00C63916"/>
    <w:rsid w:val="00C63A8A"/>
    <w:rsid w:val="00C63C61"/>
    <w:rsid w:val="00C63D44"/>
    <w:rsid w:val="00C63E2B"/>
    <w:rsid w:val="00C63F21"/>
    <w:rsid w:val="00C64137"/>
    <w:rsid w:val="00C6436E"/>
    <w:rsid w:val="00C6485C"/>
    <w:rsid w:val="00C64C7B"/>
    <w:rsid w:val="00C64EF7"/>
    <w:rsid w:val="00C65557"/>
    <w:rsid w:val="00C655FE"/>
    <w:rsid w:val="00C65680"/>
    <w:rsid w:val="00C656EE"/>
    <w:rsid w:val="00C65975"/>
    <w:rsid w:val="00C65AE9"/>
    <w:rsid w:val="00C65BEA"/>
    <w:rsid w:val="00C65E65"/>
    <w:rsid w:val="00C6605E"/>
    <w:rsid w:val="00C662CD"/>
    <w:rsid w:val="00C66378"/>
    <w:rsid w:val="00C667E5"/>
    <w:rsid w:val="00C66A5A"/>
    <w:rsid w:val="00C66CB6"/>
    <w:rsid w:val="00C66DD3"/>
    <w:rsid w:val="00C67296"/>
    <w:rsid w:val="00C672A7"/>
    <w:rsid w:val="00C6739A"/>
    <w:rsid w:val="00C67805"/>
    <w:rsid w:val="00C67A04"/>
    <w:rsid w:val="00C67F60"/>
    <w:rsid w:val="00C70015"/>
    <w:rsid w:val="00C70607"/>
    <w:rsid w:val="00C7060A"/>
    <w:rsid w:val="00C7078B"/>
    <w:rsid w:val="00C71283"/>
    <w:rsid w:val="00C71363"/>
    <w:rsid w:val="00C71791"/>
    <w:rsid w:val="00C7189E"/>
    <w:rsid w:val="00C719A2"/>
    <w:rsid w:val="00C71AE4"/>
    <w:rsid w:val="00C71C34"/>
    <w:rsid w:val="00C71C57"/>
    <w:rsid w:val="00C71D13"/>
    <w:rsid w:val="00C721F4"/>
    <w:rsid w:val="00C723A3"/>
    <w:rsid w:val="00C7272C"/>
    <w:rsid w:val="00C7276C"/>
    <w:rsid w:val="00C728DA"/>
    <w:rsid w:val="00C72B69"/>
    <w:rsid w:val="00C72CAD"/>
    <w:rsid w:val="00C72CB3"/>
    <w:rsid w:val="00C72EB3"/>
    <w:rsid w:val="00C7323B"/>
    <w:rsid w:val="00C73262"/>
    <w:rsid w:val="00C7358C"/>
    <w:rsid w:val="00C7365A"/>
    <w:rsid w:val="00C7381B"/>
    <w:rsid w:val="00C73A03"/>
    <w:rsid w:val="00C73E2C"/>
    <w:rsid w:val="00C74211"/>
    <w:rsid w:val="00C744E0"/>
    <w:rsid w:val="00C74A22"/>
    <w:rsid w:val="00C74D00"/>
    <w:rsid w:val="00C74D43"/>
    <w:rsid w:val="00C74D76"/>
    <w:rsid w:val="00C74E54"/>
    <w:rsid w:val="00C74F3E"/>
    <w:rsid w:val="00C75148"/>
    <w:rsid w:val="00C751D9"/>
    <w:rsid w:val="00C7569A"/>
    <w:rsid w:val="00C75BF1"/>
    <w:rsid w:val="00C75C18"/>
    <w:rsid w:val="00C7635C"/>
    <w:rsid w:val="00C76418"/>
    <w:rsid w:val="00C76620"/>
    <w:rsid w:val="00C766E1"/>
    <w:rsid w:val="00C7689F"/>
    <w:rsid w:val="00C76AA2"/>
    <w:rsid w:val="00C76BDD"/>
    <w:rsid w:val="00C76E00"/>
    <w:rsid w:val="00C7700D"/>
    <w:rsid w:val="00C77017"/>
    <w:rsid w:val="00C770B9"/>
    <w:rsid w:val="00C77262"/>
    <w:rsid w:val="00C776FF"/>
    <w:rsid w:val="00C777AF"/>
    <w:rsid w:val="00C778A6"/>
    <w:rsid w:val="00C77B1E"/>
    <w:rsid w:val="00C80476"/>
    <w:rsid w:val="00C809CB"/>
    <w:rsid w:val="00C80DCF"/>
    <w:rsid w:val="00C8183F"/>
    <w:rsid w:val="00C81871"/>
    <w:rsid w:val="00C81A77"/>
    <w:rsid w:val="00C81A95"/>
    <w:rsid w:val="00C81E8F"/>
    <w:rsid w:val="00C821FC"/>
    <w:rsid w:val="00C824B1"/>
    <w:rsid w:val="00C8274F"/>
    <w:rsid w:val="00C82B13"/>
    <w:rsid w:val="00C82DE3"/>
    <w:rsid w:val="00C82E43"/>
    <w:rsid w:val="00C82EEA"/>
    <w:rsid w:val="00C82F0A"/>
    <w:rsid w:val="00C831EA"/>
    <w:rsid w:val="00C834CE"/>
    <w:rsid w:val="00C837E3"/>
    <w:rsid w:val="00C83CBA"/>
    <w:rsid w:val="00C83CFC"/>
    <w:rsid w:val="00C83E1A"/>
    <w:rsid w:val="00C84644"/>
    <w:rsid w:val="00C84F02"/>
    <w:rsid w:val="00C84FA5"/>
    <w:rsid w:val="00C85105"/>
    <w:rsid w:val="00C853B5"/>
    <w:rsid w:val="00C8598D"/>
    <w:rsid w:val="00C859A8"/>
    <w:rsid w:val="00C85C2B"/>
    <w:rsid w:val="00C8629D"/>
    <w:rsid w:val="00C8643D"/>
    <w:rsid w:val="00C86609"/>
    <w:rsid w:val="00C866FA"/>
    <w:rsid w:val="00C8684C"/>
    <w:rsid w:val="00C86CB7"/>
    <w:rsid w:val="00C86F5E"/>
    <w:rsid w:val="00C87292"/>
    <w:rsid w:val="00C8740E"/>
    <w:rsid w:val="00C875F6"/>
    <w:rsid w:val="00C87667"/>
    <w:rsid w:val="00C87754"/>
    <w:rsid w:val="00C87903"/>
    <w:rsid w:val="00C87C91"/>
    <w:rsid w:val="00C90303"/>
    <w:rsid w:val="00C9041D"/>
    <w:rsid w:val="00C906BE"/>
    <w:rsid w:val="00C907B8"/>
    <w:rsid w:val="00C90966"/>
    <w:rsid w:val="00C90BD2"/>
    <w:rsid w:val="00C90F3A"/>
    <w:rsid w:val="00C917CF"/>
    <w:rsid w:val="00C91974"/>
    <w:rsid w:val="00C9197F"/>
    <w:rsid w:val="00C920F2"/>
    <w:rsid w:val="00C92281"/>
    <w:rsid w:val="00C923B4"/>
    <w:rsid w:val="00C92830"/>
    <w:rsid w:val="00C9285F"/>
    <w:rsid w:val="00C92933"/>
    <w:rsid w:val="00C92BC0"/>
    <w:rsid w:val="00C92C0A"/>
    <w:rsid w:val="00C92F3D"/>
    <w:rsid w:val="00C92F3F"/>
    <w:rsid w:val="00C92FC8"/>
    <w:rsid w:val="00C93066"/>
    <w:rsid w:val="00C93223"/>
    <w:rsid w:val="00C93491"/>
    <w:rsid w:val="00C93703"/>
    <w:rsid w:val="00C93763"/>
    <w:rsid w:val="00C937D7"/>
    <w:rsid w:val="00C93C99"/>
    <w:rsid w:val="00C93EAA"/>
    <w:rsid w:val="00C942A2"/>
    <w:rsid w:val="00C94463"/>
    <w:rsid w:val="00C94779"/>
    <w:rsid w:val="00C947A3"/>
    <w:rsid w:val="00C95412"/>
    <w:rsid w:val="00C95605"/>
    <w:rsid w:val="00C95787"/>
    <w:rsid w:val="00C957B8"/>
    <w:rsid w:val="00C95DD2"/>
    <w:rsid w:val="00C95E40"/>
    <w:rsid w:val="00C963E0"/>
    <w:rsid w:val="00C965CD"/>
    <w:rsid w:val="00C9666B"/>
    <w:rsid w:val="00C96937"/>
    <w:rsid w:val="00C96AEA"/>
    <w:rsid w:val="00C96D8C"/>
    <w:rsid w:val="00C96F68"/>
    <w:rsid w:val="00C97196"/>
    <w:rsid w:val="00C97199"/>
    <w:rsid w:val="00C97375"/>
    <w:rsid w:val="00C973D8"/>
    <w:rsid w:val="00C974B5"/>
    <w:rsid w:val="00C97562"/>
    <w:rsid w:val="00C97C21"/>
    <w:rsid w:val="00C97C88"/>
    <w:rsid w:val="00C97F6C"/>
    <w:rsid w:val="00CA0232"/>
    <w:rsid w:val="00CA0242"/>
    <w:rsid w:val="00CA02CA"/>
    <w:rsid w:val="00CA049A"/>
    <w:rsid w:val="00CA08F7"/>
    <w:rsid w:val="00CA0C29"/>
    <w:rsid w:val="00CA0D5B"/>
    <w:rsid w:val="00CA0E88"/>
    <w:rsid w:val="00CA11D2"/>
    <w:rsid w:val="00CA1996"/>
    <w:rsid w:val="00CA19CD"/>
    <w:rsid w:val="00CA1C46"/>
    <w:rsid w:val="00CA1D08"/>
    <w:rsid w:val="00CA2666"/>
    <w:rsid w:val="00CA2947"/>
    <w:rsid w:val="00CA326D"/>
    <w:rsid w:val="00CA38F8"/>
    <w:rsid w:val="00CA3D2B"/>
    <w:rsid w:val="00CA41C3"/>
    <w:rsid w:val="00CA4689"/>
    <w:rsid w:val="00CA5030"/>
    <w:rsid w:val="00CA535C"/>
    <w:rsid w:val="00CA5385"/>
    <w:rsid w:val="00CA548F"/>
    <w:rsid w:val="00CA56BD"/>
    <w:rsid w:val="00CA5B3D"/>
    <w:rsid w:val="00CA5D30"/>
    <w:rsid w:val="00CA5FCE"/>
    <w:rsid w:val="00CA6451"/>
    <w:rsid w:val="00CA67BA"/>
    <w:rsid w:val="00CA6E64"/>
    <w:rsid w:val="00CA7115"/>
    <w:rsid w:val="00CA71DF"/>
    <w:rsid w:val="00CA7218"/>
    <w:rsid w:val="00CA7270"/>
    <w:rsid w:val="00CA73C0"/>
    <w:rsid w:val="00CA77FA"/>
    <w:rsid w:val="00CA7846"/>
    <w:rsid w:val="00CA78F1"/>
    <w:rsid w:val="00CA7F69"/>
    <w:rsid w:val="00CB00C8"/>
    <w:rsid w:val="00CB0286"/>
    <w:rsid w:val="00CB04AE"/>
    <w:rsid w:val="00CB04E0"/>
    <w:rsid w:val="00CB06A4"/>
    <w:rsid w:val="00CB06C6"/>
    <w:rsid w:val="00CB08CB"/>
    <w:rsid w:val="00CB0CEA"/>
    <w:rsid w:val="00CB0EC1"/>
    <w:rsid w:val="00CB0FD5"/>
    <w:rsid w:val="00CB13ED"/>
    <w:rsid w:val="00CB142D"/>
    <w:rsid w:val="00CB14E9"/>
    <w:rsid w:val="00CB1793"/>
    <w:rsid w:val="00CB18EC"/>
    <w:rsid w:val="00CB1CCB"/>
    <w:rsid w:val="00CB1D0F"/>
    <w:rsid w:val="00CB1EDD"/>
    <w:rsid w:val="00CB1EEC"/>
    <w:rsid w:val="00CB213B"/>
    <w:rsid w:val="00CB2171"/>
    <w:rsid w:val="00CB2434"/>
    <w:rsid w:val="00CB256E"/>
    <w:rsid w:val="00CB2617"/>
    <w:rsid w:val="00CB26DF"/>
    <w:rsid w:val="00CB2F00"/>
    <w:rsid w:val="00CB3162"/>
    <w:rsid w:val="00CB3690"/>
    <w:rsid w:val="00CB36B4"/>
    <w:rsid w:val="00CB38D2"/>
    <w:rsid w:val="00CB3AF4"/>
    <w:rsid w:val="00CB3C64"/>
    <w:rsid w:val="00CB3D32"/>
    <w:rsid w:val="00CB3D9C"/>
    <w:rsid w:val="00CB3ED5"/>
    <w:rsid w:val="00CB3F1B"/>
    <w:rsid w:val="00CB4071"/>
    <w:rsid w:val="00CB4331"/>
    <w:rsid w:val="00CB490E"/>
    <w:rsid w:val="00CB50AC"/>
    <w:rsid w:val="00CB513B"/>
    <w:rsid w:val="00CB5506"/>
    <w:rsid w:val="00CB562F"/>
    <w:rsid w:val="00CB56D9"/>
    <w:rsid w:val="00CB5D2B"/>
    <w:rsid w:val="00CB6192"/>
    <w:rsid w:val="00CB6B8B"/>
    <w:rsid w:val="00CB6E48"/>
    <w:rsid w:val="00CB786A"/>
    <w:rsid w:val="00CB7A30"/>
    <w:rsid w:val="00CB7B14"/>
    <w:rsid w:val="00CC0050"/>
    <w:rsid w:val="00CC0188"/>
    <w:rsid w:val="00CC0488"/>
    <w:rsid w:val="00CC05A2"/>
    <w:rsid w:val="00CC0761"/>
    <w:rsid w:val="00CC0A9E"/>
    <w:rsid w:val="00CC0F0B"/>
    <w:rsid w:val="00CC1394"/>
    <w:rsid w:val="00CC13B3"/>
    <w:rsid w:val="00CC13D5"/>
    <w:rsid w:val="00CC17E0"/>
    <w:rsid w:val="00CC186D"/>
    <w:rsid w:val="00CC189C"/>
    <w:rsid w:val="00CC1AD7"/>
    <w:rsid w:val="00CC1B19"/>
    <w:rsid w:val="00CC1BA6"/>
    <w:rsid w:val="00CC1D69"/>
    <w:rsid w:val="00CC1DC5"/>
    <w:rsid w:val="00CC1F31"/>
    <w:rsid w:val="00CC2672"/>
    <w:rsid w:val="00CC27A7"/>
    <w:rsid w:val="00CC28E6"/>
    <w:rsid w:val="00CC295A"/>
    <w:rsid w:val="00CC2DE5"/>
    <w:rsid w:val="00CC3118"/>
    <w:rsid w:val="00CC32E1"/>
    <w:rsid w:val="00CC3611"/>
    <w:rsid w:val="00CC390E"/>
    <w:rsid w:val="00CC39FE"/>
    <w:rsid w:val="00CC3AF5"/>
    <w:rsid w:val="00CC3B81"/>
    <w:rsid w:val="00CC3E26"/>
    <w:rsid w:val="00CC3F9C"/>
    <w:rsid w:val="00CC4068"/>
    <w:rsid w:val="00CC40DE"/>
    <w:rsid w:val="00CC4179"/>
    <w:rsid w:val="00CC41DF"/>
    <w:rsid w:val="00CC4204"/>
    <w:rsid w:val="00CC454D"/>
    <w:rsid w:val="00CC45BF"/>
    <w:rsid w:val="00CC45C9"/>
    <w:rsid w:val="00CC4C73"/>
    <w:rsid w:val="00CC4D39"/>
    <w:rsid w:val="00CC4F95"/>
    <w:rsid w:val="00CC5409"/>
    <w:rsid w:val="00CC5B2C"/>
    <w:rsid w:val="00CC686A"/>
    <w:rsid w:val="00CC69CA"/>
    <w:rsid w:val="00CC7138"/>
    <w:rsid w:val="00CC7322"/>
    <w:rsid w:val="00CC78FF"/>
    <w:rsid w:val="00CC7A82"/>
    <w:rsid w:val="00CC7B27"/>
    <w:rsid w:val="00CC7BEC"/>
    <w:rsid w:val="00CC7D2F"/>
    <w:rsid w:val="00CC7EFD"/>
    <w:rsid w:val="00CD0158"/>
    <w:rsid w:val="00CD01DD"/>
    <w:rsid w:val="00CD024D"/>
    <w:rsid w:val="00CD055C"/>
    <w:rsid w:val="00CD070E"/>
    <w:rsid w:val="00CD0751"/>
    <w:rsid w:val="00CD09A7"/>
    <w:rsid w:val="00CD0E53"/>
    <w:rsid w:val="00CD13CF"/>
    <w:rsid w:val="00CD1565"/>
    <w:rsid w:val="00CD1C61"/>
    <w:rsid w:val="00CD1DB6"/>
    <w:rsid w:val="00CD1E26"/>
    <w:rsid w:val="00CD1E70"/>
    <w:rsid w:val="00CD20F1"/>
    <w:rsid w:val="00CD2158"/>
    <w:rsid w:val="00CD224E"/>
    <w:rsid w:val="00CD2684"/>
    <w:rsid w:val="00CD276D"/>
    <w:rsid w:val="00CD286B"/>
    <w:rsid w:val="00CD2ECE"/>
    <w:rsid w:val="00CD2EFC"/>
    <w:rsid w:val="00CD2F90"/>
    <w:rsid w:val="00CD2FCD"/>
    <w:rsid w:val="00CD30BD"/>
    <w:rsid w:val="00CD312F"/>
    <w:rsid w:val="00CD31B7"/>
    <w:rsid w:val="00CD345D"/>
    <w:rsid w:val="00CD3CE5"/>
    <w:rsid w:val="00CD3EA9"/>
    <w:rsid w:val="00CD3EAD"/>
    <w:rsid w:val="00CD42A0"/>
    <w:rsid w:val="00CD43CB"/>
    <w:rsid w:val="00CD4547"/>
    <w:rsid w:val="00CD46B3"/>
    <w:rsid w:val="00CD4733"/>
    <w:rsid w:val="00CD47DB"/>
    <w:rsid w:val="00CD4866"/>
    <w:rsid w:val="00CD49EC"/>
    <w:rsid w:val="00CD5270"/>
    <w:rsid w:val="00CD53FC"/>
    <w:rsid w:val="00CD563E"/>
    <w:rsid w:val="00CD5785"/>
    <w:rsid w:val="00CD5949"/>
    <w:rsid w:val="00CD5AE7"/>
    <w:rsid w:val="00CD5AF0"/>
    <w:rsid w:val="00CD5C20"/>
    <w:rsid w:val="00CD5C57"/>
    <w:rsid w:val="00CD60F0"/>
    <w:rsid w:val="00CD61D5"/>
    <w:rsid w:val="00CD6493"/>
    <w:rsid w:val="00CD6BE0"/>
    <w:rsid w:val="00CD6CA7"/>
    <w:rsid w:val="00CD7409"/>
    <w:rsid w:val="00CD76C2"/>
    <w:rsid w:val="00CD797D"/>
    <w:rsid w:val="00CD7B0C"/>
    <w:rsid w:val="00CD7C01"/>
    <w:rsid w:val="00CD7DE7"/>
    <w:rsid w:val="00CD7EDE"/>
    <w:rsid w:val="00CE01BA"/>
    <w:rsid w:val="00CE0708"/>
    <w:rsid w:val="00CE07EA"/>
    <w:rsid w:val="00CE0882"/>
    <w:rsid w:val="00CE110A"/>
    <w:rsid w:val="00CE13DB"/>
    <w:rsid w:val="00CE1497"/>
    <w:rsid w:val="00CE14DD"/>
    <w:rsid w:val="00CE153A"/>
    <w:rsid w:val="00CE1B74"/>
    <w:rsid w:val="00CE1BC0"/>
    <w:rsid w:val="00CE1C75"/>
    <w:rsid w:val="00CE1CCC"/>
    <w:rsid w:val="00CE1D0E"/>
    <w:rsid w:val="00CE2438"/>
    <w:rsid w:val="00CE28E8"/>
    <w:rsid w:val="00CE2A0A"/>
    <w:rsid w:val="00CE2C67"/>
    <w:rsid w:val="00CE2D8C"/>
    <w:rsid w:val="00CE2DA1"/>
    <w:rsid w:val="00CE303B"/>
    <w:rsid w:val="00CE31DF"/>
    <w:rsid w:val="00CE3561"/>
    <w:rsid w:val="00CE3A96"/>
    <w:rsid w:val="00CE3AE7"/>
    <w:rsid w:val="00CE3B36"/>
    <w:rsid w:val="00CE406A"/>
    <w:rsid w:val="00CE4129"/>
    <w:rsid w:val="00CE45D5"/>
    <w:rsid w:val="00CE4DD7"/>
    <w:rsid w:val="00CE4EEE"/>
    <w:rsid w:val="00CE51E9"/>
    <w:rsid w:val="00CE5484"/>
    <w:rsid w:val="00CE59D7"/>
    <w:rsid w:val="00CE5AD2"/>
    <w:rsid w:val="00CE5BF6"/>
    <w:rsid w:val="00CE5D1D"/>
    <w:rsid w:val="00CE5E0F"/>
    <w:rsid w:val="00CE5FC4"/>
    <w:rsid w:val="00CE6215"/>
    <w:rsid w:val="00CE631F"/>
    <w:rsid w:val="00CE637D"/>
    <w:rsid w:val="00CE69E9"/>
    <w:rsid w:val="00CE6D11"/>
    <w:rsid w:val="00CE7037"/>
    <w:rsid w:val="00CE71A9"/>
    <w:rsid w:val="00CE735B"/>
    <w:rsid w:val="00CE75EF"/>
    <w:rsid w:val="00CE7B7E"/>
    <w:rsid w:val="00CF0580"/>
    <w:rsid w:val="00CF07F2"/>
    <w:rsid w:val="00CF099F"/>
    <w:rsid w:val="00CF09F3"/>
    <w:rsid w:val="00CF0A5D"/>
    <w:rsid w:val="00CF0B77"/>
    <w:rsid w:val="00CF0D1C"/>
    <w:rsid w:val="00CF0EDB"/>
    <w:rsid w:val="00CF1098"/>
    <w:rsid w:val="00CF161C"/>
    <w:rsid w:val="00CF1C6E"/>
    <w:rsid w:val="00CF1F6B"/>
    <w:rsid w:val="00CF2094"/>
    <w:rsid w:val="00CF2BB7"/>
    <w:rsid w:val="00CF2D6D"/>
    <w:rsid w:val="00CF3003"/>
    <w:rsid w:val="00CF300C"/>
    <w:rsid w:val="00CF3205"/>
    <w:rsid w:val="00CF33DD"/>
    <w:rsid w:val="00CF3880"/>
    <w:rsid w:val="00CF3902"/>
    <w:rsid w:val="00CF3A3E"/>
    <w:rsid w:val="00CF3BDB"/>
    <w:rsid w:val="00CF3C8F"/>
    <w:rsid w:val="00CF4053"/>
    <w:rsid w:val="00CF41B2"/>
    <w:rsid w:val="00CF4287"/>
    <w:rsid w:val="00CF435E"/>
    <w:rsid w:val="00CF47FA"/>
    <w:rsid w:val="00CF4868"/>
    <w:rsid w:val="00CF49EA"/>
    <w:rsid w:val="00CF4C8B"/>
    <w:rsid w:val="00CF4CB1"/>
    <w:rsid w:val="00CF4D83"/>
    <w:rsid w:val="00CF4E38"/>
    <w:rsid w:val="00CF5270"/>
    <w:rsid w:val="00CF577F"/>
    <w:rsid w:val="00CF5A42"/>
    <w:rsid w:val="00CF5A89"/>
    <w:rsid w:val="00CF5E0F"/>
    <w:rsid w:val="00CF62BB"/>
    <w:rsid w:val="00CF62D0"/>
    <w:rsid w:val="00CF6618"/>
    <w:rsid w:val="00CF675A"/>
    <w:rsid w:val="00CF69C8"/>
    <w:rsid w:val="00CF6AB3"/>
    <w:rsid w:val="00CF6F44"/>
    <w:rsid w:val="00CF724C"/>
    <w:rsid w:val="00CF7585"/>
    <w:rsid w:val="00CF75A9"/>
    <w:rsid w:val="00CF7679"/>
    <w:rsid w:val="00CF792C"/>
    <w:rsid w:val="00CF7A5C"/>
    <w:rsid w:val="00CF7DDF"/>
    <w:rsid w:val="00CF7EF1"/>
    <w:rsid w:val="00D000A9"/>
    <w:rsid w:val="00D00376"/>
    <w:rsid w:val="00D005EF"/>
    <w:rsid w:val="00D006D9"/>
    <w:rsid w:val="00D00728"/>
    <w:rsid w:val="00D00B16"/>
    <w:rsid w:val="00D00BDB"/>
    <w:rsid w:val="00D0106D"/>
    <w:rsid w:val="00D010ED"/>
    <w:rsid w:val="00D011C6"/>
    <w:rsid w:val="00D01205"/>
    <w:rsid w:val="00D01689"/>
    <w:rsid w:val="00D0192C"/>
    <w:rsid w:val="00D019D7"/>
    <w:rsid w:val="00D01AAF"/>
    <w:rsid w:val="00D01CDA"/>
    <w:rsid w:val="00D01D51"/>
    <w:rsid w:val="00D0216A"/>
    <w:rsid w:val="00D02414"/>
    <w:rsid w:val="00D02692"/>
    <w:rsid w:val="00D02DBE"/>
    <w:rsid w:val="00D03164"/>
    <w:rsid w:val="00D03460"/>
    <w:rsid w:val="00D036C1"/>
    <w:rsid w:val="00D03929"/>
    <w:rsid w:val="00D0394C"/>
    <w:rsid w:val="00D03A46"/>
    <w:rsid w:val="00D03D70"/>
    <w:rsid w:val="00D04021"/>
    <w:rsid w:val="00D04466"/>
    <w:rsid w:val="00D04556"/>
    <w:rsid w:val="00D045CF"/>
    <w:rsid w:val="00D04621"/>
    <w:rsid w:val="00D047A4"/>
    <w:rsid w:val="00D04875"/>
    <w:rsid w:val="00D04A74"/>
    <w:rsid w:val="00D04C00"/>
    <w:rsid w:val="00D04D47"/>
    <w:rsid w:val="00D0522D"/>
    <w:rsid w:val="00D0575B"/>
    <w:rsid w:val="00D0596E"/>
    <w:rsid w:val="00D05C6E"/>
    <w:rsid w:val="00D05C78"/>
    <w:rsid w:val="00D05DB5"/>
    <w:rsid w:val="00D065AE"/>
    <w:rsid w:val="00D065E4"/>
    <w:rsid w:val="00D066E4"/>
    <w:rsid w:val="00D06786"/>
    <w:rsid w:val="00D06A81"/>
    <w:rsid w:val="00D06AD1"/>
    <w:rsid w:val="00D06C68"/>
    <w:rsid w:val="00D07003"/>
    <w:rsid w:val="00D070F5"/>
    <w:rsid w:val="00D0724B"/>
    <w:rsid w:val="00D07376"/>
    <w:rsid w:val="00D07448"/>
    <w:rsid w:val="00D07773"/>
    <w:rsid w:val="00D079D3"/>
    <w:rsid w:val="00D07A6A"/>
    <w:rsid w:val="00D07CE5"/>
    <w:rsid w:val="00D07E41"/>
    <w:rsid w:val="00D07FB1"/>
    <w:rsid w:val="00D07FBF"/>
    <w:rsid w:val="00D101F7"/>
    <w:rsid w:val="00D10712"/>
    <w:rsid w:val="00D10E4F"/>
    <w:rsid w:val="00D10F27"/>
    <w:rsid w:val="00D11079"/>
    <w:rsid w:val="00D117F8"/>
    <w:rsid w:val="00D1180F"/>
    <w:rsid w:val="00D119CE"/>
    <w:rsid w:val="00D120A7"/>
    <w:rsid w:val="00D12268"/>
    <w:rsid w:val="00D12669"/>
    <w:rsid w:val="00D126AF"/>
    <w:rsid w:val="00D1279A"/>
    <w:rsid w:val="00D12871"/>
    <w:rsid w:val="00D12D87"/>
    <w:rsid w:val="00D12E90"/>
    <w:rsid w:val="00D130BA"/>
    <w:rsid w:val="00D1333B"/>
    <w:rsid w:val="00D134A9"/>
    <w:rsid w:val="00D135D4"/>
    <w:rsid w:val="00D13637"/>
    <w:rsid w:val="00D13BC3"/>
    <w:rsid w:val="00D13C30"/>
    <w:rsid w:val="00D144F1"/>
    <w:rsid w:val="00D145A2"/>
    <w:rsid w:val="00D145D8"/>
    <w:rsid w:val="00D14695"/>
    <w:rsid w:val="00D147E1"/>
    <w:rsid w:val="00D14961"/>
    <w:rsid w:val="00D1496F"/>
    <w:rsid w:val="00D149E7"/>
    <w:rsid w:val="00D149F5"/>
    <w:rsid w:val="00D14CA4"/>
    <w:rsid w:val="00D14CFA"/>
    <w:rsid w:val="00D14DF4"/>
    <w:rsid w:val="00D15A49"/>
    <w:rsid w:val="00D15BB0"/>
    <w:rsid w:val="00D15D08"/>
    <w:rsid w:val="00D15D26"/>
    <w:rsid w:val="00D160CF"/>
    <w:rsid w:val="00D161D7"/>
    <w:rsid w:val="00D166DE"/>
    <w:rsid w:val="00D167A4"/>
    <w:rsid w:val="00D167B7"/>
    <w:rsid w:val="00D1682D"/>
    <w:rsid w:val="00D16E6D"/>
    <w:rsid w:val="00D17236"/>
    <w:rsid w:val="00D177FF"/>
    <w:rsid w:val="00D17A37"/>
    <w:rsid w:val="00D17A8D"/>
    <w:rsid w:val="00D17B9F"/>
    <w:rsid w:val="00D202B7"/>
    <w:rsid w:val="00D20316"/>
    <w:rsid w:val="00D2050C"/>
    <w:rsid w:val="00D20979"/>
    <w:rsid w:val="00D20A05"/>
    <w:rsid w:val="00D20A06"/>
    <w:rsid w:val="00D2109B"/>
    <w:rsid w:val="00D21A77"/>
    <w:rsid w:val="00D22078"/>
    <w:rsid w:val="00D222F7"/>
    <w:rsid w:val="00D229C0"/>
    <w:rsid w:val="00D22A61"/>
    <w:rsid w:val="00D22FD3"/>
    <w:rsid w:val="00D23020"/>
    <w:rsid w:val="00D23673"/>
    <w:rsid w:val="00D2368C"/>
    <w:rsid w:val="00D23A26"/>
    <w:rsid w:val="00D23A8B"/>
    <w:rsid w:val="00D23B40"/>
    <w:rsid w:val="00D23E82"/>
    <w:rsid w:val="00D24085"/>
    <w:rsid w:val="00D24571"/>
    <w:rsid w:val="00D24837"/>
    <w:rsid w:val="00D249DC"/>
    <w:rsid w:val="00D24C5C"/>
    <w:rsid w:val="00D24F54"/>
    <w:rsid w:val="00D252B3"/>
    <w:rsid w:val="00D25435"/>
    <w:rsid w:val="00D254BA"/>
    <w:rsid w:val="00D254BB"/>
    <w:rsid w:val="00D259F1"/>
    <w:rsid w:val="00D25CD3"/>
    <w:rsid w:val="00D25D3C"/>
    <w:rsid w:val="00D25F64"/>
    <w:rsid w:val="00D26047"/>
    <w:rsid w:val="00D26158"/>
    <w:rsid w:val="00D26928"/>
    <w:rsid w:val="00D26954"/>
    <w:rsid w:val="00D26A6C"/>
    <w:rsid w:val="00D26CAC"/>
    <w:rsid w:val="00D26CF3"/>
    <w:rsid w:val="00D26EC0"/>
    <w:rsid w:val="00D27135"/>
    <w:rsid w:val="00D273B0"/>
    <w:rsid w:val="00D27703"/>
    <w:rsid w:val="00D27CEC"/>
    <w:rsid w:val="00D27F4C"/>
    <w:rsid w:val="00D27FE1"/>
    <w:rsid w:val="00D306B7"/>
    <w:rsid w:val="00D307AC"/>
    <w:rsid w:val="00D30961"/>
    <w:rsid w:val="00D31090"/>
    <w:rsid w:val="00D31331"/>
    <w:rsid w:val="00D313C0"/>
    <w:rsid w:val="00D314D2"/>
    <w:rsid w:val="00D317EC"/>
    <w:rsid w:val="00D317FF"/>
    <w:rsid w:val="00D3188B"/>
    <w:rsid w:val="00D32C6C"/>
    <w:rsid w:val="00D32E13"/>
    <w:rsid w:val="00D32E8C"/>
    <w:rsid w:val="00D32F74"/>
    <w:rsid w:val="00D32FC3"/>
    <w:rsid w:val="00D3363D"/>
    <w:rsid w:val="00D3387F"/>
    <w:rsid w:val="00D3395F"/>
    <w:rsid w:val="00D33D3D"/>
    <w:rsid w:val="00D33FF0"/>
    <w:rsid w:val="00D34124"/>
    <w:rsid w:val="00D34136"/>
    <w:rsid w:val="00D34214"/>
    <w:rsid w:val="00D347E3"/>
    <w:rsid w:val="00D3482C"/>
    <w:rsid w:val="00D34B6B"/>
    <w:rsid w:val="00D34BD7"/>
    <w:rsid w:val="00D34CE4"/>
    <w:rsid w:val="00D34E5C"/>
    <w:rsid w:val="00D350ED"/>
    <w:rsid w:val="00D356C3"/>
    <w:rsid w:val="00D35964"/>
    <w:rsid w:val="00D361ED"/>
    <w:rsid w:val="00D3623C"/>
    <w:rsid w:val="00D362C6"/>
    <w:rsid w:val="00D366E7"/>
    <w:rsid w:val="00D36871"/>
    <w:rsid w:val="00D3691D"/>
    <w:rsid w:val="00D369A0"/>
    <w:rsid w:val="00D36D36"/>
    <w:rsid w:val="00D36DBD"/>
    <w:rsid w:val="00D36EB5"/>
    <w:rsid w:val="00D37175"/>
    <w:rsid w:val="00D37326"/>
    <w:rsid w:val="00D373C8"/>
    <w:rsid w:val="00D3772B"/>
    <w:rsid w:val="00D37781"/>
    <w:rsid w:val="00D3789D"/>
    <w:rsid w:val="00D400F6"/>
    <w:rsid w:val="00D402B0"/>
    <w:rsid w:val="00D4096B"/>
    <w:rsid w:val="00D40993"/>
    <w:rsid w:val="00D41669"/>
    <w:rsid w:val="00D4167D"/>
    <w:rsid w:val="00D416C0"/>
    <w:rsid w:val="00D41881"/>
    <w:rsid w:val="00D41BD3"/>
    <w:rsid w:val="00D41E07"/>
    <w:rsid w:val="00D41E12"/>
    <w:rsid w:val="00D41EE0"/>
    <w:rsid w:val="00D42154"/>
    <w:rsid w:val="00D42183"/>
    <w:rsid w:val="00D425A6"/>
    <w:rsid w:val="00D42645"/>
    <w:rsid w:val="00D42709"/>
    <w:rsid w:val="00D427A4"/>
    <w:rsid w:val="00D4282E"/>
    <w:rsid w:val="00D42960"/>
    <w:rsid w:val="00D42A63"/>
    <w:rsid w:val="00D437B4"/>
    <w:rsid w:val="00D439D9"/>
    <w:rsid w:val="00D43A5D"/>
    <w:rsid w:val="00D43ABD"/>
    <w:rsid w:val="00D43D8D"/>
    <w:rsid w:val="00D44059"/>
    <w:rsid w:val="00D44381"/>
    <w:rsid w:val="00D44651"/>
    <w:rsid w:val="00D44C50"/>
    <w:rsid w:val="00D44D8D"/>
    <w:rsid w:val="00D450E1"/>
    <w:rsid w:val="00D451CF"/>
    <w:rsid w:val="00D452E6"/>
    <w:rsid w:val="00D45333"/>
    <w:rsid w:val="00D45413"/>
    <w:rsid w:val="00D45637"/>
    <w:rsid w:val="00D45716"/>
    <w:rsid w:val="00D4579D"/>
    <w:rsid w:val="00D45BCA"/>
    <w:rsid w:val="00D45CDE"/>
    <w:rsid w:val="00D45D18"/>
    <w:rsid w:val="00D45D6D"/>
    <w:rsid w:val="00D4640C"/>
    <w:rsid w:val="00D467BC"/>
    <w:rsid w:val="00D467E8"/>
    <w:rsid w:val="00D468BF"/>
    <w:rsid w:val="00D46975"/>
    <w:rsid w:val="00D46AEB"/>
    <w:rsid w:val="00D46E4D"/>
    <w:rsid w:val="00D46F25"/>
    <w:rsid w:val="00D46F72"/>
    <w:rsid w:val="00D470D8"/>
    <w:rsid w:val="00D47119"/>
    <w:rsid w:val="00D4728B"/>
    <w:rsid w:val="00D472BA"/>
    <w:rsid w:val="00D4735B"/>
    <w:rsid w:val="00D47764"/>
    <w:rsid w:val="00D47A8D"/>
    <w:rsid w:val="00D47B5B"/>
    <w:rsid w:val="00D50346"/>
    <w:rsid w:val="00D5039A"/>
    <w:rsid w:val="00D507F3"/>
    <w:rsid w:val="00D508A1"/>
    <w:rsid w:val="00D50B2B"/>
    <w:rsid w:val="00D5115C"/>
    <w:rsid w:val="00D513AC"/>
    <w:rsid w:val="00D516F6"/>
    <w:rsid w:val="00D51745"/>
    <w:rsid w:val="00D51AD3"/>
    <w:rsid w:val="00D51AE7"/>
    <w:rsid w:val="00D51C06"/>
    <w:rsid w:val="00D51CB1"/>
    <w:rsid w:val="00D51F07"/>
    <w:rsid w:val="00D52269"/>
    <w:rsid w:val="00D5228F"/>
    <w:rsid w:val="00D5251B"/>
    <w:rsid w:val="00D525BA"/>
    <w:rsid w:val="00D52633"/>
    <w:rsid w:val="00D5265A"/>
    <w:rsid w:val="00D5279D"/>
    <w:rsid w:val="00D52CE9"/>
    <w:rsid w:val="00D53189"/>
    <w:rsid w:val="00D53477"/>
    <w:rsid w:val="00D53A91"/>
    <w:rsid w:val="00D53C0F"/>
    <w:rsid w:val="00D53D85"/>
    <w:rsid w:val="00D5438F"/>
    <w:rsid w:val="00D544BC"/>
    <w:rsid w:val="00D54851"/>
    <w:rsid w:val="00D54877"/>
    <w:rsid w:val="00D54974"/>
    <w:rsid w:val="00D54A6A"/>
    <w:rsid w:val="00D54EFB"/>
    <w:rsid w:val="00D55513"/>
    <w:rsid w:val="00D5567E"/>
    <w:rsid w:val="00D55816"/>
    <w:rsid w:val="00D55A28"/>
    <w:rsid w:val="00D55A6E"/>
    <w:rsid w:val="00D55B5F"/>
    <w:rsid w:val="00D55B66"/>
    <w:rsid w:val="00D55B9F"/>
    <w:rsid w:val="00D5620E"/>
    <w:rsid w:val="00D56212"/>
    <w:rsid w:val="00D56249"/>
    <w:rsid w:val="00D56D6F"/>
    <w:rsid w:val="00D56E13"/>
    <w:rsid w:val="00D570DE"/>
    <w:rsid w:val="00D57268"/>
    <w:rsid w:val="00D57301"/>
    <w:rsid w:val="00D573A2"/>
    <w:rsid w:val="00D57702"/>
    <w:rsid w:val="00D57E3F"/>
    <w:rsid w:val="00D6008E"/>
    <w:rsid w:val="00D60237"/>
    <w:rsid w:val="00D603A7"/>
    <w:rsid w:val="00D60988"/>
    <w:rsid w:val="00D60D89"/>
    <w:rsid w:val="00D61017"/>
    <w:rsid w:val="00D6101D"/>
    <w:rsid w:val="00D61040"/>
    <w:rsid w:val="00D616F5"/>
    <w:rsid w:val="00D6208A"/>
    <w:rsid w:val="00D620AF"/>
    <w:rsid w:val="00D62C7D"/>
    <w:rsid w:val="00D62CEE"/>
    <w:rsid w:val="00D62D56"/>
    <w:rsid w:val="00D62ECC"/>
    <w:rsid w:val="00D62ECE"/>
    <w:rsid w:val="00D634C9"/>
    <w:rsid w:val="00D63571"/>
    <w:rsid w:val="00D636FB"/>
    <w:rsid w:val="00D63F31"/>
    <w:rsid w:val="00D6415D"/>
    <w:rsid w:val="00D641D5"/>
    <w:rsid w:val="00D64714"/>
    <w:rsid w:val="00D648E2"/>
    <w:rsid w:val="00D64901"/>
    <w:rsid w:val="00D6510D"/>
    <w:rsid w:val="00D651D5"/>
    <w:rsid w:val="00D651DF"/>
    <w:rsid w:val="00D6571F"/>
    <w:rsid w:val="00D65B06"/>
    <w:rsid w:val="00D65C30"/>
    <w:rsid w:val="00D65E94"/>
    <w:rsid w:val="00D65F2A"/>
    <w:rsid w:val="00D65F33"/>
    <w:rsid w:val="00D66161"/>
    <w:rsid w:val="00D66307"/>
    <w:rsid w:val="00D66312"/>
    <w:rsid w:val="00D663BC"/>
    <w:rsid w:val="00D6641A"/>
    <w:rsid w:val="00D6642D"/>
    <w:rsid w:val="00D6650F"/>
    <w:rsid w:val="00D6667E"/>
    <w:rsid w:val="00D6678E"/>
    <w:rsid w:val="00D668B8"/>
    <w:rsid w:val="00D668D4"/>
    <w:rsid w:val="00D66ACB"/>
    <w:rsid w:val="00D66DA9"/>
    <w:rsid w:val="00D66E2C"/>
    <w:rsid w:val="00D66E57"/>
    <w:rsid w:val="00D6732A"/>
    <w:rsid w:val="00D6775E"/>
    <w:rsid w:val="00D67C1A"/>
    <w:rsid w:val="00D67C75"/>
    <w:rsid w:val="00D7060E"/>
    <w:rsid w:val="00D706D8"/>
    <w:rsid w:val="00D70849"/>
    <w:rsid w:val="00D70B80"/>
    <w:rsid w:val="00D70CED"/>
    <w:rsid w:val="00D70D42"/>
    <w:rsid w:val="00D70DC3"/>
    <w:rsid w:val="00D70ED1"/>
    <w:rsid w:val="00D7158D"/>
    <w:rsid w:val="00D715F9"/>
    <w:rsid w:val="00D716CA"/>
    <w:rsid w:val="00D71771"/>
    <w:rsid w:val="00D719E1"/>
    <w:rsid w:val="00D71B86"/>
    <w:rsid w:val="00D72359"/>
    <w:rsid w:val="00D72547"/>
    <w:rsid w:val="00D725CE"/>
    <w:rsid w:val="00D727BD"/>
    <w:rsid w:val="00D727D2"/>
    <w:rsid w:val="00D7292E"/>
    <w:rsid w:val="00D72950"/>
    <w:rsid w:val="00D72B31"/>
    <w:rsid w:val="00D72CFD"/>
    <w:rsid w:val="00D72D5E"/>
    <w:rsid w:val="00D73058"/>
    <w:rsid w:val="00D73191"/>
    <w:rsid w:val="00D73A2C"/>
    <w:rsid w:val="00D7426F"/>
    <w:rsid w:val="00D74465"/>
    <w:rsid w:val="00D74A91"/>
    <w:rsid w:val="00D74BFC"/>
    <w:rsid w:val="00D74D93"/>
    <w:rsid w:val="00D75391"/>
    <w:rsid w:val="00D754D5"/>
    <w:rsid w:val="00D75B53"/>
    <w:rsid w:val="00D75BA4"/>
    <w:rsid w:val="00D76123"/>
    <w:rsid w:val="00D7676C"/>
    <w:rsid w:val="00D767CB"/>
    <w:rsid w:val="00D76A62"/>
    <w:rsid w:val="00D76B41"/>
    <w:rsid w:val="00D77085"/>
    <w:rsid w:val="00D777D8"/>
    <w:rsid w:val="00D77AE7"/>
    <w:rsid w:val="00D77C81"/>
    <w:rsid w:val="00D77DC2"/>
    <w:rsid w:val="00D80113"/>
    <w:rsid w:val="00D80133"/>
    <w:rsid w:val="00D80273"/>
    <w:rsid w:val="00D805CE"/>
    <w:rsid w:val="00D80706"/>
    <w:rsid w:val="00D80818"/>
    <w:rsid w:val="00D80B61"/>
    <w:rsid w:val="00D80D95"/>
    <w:rsid w:val="00D814D2"/>
    <w:rsid w:val="00D81A29"/>
    <w:rsid w:val="00D81AFC"/>
    <w:rsid w:val="00D81FC5"/>
    <w:rsid w:val="00D8223C"/>
    <w:rsid w:val="00D8231A"/>
    <w:rsid w:val="00D824E7"/>
    <w:rsid w:val="00D82A8F"/>
    <w:rsid w:val="00D82C94"/>
    <w:rsid w:val="00D8308C"/>
    <w:rsid w:val="00D83550"/>
    <w:rsid w:val="00D835AA"/>
    <w:rsid w:val="00D83A14"/>
    <w:rsid w:val="00D83B70"/>
    <w:rsid w:val="00D83E60"/>
    <w:rsid w:val="00D84035"/>
    <w:rsid w:val="00D84287"/>
    <w:rsid w:val="00D84290"/>
    <w:rsid w:val="00D843BC"/>
    <w:rsid w:val="00D8481C"/>
    <w:rsid w:val="00D849BB"/>
    <w:rsid w:val="00D84BF5"/>
    <w:rsid w:val="00D84C32"/>
    <w:rsid w:val="00D84E80"/>
    <w:rsid w:val="00D85DB4"/>
    <w:rsid w:val="00D8602A"/>
    <w:rsid w:val="00D8607C"/>
    <w:rsid w:val="00D860E5"/>
    <w:rsid w:val="00D8630C"/>
    <w:rsid w:val="00D86379"/>
    <w:rsid w:val="00D86B65"/>
    <w:rsid w:val="00D86BDE"/>
    <w:rsid w:val="00D86CC8"/>
    <w:rsid w:val="00D871F8"/>
    <w:rsid w:val="00D87915"/>
    <w:rsid w:val="00D87C30"/>
    <w:rsid w:val="00D87CE3"/>
    <w:rsid w:val="00D87F50"/>
    <w:rsid w:val="00D90229"/>
    <w:rsid w:val="00D90833"/>
    <w:rsid w:val="00D90841"/>
    <w:rsid w:val="00D90B61"/>
    <w:rsid w:val="00D90C51"/>
    <w:rsid w:val="00D90E96"/>
    <w:rsid w:val="00D9136B"/>
    <w:rsid w:val="00D913A6"/>
    <w:rsid w:val="00D915B2"/>
    <w:rsid w:val="00D916E0"/>
    <w:rsid w:val="00D91783"/>
    <w:rsid w:val="00D919E7"/>
    <w:rsid w:val="00D919FC"/>
    <w:rsid w:val="00D91BB8"/>
    <w:rsid w:val="00D924D5"/>
    <w:rsid w:val="00D9254D"/>
    <w:rsid w:val="00D927AB"/>
    <w:rsid w:val="00D92892"/>
    <w:rsid w:val="00D92A37"/>
    <w:rsid w:val="00D92CC3"/>
    <w:rsid w:val="00D92DDE"/>
    <w:rsid w:val="00D92E38"/>
    <w:rsid w:val="00D92E79"/>
    <w:rsid w:val="00D92F03"/>
    <w:rsid w:val="00D930E4"/>
    <w:rsid w:val="00D93728"/>
    <w:rsid w:val="00D93960"/>
    <w:rsid w:val="00D93B89"/>
    <w:rsid w:val="00D93BD0"/>
    <w:rsid w:val="00D93BE4"/>
    <w:rsid w:val="00D93DD3"/>
    <w:rsid w:val="00D94018"/>
    <w:rsid w:val="00D94094"/>
    <w:rsid w:val="00D9427F"/>
    <w:rsid w:val="00D945EA"/>
    <w:rsid w:val="00D94778"/>
    <w:rsid w:val="00D94922"/>
    <w:rsid w:val="00D9499C"/>
    <w:rsid w:val="00D94ABD"/>
    <w:rsid w:val="00D94BDA"/>
    <w:rsid w:val="00D94E2B"/>
    <w:rsid w:val="00D95478"/>
    <w:rsid w:val="00D954E3"/>
    <w:rsid w:val="00D9559C"/>
    <w:rsid w:val="00D957D4"/>
    <w:rsid w:val="00D9643F"/>
    <w:rsid w:val="00D967BD"/>
    <w:rsid w:val="00D96813"/>
    <w:rsid w:val="00D96C0D"/>
    <w:rsid w:val="00D96F9B"/>
    <w:rsid w:val="00D97118"/>
    <w:rsid w:val="00D97168"/>
    <w:rsid w:val="00D971CF"/>
    <w:rsid w:val="00D9737C"/>
    <w:rsid w:val="00D974B3"/>
    <w:rsid w:val="00D974C5"/>
    <w:rsid w:val="00D97506"/>
    <w:rsid w:val="00D9768B"/>
    <w:rsid w:val="00D97785"/>
    <w:rsid w:val="00D9782C"/>
    <w:rsid w:val="00D979E9"/>
    <w:rsid w:val="00D97AA4"/>
    <w:rsid w:val="00D97BA4"/>
    <w:rsid w:val="00DA0058"/>
    <w:rsid w:val="00DA0672"/>
    <w:rsid w:val="00DA0A81"/>
    <w:rsid w:val="00DA0B2D"/>
    <w:rsid w:val="00DA0F9B"/>
    <w:rsid w:val="00DA1060"/>
    <w:rsid w:val="00DA1543"/>
    <w:rsid w:val="00DA17E7"/>
    <w:rsid w:val="00DA186F"/>
    <w:rsid w:val="00DA19F8"/>
    <w:rsid w:val="00DA1A8F"/>
    <w:rsid w:val="00DA1A91"/>
    <w:rsid w:val="00DA1BC4"/>
    <w:rsid w:val="00DA2DC0"/>
    <w:rsid w:val="00DA2EAC"/>
    <w:rsid w:val="00DA35FE"/>
    <w:rsid w:val="00DA3CF7"/>
    <w:rsid w:val="00DA3E40"/>
    <w:rsid w:val="00DA40E1"/>
    <w:rsid w:val="00DA40F5"/>
    <w:rsid w:val="00DA4A2D"/>
    <w:rsid w:val="00DA4B94"/>
    <w:rsid w:val="00DA50DF"/>
    <w:rsid w:val="00DA528E"/>
    <w:rsid w:val="00DA52AC"/>
    <w:rsid w:val="00DA5300"/>
    <w:rsid w:val="00DA5322"/>
    <w:rsid w:val="00DA5663"/>
    <w:rsid w:val="00DA5FBF"/>
    <w:rsid w:val="00DA62A3"/>
    <w:rsid w:val="00DA635A"/>
    <w:rsid w:val="00DA63F8"/>
    <w:rsid w:val="00DA6518"/>
    <w:rsid w:val="00DA6685"/>
    <w:rsid w:val="00DA68D9"/>
    <w:rsid w:val="00DA6B23"/>
    <w:rsid w:val="00DA6F12"/>
    <w:rsid w:val="00DA72EA"/>
    <w:rsid w:val="00DA7472"/>
    <w:rsid w:val="00DA7616"/>
    <w:rsid w:val="00DA76DC"/>
    <w:rsid w:val="00DA7917"/>
    <w:rsid w:val="00DA7975"/>
    <w:rsid w:val="00DA7A1F"/>
    <w:rsid w:val="00DA7AD9"/>
    <w:rsid w:val="00DA7E78"/>
    <w:rsid w:val="00DB05D6"/>
    <w:rsid w:val="00DB098A"/>
    <w:rsid w:val="00DB0CEC"/>
    <w:rsid w:val="00DB11A6"/>
    <w:rsid w:val="00DB14D2"/>
    <w:rsid w:val="00DB1702"/>
    <w:rsid w:val="00DB1813"/>
    <w:rsid w:val="00DB1987"/>
    <w:rsid w:val="00DB1AF9"/>
    <w:rsid w:val="00DB1C83"/>
    <w:rsid w:val="00DB1EE4"/>
    <w:rsid w:val="00DB266C"/>
    <w:rsid w:val="00DB2863"/>
    <w:rsid w:val="00DB28CF"/>
    <w:rsid w:val="00DB2A9F"/>
    <w:rsid w:val="00DB2C53"/>
    <w:rsid w:val="00DB2F4F"/>
    <w:rsid w:val="00DB3228"/>
    <w:rsid w:val="00DB35C3"/>
    <w:rsid w:val="00DB35C8"/>
    <w:rsid w:val="00DB3810"/>
    <w:rsid w:val="00DB3858"/>
    <w:rsid w:val="00DB3A9B"/>
    <w:rsid w:val="00DB3AB4"/>
    <w:rsid w:val="00DB3F1C"/>
    <w:rsid w:val="00DB4434"/>
    <w:rsid w:val="00DB4AC5"/>
    <w:rsid w:val="00DB4C35"/>
    <w:rsid w:val="00DB5123"/>
    <w:rsid w:val="00DB5135"/>
    <w:rsid w:val="00DB535C"/>
    <w:rsid w:val="00DB5812"/>
    <w:rsid w:val="00DB5A42"/>
    <w:rsid w:val="00DB605A"/>
    <w:rsid w:val="00DB61E3"/>
    <w:rsid w:val="00DB6A10"/>
    <w:rsid w:val="00DB6BCE"/>
    <w:rsid w:val="00DB6FD1"/>
    <w:rsid w:val="00DB6FEC"/>
    <w:rsid w:val="00DB70DF"/>
    <w:rsid w:val="00DB75FC"/>
    <w:rsid w:val="00DB77DB"/>
    <w:rsid w:val="00DB791B"/>
    <w:rsid w:val="00DB7B77"/>
    <w:rsid w:val="00DB7CEF"/>
    <w:rsid w:val="00DB7FF6"/>
    <w:rsid w:val="00DC021E"/>
    <w:rsid w:val="00DC03F6"/>
    <w:rsid w:val="00DC0471"/>
    <w:rsid w:val="00DC051C"/>
    <w:rsid w:val="00DC0BFE"/>
    <w:rsid w:val="00DC1263"/>
    <w:rsid w:val="00DC15FF"/>
    <w:rsid w:val="00DC1B10"/>
    <w:rsid w:val="00DC1C03"/>
    <w:rsid w:val="00DC1C0D"/>
    <w:rsid w:val="00DC21F6"/>
    <w:rsid w:val="00DC2384"/>
    <w:rsid w:val="00DC23C2"/>
    <w:rsid w:val="00DC2648"/>
    <w:rsid w:val="00DC2872"/>
    <w:rsid w:val="00DC2B0C"/>
    <w:rsid w:val="00DC2B85"/>
    <w:rsid w:val="00DC2D3D"/>
    <w:rsid w:val="00DC2F67"/>
    <w:rsid w:val="00DC2FFA"/>
    <w:rsid w:val="00DC3728"/>
    <w:rsid w:val="00DC39DC"/>
    <w:rsid w:val="00DC3A85"/>
    <w:rsid w:val="00DC3E2D"/>
    <w:rsid w:val="00DC4203"/>
    <w:rsid w:val="00DC4A9C"/>
    <w:rsid w:val="00DC4BA0"/>
    <w:rsid w:val="00DC4CF7"/>
    <w:rsid w:val="00DC4EFB"/>
    <w:rsid w:val="00DC4F94"/>
    <w:rsid w:val="00DC50CC"/>
    <w:rsid w:val="00DC54B9"/>
    <w:rsid w:val="00DC5C13"/>
    <w:rsid w:val="00DC5E4A"/>
    <w:rsid w:val="00DC5E7E"/>
    <w:rsid w:val="00DC6082"/>
    <w:rsid w:val="00DC60BC"/>
    <w:rsid w:val="00DC61DC"/>
    <w:rsid w:val="00DC6414"/>
    <w:rsid w:val="00DC6595"/>
    <w:rsid w:val="00DC6BDF"/>
    <w:rsid w:val="00DC6F0F"/>
    <w:rsid w:val="00DC6FA5"/>
    <w:rsid w:val="00DC7001"/>
    <w:rsid w:val="00DC7363"/>
    <w:rsid w:val="00DC73B1"/>
    <w:rsid w:val="00DC7619"/>
    <w:rsid w:val="00DC79A5"/>
    <w:rsid w:val="00DC7D81"/>
    <w:rsid w:val="00DC7DD0"/>
    <w:rsid w:val="00DC7DD7"/>
    <w:rsid w:val="00DC7DED"/>
    <w:rsid w:val="00DD0221"/>
    <w:rsid w:val="00DD02F7"/>
    <w:rsid w:val="00DD0A9F"/>
    <w:rsid w:val="00DD0DCD"/>
    <w:rsid w:val="00DD0ED1"/>
    <w:rsid w:val="00DD10BB"/>
    <w:rsid w:val="00DD162E"/>
    <w:rsid w:val="00DD189F"/>
    <w:rsid w:val="00DD1C14"/>
    <w:rsid w:val="00DD1C45"/>
    <w:rsid w:val="00DD2265"/>
    <w:rsid w:val="00DD24CA"/>
    <w:rsid w:val="00DD25A4"/>
    <w:rsid w:val="00DD26B3"/>
    <w:rsid w:val="00DD2773"/>
    <w:rsid w:val="00DD28D4"/>
    <w:rsid w:val="00DD29EB"/>
    <w:rsid w:val="00DD29F7"/>
    <w:rsid w:val="00DD2AAF"/>
    <w:rsid w:val="00DD2EF2"/>
    <w:rsid w:val="00DD30C2"/>
    <w:rsid w:val="00DD37DF"/>
    <w:rsid w:val="00DD3845"/>
    <w:rsid w:val="00DD388A"/>
    <w:rsid w:val="00DD3A25"/>
    <w:rsid w:val="00DD3E43"/>
    <w:rsid w:val="00DD3E97"/>
    <w:rsid w:val="00DD41B5"/>
    <w:rsid w:val="00DD45F0"/>
    <w:rsid w:val="00DD47FE"/>
    <w:rsid w:val="00DD49BA"/>
    <w:rsid w:val="00DD4C28"/>
    <w:rsid w:val="00DD4E62"/>
    <w:rsid w:val="00DD4E89"/>
    <w:rsid w:val="00DD4F2E"/>
    <w:rsid w:val="00DD4FB0"/>
    <w:rsid w:val="00DD4FE3"/>
    <w:rsid w:val="00DD51E8"/>
    <w:rsid w:val="00DD52FA"/>
    <w:rsid w:val="00DD53C1"/>
    <w:rsid w:val="00DD5876"/>
    <w:rsid w:val="00DD5CF0"/>
    <w:rsid w:val="00DD667F"/>
    <w:rsid w:val="00DD669E"/>
    <w:rsid w:val="00DD6C03"/>
    <w:rsid w:val="00DD6C13"/>
    <w:rsid w:val="00DD6C17"/>
    <w:rsid w:val="00DD6EDB"/>
    <w:rsid w:val="00DD70BF"/>
    <w:rsid w:val="00DD7A7E"/>
    <w:rsid w:val="00DD7B86"/>
    <w:rsid w:val="00DE0544"/>
    <w:rsid w:val="00DE0685"/>
    <w:rsid w:val="00DE08A6"/>
    <w:rsid w:val="00DE094D"/>
    <w:rsid w:val="00DE0BED"/>
    <w:rsid w:val="00DE14EE"/>
    <w:rsid w:val="00DE1BAB"/>
    <w:rsid w:val="00DE1DD3"/>
    <w:rsid w:val="00DE2046"/>
    <w:rsid w:val="00DE24DF"/>
    <w:rsid w:val="00DE253C"/>
    <w:rsid w:val="00DE27E5"/>
    <w:rsid w:val="00DE2BE4"/>
    <w:rsid w:val="00DE2E1B"/>
    <w:rsid w:val="00DE2E48"/>
    <w:rsid w:val="00DE30E3"/>
    <w:rsid w:val="00DE3126"/>
    <w:rsid w:val="00DE3157"/>
    <w:rsid w:val="00DE37B6"/>
    <w:rsid w:val="00DE37FE"/>
    <w:rsid w:val="00DE3982"/>
    <w:rsid w:val="00DE3BDA"/>
    <w:rsid w:val="00DE3D6B"/>
    <w:rsid w:val="00DE4020"/>
    <w:rsid w:val="00DE40D0"/>
    <w:rsid w:val="00DE46F3"/>
    <w:rsid w:val="00DE4A41"/>
    <w:rsid w:val="00DE52C4"/>
    <w:rsid w:val="00DE535C"/>
    <w:rsid w:val="00DE55C3"/>
    <w:rsid w:val="00DE5C23"/>
    <w:rsid w:val="00DE5F99"/>
    <w:rsid w:val="00DE693F"/>
    <w:rsid w:val="00DE6CD8"/>
    <w:rsid w:val="00DE6D48"/>
    <w:rsid w:val="00DE6F53"/>
    <w:rsid w:val="00DE7208"/>
    <w:rsid w:val="00DE79B4"/>
    <w:rsid w:val="00DE7A8B"/>
    <w:rsid w:val="00DE7AC7"/>
    <w:rsid w:val="00DF00DD"/>
    <w:rsid w:val="00DF0202"/>
    <w:rsid w:val="00DF0530"/>
    <w:rsid w:val="00DF062F"/>
    <w:rsid w:val="00DF08D3"/>
    <w:rsid w:val="00DF0C29"/>
    <w:rsid w:val="00DF0E8A"/>
    <w:rsid w:val="00DF110B"/>
    <w:rsid w:val="00DF11B2"/>
    <w:rsid w:val="00DF124A"/>
    <w:rsid w:val="00DF1621"/>
    <w:rsid w:val="00DF16A5"/>
    <w:rsid w:val="00DF1786"/>
    <w:rsid w:val="00DF183A"/>
    <w:rsid w:val="00DF1965"/>
    <w:rsid w:val="00DF1CC7"/>
    <w:rsid w:val="00DF1F2D"/>
    <w:rsid w:val="00DF219E"/>
    <w:rsid w:val="00DF222D"/>
    <w:rsid w:val="00DF228B"/>
    <w:rsid w:val="00DF2759"/>
    <w:rsid w:val="00DF295D"/>
    <w:rsid w:val="00DF29C2"/>
    <w:rsid w:val="00DF2BAF"/>
    <w:rsid w:val="00DF31A0"/>
    <w:rsid w:val="00DF3247"/>
    <w:rsid w:val="00DF352A"/>
    <w:rsid w:val="00DF3665"/>
    <w:rsid w:val="00DF3749"/>
    <w:rsid w:val="00DF37AD"/>
    <w:rsid w:val="00DF37B3"/>
    <w:rsid w:val="00DF396E"/>
    <w:rsid w:val="00DF3ACF"/>
    <w:rsid w:val="00DF3B37"/>
    <w:rsid w:val="00DF408A"/>
    <w:rsid w:val="00DF4136"/>
    <w:rsid w:val="00DF4288"/>
    <w:rsid w:val="00DF4383"/>
    <w:rsid w:val="00DF43E1"/>
    <w:rsid w:val="00DF444B"/>
    <w:rsid w:val="00DF4532"/>
    <w:rsid w:val="00DF45C3"/>
    <w:rsid w:val="00DF45F9"/>
    <w:rsid w:val="00DF4749"/>
    <w:rsid w:val="00DF4821"/>
    <w:rsid w:val="00DF49EB"/>
    <w:rsid w:val="00DF4E72"/>
    <w:rsid w:val="00DF58B5"/>
    <w:rsid w:val="00DF5A0F"/>
    <w:rsid w:val="00DF5CC3"/>
    <w:rsid w:val="00DF5E7D"/>
    <w:rsid w:val="00DF64E5"/>
    <w:rsid w:val="00DF6536"/>
    <w:rsid w:val="00DF6DBC"/>
    <w:rsid w:val="00DF6E88"/>
    <w:rsid w:val="00DF746F"/>
    <w:rsid w:val="00DF7544"/>
    <w:rsid w:val="00DF7593"/>
    <w:rsid w:val="00DF75F1"/>
    <w:rsid w:val="00DF762F"/>
    <w:rsid w:val="00E00059"/>
    <w:rsid w:val="00E0067E"/>
    <w:rsid w:val="00E00681"/>
    <w:rsid w:val="00E00768"/>
    <w:rsid w:val="00E00B63"/>
    <w:rsid w:val="00E00DF9"/>
    <w:rsid w:val="00E00FDF"/>
    <w:rsid w:val="00E012B4"/>
    <w:rsid w:val="00E012E0"/>
    <w:rsid w:val="00E015DE"/>
    <w:rsid w:val="00E01B4C"/>
    <w:rsid w:val="00E01C33"/>
    <w:rsid w:val="00E01F00"/>
    <w:rsid w:val="00E023DB"/>
    <w:rsid w:val="00E02515"/>
    <w:rsid w:val="00E0271A"/>
    <w:rsid w:val="00E027C2"/>
    <w:rsid w:val="00E02832"/>
    <w:rsid w:val="00E02D99"/>
    <w:rsid w:val="00E031CC"/>
    <w:rsid w:val="00E03217"/>
    <w:rsid w:val="00E0336A"/>
    <w:rsid w:val="00E0351B"/>
    <w:rsid w:val="00E0370F"/>
    <w:rsid w:val="00E03737"/>
    <w:rsid w:val="00E039C5"/>
    <w:rsid w:val="00E039CA"/>
    <w:rsid w:val="00E03C6D"/>
    <w:rsid w:val="00E03FC2"/>
    <w:rsid w:val="00E04181"/>
    <w:rsid w:val="00E04340"/>
    <w:rsid w:val="00E043A2"/>
    <w:rsid w:val="00E046FD"/>
    <w:rsid w:val="00E04A11"/>
    <w:rsid w:val="00E04A17"/>
    <w:rsid w:val="00E04B24"/>
    <w:rsid w:val="00E04DEA"/>
    <w:rsid w:val="00E05143"/>
    <w:rsid w:val="00E053AC"/>
    <w:rsid w:val="00E05465"/>
    <w:rsid w:val="00E05513"/>
    <w:rsid w:val="00E058AD"/>
    <w:rsid w:val="00E05FEB"/>
    <w:rsid w:val="00E06346"/>
    <w:rsid w:val="00E068C2"/>
    <w:rsid w:val="00E06C1C"/>
    <w:rsid w:val="00E06F9A"/>
    <w:rsid w:val="00E070D4"/>
    <w:rsid w:val="00E0726F"/>
    <w:rsid w:val="00E074E1"/>
    <w:rsid w:val="00E077FD"/>
    <w:rsid w:val="00E07879"/>
    <w:rsid w:val="00E07B58"/>
    <w:rsid w:val="00E07C38"/>
    <w:rsid w:val="00E10087"/>
    <w:rsid w:val="00E103DF"/>
    <w:rsid w:val="00E1061B"/>
    <w:rsid w:val="00E10886"/>
    <w:rsid w:val="00E10CFD"/>
    <w:rsid w:val="00E10CFF"/>
    <w:rsid w:val="00E10F98"/>
    <w:rsid w:val="00E1109F"/>
    <w:rsid w:val="00E110AF"/>
    <w:rsid w:val="00E11288"/>
    <w:rsid w:val="00E11565"/>
    <w:rsid w:val="00E117F5"/>
    <w:rsid w:val="00E11AA8"/>
    <w:rsid w:val="00E11E22"/>
    <w:rsid w:val="00E11F92"/>
    <w:rsid w:val="00E121E1"/>
    <w:rsid w:val="00E124FE"/>
    <w:rsid w:val="00E126A0"/>
    <w:rsid w:val="00E1286C"/>
    <w:rsid w:val="00E128F2"/>
    <w:rsid w:val="00E129E1"/>
    <w:rsid w:val="00E12A1D"/>
    <w:rsid w:val="00E12A4A"/>
    <w:rsid w:val="00E12EA0"/>
    <w:rsid w:val="00E132F4"/>
    <w:rsid w:val="00E133B2"/>
    <w:rsid w:val="00E13549"/>
    <w:rsid w:val="00E137E7"/>
    <w:rsid w:val="00E137FC"/>
    <w:rsid w:val="00E138CE"/>
    <w:rsid w:val="00E139E5"/>
    <w:rsid w:val="00E13FD0"/>
    <w:rsid w:val="00E14C69"/>
    <w:rsid w:val="00E14E6B"/>
    <w:rsid w:val="00E14EEE"/>
    <w:rsid w:val="00E15566"/>
    <w:rsid w:val="00E157C4"/>
    <w:rsid w:val="00E158E5"/>
    <w:rsid w:val="00E15CA0"/>
    <w:rsid w:val="00E16259"/>
    <w:rsid w:val="00E1644C"/>
    <w:rsid w:val="00E16C24"/>
    <w:rsid w:val="00E16CDD"/>
    <w:rsid w:val="00E1707F"/>
    <w:rsid w:val="00E17481"/>
    <w:rsid w:val="00E17998"/>
    <w:rsid w:val="00E179AC"/>
    <w:rsid w:val="00E17A0A"/>
    <w:rsid w:val="00E17DC9"/>
    <w:rsid w:val="00E17DDC"/>
    <w:rsid w:val="00E17EBD"/>
    <w:rsid w:val="00E20782"/>
    <w:rsid w:val="00E207B5"/>
    <w:rsid w:val="00E209CE"/>
    <w:rsid w:val="00E20DD9"/>
    <w:rsid w:val="00E20F1A"/>
    <w:rsid w:val="00E20FF3"/>
    <w:rsid w:val="00E21162"/>
    <w:rsid w:val="00E211DC"/>
    <w:rsid w:val="00E2140B"/>
    <w:rsid w:val="00E2160F"/>
    <w:rsid w:val="00E2167A"/>
    <w:rsid w:val="00E216C7"/>
    <w:rsid w:val="00E21726"/>
    <w:rsid w:val="00E2183C"/>
    <w:rsid w:val="00E21898"/>
    <w:rsid w:val="00E219A8"/>
    <w:rsid w:val="00E219D5"/>
    <w:rsid w:val="00E219EF"/>
    <w:rsid w:val="00E21A0D"/>
    <w:rsid w:val="00E22323"/>
    <w:rsid w:val="00E223BA"/>
    <w:rsid w:val="00E225E5"/>
    <w:rsid w:val="00E22616"/>
    <w:rsid w:val="00E226CA"/>
    <w:rsid w:val="00E22833"/>
    <w:rsid w:val="00E22946"/>
    <w:rsid w:val="00E22A84"/>
    <w:rsid w:val="00E22C0B"/>
    <w:rsid w:val="00E22CBA"/>
    <w:rsid w:val="00E22CFD"/>
    <w:rsid w:val="00E22F48"/>
    <w:rsid w:val="00E2308A"/>
    <w:rsid w:val="00E2337E"/>
    <w:rsid w:val="00E2350D"/>
    <w:rsid w:val="00E23D92"/>
    <w:rsid w:val="00E240CC"/>
    <w:rsid w:val="00E24F85"/>
    <w:rsid w:val="00E24F9A"/>
    <w:rsid w:val="00E25419"/>
    <w:rsid w:val="00E26147"/>
    <w:rsid w:val="00E26308"/>
    <w:rsid w:val="00E268AA"/>
    <w:rsid w:val="00E268CD"/>
    <w:rsid w:val="00E26B9E"/>
    <w:rsid w:val="00E27266"/>
    <w:rsid w:val="00E27303"/>
    <w:rsid w:val="00E2731A"/>
    <w:rsid w:val="00E274D0"/>
    <w:rsid w:val="00E2774E"/>
    <w:rsid w:val="00E279D8"/>
    <w:rsid w:val="00E27F3F"/>
    <w:rsid w:val="00E301AB"/>
    <w:rsid w:val="00E30457"/>
    <w:rsid w:val="00E304BC"/>
    <w:rsid w:val="00E3052A"/>
    <w:rsid w:val="00E3054F"/>
    <w:rsid w:val="00E307C3"/>
    <w:rsid w:val="00E30A5F"/>
    <w:rsid w:val="00E30C5B"/>
    <w:rsid w:val="00E30DEB"/>
    <w:rsid w:val="00E30E52"/>
    <w:rsid w:val="00E311B1"/>
    <w:rsid w:val="00E3126C"/>
    <w:rsid w:val="00E31502"/>
    <w:rsid w:val="00E315B6"/>
    <w:rsid w:val="00E315CE"/>
    <w:rsid w:val="00E316CB"/>
    <w:rsid w:val="00E316E5"/>
    <w:rsid w:val="00E31770"/>
    <w:rsid w:val="00E3191F"/>
    <w:rsid w:val="00E31A94"/>
    <w:rsid w:val="00E31AB2"/>
    <w:rsid w:val="00E31E6C"/>
    <w:rsid w:val="00E322BE"/>
    <w:rsid w:val="00E326AC"/>
    <w:rsid w:val="00E328EE"/>
    <w:rsid w:val="00E32A90"/>
    <w:rsid w:val="00E32C9A"/>
    <w:rsid w:val="00E32D33"/>
    <w:rsid w:val="00E3307C"/>
    <w:rsid w:val="00E330FE"/>
    <w:rsid w:val="00E33181"/>
    <w:rsid w:val="00E33A48"/>
    <w:rsid w:val="00E33C16"/>
    <w:rsid w:val="00E33D27"/>
    <w:rsid w:val="00E3424F"/>
    <w:rsid w:val="00E34287"/>
    <w:rsid w:val="00E34386"/>
    <w:rsid w:val="00E348A3"/>
    <w:rsid w:val="00E349FA"/>
    <w:rsid w:val="00E34AEE"/>
    <w:rsid w:val="00E34BB8"/>
    <w:rsid w:val="00E34DA7"/>
    <w:rsid w:val="00E351C6"/>
    <w:rsid w:val="00E3549E"/>
    <w:rsid w:val="00E35BE6"/>
    <w:rsid w:val="00E362A6"/>
    <w:rsid w:val="00E3635C"/>
    <w:rsid w:val="00E363C9"/>
    <w:rsid w:val="00E36649"/>
    <w:rsid w:val="00E36682"/>
    <w:rsid w:val="00E3668E"/>
    <w:rsid w:val="00E36873"/>
    <w:rsid w:val="00E36BDB"/>
    <w:rsid w:val="00E36DFA"/>
    <w:rsid w:val="00E36F45"/>
    <w:rsid w:val="00E37074"/>
    <w:rsid w:val="00E370E7"/>
    <w:rsid w:val="00E3718A"/>
    <w:rsid w:val="00E37583"/>
    <w:rsid w:val="00E3789A"/>
    <w:rsid w:val="00E379E2"/>
    <w:rsid w:val="00E37ADA"/>
    <w:rsid w:val="00E37CD2"/>
    <w:rsid w:val="00E37F1B"/>
    <w:rsid w:val="00E400B7"/>
    <w:rsid w:val="00E4015A"/>
    <w:rsid w:val="00E4026E"/>
    <w:rsid w:val="00E40284"/>
    <w:rsid w:val="00E404E5"/>
    <w:rsid w:val="00E40A53"/>
    <w:rsid w:val="00E410F8"/>
    <w:rsid w:val="00E417F7"/>
    <w:rsid w:val="00E419F3"/>
    <w:rsid w:val="00E41CF1"/>
    <w:rsid w:val="00E42222"/>
    <w:rsid w:val="00E422BA"/>
    <w:rsid w:val="00E4232F"/>
    <w:rsid w:val="00E423B9"/>
    <w:rsid w:val="00E42420"/>
    <w:rsid w:val="00E427C5"/>
    <w:rsid w:val="00E42C02"/>
    <w:rsid w:val="00E42E14"/>
    <w:rsid w:val="00E430B0"/>
    <w:rsid w:val="00E435E1"/>
    <w:rsid w:val="00E436DA"/>
    <w:rsid w:val="00E437C4"/>
    <w:rsid w:val="00E437F6"/>
    <w:rsid w:val="00E43882"/>
    <w:rsid w:val="00E44200"/>
    <w:rsid w:val="00E443A2"/>
    <w:rsid w:val="00E4498E"/>
    <w:rsid w:val="00E44D2C"/>
    <w:rsid w:val="00E44EA4"/>
    <w:rsid w:val="00E4524F"/>
    <w:rsid w:val="00E4545F"/>
    <w:rsid w:val="00E45A36"/>
    <w:rsid w:val="00E45C6E"/>
    <w:rsid w:val="00E45D48"/>
    <w:rsid w:val="00E45E64"/>
    <w:rsid w:val="00E4637F"/>
    <w:rsid w:val="00E4654B"/>
    <w:rsid w:val="00E4681D"/>
    <w:rsid w:val="00E4683F"/>
    <w:rsid w:val="00E46966"/>
    <w:rsid w:val="00E46A66"/>
    <w:rsid w:val="00E46CD1"/>
    <w:rsid w:val="00E471D5"/>
    <w:rsid w:val="00E47355"/>
    <w:rsid w:val="00E47DA1"/>
    <w:rsid w:val="00E50096"/>
    <w:rsid w:val="00E500F8"/>
    <w:rsid w:val="00E50248"/>
    <w:rsid w:val="00E503DB"/>
    <w:rsid w:val="00E5083D"/>
    <w:rsid w:val="00E508A2"/>
    <w:rsid w:val="00E508A6"/>
    <w:rsid w:val="00E50A01"/>
    <w:rsid w:val="00E50A95"/>
    <w:rsid w:val="00E50F21"/>
    <w:rsid w:val="00E51400"/>
    <w:rsid w:val="00E5150B"/>
    <w:rsid w:val="00E517B5"/>
    <w:rsid w:val="00E51868"/>
    <w:rsid w:val="00E51887"/>
    <w:rsid w:val="00E51919"/>
    <w:rsid w:val="00E5193B"/>
    <w:rsid w:val="00E51B4E"/>
    <w:rsid w:val="00E51C0C"/>
    <w:rsid w:val="00E51D8C"/>
    <w:rsid w:val="00E520C3"/>
    <w:rsid w:val="00E520D5"/>
    <w:rsid w:val="00E5241F"/>
    <w:rsid w:val="00E5248B"/>
    <w:rsid w:val="00E52677"/>
    <w:rsid w:val="00E528A5"/>
    <w:rsid w:val="00E528C0"/>
    <w:rsid w:val="00E5293A"/>
    <w:rsid w:val="00E52DCA"/>
    <w:rsid w:val="00E531B4"/>
    <w:rsid w:val="00E535FC"/>
    <w:rsid w:val="00E53684"/>
    <w:rsid w:val="00E53710"/>
    <w:rsid w:val="00E537E9"/>
    <w:rsid w:val="00E53823"/>
    <w:rsid w:val="00E538E0"/>
    <w:rsid w:val="00E53C87"/>
    <w:rsid w:val="00E53CD3"/>
    <w:rsid w:val="00E541A6"/>
    <w:rsid w:val="00E541BB"/>
    <w:rsid w:val="00E5437E"/>
    <w:rsid w:val="00E543A8"/>
    <w:rsid w:val="00E5459A"/>
    <w:rsid w:val="00E54875"/>
    <w:rsid w:val="00E5498C"/>
    <w:rsid w:val="00E54CA9"/>
    <w:rsid w:val="00E54D23"/>
    <w:rsid w:val="00E54D3C"/>
    <w:rsid w:val="00E54E8A"/>
    <w:rsid w:val="00E54FE1"/>
    <w:rsid w:val="00E5513A"/>
    <w:rsid w:val="00E5524D"/>
    <w:rsid w:val="00E555F9"/>
    <w:rsid w:val="00E55B75"/>
    <w:rsid w:val="00E55BFE"/>
    <w:rsid w:val="00E55CD1"/>
    <w:rsid w:val="00E560B6"/>
    <w:rsid w:val="00E561FA"/>
    <w:rsid w:val="00E5642B"/>
    <w:rsid w:val="00E564F7"/>
    <w:rsid w:val="00E56597"/>
    <w:rsid w:val="00E56635"/>
    <w:rsid w:val="00E567C5"/>
    <w:rsid w:val="00E569E2"/>
    <w:rsid w:val="00E56C3D"/>
    <w:rsid w:val="00E56D66"/>
    <w:rsid w:val="00E56DE0"/>
    <w:rsid w:val="00E570DB"/>
    <w:rsid w:val="00E57133"/>
    <w:rsid w:val="00E57209"/>
    <w:rsid w:val="00E57428"/>
    <w:rsid w:val="00E575E6"/>
    <w:rsid w:val="00E5765D"/>
    <w:rsid w:val="00E57B69"/>
    <w:rsid w:val="00E57C0C"/>
    <w:rsid w:val="00E57C27"/>
    <w:rsid w:val="00E57D43"/>
    <w:rsid w:val="00E57D93"/>
    <w:rsid w:val="00E57DC6"/>
    <w:rsid w:val="00E603F8"/>
    <w:rsid w:val="00E60487"/>
    <w:rsid w:val="00E604D5"/>
    <w:rsid w:val="00E607A7"/>
    <w:rsid w:val="00E60860"/>
    <w:rsid w:val="00E60C02"/>
    <w:rsid w:val="00E60C15"/>
    <w:rsid w:val="00E60C88"/>
    <w:rsid w:val="00E60D57"/>
    <w:rsid w:val="00E61067"/>
    <w:rsid w:val="00E610C8"/>
    <w:rsid w:val="00E6137A"/>
    <w:rsid w:val="00E61641"/>
    <w:rsid w:val="00E617BA"/>
    <w:rsid w:val="00E617DD"/>
    <w:rsid w:val="00E61896"/>
    <w:rsid w:val="00E61C88"/>
    <w:rsid w:val="00E61F51"/>
    <w:rsid w:val="00E62137"/>
    <w:rsid w:val="00E62307"/>
    <w:rsid w:val="00E6273D"/>
    <w:rsid w:val="00E62CBD"/>
    <w:rsid w:val="00E62F86"/>
    <w:rsid w:val="00E6315D"/>
    <w:rsid w:val="00E637BB"/>
    <w:rsid w:val="00E63C27"/>
    <w:rsid w:val="00E641DC"/>
    <w:rsid w:val="00E64505"/>
    <w:rsid w:val="00E64C94"/>
    <w:rsid w:val="00E64CD2"/>
    <w:rsid w:val="00E65041"/>
    <w:rsid w:val="00E654D7"/>
    <w:rsid w:val="00E65536"/>
    <w:rsid w:val="00E65EC6"/>
    <w:rsid w:val="00E6661A"/>
    <w:rsid w:val="00E66A46"/>
    <w:rsid w:val="00E66B24"/>
    <w:rsid w:val="00E66B6B"/>
    <w:rsid w:val="00E673BB"/>
    <w:rsid w:val="00E67813"/>
    <w:rsid w:val="00E67C73"/>
    <w:rsid w:val="00E67D3B"/>
    <w:rsid w:val="00E67DCD"/>
    <w:rsid w:val="00E67E4B"/>
    <w:rsid w:val="00E67EF2"/>
    <w:rsid w:val="00E70257"/>
    <w:rsid w:val="00E70272"/>
    <w:rsid w:val="00E702A5"/>
    <w:rsid w:val="00E7082D"/>
    <w:rsid w:val="00E70911"/>
    <w:rsid w:val="00E70AD2"/>
    <w:rsid w:val="00E70BA4"/>
    <w:rsid w:val="00E70BEC"/>
    <w:rsid w:val="00E71165"/>
    <w:rsid w:val="00E7120C"/>
    <w:rsid w:val="00E71C22"/>
    <w:rsid w:val="00E71DBF"/>
    <w:rsid w:val="00E71E21"/>
    <w:rsid w:val="00E7250C"/>
    <w:rsid w:val="00E7314E"/>
    <w:rsid w:val="00E73455"/>
    <w:rsid w:val="00E7364F"/>
    <w:rsid w:val="00E73654"/>
    <w:rsid w:val="00E73A7E"/>
    <w:rsid w:val="00E73BF5"/>
    <w:rsid w:val="00E7433B"/>
    <w:rsid w:val="00E74588"/>
    <w:rsid w:val="00E745AA"/>
    <w:rsid w:val="00E7464A"/>
    <w:rsid w:val="00E74841"/>
    <w:rsid w:val="00E74B25"/>
    <w:rsid w:val="00E74D59"/>
    <w:rsid w:val="00E74EEB"/>
    <w:rsid w:val="00E75169"/>
    <w:rsid w:val="00E7537B"/>
    <w:rsid w:val="00E75405"/>
    <w:rsid w:val="00E755DF"/>
    <w:rsid w:val="00E75E17"/>
    <w:rsid w:val="00E75E21"/>
    <w:rsid w:val="00E762A8"/>
    <w:rsid w:val="00E762AC"/>
    <w:rsid w:val="00E769F0"/>
    <w:rsid w:val="00E76E5D"/>
    <w:rsid w:val="00E77060"/>
    <w:rsid w:val="00E77400"/>
    <w:rsid w:val="00E77B32"/>
    <w:rsid w:val="00E77DA6"/>
    <w:rsid w:val="00E77F34"/>
    <w:rsid w:val="00E77FD0"/>
    <w:rsid w:val="00E80157"/>
    <w:rsid w:val="00E8017D"/>
    <w:rsid w:val="00E806C5"/>
    <w:rsid w:val="00E807F5"/>
    <w:rsid w:val="00E80927"/>
    <w:rsid w:val="00E80B79"/>
    <w:rsid w:val="00E80BF0"/>
    <w:rsid w:val="00E80E29"/>
    <w:rsid w:val="00E80EA0"/>
    <w:rsid w:val="00E80EC4"/>
    <w:rsid w:val="00E81086"/>
    <w:rsid w:val="00E81770"/>
    <w:rsid w:val="00E81BC8"/>
    <w:rsid w:val="00E81F2E"/>
    <w:rsid w:val="00E823A0"/>
    <w:rsid w:val="00E823D8"/>
    <w:rsid w:val="00E8257E"/>
    <w:rsid w:val="00E82877"/>
    <w:rsid w:val="00E828FC"/>
    <w:rsid w:val="00E82C83"/>
    <w:rsid w:val="00E82E29"/>
    <w:rsid w:val="00E83103"/>
    <w:rsid w:val="00E8319D"/>
    <w:rsid w:val="00E83B61"/>
    <w:rsid w:val="00E83DD4"/>
    <w:rsid w:val="00E83F7D"/>
    <w:rsid w:val="00E8464B"/>
    <w:rsid w:val="00E84654"/>
    <w:rsid w:val="00E8474E"/>
    <w:rsid w:val="00E84F38"/>
    <w:rsid w:val="00E85943"/>
    <w:rsid w:val="00E859A3"/>
    <w:rsid w:val="00E85EC5"/>
    <w:rsid w:val="00E85FED"/>
    <w:rsid w:val="00E86101"/>
    <w:rsid w:val="00E869B2"/>
    <w:rsid w:val="00E86B72"/>
    <w:rsid w:val="00E86D5A"/>
    <w:rsid w:val="00E86FD9"/>
    <w:rsid w:val="00E87036"/>
    <w:rsid w:val="00E870FE"/>
    <w:rsid w:val="00E87303"/>
    <w:rsid w:val="00E8771F"/>
    <w:rsid w:val="00E87853"/>
    <w:rsid w:val="00E878B4"/>
    <w:rsid w:val="00E879B3"/>
    <w:rsid w:val="00E87AF6"/>
    <w:rsid w:val="00E87D06"/>
    <w:rsid w:val="00E87E06"/>
    <w:rsid w:val="00E87FC7"/>
    <w:rsid w:val="00E9002A"/>
    <w:rsid w:val="00E900EA"/>
    <w:rsid w:val="00E90329"/>
    <w:rsid w:val="00E90AEF"/>
    <w:rsid w:val="00E9161E"/>
    <w:rsid w:val="00E91C46"/>
    <w:rsid w:val="00E92094"/>
    <w:rsid w:val="00E92630"/>
    <w:rsid w:val="00E92A87"/>
    <w:rsid w:val="00E92A89"/>
    <w:rsid w:val="00E92CDD"/>
    <w:rsid w:val="00E92F9E"/>
    <w:rsid w:val="00E931A6"/>
    <w:rsid w:val="00E932EF"/>
    <w:rsid w:val="00E9368D"/>
    <w:rsid w:val="00E93963"/>
    <w:rsid w:val="00E939CC"/>
    <w:rsid w:val="00E93B1A"/>
    <w:rsid w:val="00E93BAB"/>
    <w:rsid w:val="00E93BCB"/>
    <w:rsid w:val="00E93D8A"/>
    <w:rsid w:val="00E93E56"/>
    <w:rsid w:val="00E943A2"/>
    <w:rsid w:val="00E9454C"/>
    <w:rsid w:val="00E9458E"/>
    <w:rsid w:val="00E9489B"/>
    <w:rsid w:val="00E94BB5"/>
    <w:rsid w:val="00E94D91"/>
    <w:rsid w:val="00E94DE4"/>
    <w:rsid w:val="00E9508A"/>
    <w:rsid w:val="00E953B6"/>
    <w:rsid w:val="00E9542C"/>
    <w:rsid w:val="00E95664"/>
    <w:rsid w:val="00E95A0A"/>
    <w:rsid w:val="00E95C42"/>
    <w:rsid w:val="00E95CD0"/>
    <w:rsid w:val="00E9641D"/>
    <w:rsid w:val="00E9642E"/>
    <w:rsid w:val="00E96586"/>
    <w:rsid w:val="00E965F4"/>
    <w:rsid w:val="00E966B9"/>
    <w:rsid w:val="00E9678C"/>
    <w:rsid w:val="00E9695A"/>
    <w:rsid w:val="00E96A3B"/>
    <w:rsid w:val="00E96A7C"/>
    <w:rsid w:val="00E96AD6"/>
    <w:rsid w:val="00E97405"/>
    <w:rsid w:val="00E976A0"/>
    <w:rsid w:val="00E97919"/>
    <w:rsid w:val="00EA025A"/>
    <w:rsid w:val="00EA06F3"/>
    <w:rsid w:val="00EA0B0A"/>
    <w:rsid w:val="00EA0C46"/>
    <w:rsid w:val="00EA0DEF"/>
    <w:rsid w:val="00EA10C6"/>
    <w:rsid w:val="00EA14C9"/>
    <w:rsid w:val="00EA15A2"/>
    <w:rsid w:val="00EA1719"/>
    <w:rsid w:val="00EA1C8B"/>
    <w:rsid w:val="00EA1E7E"/>
    <w:rsid w:val="00EA1F0D"/>
    <w:rsid w:val="00EA22C1"/>
    <w:rsid w:val="00EA247D"/>
    <w:rsid w:val="00EA25A1"/>
    <w:rsid w:val="00EA26BE"/>
    <w:rsid w:val="00EA2BA1"/>
    <w:rsid w:val="00EA2C88"/>
    <w:rsid w:val="00EA2D1B"/>
    <w:rsid w:val="00EA319A"/>
    <w:rsid w:val="00EA31B5"/>
    <w:rsid w:val="00EA31B7"/>
    <w:rsid w:val="00EA3F07"/>
    <w:rsid w:val="00EA3FCE"/>
    <w:rsid w:val="00EA4234"/>
    <w:rsid w:val="00EA4964"/>
    <w:rsid w:val="00EA49B5"/>
    <w:rsid w:val="00EA4AD3"/>
    <w:rsid w:val="00EA5453"/>
    <w:rsid w:val="00EA54EE"/>
    <w:rsid w:val="00EA5602"/>
    <w:rsid w:val="00EA576F"/>
    <w:rsid w:val="00EA57A2"/>
    <w:rsid w:val="00EA5950"/>
    <w:rsid w:val="00EA5B29"/>
    <w:rsid w:val="00EA5B34"/>
    <w:rsid w:val="00EA6084"/>
    <w:rsid w:val="00EA61ED"/>
    <w:rsid w:val="00EA63D2"/>
    <w:rsid w:val="00EA65F0"/>
    <w:rsid w:val="00EA69D0"/>
    <w:rsid w:val="00EA6CB0"/>
    <w:rsid w:val="00EA7377"/>
    <w:rsid w:val="00EA74CE"/>
    <w:rsid w:val="00EA75DF"/>
    <w:rsid w:val="00EA78B5"/>
    <w:rsid w:val="00EA7AB8"/>
    <w:rsid w:val="00EA7B0E"/>
    <w:rsid w:val="00EA7BB2"/>
    <w:rsid w:val="00EA7C6F"/>
    <w:rsid w:val="00EA7E6C"/>
    <w:rsid w:val="00EA7FC6"/>
    <w:rsid w:val="00EB01C2"/>
    <w:rsid w:val="00EB0520"/>
    <w:rsid w:val="00EB0CE9"/>
    <w:rsid w:val="00EB1017"/>
    <w:rsid w:val="00EB14AE"/>
    <w:rsid w:val="00EB1970"/>
    <w:rsid w:val="00EB1AF6"/>
    <w:rsid w:val="00EB1B2C"/>
    <w:rsid w:val="00EB1E18"/>
    <w:rsid w:val="00EB2215"/>
    <w:rsid w:val="00EB23DA"/>
    <w:rsid w:val="00EB252D"/>
    <w:rsid w:val="00EB2570"/>
    <w:rsid w:val="00EB2722"/>
    <w:rsid w:val="00EB27F8"/>
    <w:rsid w:val="00EB2A6F"/>
    <w:rsid w:val="00EB2C4D"/>
    <w:rsid w:val="00EB2D54"/>
    <w:rsid w:val="00EB2DF2"/>
    <w:rsid w:val="00EB3048"/>
    <w:rsid w:val="00EB34A0"/>
    <w:rsid w:val="00EB37D2"/>
    <w:rsid w:val="00EB42BE"/>
    <w:rsid w:val="00EB44D6"/>
    <w:rsid w:val="00EB47D4"/>
    <w:rsid w:val="00EB498D"/>
    <w:rsid w:val="00EB4990"/>
    <w:rsid w:val="00EB4A53"/>
    <w:rsid w:val="00EB4AF7"/>
    <w:rsid w:val="00EB4DB5"/>
    <w:rsid w:val="00EB4E08"/>
    <w:rsid w:val="00EB52E3"/>
    <w:rsid w:val="00EB5503"/>
    <w:rsid w:val="00EB5577"/>
    <w:rsid w:val="00EB5582"/>
    <w:rsid w:val="00EB55DE"/>
    <w:rsid w:val="00EB567F"/>
    <w:rsid w:val="00EB58A8"/>
    <w:rsid w:val="00EB58D8"/>
    <w:rsid w:val="00EB59D2"/>
    <w:rsid w:val="00EB5EFE"/>
    <w:rsid w:val="00EB63DB"/>
    <w:rsid w:val="00EB65FB"/>
    <w:rsid w:val="00EB69CA"/>
    <w:rsid w:val="00EB6A31"/>
    <w:rsid w:val="00EB76B2"/>
    <w:rsid w:val="00EB7C08"/>
    <w:rsid w:val="00EB7C4F"/>
    <w:rsid w:val="00EC00D5"/>
    <w:rsid w:val="00EC051F"/>
    <w:rsid w:val="00EC0691"/>
    <w:rsid w:val="00EC0AF7"/>
    <w:rsid w:val="00EC0B77"/>
    <w:rsid w:val="00EC1060"/>
    <w:rsid w:val="00EC10D5"/>
    <w:rsid w:val="00EC1260"/>
    <w:rsid w:val="00EC166E"/>
    <w:rsid w:val="00EC1A8B"/>
    <w:rsid w:val="00EC1F5B"/>
    <w:rsid w:val="00EC2079"/>
    <w:rsid w:val="00EC26BC"/>
    <w:rsid w:val="00EC2738"/>
    <w:rsid w:val="00EC295B"/>
    <w:rsid w:val="00EC29ED"/>
    <w:rsid w:val="00EC2ADC"/>
    <w:rsid w:val="00EC2F2F"/>
    <w:rsid w:val="00EC325D"/>
    <w:rsid w:val="00EC3533"/>
    <w:rsid w:val="00EC3834"/>
    <w:rsid w:val="00EC3A5B"/>
    <w:rsid w:val="00EC3D83"/>
    <w:rsid w:val="00EC3DF8"/>
    <w:rsid w:val="00EC3F13"/>
    <w:rsid w:val="00EC3F32"/>
    <w:rsid w:val="00EC4101"/>
    <w:rsid w:val="00EC46F3"/>
    <w:rsid w:val="00EC4868"/>
    <w:rsid w:val="00EC4D55"/>
    <w:rsid w:val="00EC5366"/>
    <w:rsid w:val="00EC53A6"/>
    <w:rsid w:val="00EC5423"/>
    <w:rsid w:val="00EC5BF5"/>
    <w:rsid w:val="00EC622A"/>
    <w:rsid w:val="00EC631B"/>
    <w:rsid w:val="00EC638E"/>
    <w:rsid w:val="00EC6848"/>
    <w:rsid w:val="00EC6E14"/>
    <w:rsid w:val="00EC6E93"/>
    <w:rsid w:val="00EC6F69"/>
    <w:rsid w:val="00EC74E3"/>
    <w:rsid w:val="00EC75A8"/>
    <w:rsid w:val="00EC7711"/>
    <w:rsid w:val="00EC78F0"/>
    <w:rsid w:val="00EC7C4B"/>
    <w:rsid w:val="00EC7D6B"/>
    <w:rsid w:val="00EC7F8A"/>
    <w:rsid w:val="00ED0134"/>
    <w:rsid w:val="00ED02B2"/>
    <w:rsid w:val="00ED04F6"/>
    <w:rsid w:val="00ED0585"/>
    <w:rsid w:val="00ED062A"/>
    <w:rsid w:val="00ED097F"/>
    <w:rsid w:val="00ED0DC3"/>
    <w:rsid w:val="00ED0E63"/>
    <w:rsid w:val="00ED0E96"/>
    <w:rsid w:val="00ED0ED8"/>
    <w:rsid w:val="00ED0F0F"/>
    <w:rsid w:val="00ED1168"/>
    <w:rsid w:val="00ED119C"/>
    <w:rsid w:val="00ED11FC"/>
    <w:rsid w:val="00ED18D8"/>
    <w:rsid w:val="00ED1910"/>
    <w:rsid w:val="00ED1F55"/>
    <w:rsid w:val="00ED21BF"/>
    <w:rsid w:val="00ED21FF"/>
    <w:rsid w:val="00ED22FF"/>
    <w:rsid w:val="00ED2686"/>
    <w:rsid w:val="00ED2932"/>
    <w:rsid w:val="00ED2CC1"/>
    <w:rsid w:val="00ED2E55"/>
    <w:rsid w:val="00ED3440"/>
    <w:rsid w:val="00ED3577"/>
    <w:rsid w:val="00ED360B"/>
    <w:rsid w:val="00ED391F"/>
    <w:rsid w:val="00ED3B3D"/>
    <w:rsid w:val="00ED3B4B"/>
    <w:rsid w:val="00ED3C2C"/>
    <w:rsid w:val="00ED3CC3"/>
    <w:rsid w:val="00ED4065"/>
    <w:rsid w:val="00ED409A"/>
    <w:rsid w:val="00ED4167"/>
    <w:rsid w:val="00ED45AA"/>
    <w:rsid w:val="00ED4661"/>
    <w:rsid w:val="00ED4BDC"/>
    <w:rsid w:val="00ED4C88"/>
    <w:rsid w:val="00ED4DC7"/>
    <w:rsid w:val="00ED4F9E"/>
    <w:rsid w:val="00ED53F5"/>
    <w:rsid w:val="00ED55ED"/>
    <w:rsid w:val="00ED5603"/>
    <w:rsid w:val="00ED5693"/>
    <w:rsid w:val="00ED56A3"/>
    <w:rsid w:val="00ED5721"/>
    <w:rsid w:val="00ED5892"/>
    <w:rsid w:val="00ED59CA"/>
    <w:rsid w:val="00ED5A4D"/>
    <w:rsid w:val="00ED6165"/>
    <w:rsid w:val="00ED666F"/>
    <w:rsid w:val="00ED66B7"/>
    <w:rsid w:val="00ED6836"/>
    <w:rsid w:val="00ED68B5"/>
    <w:rsid w:val="00ED6EBE"/>
    <w:rsid w:val="00ED7337"/>
    <w:rsid w:val="00ED73B7"/>
    <w:rsid w:val="00ED7FBA"/>
    <w:rsid w:val="00EE0518"/>
    <w:rsid w:val="00EE0787"/>
    <w:rsid w:val="00EE0EA6"/>
    <w:rsid w:val="00EE101B"/>
    <w:rsid w:val="00EE1142"/>
    <w:rsid w:val="00EE12DC"/>
    <w:rsid w:val="00EE13B3"/>
    <w:rsid w:val="00EE184C"/>
    <w:rsid w:val="00EE18FE"/>
    <w:rsid w:val="00EE19EE"/>
    <w:rsid w:val="00EE1A53"/>
    <w:rsid w:val="00EE1D19"/>
    <w:rsid w:val="00EE1E4A"/>
    <w:rsid w:val="00EE211A"/>
    <w:rsid w:val="00EE229A"/>
    <w:rsid w:val="00EE24F6"/>
    <w:rsid w:val="00EE286D"/>
    <w:rsid w:val="00EE2B13"/>
    <w:rsid w:val="00EE2D9C"/>
    <w:rsid w:val="00EE2E70"/>
    <w:rsid w:val="00EE304D"/>
    <w:rsid w:val="00EE310A"/>
    <w:rsid w:val="00EE314A"/>
    <w:rsid w:val="00EE319C"/>
    <w:rsid w:val="00EE3B10"/>
    <w:rsid w:val="00EE3B93"/>
    <w:rsid w:val="00EE3BF2"/>
    <w:rsid w:val="00EE3E30"/>
    <w:rsid w:val="00EE4408"/>
    <w:rsid w:val="00EE44BD"/>
    <w:rsid w:val="00EE4676"/>
    <w:rsid w:val="00EE477E"/>
    <w:rsid w:val="00EE480F"/>
    <w:rsid w:val="00EE48AE"/>
    <w:rsid w:val="00EE4C61"/>
    <w:rsid w:val="00EE4E5C"/>
    <w:rsid w:val="00EE4E84"/>
    <w:rsid w:val="00EE4EAC"/>
    <w:rsid w:val="00EE535F"/>
    <w:rsid w:val="00EE53EE"/>
    <w:rsid w:val="00EE5475"/>
    <w:rsid w:val="00EE58E8"/>
    <w:rsid w:val="00EE5A6A"/>
    <w:rsid w:val="00EE5A92"/>
    <w:rsid w:val="00EE5EF6"/>
    <w:rsid w:val="00EE608D"/>
    <w:rsid w:val="00EE6151"/>
    <w:rsid w:val="00EE61FF"/>
    <w:rsid w:val="00EE68BA"/>
    <w:rsid w:val="00EE6A11"/>
    <w:rsid w:val="00EE6FB5"/>
    <w:rsid w:val="00EE70D1"/>
    <w:rsid w:val="00EE73FA"/>
    <w:rsid w:val="00EE741B"/>
    <w:rsid w:val="00EE747B"/>
    <w:rsid w:val="00EE77F4"/>
    <w:rsid w:val="00EE787D"/>
    <w:rsid w:val="00EE78CD"/>
    <w:rsid w:val="00EF00C5"/>
    <w:rsid w:val="00EF049D"/>
    <w:rsid w:val="00EF04B0"/>
    <w:rsid w:val="00EF05BC"/>
    <w:rsid w:val="00EF091A"/>
    <w:rsid w:val="00EF0B2E"/>
    <w:rsid w:val="00EF0BC4"/>
    <w:rsid w:val="00EF0FB1"/>
    <w:rsid w:val="00EF1212"/>
    <w:rsid w:val="00EF1466"/>
    <w:rsid w:val="00EF1685"/>
    <w:rsid w:val="00EF16AE"/>
    <w:rsid w:val="00EF17AE"/>
    <w:rsid w:val="00EF17E9"/>
    <w:rsid w:val="00EF194B"/>
    <w:rsid w:val="00EF1D43"/>
    <w:rsid w:val="00EF2443"/>
    <w:rsid w:val="00EF2453"/>
    <w:rsid w:val="00EF27F3"/>
    <w:rsid w:val="00EF288E"/>
    <w:rsid w:val="00EF2B68"/>
    <w:rsid w:val="00EF2B80"/>
    <w:rsid w:val="00EF2C3B"/>
    <w:rsid w:val="00EF2CA0"/>
    <w:rsid w:val="00EF2D2C"/>
    <w:rsid w:val="00EF2E9C"/>
    <w:rsid w:val="00EF2F97"/>
    <w:rsid w:val="00EF31DC"/>
    <w:rsid w:val="00EF3B8E"/>
    <w:rsid w:val="00EF3D86"/>
    <w:rsid w:val="00EF3E77"/>
    <w:rsid w:val="00EF4048"/>
    <w:rsid w:val="00EF4802"/>
    <w:rsid w:val="00EF4A3D"/>
    <w:rsid w:val="00EF4A57"/>
    <w:rsid w:val="00EF4D0B"/>
    <w:rsid w:val="00EF4DED"/>
    <w:rsid w:val="00EF4F27"/>
    <w:rsid w:val="00EF4FBE"/>
    <w:rsid w:val="00EF51CC"/>
    <w:rsid w:val="00EF5394"/>
    <w:rsid w:val="00EF5C1B"/>
    <w:rsid w:val="00EF5CB9"/>
    <w:rsid w:val="00EF5DF6"/>
    <w:rsid w:val="00EF6067"/>
    <w:rsid w:val="00EF6068"/>
    <w:rsid w:val="00EF6331"/>
    <w:rsid w:val="00EF6543"/>
    <w:rsid w:val="00EF656F"/>
    <w:rsid w:val="00EF6783"/>
    <w:rsid w:val="00EF6A0A"/>
    <w:rsid w:val="00EF6CEA"/>
    <w:rsid w:val="00EF6D79"/>
    <w:rsid w:val="00EF6E29"/>
    <w:rsid w:val="00EF711A"/>
    <w:rsid w:val="00EF7250"/>
    <w:rsid w:val="00EF75FB"/>
    <w:rsid w:val="00EF7785"/>
    <w:rsid w:val="00EF78D3"/>
    <w:rsid w:val="00EF7F19"/>
    <w:rsid w:val="00EF7FF3"/>
    <w:rsid w:val="00F000BE"/>
    <w:rsid w:val="00F0028C"/>
    <w:rsid w:val="00F00493"/>
    <w:rsid w:val="00F00A1C"/>
    <w:rsid w:val="00F00A9C"/>
    <w:rsid w:val="00F00B59"/>
    <w:rsid w:val="00F00D86"/>
    <w:rsid w:val="00F01084"/>
    <w:rsid w:val="00F01281"/>
    <w:rsid w:val="00F01288"/>
    <w:rsid w:val="00F01326"/>
    <w:rsid w:val="00F015A4"/>
    <w:rsid w:val="00F019EB"/>
    <w:rsid w:val="00F019EC"/>
    <w:rsid w:val="00F01BFE"/>
    <w:rsid w:val="00F01C49"/>
    <w:rsid w:val="00F02431"/>
    <w:rsid w:val="00F026AF"/>
    <w:rsid w:val="00F02873"/>
    <w:rsid w:val="00F02CFB"/>
    <w:rsid w:val="00F02D88"/>
    <w:rsid w:val="00F02DDB"/>
    <w:rsid w:val="00F02FAE"/>
    <w:rsid w:val="00F0386A"/>
    <w:rsid w:val="00F0389E"/>
    <w:rsid w:val="00F03904"/>
    <w:rsid w:val="00F03B10"/>
    <w:rsid w:val="00F03CB8"/>
    <w:rsid w:val="00F03D82"/>
    <w:rsid w:val="00F04051"/>
    <w:rsid w:val="00F043E1"/>
    <w:rsid w:val="00F0444B"/>
    <w:rsid w:val="00F04612"/>
    <w:rsid w:val="00F04833"/>
    <w:rsid w:val="00F048DD"/>
    <w:rsid w:val="00F049CD"/>
    <w:rsid w:val="00F04E66"/>
    <w:rsid w:val="00F05A87"/>
    <w:rsid w:val="00F05B05"/>
    <w:rsid w:val="00F05BA9"/>
    <w:rsid w:val="00F05BBB"/>
    <w:rsid w:val="00F05C32"/>
    <w:rsid w:val="00F05CD8"/>
    <w:rsid w:val="00F05D7B"/>
    <w:rsid w:val="00F05E21"/>
    <w:rsid w:val="00F0609B"/>
    <w:rsid w:val="00F06601"/>
    <w:rsid w:val="00F06612"/>
    <w:rsid w:val="00F066CA"/>
    <w:rsid w:val="00F0689D"/>
    <w:rsid w:val="00F06C7A"/>
    <w:rsid w:val="00F06E42"/>
    <w:rsid w:val="00F07289"/>
    <w:rsid w:val="00F0734E"/>
    <w:rsid w:val="00F07393"/>
    <w:rsid w:val="00F07533"/>
    <w:rsid w:val="00F07608"/>
    <w:rsid w:val="00F076DC"/>
    <w:rsid w:val="00F07A4D"/>
    <w:rsid w:val="00F07A69"/>
    <w:rsid w:val="00F10029"/>
    <w:rsid w:val="00F102FD"/>
    <w:rsid w:val="00F105B3"/>
    <w:rsid w:val="00F105D5"/>
    <w:rsid w:val="00F10C4F"/>
    <w:rsid w:val="00F10F52"/>
    <w:rsid w:val="00F1113C"/>
    <w:rsid w:val="00F1128A"/>
    <w:rsid w:val="00F112A5"/>
    <w:rsid w:val="00F112DE"/>
    <w:rsid w:val="00F11416"/>
    <w:rsid w:val="00F11837"/>
    <w:rsid w:val="00F118F1"/>
    <w:rsid w:val="00F119DD"/>
    <w:rsid w:val="00F11AE5"/>
    <w:rsid w:val="00F11E90"/>
    <w:rsid w:val="00F11FB9"/>
    <w:rsid w:val="00F12076"/>
    <w:rsid w:val="00F12A1B"/>
    <w:rsid w:val="00F12A1C"/>
    <w:rsid w:val="00F12BA5"/>
    <w:rsid w:val="00F13BF3"/>
    <w:rsid w:val="00F13F3E"/>
    <w:rsid w:val="00F13F9A"/>
    <w:rsid w:val="00F1405D"/>
    <w:rsid w:val="00F14124"/>
    <w:rsid w:val="00F1422A"/>
    <w:rsid w:val="00F14419"/>
    <w:rsid w:val="00F146BA"/>
    <w:rsid w:val="00F14C2F"/>
    <w:rsid w:val="00F14F3E"/>
    <w:rsid w:val="00F1508D"/>
    <w:rsid w:val="00F15509"/>
    <w:rsid w:val="00F15582"/>
    <w:rsid w:val="00F15B69"/>
    <w:rsid w:val="00F15C00"/>
    <w:rsid w:val="00F15C61"/>
    <w:rsid w:val="00F15D23"/>
    <w:rsid w:val="00F15E80"/>
    <w:rsid w:val="00F16757"/>
    <w:rsid w:val="00F1703B"/>
    <w:rsid w:val="00F17365"/>
    <w:rsid w:val="00F1756A"/>
    <w:rsid w:val="00F175EA"/>
    <w:rsid w:val="00F17820"/>
    <w:rsid w:val="00F17972"/>
    <w:rsid w:val="00F17C19"/>
    <w:rsid w:val="00F17D7B"/>
    <w:rsid w:val="00F17E6B"/>
    <w:rsid w:val="00F17EFD"/>
    <w:rsid w:val="00F20087"/>
    <w:rsid w:val="00F200F5"/>
    <w:rsid w:val="00F203C4"/>
    <w:rsid w:val="00F2053A"/>
    <w:rsid w:val="00F20B27"/>
    <w:rsid w:val="00F20D33"/>
    <w:rsid w:val="00F21032"/>
    <w:rsid w:val="00F213CC"/>
    <w:rsid w:val="00F21685"/>
    <w:rsid w:val="00F22227"/>
    <w:rsid w:val="00F22692"/>
    <w:rsid w:val="00F226EC"/>
    <w:rsid w:val="00F2275A"/>
    <w:rsid w:val="00F22A93"/>
    <w:rsid w:val="00F22CD3"/>
    <w:rsid w:val="00F22D4F"/>
    <w:rsid w:val="00F22D59"/>
    <w:rsid w:val="00F22D92"/>
    <w:rsid w:val="00F22E05"/>
    <w:rsid w:val="00F22F03"/>
    <w:rsid w:val="00F23118"/>
    <w:rsid w:val="00F2311D"/>
    <w:rsid w:val="00F2338F"/>
    <w:rsid w:val="00F235E1"/>
    <w:rsid w:val="00F2362F"/>
    <w:rsid w:val="00F236EB"/>
    <w:rsid w:val="00F236F4"/>
    <w:rsid w:val="00F237BA"/>
    <w:rsid w:val="00F238F3"/>
    <w:rsid w:val="00F23CD3"/>
    <w:rsid w:val="00F23DD2"/>
    <w:rsid w:val="00F23E87"/>
    <w:rsid w:val="00F23EFC"/>
    <w:rsid w:val="00F24095"/>
    <w:rsid w:val="00F245DA"/>
    <w:rsid w:val="00F24601"/>
    <w:rsid w:val="00F2463D"/>
    <w:rsid w:val="00F2470B"/>
    <w:rsid w:val="00F24AD9"/>
    <w:rsid w:val="00F24FBC"/>
    <w:rsid w:val="00F2506A"/>
    <w:rsid w:val="00F252C0"/>
    <w:rsid w:val="00F25639"/>
    <w:rsid w:val="00F256A4"/>
    <w:rsid w:val="00F257A0"/>
    <w:rsid w:val="00F2599E"/>
    <w:rsid w:val="00F25B78"/>
    <w:rsid w:val="00F25C76"/>
    <w:rsid w:val="00F25EE0"/>
    <w:rsid w:val="00F25F52"/>
    <w:rsid w:val="00F2621B"/>
    <w:rsid w:val="00F263A2"/>
    <w:rsid w:val="00F263B5"/>
    <w:rsid w:val="00F2648B"/>
    <w:rsid w:val="00F26D86"/>
    <w:rsid w:val="00F27237"/>
    <w:rsid w:val="00F2724B"/>
    <w:rsid w:val="00F274C4"/>
    <w:rsid w:val="00F27562"/>
    <w:rsid w:val="00F275D6"/>
    <w:rsid w:val="00F2768F"/>
    <w:rsid w:val="00F278D1"/>
    <w:rsid w:val="00F27A2A"/>
    <w:rsid w:val="00F27B57"/>
    <w:rsid w:val="00F3033D"/>
    <w:rsid w:val="00F306E2"/>
    <w:rsid w:val="00F30779"/>
    <w:rsid w:val="00F30BC2"/>
    <w:rsid w:val="00F30D3B"/>
    <w:rsid w:val="00F30DEA"/>
    <w:rsid w:val="00F30F5C"/>
    <w:rsid w:val="00F3116C"/>
    <w:rsid w:val="00F3126B"/>
    <w:rsid w:val="00F31451"/>
    <w:rsid w:val="00F319AC"/>
    <w:rsid w:val="00F31A26"/>
    <w:rsid w:val="00F31ABC"/>
    <w:rsid w:val="00F31ACA"/>
    <w:rsid w:val="00F31C31"/>
    <w:rsid w:val="00F31E08"/>
    <w:rsid w:val="00F31E69"/>
    <w:rsid w:val="00F31EDE"/>
    <w:rsid w:val="00F31FE8"/>
    <w:rsid w:val="00F321E5"/>
    <w:rsid w:val="00F322A1"/>
    <w:rsid w:val="00F324AB"/>
    <w:rsid w:val="00F325E6"/>
    <w:rsid w:val="00F3264A"/>
    <w:rsid w:val="00F32702"/>
    <w:rsid w:val="00F32978"/>
    <w:rsid w:val="00F32AAC"/>
    <w:rsid w:val="00F32BF6"/>
    <w:rsid w:val="00F32C8A"/>
    <w:rsid w:val="00F32D47"/>
    <w:rsid w:val="00F33050"/>
    <w:rsid w:val="00F33542"/>
    <w:rsid w:val="00F33A2A"/>
    <w:rsid w:val="00F33B40"/>
    <w:rsid w:val="00F33B5B"/>
    <w:rsid w:val="00F33DE8"/>
    <w:rsid w:val="00F33F64"/>
    <w:rsid w:val="00F349EB"/>
    <w:rsid w:val="00F34A8B"/>
    <w:rsid w:val="00F34B17"/>
    <w:rsid w:val="00F34B69"/>
    <w:rsid w:val="00F34C75"/>
    <w:rsid w:val="00F34EAA"/>
    <w:rsid w:val="00F35610"/>
    <w:rsid w:val="00F35688"/>
    <w:rsid w:val="00F3575E"/>
    <w:rsid w:val="00F358FC"/>
    <w:rsid w:val="00F35FD6"/>
    <w:rsid w:val="00F36072"/>
    <w:rsid w:val="00F367E6"/>
    <w:rsid w:val="00F3689C"/>
    <w:rsid w:val="00F36FFD"/>
    <w:rsid w:val="00F3711A"/>
    <w:rsid w:val="00F3730B"/>
    <w:rsid w:val="00F374D4"/>
    <w:rsid w:val="00F37958"/>
    <w:rsid w:val="00F37CD2"/>
    <w:rsid w:val="00F40393"/>
    <w:rsid w:val="00F403BD"/>
    <w:rsid w:val="00F405C2"/>
    <w:rsid w:val="00F4092A"/>
    <w:rsid w:val="00F40D93"/>
    <w:rsid w:val="00F411FF"/>
    <w:rsid w:val="00F4124F"/>
    <w:rsid w:val="00F41271"/>
    <w:rsid w:val="00F4134F"/>
    <w:rsid w:val="00F4156B"/>
    <w:rsid w:val="00F41731"/>
    <w:rsid w:val="00F419B8"/>
    <w:rsid w:val="00F419E6"/>
    <w:rsid w:val="00F41CDE"/>
    <w:rsid w:val="00F41E6B"/>
    <w:rsid w:val="00F42147"/>
    <w:rsid w:val="00F4228D"/>
    <w:rsid w:val="00F424FB"/>
    <w:rsid w:val="00F42F96"/>
    <w:rsid w:val="00F431E9"/>
    <w:rsid w:val="00F4338F"/>
    <w:rsid w:val="00F4344E"/>
    <w:rsid w:val="00F434D4"/>
    <w:rsid w:val="00F4356E"/>
    <w:rsid w:val="00F43F00"/>
    <w:rsid w:val="00F44046"/>
    <w:rsid w:val="00F440A2"/>
    <w:rsid w:val="00F440DE"/>
    <w:rsid w:val="00F4429D"/>
    <w:rsid w:val="00F44315"/>
    <w:rsid w:val="00F44441"/>
    <w:rsid w:val="00F4445B"/>
    <w:rsid w:val="00F444AA"/>
    <w:rsid w:val="00F44733"/>
    <w:rsid w:val="00F4477B"/>
    <w:rsid w:val="00F44A38"/>
    <w:rsid w:val="00F44BF1"/>
    <w:rsid w:val="00F45082"/>
    <w:rsid w:val="00F4541C"/>
    <w:rsid w:val="00F45666"/>
    <w:rsid w:val="00F4566B"/>
    <w:rsid w:val="00F45758"/>
    <w:rsid w:val="00F4590E"/>
    <w:rsid w:val="00F45C6F"/>
    <w:rsid w:val="00F45C97"/>
    <w:rsid w:val="00F45D3B"/>
    <w:rsid w:val="00F462D6"/>
    <w:rsid w:val="00F46494"/>
    <w:rsid w:val="00F46751"/>
    <w:rsid w:val="00F4690A"/>
    <w:rsid w:val="00F469E4"/>
    <w:rsid w:val="00F46BE7"/>
    <w:rsid w:val="00F46EAF"/>
    <w:rsid w:val="00F46EBF"/>
    <w:rsid w:val="00F46F7B"/>
    <w:rsid w:val="00F47A8B"/>
    <w:rsid w:val="00F47BB6"/>
    <w:rsid w:val="00F47C1A"/>
    <w:rsid w:val="00F502CF"/>
    <w:rsid w:val="00F504FA"/>
    <w:rsid w:val="00F5058D"/>
    <w:rsid w:val="00F50A6B"/>
    <w:rsid w:val="00F50B1B"/>
    <w:rsid w:val="00F50B3C"/>
    <w:rsid w:val="00F50B95"/>
    <w:rsid w:val="00F50CC9"/>
    <w:rsid w:val="00F5189F"/>
    <w:rsid w:val="00F51958"/>
    <w:rsid w:val="00F51AB1"/>
    <w:rsid w:val="00F51BCF"/>
    <w:rsid w:val="00F51D88"/>
    <w:rsid w:val="00F51FDA"/>
    <w:rsid w:val="00F51FDE"/>
    <w:rsid w:val="00F5226D"/>
    <w:rsid w:val="00F525D1"/>
    <w:rsid w:val="00F526DE"/>
    <w:rsid w:val="00F52885"/>
    <w:rsid w:val="00F52890"/>
    <w:rsid w:val="00F52CA9"/>
    <w:rsid w:val="00F53020"/>
    <w:rsid w:val="00F530AC"/>
    <w:rsid w:val="00F530C7"/>
    <w:rsid w:val="00F539EA"/>
    <w:rsid w:val="00F53B28"/>
    <w:rsid w:val="00F53D22"/>
    <w:rsid w:val="00F53DE7"/>
    <w:rsid w:val="00F5423A"/>
    <w:rsid w:val="00F542E7"/>
    <w:rsid w:val="00F54815"/>
    <w:rsid w:val="00F54AD2"/>
    <w:rsid w:val="00F54C13"/>
    <w:rsid w:val="00F54CC2"/>
    <w:rsid w:val="00F55294"/>
    <w:rsid w:val="00F552B3"/>
    <w:rsid w:val="00F553A3"/>
    <w:rsid w:val="00F5577F"/>
    <w:rsid w:val="00F55824"/>
    <w:rsid w:val="00F558BD"/>
    <w:rsid w:val="00F55B45"/>
    <w:rsid w:val="00F55D5E"/>
    <w:rsid w:val="00F55D70"/>
    <w:rsid w:val="00F55FE5"/>
    <w:rsid w:val="00F56155"/>
    <w:rsid w:val="00F56268"/>
    <w:rsid w:val="00F56297"/>
    <w:rsid w:val="00F56561"/>
    <w:rsid w:val="00F56591"/>
    <w:rsid w:val="00F5696B"/>
    <w:rsid w:val="00F56DDB"/>
    <w:rsid w:val="00F57012"/>
    <w:rsid w:val="00F5775B"/>
    <w:rsid w:val="00F577B9"/>
    <w:rsid w:val="00F578A3"/>
    <w:rsid w:val="00F57D6C"/>
    <w:rsid w:val="00F57D81"/>
    <w:rsid w:val="00F60273"/>
    <w:rsid w:val="00F6043E"/>
    <w:rsid w:val="00F60548"/>
    <w:rsid w:val="00F606AF"/>
    <w:rsid w:val="00F606D3"/>
    <w:rsid w:val="00F60778"/>
    <w:rsid w:val="00F60CA9"/>
    <w:rsid w:val="00F61124"/>
    <w:rsid w:val="00F61595"/>
    <w:rsid w:val="00F61796"/>
    <w:rsid w:val="00F618BB"/>
    <w:rsid w:val="00F619AF"/>
    <w:rsid w:val="00F62133"/>
    <w:rsid w:val="00F621E1"/>
    <w:rsid w:val="00F62281"/>
    <w:rsid w:val="00F6245A"/>
    <w:rsid w:val="00F62A6E"/>
    <w:rsid w:val="00F62BE9"/>
    <w:rsid w:val="00F62C7C"/>
    <w:rsid w:val="00F62FCE"/>
    <w:rsid w:val="00F63008"/>
    <w:rsid w:val="00F631F0"/>
    <w:rsid w:val="00F632D9"/>
    <w:rsid w:val="00F6347D"/>
    <w:rsid w:val="00F63809"/>
    <w:rsid w:val="00F639F0"/>
    <w:rsid w:val="00F63D8F"/>
    <w:rsid w:val="00F63F4F"/>
    <w:rsid w:val="00F6403E"/>
    <w:rsid w:val="00F64351"/>
    <w:rsid w:val="00F643B6"/>
    <w:rsid w:val="00F6441C"/>
    <w:rsid w:val="00F644AB"/>
    <w:rsid w:val="00F646D3"/>
    <w:rsid w:val="00F6478C"/>
    <w:rsid w:val="00F64A98"/>
    <w:rsid w:val="00F64B1D"/>
    <w:rsid w:val="00F64D42"/>
    <w:rsid w:val="00F6506C"/>
    <w:rsid w:val="00F65228"/>
    <w:rsid w:val="00F6533D"/>
    <w:rsid w:val="00F65444"/>
    <w:rsid w:val="00F65465"/>
    <w:rsid w:val="00F65515"/>
    <w:rsid w:val="00F65804"/>
    <w:rsid w:val="00F659A3"/>
    <w:rsid w:val="00F65B75"/>
    <w:rsid w:val="00F6603F"/>
    <w:rsid w:val="00F660A8"/>
    <w:rsid w:val="00F6620A"/>
    <w:rsid w:val="00F662CA"/>
    <w:rsid w:val="00F665EB"/>
    <w:rsid w:val="00F6665A"/>
    <w:rsid w:val="00F667F3"/>
    <w:rsid w:val="00F66ED0"/>
    <w:rsid w:val="00F67095"/>
    <w:rsid w:val="00F676C6"/>
    <w:rsid w:val="00F679CC"/>
    <w:rsid w:val="00F67A34"/>
    <w:rsid w:val="00F7082E"/>
    <w:rsid w:val="00F708F6"/>
    <w:rsid w:val="00F70A05"/>
    <w:rsid w:val="00F70C65"/>
    <w:rsid w:val="00F70D59"/>
    <w:rsid w:val="00F70DAF"/>
    <w:rsid w:val="00F70E84"/>
    <w:rsid w:val="00F71395"/>
    <w:rsid w:val="00F714FF"/>
    <w:rsid w:val="00F7155F"/>
    <w:rsid w:val="00F7196F"/>
    <w:rsid w:val="00F71C02"/>
    <w:rsid w:val="00F72076"/>
    <w:rsid w:val="00F720D0"/>
    <w:rsid w:val="00F72210"/>
    <w:rsid w:val="00F726DC"/>
    <w:rsid w:val="00F726DD"/>
    <w:rsid w:val="00F7276A"/>
    <w:rsid w:val="00F727F8"/>
    <w:rsid w:val="00F7284E"/>
    <w:rsid w:val="00F72F29"/>
    <w:rsid w:val="00F72F7D"/>
    <w:rsid w:val="00F7313D"/>
    <w:rsid w:val="00F73644"/>
    <w:rsid w:val="00F737A3"/>
    <w:rsid w:val="00F73C23"/>
    <w:rsid w:val="00F7424F"/>
    <w:rsid w:val="00F743BE"/>
    <w:rsid w:val="00F74581"/>
    <w:rsid w:val="00F746F3"/>
    <w:rsid w:val="00F7478D"/>
    <w:rsid w:val="00F7495A"/>
    <w:rsid w:val="00F74C3E"/>
    <w:rsid w:val="00F750A1"/>
    <w:rsid w:val="00F75170"/>
    <w:rsid w:val="00F75222"/>
    <w:rsid w:val="00F75234"/>
    <w:rsid w:val="00F75471"/>
    <w:rsid w:val="00F75701"/>
    <w:rsid w:val="00F75A38"/>
    <w:rsid w:val="00F75C50"/>
    <w:rsid w:val="00F76952"/>
    <w:rsid w:val="00F769E1"/>
    <w:rsid w:val="00F76B80"/>
    <w:rsid w:val="00F771C8"/>
    <w:rsid w:val="00F775FE"/>
    <w:rsid w:val="00F8014C"/>
    <w:rsid w:val="00F809A7"/>
    <w:rsid w:val="00F80AFB"/>
    <w:rsid w:val="00F80C70"/>
    <w:rsid w:val="00F80E06"/>
    <w:rsid w:val="00F80E42"/>
    <w:rsid w:val="00F80E6C"/>
    <w:rsid w:val="00F8140E"/>
    <w:rsid w:val="00F81436"/>
    <w:rsid w:val="00F81837"/>
    <w:rsid w:val="00F81961"/>
    <w:rsid w:val="00F82069"/>
    <w:rsid w:val="00F82089"/>
    <w:rsid w:val="00F823CC"/>
    <w:rsid w:val="00F8287B"/>
    <w:rsid w:val="00F83528"/>
    <w:rsid w:val="00F8354D"/>
    <w:rsid w:val="00F835D0"/>
    <w:rsid w:val="00F83615"/>
    <w:rsid w:val="00F83C10"/>
    <w:rsid w:val="00F83CAA"/>
    <w:rsid w:val="00F83CE6"/>
    <w:rsid w:val="00F83E17"/>
    <w:rsid w:val="00F83EA6"/>
    <w:rsid w:val="00F841D6"/>
    <w:rsid w:val="00F8488E"/>
    <w:rsid w:val="00F84AB7"/>
    <w:rsid w:val="00F84B32"/>
    <w:rsid w:val="00F84F24"/>
    <w:rsid w:val="00F84F61"/>
    <w:rsid w:val="00F84FE3"/>
    <w:rsid w:val="00F850EC"/>
    <w:rsid w:val="00F85180"/>
    <w:rsid w:val="00F851A5"/>
    <w:rsid w:val="00F85366"/>
    <w:rsid w:val="00F859CD"/>
    <w:rsid w:val="00F85EB5"/>
    <w:rsid w:val="00F85F04"/>
    <w:rsid w:val="00F861FD"/>
    <w:rsid w:val="00F86665"/>
    <w:rsid w:val="00F867C6"/>
    <w:rsid w:val="00F86837"/>
    <w:rsid w:val="00F8687E"/>
    <w:rsid w:val="00F86AAF"/>
    <w:rsid w:val="00F86DE2"/>
    <w:rsid w:val="00F86E0F"/>
    <w:rsid w:val="00F86EFA"/>
    <w:rsid w:val="00F8710D"/>
    <w:rsid w:val="00F87403"/>
    <w:rsid w:val="00F8756E"/>
    <w:rsid w:val="00F87713"/>
    <w:rsid w:val="00F8784C"/>
    <w:rsid w:val="00F879C2"/>
    <w:rsid w:val="00F87B6A"/>
    <w:rsid w:val="00F87DA3"/>
    <w:rsid w:val="00F87DB0"/>
    <w:rsid w:val="00F87E5D"/>
    <w:rsid w:val="00F87F84"/>
    <w:rsid w:val="00F90371"/>
    <w:rsid w:val="00F90752"/>
    <w:rsid w:val="00F909F6"/>
    <w:rsid w:val="00F90CEB"/>
    <w:rsid w:val="00F90E2B"/>
    <w:rsid w:val="00F91197"/>
    <w:rsid w:val="00F91591"/>
    <w:rsid w:val="00F916CB"/>
    <w:rsid w:val="00F91E74"/>
    <w:rsid w:val="00F91F12"/>
    <w:rsid w:val="00F92074"/>
    <w:rsid w:val="00F92204"/>
    <w:rsid w:val="00F923C6"/>
    <w:rsid w:val="00F9248F"/>
    <w:rsid w:val="00F9258F"/>
    <w:rsid w:val="00F927F2"/>
    <w:rsid w:val="00F92AF9"/>
    <w:rsid w:val="00F92B43"/>
    <w:rsid w:val="00F92D91"/>
    <w:rsid w:val="00F937E2"/>
    <w:rsid w:val="00F93899"/>
    <w:rsid w:val="00F93FF4"/>
    <w:rsid w:val="00F9429C"/>
    <w:rsid w:val="00F94566"/>
    <w:rsid w:val="00F9457F"/>
    <w:rsid w:val="00F94949"/>
    <w:rsid w:val="00F951EA"/>
    <w:rsid w:val="00F957E5"/>
    <w:rsid w:val="00F957E7"/>
    <w:rsid w:val="00F95833"/>
    <w:rsid w:val="00F95BB6"/>
    <w:rsid w:val="00F95C1F"/>
    <w:rsid w:val="00F95C26"/>
    <w:rsid w:val="00F95C4F"/>
    <w:rsid w:val="00F95CFF"/>
    <w:rsid w:val="00F96156"/>
    <w:rsid w:val="00F963EF"/>
    <w:rsid w:val="00F96486"/>
    <w:rsid w:val="00F96C93"/>
    <w:rsid w:val="00F96D10"/>
    <w:rsid w:val="00F96D73"/>
    <w:rsid w:val="00F96FA9"/>
    <w:rsid w:val="00F9728E"/>
    <w:rsid w:val="00F97329"/>
    <w:rsid w:val="00F973F1"/>
    <w:rsid w:val="00F974E0"/>
    <w:rsid w:val="00F976F2"/>
    <w:rsid w:val="00F9784F"/>
    <w:rsid w:val="00F97895"/>
    <w:rsid w:val="00F97C49"/>
    <w:rsid w:val="00F97CD5"/>
    <w:rsid w:val="00F97D54"/>
    <w:rsid w:val="00F97E84"/>
    <w:rsid w:val="00FA01B8"/>
    <w:rsid w:val="00FA0548"/>
    <w:rsid w:val="00FA05DE"/>
    <w:rsid w:val="00FA0695"/>
    <w:rsid w:val="00FA0C5D"/>
    <w:rsid w:val="00FA0D33"/>
    <w:rsid w:val="00FA12BF"/>
    <w:rsid w:val="00FA1599"/>
    <w:rsid w:val="00FA179B"/>
    <w:rsid w:val="00FA18D9"/>
    <w:rsid w:val="00FA1CC0"/>
    <w:rsid w:val="00FA1CC8"/>
    <w:rsid w:val="00FA27C8"/>
    <w:rsid w:val="00FA2D36"/>
    <w:rsid w:val="00FA339B"/>
    <w:rsid w:val="00FA34EE"/>
    <w:rsid w:val="00FA3837"/>
    <w:rsid w:val="00FA395A"/>
    <w:rsid w:val="00FA3B23"/>
    <w:rsid w:val="00FA3D12"/>
    <w:rsid w:val="00FA3DFB"/>
    <w:rsid w:val="00FA3F74"/>
    <w:rsid w:val="00FA40DE"/>
    <w:rsid w:val="00FA40E5"/>
    <w:rsid w:val="00FA436B"/>
    <w:rsid w:val="00FA48ED"/>
    <w:rsid w:val="00FA49FB"/>
    <w:rsid w:val="00FA4E7F"/>
    <w:rsid w:val="00FA4EF7"/>
    <w:rsid w:val="00FA5309"/>
    <w:rsid w:val="00FA53F6"/>
    <w:rsid w:val="00FA544A"/>
    <w:rsid w:val="00FA56E8"/>
    <w:rsid w:val="00FA5A9F"/>
    <w:rsid w:val="00FA5AA8"/>
    <w:rsid w:val="00FA5BFE"/>
    <w:rsid w:val="00FA6063"/>
    <w:rsid w:val="00FA61FA"/>
    <w:rsid w:val="00FA682A"/>
    <w:rsid w:val="00FA6D8A"/>
    <w:rsid w:val="00FA6DF1"/>
    <w:rsid w:val="00FA6F43"/>
    <w:rsid w:val="00FA7180"/>
    <w:rsid w:val="00FA71D3"/>
    <w:rsid w:val="00FA74DE"/>
    <w:rsid w:val="00FA7789"/>
    <w:rsid w:val="00FA7862"/>
    <w:rsid w:val="00FA7A7F"/>
    <w:rsid w:val="00FA7F36"/>
    <w:rsid w:val="00FB0073"/>
    <w:rsid w:val="00FB01C4"/>
    <w:rsid w:val="00FB0277"/>
    <w:rsid w:val="00FB06B1"/>
    <w:rsid w:val="00FB0728"/>
    <w:rsid w:val="00FB0782"/>
    <w:rsid w:val="00FB09BE"/>
    <w:rsid w:val="00FB0A67"/>
    <w:rsid w:val="00FB0CA3"/>
    <w:rsid w:val="00FB0E80"/>
    <w:rsid w:val="00FB0F78"/>
    <w:rsid w:val="00FB0F8D"/>
    <w:rsid w:val="00FB11CD"/>
    <w:rsid w:val="00FB192B"/>
    <w:rsid w:val="00FB1E91"/>
    <w:rsid w:val="00FB212A"/>
    <w:rsid w:val="00FB24FA"/>
    <w:rsid w:val="00FB2645"/>
    <w:rsid w:val="00FB27C8"/>
    <w:rsid w:val="00FB2876"/>
    <w:rsid w:val="00FB2F02"/>
    <w:rsid w:val="00FB318B"/>
    <w:rsid w:val="00FB31CD"/>
    <w:rsid w:val="00FB33DB"/>
    <w:rsid w:val="00FB3435"/>
    <w:rsid w:val="00FB3454"/>
    <w:rsid w:val="00FB35C8"/>
    <w:rsid w:val="00FB372C"/>
    <w:rsid w:val="00FB3875"/>
    <w:rsid w:val="00FB3AB4"/>
    <w:rsid w:val="00FB3E88"/>
    <w:rsid w:val="00FB45AB"/>
    <w:rsid w:val="00FB46C5"/>
    <w:rsid w:val="00FB470D"/>
    <w:rsid w:val="00FB4C90"/>
    <w:rsid w:val="00FB4FE6"/>
    <w:rsid w:val="00FB5173"/>
    <w:rsid w:val="00FB5992"/>
    <w:rsid w:val="00FB5BA1"/>
    <w:rsid w:val="00FB5D5A"/>
    <w:rsid w:val="00FB600C"/>
    <w:rsid w:val="00FB63C2"/>
    <w:rsid w:val="00FB6535"/>
    <w:rsid w:val="00FB67B1"/>
    <w:rsid w:val="00FB6CAA"/>
    <w:rsid w:val="00FB6DCB"/>
    <w:rsid w:val="00FB7214"/>
    <w:rsid w:val="00FB72E0"/>
    <w:rsid w:val="00FB735B"/>
    <w:rsid w:val="00FB7974"/>
    <w:rsid w:val="00FB7C4F"/>
    <w:rsid w:val="00FB7E36"/>
    <w:rsid w:val="00FB7EC9"/>
    <w:rsid w:val="00FC0083"/>
    <w:rsid w:val="00FC047E"/>
    <w:rsid w:val="00FC0516"/>
    <w:rsid w:val="00FC0584"/>
    <w:rsid w:val="00FC0739"/>
    <w:rsid w:val="00FC098F"/>
    <w:rsid w:val="00FC0AC6"/>
    <w:rsid w:val="00FC1193"/>
    <w:rsid w:val="00FC139B"/>
    <w:rsid w:val="00FC143D"/>
    <w:rsid w:val="00FC164F"/>
    <w:rsid w:val="00FC188B"/>
    <w:rsid w:val="00FC1A34"/>
    <w:rsid w:val="00FC1AC2"/>
    <w:rsid w:val="00FC1AD5"/>
    <w:rsid w:val="00FC1AF6"/>
    <w:rsid w:val="00FC1B4A"/>
    <w:rsid w:val="00FC1D8C"/>
    <w:rsid w:val="00FC1E02"/>
    <w:rsid w:val="00FC1F53"/>
    <w:rsid w:val="00FC2626"/>
    <w:rsid w:val="00FC2B4A"/>
    <w:rsid w:val="00FC2D7A"/>
    <w:rsid w:val="00FC2DE1"/>
    <w:rsid w:val="00FC309C"/>
    <w:rsid w:val="00FC30FE"/>
    <w:rsid w:val="00FC36EB"/>
    <w:rsid w:val="00FC3902"/>
    <w:rsid w:val="00FC39E2"/>
    <w:rsid w:val="00FC3B4C"/>
    <w:rsid w:val="00FC3BE6"/>
    <w:rsid w:val="00FC413A"/>
    <w:rsid w:val="00FC438C"/>
    <w:rsid w:val="00FC45D0"/>
    <w:rsid w:val="00FC4851"/>
    <w:rsid w:val="00FC4C5D"/>
    <w:rsid w:val="00FC4DD7"/>
    <w:rsid w:val="00FC5105"/>
    <w:rsid w:val="00FC5419"/>
    <w:rsid w:val="00FC54D6"/>
    <w:rsid w:val="00FC5528"/>
    <w:rsid w:val="00FC579C"/>
    <w:rsid w:val="00FC57C3"/>
    <w:rsid w:val="00FC581E"/>
    <w:rsid w:val="00FC594C"/>
    <w:rsid w:val="00FC5C7F"/>
    <w:rsid w:val="00FC638D"/>
    <w:rsid w:val="00FC64A5"/>
    <w:rsid w:val="00FC6831"/>
    <w:rsid w:val="00FC68A5"/>
    <w:rsid w:val="00FC68E6"/>
    <w:rsid w:val="00FC69A3"/>
    <w:rsid w:val="00FC6D40"/>
    <w:rsid w:val="00FC7200"/>
    <w:rsid w:val="00FC73C7"/>
    <w:rsid w:val="00FC74A1"/>
    <w:rsid w:val="00FC74BF"/>
    <w:rsid w:val="00FC7AE4"/>
    <w:rsid w:val="00FD0255"/>
    <w:rsid w:val="00FD0531"/>
    <w:rsid w:val="00FD0C13"/>
    <w:rsid w:val="00FD0E26"/>
    <w:rsid w:val="00FD1815"/>
    <w:rsid w:val="00FD1935"/>
    <w:rsid w:val="00FD207D"/>
    <w:rsid w:val="00FD23D3"/>
    <w:rsid w:val="00FD2406"/>
    <w:rsid w:val="00FD29ED"/>
    <w:rsid w:val="00FD29FE"/>
    <w:rsid w:val="00FD2E84"/>
    <w:rsid w:val="00FD2ED9"/>
    <w:rsid w:val="00FD3237"/>
    <w:rsid w:val="00FD352A"/>
    <w:rsid w:val="00FD36B3"/>
    <w:rsid w:val="00FD388E"/>
    <w:rsid w:val="00FD38A9"/>
    <w:rsid w:val="00FD390F"/>
    <w:rsid w:val="00FD3B88"/>
    <w:rsid w:val="00FD3B97"/>
    <w:rsid w:val="00FD3D89"/>
    <w:rsid w:val="00FD3DC6"/>
    <w:rsid w:val="00FD3F92"/>
    <w:rsid w:val="00FD4013"/>
    <w:rsid w:val="00FD4152"/>
    <w:rsid w:val="00FD45BB"/>
    <w:rsid w:val="00FD46E7"/>
    <w:rsid w:val="00FD4A32"/>
    <w:rsid w:val="00FD4D9D"/>
    <w:rsid w:val="00FD4F11"/>
    <w:rsid w:val="00FD5088"/>
    <w:rsid w:val="00FD50E8"/>
    <w:rsid w:val="00FD5300"/>
    <w:rsid w:val="00FD53A9"/>
    <w:rsid w:val="00FD5801"/>
    <w:rsid w:val="00FD58C6"/>
    <w:rsid w:val="00FD5ABD"/>
    <w:rsid w:val="00FD5C50"/>
    <w:rsid w:val="00FD5FF6"/>
    <w:rsid w:val="00FD65B0"/>
    <w:rsid w:val="00FD66B4"/>
    <w:rsid w:val="00FD6B40"/>
    <w:rsid w:val="00FD6B56"/>
    <w:rsid w:val="00FD7854"/>
    <w:rsid w:val="00FD78CA"/>
    <w:rsid w:val="00FD7BD8"/>
    <w:rsid w:val="00FD7E4A"/>
    <w:rsid w:val="00FD7E86"/>
    <w:rsid w:val="00FD7EEC"/>
    <w:rsid w:val="00FE014E"/>
    <w:rsid w:val="00FE021D"/>
    <w:rsid w:val="00FE03E3"/>
    <w:rsid w:val="00FE0886"/>
    <w:rsid w:val="00FE08E4"/>
    <w:rsid w:val="00FE0D82"/>
    <w:rsid w:val="00FE0EB4"/>
    <w:rsid w:val="00FE1117"/>
    <w:rsid w:val="00FE1479"/>
    <w:rsid w:val="00FE1525"/>
    <w:rsid w:val="00FE152E"/>
    <w:rsid w:val="00FE16CE"/>
    <w:rsid w:val="00FE1760"/>
    <w:rsid w:val="00FE1C02"/>
    <w:rsid w:val="00FE1EB8"/>
    <w:rsid w:val="00FE20FB"/>
    <w:rsid w:val="00FE21A2"/>
    <w:rsid w:val="00FE223E"/>
    <w:rsid w:val="00FE24AC"/>
    <w:rsid w:val="00FE2535"/>
    <w:rsid w:val="00FE289B"/>
    <w:rsid w:val="00FE2B57"/>
    <w:rsid w:val="00FE2E1B"/>
    <w:rsid w:val="00FE3A7D"/>
    <w:rsid w:val="00FE3B26"/>
    <w:rsid w:val="00FE3DEE"/>
    <w:rsid w:val="00FE4152"/>
    <w:rsid w:val="00FE4615"/>
    <w:rsid w:val="00FE4AE0"/>
    <w:rsid w:val="00FE4BF6"/>
    <w:rsid w:val="00FE4D46"/>
    <w:rsid w:val="00FE521F"/>
    <w:rsid w:val="00FE5247"/>
    <w:rsid w:val="00FE5323"/>
    <w:rsid w:val="00FE53A0"/>
    <w:rsid w:val="00FE54E1"/>
    <w:rsid w:val="00FE5807"/>
    <w:rsid w:val="00FE58CD"/>
    <w:rsid w:val="00FE59C8"/>
    <w:rsid w:val="00FE5E79"/>
    <w:rsid w:val="00FE5F78"/>
    <w:rsid w:val="00FE6104"/>
    <w:rsid w:val="00FE6408"/>
    <w:rsid w:val="00FE67ED"/>
    <w:rsid w:val="00FE694D"/>
    <w:rsid w:val="00FE6A22"/>
    <w:rsid w:val="00FE6DC3"/>
    <w:rsid w:val="00FE6DF5"/>
    <w:rsid w:val="00FE70AD"/>
    <w:rsid w:val="00FE72DA"/>
    <w:rsid w:val="00FE7348"/>
    <w:rsid w:val="00FE7DF5"/>
    <w:rsid w:val="00FE7ED6"/>
    <w:rsid w:val="00FF002C"/>
    <w:rsid w:val="00FF04BB"/>
    <w:rsid w:val="00FF04D5"/>
    <w:rsid w:val="00FF0520"/>
    <w:rsid w:val="00FF08A8"/>
    <w:rsid w:val="00FF0B55"/>
    <w:rsid w:val="00FF0DAE"/>
    <w:rsid w:val="00FF0E4C"/>
    <w:rsid w:val="00FF1448"/>
    <w:rsid w:val="00FF14ED"/>
    <w:rsid w:val="00FF1693"/>
    <w:rsid w:val="00FF16F1"/>
    <w:rsid w:val="00FF2566"/>
    <w:rsid w:val="00FF25F2"/>
    <w:rsid w:val="00FF2648"/>
    <w:rsid w:val="00FF26FD"/>
    <w:rsid w:val="00FF2832"/>
    <w:rsid w:val="00FF2B9F"/>
    <w:rsid w:val="00FF2D82"/>
    <w:rsid w:val="00FF30E3"/>
    <w:rsid w:val="00FF3248"/>
    <w:rsid w:val="00FF3B0E"/>
    <w:rsid w:val="00FF3BDE"/>
    <w:rsid w:val="00FF3D97"/>
    <w:rsid w:val="00FF43B4"/>
    <w:rsid w:val="00FF43E8"/>
    <w:rsid w:val="00FF46BE"/>
    <w:rsid w:val="00FF483D"/>
    <w:rsid w:val="00FF4A53"/>
    <w:rsid w:val="00FF4D0F"/>
    <w:rsid w:val="00FF4FAD"/>
    <w:rsid w:val="00FF512D"/>
    <w:rsid w:val="00FF52B3"/>
    <w:rsid w:val="00FF568F"/>
    <w:rsid w:val="00FF56F7"/>
    <w:rsid w:val="00FF56FB"/>
    <w:rsid w:val="00FF590C"/>
    <w:rsid w:val="00FF5970"/>
    <w:rsid w:val="00FF5A38"/>
    <w:rsid w:val="00FF5A39"/>
    <w:rsid w:val="00FF5B4D"/>
    <w:rsid w:val="00FF5BA3"/>
    <w:rsid w:val="00FF5E99"/>
    <w:rsid w:val="00FF5EA3"/>
    <w:rsid w:val="00FF6C2B"/>
    <w:rsid w:val="00FF6C41"/>
    <w:rsid w:val="00FF6C5F"/>
    <w:rsid w:val="00FF6CBD"/>
    <w:rsid w:val="00FF6E38"/>
    <w:rsid w:val="00FF704B"/>
    <w:rsid w:val="00FF7297"/>
    <w:rsid w:val="00FF76F9"/>
    <w:rsid w:val="00FF787D"/>
    <w:rsid w:val="00FF7889"/>
    <w:rsid w:val="00FF7E07"/>
    <w:rsid w:val="0170158A"/>
    <w:rsid w:val="0521854A"/>
    <w:rsid w:val="07EB002E"/>
    <w:rsid w:val="0811D29E"/>
    <w:rsid w:val="086D930B"/>
    <w:rsid w:val="0891E2AB"/>
    <w:rsid w:val="0981E828"/>
    <w:rsid w:val="09D63F65"/>
    <w:rsid w:val="0B2216C4"/>
    <w:rsid w:val="0B891767"/>
    <w:rsid w:val="0CB9870E"/>
    <w:rsid w:val="0E890ADF"/>
    <w:rsid w:val="0EB5B2AE"/>
    <w:rsid w:val="0FD1E4B9"/>
    <w:rsid w:val="10DB9506"/>
    <w:rsid w:val="168C2046"/>
    <w:rsid w:val="170701BC"/>
    <w:rsid w:val="17D62E91"/>
    <w:rsid w:val="1804DF4F"/>
    <w:rsid w:val="1A97F9BC"/>
    <w:rsid w:val="1B00FCF9"/>
    <w:rsid w:val="1B13ED88"/>
    <w:rsid w:val="1E3F74D8"/>
    <w:rsid w:val="1E5F8A66"/>
    <w:rsid w:val="1E824E71"/>
    <w:rsid w:val="1FE2FE71"/>
    <w:rsid w:val="20F17994"/>
    <w:rsid w:val="21307F78"/>
    <w:rsid w:val="21A79C6F"/>
    <w:rsid w:val="23A3DE42"/>
    <w:rsid w:val="23B6CA8A"/>
    <w:rsid w:val="24E3A5A9"/>
    <w:rsid w:val="294DA709"/>
    <w:rsid w:val="2DE91AEF"/>
    <w:rsid w:val="2F5DE377"/>
    <w:rsid w:val="30609132"/>
    <w:rsid w:val="33562FB5"/>
    <w:rsid w:val="3748EAC2"/>
    <w:rsid w:val="38C6A875"/>
    <w:rsid w:val="3C4C9F7E"/>
    <w:rsid w:val="3D8BF491"/>
    <w:rsid w:val="3F11322A"/>
    <w:rsid w:val="41A452DB"/>
    <w:rsid w:val="45FE9D70"/>
    <w:rsid w:val="470BA500"/>
    <w:rsid w:val="47FD9663"/>
    <w:rsid w:val="4906268C"/>
    <w:rsid w:val="49391FC9"/>
    <w:rsid w:val="4A9AC73B"/>
    <w:rsid w:val="4D550839"/>
    <w:rsid w:val="4E7C3BED"/>
    <w:rsid w:val="518BB1A6"/>
    <w:rsid w:val="52C26EF1"/>
    <w:rsid w:val="57B7D94E"/>
    <w:rsid w:val="57CBE70E"/>
    <w:rsid w:val="58C4C66C"/>
    <w:rsid w:val="59510B5F"/>
    <w:rsid w:val="59A9322A"/>
    <w:rsid w:val="59AF06DD"/>
    <w:rsid w:val="5ECA6CAE"/>
    <w:rsid w:val="5FD25B04"/>
    <w:rsid w:val="617346FF"/>
    <w:rsid w:val="63CC22C9"/>
    <w:rsid w:val="644721EB"/>
    <w:rsid w:val="68AEE439"/>
    <w:rsid w:val="692E15DB"/>
    <w:rsid w:val="6A0E08A4"/>
    <w:rsid w:val="6AC8B7FB"/>
    <w:rsid w:val="6DB5D939"/>
    <w:rsid w:val="6EA9E0E8"/>
    <w:rsid w:val="710C650B"/>
    <w:rsid w:val="71926FE0"/>
    <w:rsid w:val="728D44B3"/>
    <w:rsid w:val="74520858"/>
    <w:rsid w:val="7A2273F3"/>
    <w:rsid w:val="7A6C62DB"/>
    <w:rsid w:val="7B648C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217ECEC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5" w:line="259" w:lineRule="auto"/>
      </w:pPr>
    </w:pPrDefault>
  </w:docDefaults>
  <w:latentStyles w:defLockedState="0" w:defUIPriority="99" w:defSemiHidden="0" w:defUnhideWhenUsed="0" w:defQFormat="0" w:count="376">
    <w:lsdException w:name="Normal" w:uiPriority="0" w:qFormat="1"/>
    <w:lsdException w:name="heading 1" w:uiPriority="19" w:qFormat="1"/>
    <w:lsdException w:name="heading 2" w:semiHidden="1" w:uiPriority="19" w:unhideWhenUsed="1" w:qFormat="1"/>
    <w:lsdException w:name="heading 3" w:semiHidden="1" w:uiPriority="19" w:unhideWhenUsed="1" w:qFormat="1"/>
    <w:lsdException w:name="heading 4" w:semiHidden="1" w:uiPriority="19" w:unhideWhenUsed="1" w:qFormat="1"/>
    <w:lsdException w:name="heading 5" w:semiHidden="1" w:uiPriority="19" w:unhideWhenUsed="1" w:qFormat="1"/>
    <w:lsdException w:name="heading 6" w:semiHidden="1" w:uiPriority="19" w:unhideWhenUsed="1" w:qFormat="1"/>
    <w:lsdException w:name="heading 7" w:semiHidden="1" w:uiPriority="19" w:unhideWhenUsed="1"/>
    <w:lsdException w:name="heading 8" w:semiHidden="1" w:uiPriority="19" w:unhideWhenUsed="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8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567E"/>
    <w:pPr>
      <w:spacing w:after="120" w:line="276" w:lineRule="auto"/>
    </w:pPr>
    <w:rPr>
      <w:rFonts w:ascii="Segoe UI" w:hAnsi="Segoe UI"/>
      <w:sz w:val="21"/>
      <w:lang w:val="en-AU"/>
    </w:rPr>
  </w:style>
  <w:style w:type="paragraph" w:styleId="Heading1">
    <w:name w:val="heading 1"/>
    <w:basedOn w:val="Normal"/>
    <w:next w:val="Normal"/>
    <w:link w:val="Heading1Char"/>
    <w:uiPriority w:val="19"/>
    <w:qFormat/>
    <w:rsid w:val="00D5567E"/>
    <w:pPr>
      <w:keepNext/>
      <w:pageBreakBefore/>
      <w:numPr>
        <w:numId w:val="44"/>
      </w:numPr>
      <w:spacing w:after="840" w:line="560" w:lineRule="exact"/>
      <w:outlineLvl w:val="0"/>
    </w:pPr>
    <w:rPr>
      <w:rFonts w:eastAsia="Times New Roman" w:cs="Times New Roman"/>
      <w:b/>
      <w:color w:val="00264D"/>
      <w:sz w:val="36"/>
      <w:szCs w:val="19"/>
      <w:lang w:eastAsia="en-AU"/>
    </w:rPr>
  </w:style>
  <w:style w:type="paragraph" w:styleId="Heading2">
    <w:name w:val="heading 2"/>
    <w:basedOn w:val="Normal"/>
    <w:next w:val="Normal"/>
    <w:link w:val="Heading2Char"/>
    <w:uiPriority w:val="19"/>
    <w:qFormat/>
    <w:rsid w:val="00D5567E"/>
    <w:pPr>
      <w:keepNext/>
      <w:numPr>
        <w:ilvl w:val="1"/>
        <w:numId w:val="44"/>
      </w:numPr>
      <w:spacing w:before="480" w:after="180" w:line="380" w:lineRule="exact"/>
      <w:outlineLvl w:val="1"/>
    </w:pPr>
    <w:rPr>
      <w:rFonts w:ascii="Segoe UI Semibold" w:eastAsia="Times New Roman" w:hAnsi="Segoe UI Semibold" w:cs="Times New Roman"/>
      <w:color w:val="00264D"/>
      <w:sz w:val="30"/>
      <w:szCs w:val="19"/>
      <w:lang w:eastAsia="en-AU"/>
    </w:rPr>
  </w:style>
  <w:style w:type="paragraph" w:styleId="Heading3">
    <w:name w:val="heading 3"/>
    <w:basedOn w:val="Normal"/>
    <w:next w:val="Normal"/>
    <w:link w:val="Heading3Char"/>
    <w:uiPriority w:val="19"/>
    <w:qFormat/>
    <w:rsid w:val="00D5567E"/>
    <w:pPr>
      <w:keepNext/>
      <w:numPr>
        <w:ilvl w:val="2"/>
        <w:numId w:val="44"/>
      </w:numPr>
      <w:spacing w:before="480" w:after="60"/>
      <w:outlineLvl w:val="2"/>
    </w:pPr>
    <w:rPr>
      <w:rFonts w:ascii="Segoe UI Semibold" w:eastAsia="Times New Roman" w:hAnsi="Segoe UI Semibold" w:cs="Times New Roman"/>
      <w:color w:val="00264D"/>
      <w:sz w:val="26"/>
      <w:szCs w:val="19"/>
      <w:lang w:eastAsia="en-AU"/>
    </w:rPr>
  </w:style>
  <w:style w:type="paragraph" w:styleId="Heading4">
    <w:name w:val="heading 4"/>
    <w:basedOn w:val="Normal"/>
    <w:next w:val="Normal"/>
    <w:link w:val="Heading4Char"/>
    <w:uiPriority w:val="19"/>
    <w:qFormat/>
    <w:rsid w:val="00D5567E"/>
    <w:pPr>
      <w:keepNext/>
      <w:spacing w:before="240" w:after="60"/>
      <w:outlineLvl w:val="3"/>
    </w:pPr>
    <w:rPr>
      <w:rFonts w:ascii="Segoe UI Semibold" w:eastAsia="Times New Roman" w:hAnsi="Segoe UI Semibold" w:cs="Times New Roman"/>
      <w:color w:val="00264D" w:themeColor="background2"/>
      <w:sz w:val="22"/>
      <w:szCs w:val="19"/>
      <w:lang w:eastAsia="en-AU"/>
    </w:rPr>
  </w:style>
  <w:style w:type="paragraph" w:styleId="Heading5">
    <w:name w:val="heading 5"/>
    <w:basedOn w:val="Normal"/>
    <w:next w:val="Normal"/>
    <w:link w:val="Heading5Char"/>
    <w:uiPriority w:val="19"/>
    <w:qFormat/>
    <w:rsid w:val="00D5567E"/>
    <w:pPr>
      <w:keepNext/>
      <w:numPr>
        <w:ilvl w:val="4"/>
        <w:numId w:val="44"/>
      </w:numPr>
      <w:spacing w:before="240"/>
      <w:outlineLvl w:val="4"/>
    </w:pPr>
    <w:rPr>
      <w:rFonts w:eastAsia="Times New Roman" w:cs="Times New Roman"/>
      <w:b/>
      <w:color w:val="000000" w:themeColor="text1"/>
      <w:sz w:val="20"/>
      <w:szCs w:val="24"/>
      <w:lang w:eastAsia="en-AU"/>
    </w:rPr>
  </w:style>
  <w:style w:type="paragraph" w:styleId="Heading6">
    <w:name w:val="heading 6"/>
    <w:basedOn w:val="Normal"/>
    <w:next w:val="Normal"/>
    <w:link w:val="Heading6Char"/>
    <w:uiPriority w:val="19"/>
    <w:qFormat/>
    <w:rsid w:val="00D5567E"/>
    <w:pPr>
      <w:keepNext/>
      <w:keepLines/>
      <w:numPr>
        <w:ilvl w:val="5"/>
        <w:numId w:val="44"/>
      </w:numPr>
      <w:spacing w:before="200" w:after="60"/>
      <w:outlineLvl w:val="5"/>
    </w:pPr>
    <w:rPr>
      <w:rFonts w:eastAsiaTheme="majorEastAsia" w:cstheme="majorBidi"/>
      <w:b/>
      <w:i/>
      <w:iCs/>
      <w:color w:val="000000" w:themeColor="text1"/>
      <w:szCs w:val="19"/>
      <w:lang w:eastAsia="en-AU"/>
    </w:rPr>
  </w:style>
  <w:style w:type="paragraph" w:styleId="Heading7">
    <w:name w:val="heading 7"/>
    <w:basedOn w:val="Normal"/>
    <w:next w:val="Normal"/>
    <w:link w:val="Heading7Char"/>
    <w:uiPriority w:val="19"/>
    <w:semiHidden/>
    <w:rsid w:val="00D5567E"/>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19"/>
    <w:semiHidden/>
    <w:rsid w:val="00D5567E"/>
    <w:pPr>
      <w:keepNext/>
      <w:keepLines/>
      <w:spacing w:before="200" w:after="0"/>
      <w:outlineLvl w:val="7"/>
    </w:pPr>
    <w:rPr>
      <w:rFonts w:eastAsiaTheme="majorEastAsia"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9"/>
    <w:rsid w:val="00D5567E"/>
    <w:rPr>
      <w:rFonts w:ascii="Segoe UI" w:eastAsia="Times New Roman" w:hAnsi="Segoe UI" w:cs="Times New Roman"/>
      <w:b/>
      <w:color w:val="00264D"/>
      <w:sz w:val="36"/>
      <w:szCs w:val="19"/>
      <w:lang w:val="en-AU" w:eastAsia="en-AU"/>
    </w:rPr>
  </w:style>
  <w:style w:type="character" w:customStyle="1" w:styleId="Heading2Char">
    <w:name w:val="Heading 2 Char"/>
    <w:basedOn w:val="DefaultParagraphFont"/>
    <w:link w:val="Heading2"/>
    <w:uiPriority w:val="19"/>
    <w:rsid w:val="00D5567E"/>
    <w:rPr>
      <w:rFonts w:ascii="Segoe UI Semibold" w:eastAsia="Times New Roman" w:hAnsi="Segoe UI Semibold" w:cs="Times New Roman"/>
      <w:color w:val="00264D"/>
      <w:sz w:val="30"/>
      <w:szCs w:val="19"/>
      <w:lang w:val="en-AU" w:eastAsia="en-AU"/>
    </w:rPr>
  </w:style>
  <w:style w:type="character" w:customStyle="1" w:styleId="Heading3Char">
    <w:name w:val="Heading 3 Char"/>
    <w:basedOn w:val="DefaultParagraphFont"/>
    <w:link w:val="Heading3"/>
    <w:uiPriority w:val="19"/>
    <w:rsid w:val="00D5567E"/>
    <w:rPr>
      <w:rFonts w:ascii="Segoe UI Semibold" w:eastAsia="Times New Roman" w:hAnsi="Segoe UI Semibold" w:cs="Times New Roman"/>
      <w:color w:val="00264D"/>
      <w:sz w:val="26"/>
      <w:szCs w:val="19"/>
      <w:lang w:val="en-AU" w:eastAsia="en-AU"/>
    </w:rPr>
  </w:style>
  <w:style w:type="character" w:customStyle="1" w:styleId="Heading4Char">
    <w:name w:val="Heading 4 Char"/>
    <w:basedOn w:val="DefaultParagraphFont"/>
    <w:link w:val="Heading4"/>
    <w:uiPriority w:val="19"/>
    <w:rsid w:val="00D5567E"/>
    <w:rPr>
      <w:rFonts w:ascii="Segoe UI Semibold" w:eastAsia="Times New Roman" w:hAnsi="Segoe UI Semibold" w:cs="Times New Roman"/>
      <w:color w:val="00264D" w:themeColor="background2"/>
      <w:szCs w:val="19"/>
      <w:lang w:val="en-AU" w:eastAsia="en-AU"/>
    </w:rPr>
  </w:style>
  <w:style w:type="character" w:customStyle="1" w:styleId="Heading5Char">
    <w:name w:val="Heading 5 Char"/>
    <w:basedOn w:val="DefaultParagraphFont"/>
    <w:link w:val="Heading5"/>
    <w:uiPriority w:val="19"/>
    <w:rsid w:val="00D5567E"/>
    <w:rPr>
      <w:rFonts w:ascii="Segoe UI" w:eastAsia="Times New Roman" w:hAnsi="Segoe UI" w:cs="Times New Roman"/>
      <w:b/>
      <w:color w:val="000000" w:themeColor="text1"/>
      <w:sz w:val="20"/>
      <w:szCs w:val="24"/>
      <w:lang w:val="en-AU" w:eastAsia="en-AU"/>
    </w:rPr>
  </w:style>
  <w:style w:type="character" w:customStyle="1" w:styleId="Heading6Char">
    <w:name w:val="Heading 6 Char"/>
    <w:basedOn w:val="DefaultParagraphFont"/>
    <w:link w:val="Heading6"/>
    <w:uiPriority w:val="19"/>
    <w:rsid w:val="00D5567E"/>
    <w:rPr>
      <w:rFonts w:ascii="Segoe UI" w:eastAsiaTheme="majorEastAsia" w:hAnsi="Segoe UI" w:cstheme="majorBidi"/>
      <w:b/>
      <w:i/>
      <w:iCs/>
      <w:color w:val="000000" w:themeColor="text1"/>
      <w:sz w:val="21"/>
      <w:szCs w:val="19"/>
      <w:lang w:val="en-AU" w:eastAsia="en-AU"/>
    </w:rPr>
  </w:style>
  <w:style w:type="paragraph" w:customStyle="1" w:styleId="Bullet">
    <w:name w:val="Bullet"/>
    <w:basedOn w:val="Normal"/>
    <w:link w:val="BulletChar"/>
    <w:uiPriority w:val="2"/>
    <w:qFormat/>
    <w:rsid w:val="004D295B"/>
    <w:pPr>
      <w:numPr>
        <w:numId w:val="43"/>
      </w:numPr>
      <w:suppressAutoHyphens/>
      <w:ind w:left="357" w:hanging="357"/>
    </w:pPr>
    <w:rPr>
      <w:rFonts w:eastAsia="Times New Roman" w:cs="Times New Roman"/>
      <w:szCs w:val="19"/>
      <w:lang w:eastAsia="en-AU"/>
    </w:rPr>
  </w:style>
  <w:style w:type="paragraph" w:customStyle="1" w:styleId="TableNheader">
    <w:name w:val="Table N header"/>
    <w:basedOn w:val="Normal"/>
    <w:uiPriority w:val="2"/>
    <w:qFormat/>
    <w:rsid w:val="00D5567E"/>
    <w:pPr>
      <w:spacing w:before="40" w:after="40" w:line="240" w:lineRule="auto"/>
    </w:pPr>
    <w:rPr>
      <w:rFonts w:ascii="Segoe UI Semibold" w:hAnsi="Segoe UI Semibold"/>
      <w:color w:val="00264D" w:themeColor="background2"/>
      <w:sz w:val="24"/>
    </w:rPr>
  </w:style>
  <w:style w:type="paragraph" w:customStyle="1" w:styleId="TableNText">
    <w:name w:val="Table N Text"/>
    <w:basedOn w:val="Normal"/>
    <w:link w:val="TableNTextChar"/>
    <w:uiPriority w:val="2"/>
    <w:qFormat/>
    <w:rsid w:val="00D5567E"/>
    <w:pPr>
      <w:spacing w:before="60" w:after="60"/>
    </w:pPr>
  </w:style>
  <w:style w:type="paragraph" w:styleId="Header">
    <w:name w:val="header"/>
    <w:basedOn w:val="Normal"/>
    <w:link w:val="HeaderChar"/>
    <w:uiPriority w:val="99"/>
    <w:unhideWhenUsed/>
    <w:rsid w:val="00D5567E"/>
    <w:pPr>
      <w:tabs>
        <w:tab w:val="center" w:pos="4513"/>
        <w:tab w:val="right" w:pos="9026"/>
      </w:tabs>
      <w:spacing w:after="0"/>
    </w:pPr>
  </w:style>
  <w:style w:type="character" w:customStyle="1" w:styleId="HeaderChar">
    <w:name w:val="Header Char"/>
    <w:basedOn w:val="DefaultParagraphFont"/>
    <w:link w:val="Header"/>
    <w:uiPriority w:val="99"/>
    <w:rsid w:val="00D5567E"/>
    <w:rPr>
      <w:rFonts w:ascii="Segoe UI" w:hAnsi="Segoe UI"/>
      <w:sz w:val="21"/>
      <w:lang w:val="en-AU"/>
    </w:rPr>
  </w:style>
  <w:style w:type="paragraph" w:styleId="Footer">
    <w:name w:val="footer"/>
    <w:aliases w:val="Foot note"/>
    <w:basedOn w:val="Normal"/>
    <w:link w:val="FooterChar"/>
    <w:uiPriority w:val="89"/>
    <w:unhideWhenUsed/>
    <w:rsid w:val="00D5567E"/>
    <w:pPr>
      <w:tabs>
        <w:tab w:val="center" w:pos="4513"/>
        <w:tab w:val="right" w:pos="9026"/>
      </w:tabs>
      <w:spacing w:after="0"/>
    </w:pPr>
    <w:rPr>
      <w:color w:val="000000" w:themeColor="text1"/>
      <w:sz w:val="19"/>
    </w:rPr>
  </w:style>
  <w:style w:type="character" w:customStyle="1" w:styleId="FooterChar">
    <w:name w:val="Footer Char"/>
    <w:aliases w:val="Foot note Char"/>
    <w:basedOn w:val="DefaultParagraphFont"/>
    <w:link w:val="Footer"/>
    <w:uiPriority w:val="89"/>
    <w:rsid w:val="00D5567E"/>
    <w:rPr>
      <w:rFonts w:ascii="Segoe UI" w:hAnsi="Segoe UI"/>
      <w:color w:val="000000" w:themeColor="text1"/>
      <w:sz w:val="19"/>
      <w:lang w:val="en-AU"/>
    </w:rPr>
  </w:style>
  <w:style w:type="paragraph" w:styleId="Caption">
    <w:name w:val="caption"/>
    <w:basedOn w:val="Normal"/>
    <w:next w:val="Normal"/>
    <w:uiPriority w:val="35"/>
    <w:qFormat/>
    <w:rsid w:val="00D5567E"/>
    <w:pPr>
      <w:keepNext/>
      <w:spacing w:before="240"/>
    </w:pPr>
    <w:rPr>
      <w:rFonts w:ascii="Segoe UI Semibold" w:hAnsi="Segoe UI Semibold"/>
      <w:bCs/>
      <w:color w:val="00264D" w:themeColor="background2"/>
      <w:szCs w:val="18"/>
    </w:rPr>
  </w:style>
  <w:style w:type="paragraph" w:customStyle="1" w:styleId="TableNBullet">
    <w:name w:val="Table N Bullet"/>
    <w:basedOn w:val="Bullet"/>
    <w:link w:val="TableNBulletChar"/>
    <w:uiPriority w:val="2"/>
    <w:qFormat/>
    <w:rsid w:val="00D5567E"/>
    <w:pPr>
      <w:numPr>
        <w:numId w:val="51"/>
      </w:numPr>
      <w:spacing w:before="60" w:after="60"/>
    </w:pPr>
  </w:style>
  <w:style w:type="paragraph" w:customStyle="1" w:styleId="TableNListnumbered">
    <w:name w:val="Table N List (numbered)"/>
    <w:basedOn w:val="TableNBullet"/>
    <w:uiPriority w:val="2"/>
    <w:qFormat/>
    <w:rsid w:val="00D5567E"/>
    <w:pPr>
      <w:numPr>
        <w:numId w:val="52"/>
      </w:numPr>
    </w:pPr>
  </w:style>
  <w:style w:type="paragraph" w:customStyle="1" w:styleId="xAppendixLevel1">
    <w:name w:val="xAppendix Level 1"/>
    <w:basedOn w:val="Heading1"/>
    <w:next w:val="Normal"/>
    <w:uiPriority w:val="98"/>
    <w:qFormat/>
    <w:rsid w:val="00C8629D"/>
    <w:pPr>
      <w:numPr>
        <w:numId w:val="54"/>
      </w:numPr>
      <w:ind w:left="2268"/>
    </w:pPr>
    <w:rPr>
      <w:bCs/>
      <w:noProof/>
      <w:color w:val="FFFFFF" w:themeColor="background1"/>
      <w:sz w:val="44"/>
    </w:rPr>
  </w:style>
  <w:style w:type="paragraph" w:customStyle="1" w:styleId="xAppendixLevel2">
    <w:name w:val="xAppendix Level 2"/>
    <w:basedOn w:val="Heading2"/>
    <w:next w:val="Normal"/>
    <w:uiPriority w:val="98"/>
    <w:qFormat/>
    <w:rsid w:val="00D5567E"/>
    <w:pPr>
      <w:numPr>
        <w:numId w:val="54"/>
      </w:numPr>
      <w:ind w:right="1417"/>
    </w:pPr>
    <w:rPr>
      <w:bCs/>
      <w:sz w:val="34"/>
    </w:rPr>
  </w:style>
  <w:style w:type="paragraph" w:customStyle="1" w:styleId="xAppendixLevel3">
    <w:name w:val="xAppendix Level 3"/>
    <w:basedOn w:val="Heading3"/>
    <w:next w:val="Normal"/>
    <w:uiPriority w:val="98"/>
    <w:qFormat/>
    <w:rsid w:val="00D5567E"/>
    <w:pPr>
      <w:numPr>
        <w:numId w:val="54"/>
      </w:numPr>
    </w:pPr>
    <w:rPr>
      <w:bCs/>
    </w:rPr>
  </w:style>
  <w:style w:type="paragraph" w:customStyle="1" w:styleId="Listnumbered">
    <w:name w:val="List (numbered)"/>
    <w:basedOn w:val="Normal"/>
    <w:uiPriority w:val="1"/>
    <w:qFormat/>
    <w:rsid w:val="00D5567E"/>
    <w:pPr>
      <w:numPr>
        <w:numId w:val="47"/>
      </w:numPr>
    </w:pPr>
  </w:style>
  <w:style w:type="paragraph" w:customStyle="1" w:styleId="Source">
    <w:name w:val="Source"/>
    <w:basedOn w:val="Normal"/>
    <w:next w:val="Normal"/>
    <w:link w:val="SourceChar"/>
    <w:uiPriority w:val="39"/>
    <w:rsid w:val="00D5567E"/>
    <w:pPr>
      <w:spacing w:before="120" w:after="240"/>
    </w:pPr>
    <w:rPr>
      <w:rFonts w:eastAsia="Times New Roman" w:cs="Times New Roman"/>
      <w:i/>
      <w:sz w:val="17"/>
      <w:szCs w:val="19"/>
      <w:lang w:eastAsia="en-AU"/>
    </w:rPr>
  </w:style>
  <w:style w:type="character" w:customStyle="1" w:styleId="SourceChar">
    <w:name w:val="Source Char"/>
    <w:basedOn w:val="DefaultParagraphFont"/>
    <w:link w:val="Source"/>
    <w:uiPriority w:val="39"/>
    <w:rsid w:val="00D5567E"/>
    <w:rPr>
      <w:rFonts w:ascii="Segoe UI" w:eastAsia="Times New Roman" w:hAnsi="Segoe UI" w:cs="Times New Roman"/>
      <w:i/>
      <w:sz w:val="17"/>
      <w:szCs w:val="19"/>
      <w:lang w:val="en-AU" w:eastAsia="en-AU"/>
    </w:rPr>
  </w:style>
  <w:style w:type="character" w:customStyle="1" w:styleId="Heading7Char">
    <w:name w:val="Heading 7 Char"/>
    <w:basedOn w:val="DefaultParagraphFont"/>
    <w:link w:val="Heading7"/>
    <w:uiPriority w:val="19"/>
    <w:semiHidden/>
    <w:rsid w:val="00D5567E"/>
    <w:rPr>
      <w:rFonts w:ascii="Segoe UI" w:eastAsiaTheme="majorEastAsia" w:hAnsi="Segoe UI" w:cstheme="majorBidi"/>
      <w:i/>
      <w:iCs/>
      <w:color w:val="404040" w:themeColor="text1" w:themeTint="BF"/>
      <w:sz w:val="21"/>
      <w:lang w:val="en-AU"/>
    </w:rPr>
  </w:style>
  <w:style w:type="paragraph" w:customStyle="1" w:styleId="BioName">
    <w:name w:val="Bio Name"/>
    <w:basedOn w:val="Normal"/>
    <w:uiPriority w:val="97"/>
    <w:qFormat/>
    <w:rsid w:val="00D5567E"/>
    <w:pPr>
      <w:spacing w:before="60" w:after="60" w:line="240" w:lineRule="auto"/>
      <w:jc w:val="center"/>
    </w:pPr>
    <w:rPr>
      <w:b/>
      <w:caps/>
      <w:color w:val="00264D" w:themeColor="background2"/>
      <w:szCs w:val="19"/>
    </w:rPr>
  </w:style>
  <w:style w:type="paragraph" w:customStyle="1" w:styleId="BioPosition">
    <w:name w:val="Bio Position"/>
    <w:basedOn w:val="Normal"/>
    <w:uiPriority w:val="97"/>
    <w:qFormat/>
    <w:rsid w:val="00D5567E"/>
    <w:pPr>
      <w:spacing w:line="240" w:lineRule="auto"/>
      <w:jc w:val="center"/>
    </w:pPr>
    <w:rPr>
      <w:color w:val="00264D" w:themeColor="background2"/>
      <w:szCs w:val="19"/>
    </w:rPr>
  </w:style>
  <w:style w:type="paragraph" w:styleId="BalloonText">
    <w:name w:val="Balloon Text"/>
    <w:basedOn w:val="Normal"/>
    <w:link w:val="BalloonTextChar"/>
    <w:uiPriority w:val="99"/>
    <w:semiHidden/>
    <w:unhideWhenUsed/>
    <w:rsid w:val="00D5567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567E"/>
    <w:rPr>
      <w:rFonts w:ascii="Tahoma" w:hAnsi="Tahoma" w:cs="Tahoma"/>
      <w:sz w:val="16"/>
      <w:szCs w:val="16"/>
      <w:lang w:val="en-AU"/>
    </w:rPr>
  </w:style>
  <w:style w:type="table" w:styleId="LightList-Accent5">
    <w:name w:val="Light List Accent 5"/>
    <w:basedOn w:val="TableNormal"/>
    <w:uiPriority w:val="61"/>
    <w:rsid w:val="00D5567E"/>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tblBorders>
    </w:tblPr>
    <w:tblStylePr w:type="firstRow">
      <w:pPr>
        <w:spacing w:before="0" w:after="0" w:line="240" w:lineRule="auto"/>
      </w:pPr>
      <w:rPr>
        <w:b/>
        <w:bCs/>
        <w:color w:val="FFFFFF" w:themeColor="background1"/>
      </w:rPr>
      <w:tblPr/>
      <w:tcPr>
        <w:shd w:val="clear" w:color="auto" w:fill="E6E6E1" w:themeFill="accent5"/>
      </w:tcPr>
    </w:tblStylePr>
    <w:tblStylePr w:type="lastRow">
      <w:pPr>
        <w:spacing w:before="0" w:after="0" w:line="240" w:lineRule="auto"/>
      </w:pPr>
      <w:rPr>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tcBorders>
      </w:tcPr>
    </w:tblStylePr>
    <w:tblStylePr w:type="firstCol">
      <w:rPr>
        <w:b/>
        <w:bCs/>
      </w:rPr>
    </w:tblStylePr>
    <w:tblStylePr w:type="lastCol">
      <w:rPr>
        <w:b/>
        <w:bCs/>
      </w:r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style>
  <w:style w:type="table" w:styleId="MediumShading1-Accent5">
    <w:name w:val="Medium Shading 1 Accent 5"/>
    <w:basedOn w:val="TableNormal"/>
    <w:uiPriority w:val="63"/>
    <w:rsid w:val="00D5567E"/>
    <w:pPr>
      <w:spacing w:after="0" w:line="240" w:lineRule="auto"/>
    </w:pPr>
    <w:tblPr>
      <w:tblStyleRowBandSize w:val="1"/>
      <w:tblStyleColBandSize w:val="1"/>
      <w:tbl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single" w:sz="8" w:space="0" w:color="ECECE8" w:themeColor="accent5" w:themeTint="BF"/>
      </w:tblBorders>
    </w:tblPr>
    <w:tblStylePr w:type="firstRow">
      <w:pPr>
        <w:spacing w:before="0" w:after="0" w:line="240" w:lineRule="auto"/>
      </w:pPr>
      <w:rPr>
        <w:b/>
        <w:bCs/>
        <w:color w:val="FFFFFF" w:themeColor="background1"/>
      </w:rPr>
      <w:tblPr/>
      <w:tcPr>
        <w:tc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shd w:val="clear" w:color="auto" w:fill="E6E6E1" w:themeFill="accent5"/>
      </w:tcPr>
    </w:tblStylePr>
    <w:tblStylePr w:type="lastRow">
      <w:pPr>
        <w:spacing w:before="0" w:after="0" w:line="240" w:lineRule="auto"/>
      </w:pPr>
      <w:rPr>
        <w:b/>
        <w:bCs/>
      </w:rPr>
      <w:tblPr/>
      <w:tcPr>
        <w:tcBorders>
          <w:top w:val="double" w:sz="6"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8F7" w:themeFill="accent5" w:themeFillTint="3F"/>
      </w:tcPr>
    </w:tblStylePr>
    <w:tblStylePr w:type="band1Horz">
      <w:tblPr/>
      <w:tcPr>
        <w:tcBorders>
          <w:insideH w:val="nil"/>
          <w:insideV w:val="nil"/>
        </w:tcBorders>
        <w:shd w:val="clear" w:color="auto" w:fill="F8F8F7" w:themeFill="accent5" w:themeFillTint="3F"/>
      </w:tcPr>
    </w:tblStylePr>
    <w:tblStylePr w:type="band2Horz">
      <w:tblPr/>
      <w:tcPr>
        <w:tcBorders>
          <w:insideH w:val="nil"/>
          <w:insideV w:val="nil"/>
        </w:tcBorders>
      </w:tcPr>
    </w:tblStylePr>
  </w:style>
  <w:style w:type="character" w:customStyle="1" w:styleId="TableNBulletChar">
    <w:name w:val="Table N Bullet Char"/>
    <w:basedOn w:val="DefaultParagraphFont"/>
    <w:link w:val="TableNBullet"/>
    <w:uiPriority w:val="2"/>
    <w:rsid w:val="00D5567E"/>
    <w:rPr>
      <w:rFonts w:ascii="Segoe UI" w:eastAsia="Times New Roman" w:hAnsi="Segoe UI" w:cs="Times New Roman"/>
      <w:sz w:val="21"/>
      <w:szCs w:val="19"/>
      <w:lang w:val="en-AU" w:eastAsia="en-AU"/>
    </w:rPr>
  </w:style>
  <w:style w:type="table" w:styleId="TableGrid">
    <w:name w:val="Table Grid"/>
    <w:aliases w:val="Nous Table,Table,NOUS,NOUS Side Header"/>
    <w:basedOn w:val="TableNormal"/>
    <w:uiPriority w:val="39"/>
    <w:rsid w:val="00D5567E"/>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Bahnschrift SemiLight" w:hAnsi="Bahnschrift SemiLight"/>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Bahnschrift" w:hAnsi="Bahnschrift"/>
        <w:sz w:val="17"/>
      </w:rPr>
    </w:tblStylePr>
    <w:tblStylePr w:type="band2Horz">
      <w:rPr>
        <w:rFonts w:ascii="Bahnschrift" w:hAnsi="Bahnschrift"/>
        <w:sz w:val="17"/>
      </w:rPr>
    </w:tblStylePr>
  </w:style>
  <w:style w:type="character" w:customStyle="1" w:styleId="BulletChar">
    <w:name w:val="Bullet Char"/>
    <w:basedOn w:val="DefaultParagraphFont"/>
    <w:link w:val="Bullet"/>
    <w:uiPriority w:val="2"/>
    <w:rsid w:val="004D295B"/>
    <w:rPr>
      <w:rFonts w:ascii="Segoe UI" w:eastAsia="Times New Roman" w:hAnsi="Segoe UI" w:cs="Times New Roman"/>
      <w:sz w:val="21"/>
      <w:szCs w:val="19"/>
      <w:lang w:val="en-AU" w:eastAsia="en-AU"/>
    </w:rPr>
  </w:style>
  <w:style w:type="paragraph" w:customStyle="1" w:styleId="URL-groupcomau">
    <w:name w:val="URL - group.com.au"/>
    <w:basedOn w:val="Normal"/>
    <w:link w:val="URL-groupcomauChar"/>
    <w:uiPriority w:val="89"/>
    <w:semiHidden/>
    <w:qFormat/>
    <w:rsid w:val="00D5567E"/>
    <w:pPr>
      <w:spacing w:after="0"/>
    </w:pPr>
    <w:rPr>
      <w:rFonts w:eastAsia="Times New Roman" w:cs="Times New Roman"/>
      <w:color w:val="2E368F" w:themeColor="text2"/>
      <w:spacing w:val="20"/>
      <w:sz w:val="14"/>
      <w:szCs w:val="19"/>
      <w:lang w:eastAsia="en-AU"/>
    </w:rPr>
  </w:style>
  <w:style w:type="character" w:customStyle="1" w:styleId="URL-groupcomauChar">
    <w:name w:val="URL - group.com.au Char"/>
    <w:basedOn w:val="DefaultParagraphFont"/>
    <w:link w:val="URL-groupcomau"/>
    <w:uiPriority w:val="89"/>
    <w:semiHidden/>
    <w:rsid w:val="00D5567E"/>
    <w:rPr>
      <w:rFonts w:ascii="Segoe UI" w:eastAsia="Times New Roman" w:hAnsi="Segoe UI" w:cs="Times New Roman"/>
      <w:color w:val="2E368F" w:themeColor="text2"/>
      <w:spacing w:val="20"/>
      <w:sz w:val="14"/>
      <w:szCs w:val="19"/>
      <w:lang w:val="en-AU" w:eastAsia="en-AU"/>
    </w:rPr>
  </w:style>
  <w:style w:type="paragraph" w:customStyle="1" w:styleId="URL-nous">
    <w:name w:val="URL - nous"/>
    <w:basedOn w:val="Normal"/>
    <w:link w:val="URL-nousChar"/>
    <w:uiPriority w:val="89"/>
    <w:semiHidden/>
    <w:qFormat/>
    <w:rsid w:val="00D5567E"/>
    <w:pPr>
      <w:spacing w:after="0"/>
    </w:pPr>
    <w:rPr>
      <w:rFonts w:eastAsia="Times New Roman" w:cs="Times New Roman"/>
      <w:color w:val="FF3A40" w:themeColor="accent1"/>
      <w:spacing w:val="20"/>
      <w:sz w:val="14"/>
      <w:szCs w:val="19"/>
      <w:lang w:eastAsia="en-AU"/>
    </w:rPr>
  </w:style>
  <w:style w:type="character" w:customStyle="1" w:styleId="URL-nousChar">
    <w:name w:val="URL - nous Char"/>
    <w:basedOn w:val="DefaultParagraphFont"/>
    <w:link w:val="URL-nous"/>
    <w:uiPriority w:val="89"/>
    <w:semiHidden/>
    <w:rsid w:val="00D5567E"/>
    <w:rPr>
      <w:rFonts w:ascii="Segoe UI" w:eastAsia="Times New Roman" w:hAnsi="Segoe UI" w:cs="Times New Roman"/>
      <w:color w:val="FF3A40" w:themeColor="accent1"/>
      <w:spacing w:val="20"/>
      <w:sz w:val="14"/>
      <w:szCs w:val="19"/>
      <w:lang w:val="en-AU" w:eastAsia="en-AU"/>
    </w:rPr>
  </w:style>
  <w:style w:type="table" w:customStyle="1" w:styleId="NousTableSide">
    <w:name w:val="Nous Table_Side"/>
    <w:basedOn w:val="TableNormal"/>
    <w:uiPriority w:val="99"/>
    <w:rsid w:val="00D5567E"/>
    <w:pPr>
      <w:spacing w:after="0" w:line="240" w:lineRule="auto"/>
    </w:pPr>
    <w:rPr>
      <w:rFonts w:ascii="Segoe UI" w:hAnsi="Segoe UI"/>
      <w:sz w:val="17"/>
    </w:rPr>
    <w:tblPr>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blStylePr w:type="firstCol">
      <w:pPr>
        <w:jc w:val="left"/>
      </w:pPr>
      <w:rPr>
        <w:rFonts w:ascii="Bahnschrift SemiLight" w:hAnsi="Bahnschrift SemiLight"/>
        <w:b w:val="0"/>
        <w:color w:val="00264D" w:themeColor="background2"/>
        <w:sz w:val="17"/>
      </w:rPr>
      <w:tblPr/>
      <w:tcPr>
        <w:tcBorders>
          <w:top w:val="single" w:sz="12" w:space="0" w:color="FFFFFF" w:themeColor="background1"/>
          <w:left w:val="single" w:sz="18" w:space="0" w:color="F8981D" w:themeColor="accent3"/>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E6E6E1" w:themeFill="accent5"/>
      </w:tcPr>
    </w:tblStylePr>
  </w:style>
  <w:style w:type="character" w:customStyle="1" w:styleId="Heading8Char">
    <w:name w:val="Heading 8 Char"/>
    <w:basedOn w:val="DefaultParagraphFont"/>
    <w:link w:val="Heading8"/>
    <w:uiPriority w:val="19"/>
    <w:semiHidden/>
    <w:rsid w:val="00D5567E"/>
    <w:rPr>
      <w:rFonts w:ascii="Segoe UI" w:eastAsiaTheme="majorEastAsia" w:hAnsi="Segoe UI" w:cstheme="majorBidi"/>
      <w:color w:val="404040" w:themeColor="text1" w:themeTint="BF"/>
      <w:sz w:val="20"/>
      <w:szCs w:val="20"/>
      <w:lang w:val="en-AU"/>
    </w:rPr>
  </w:style>
  <w:style w:type="character" w:styleId="Hyperlink">
    <w:name w:val="Hyperlink"/>
    <w:basedOn w:val="DefaultParagraphFont"/>
    <w:uiPriority w:val="99"/>
    <w:unhideWhenUsed/>
    <w:rsid w:val="00D5567E"/>
    <w:rPr>
      <w:color w:val="00264D" w:themeColor="background2"/>
      <w:u w:val="single"/>
    </w:rPr>
  </w:style>
  <w:style w:type="table" w:customStyle="1" w:styleId="NousTableTopandside">
    <w:name w:val="Nous Table_Top and side"/>
    <w:basedOn w:val="TableNormal"/>
    <w:uiPriority w:val="99"/>
    <w:rsid w:val="00D5567E"/>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Bahnschrift SemiLight" w:hAnsi="Bahnschrift SemiLight"/>
        <w:b w:val="0"/>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vAlign w:val="center"/>
      </w:tcPr>
    </w:tblStylePr>
    <w:tblStylePr w:type="firstCol">
      <w:pPr>
        <w:jc w:val="left"/>
      </w:pPr>
      <w:rPr>
        <w:rFonts w:ascii="Bahnschrift SemiLight" w:hAnsi="Bahnschrift SemiLight"/>
        <w:b w:val="0"/>
        <w:color w:val="00264D" w:themeColor="background2"/>
        <w:sz w:val="18"/>
      </w:rPr>
      <w:tblPr/>
      <w:tcPr>
        <w:tcBorders>
          <w:left w:val="nil"/>
        </w:tcBorders>
        <w:shd w:val="clear" w:color="auto" w:fill="E6E6E1" w:themeFill="accent5"/>
      </w:tcPr>
    </w:tblStylePr>
  </w:style>
  <w:style w:type="paragraph" w:customStyle="1" w:styleId="BioHeading">
    <w:name w:val="Bio Heading"/>
    <w:basedOn w:val="TableNText"/>
    <w:uiPriority w:val="97"/>
    <w:qFormat/>
    <w:rsid w:val="00D5567E"/>
    <w:pPr>
      <w:spacing w:before="240" w:after="120" w:line="240" w:lineRule="auto"/>
    </w:pPr>
    <w:rPr>
      <w:color w:val="00264D" w:themeColor="background2"/>
      <w:sz w:val="19"/>
      <w:szCs w:val="19"/>
    </w:rPr>
  </w:style>
  <w:style w:type="paragraph" w:customStyle="1" w:styleId="Sectionintroduction">
    <w:name w:val="Section introduction"/>
    <w:uiPriority w:val="21"/>
    <w:qFormat/>
    <w:rsid w:val="00D5567E"/>
    <w:pPr>
      <w:spacing w:before="120" w:after="120"/>
    </w:pPr>
    <w:rPr>
      <w:rFonts w:ascii="Segoe UI Semilight" w:hAnsi="Segoe UI Semilight"/>
      <w:color w:val="00264D" w:themeColor="background2"/>
      <w:sz w:val="21"/>
      <w:szCs w:val="21"/>
      <w:lang w:val="en-AU"/>
    </w:rPr>
  </w:style>
  <w:style w:type="paragraph" w:customStyle="1" w:styleId="Callout">
    <w:name w:val="Call out"/>
    <w:basedOn w:val="Normal"/>
    <w:uiPriority w:val="98"/>
    <w:qFormat/>
    <w:rsid w:val="00D5567E"/>
    <w:pPr>
      <w:pBdr>
        <w:top w:val="single" w:sz="18" w:space="4" w:color="E6E6E1" w:themeColor="accent5"/>
      </w:pBdr>
    </w:pPr>
    <w:rPr>
      <w:rFonts w:ascii="Segoe UI Semilight" w:hAnsi="Segoe UI Semilight"/>
      <w:color w:val="F8981D" w:themeColor="accent3"/>
      <w:kern w:val="24"/>
      <w:sz w:val="22"/>
    </w:rPr>
  </w:style>
  <w:style w:type="paragraph" w:customStyle="1" w:styleId="Longformcallout">
    <w:name w:val="Long form callout"/>
    <w:basedOn w:val="Normal"/>
    <w:uiPriority w:val="20"/>
    <w:qFormat/>
    <w:rsid w:val="00D5567E"/>
    <w:pPr>
      <w:spacing w:before="60" w:after="60" w:line="240" w:lineRule="auto"/>
    </w:pPr>
    <w:rPr>
      <w:color w:val="00264D" w:themeColor="background2"/>
      <w:szCs w:val="19"/>
      <w:lang w:eastAsia="en-AU"/>
    </w:rPr>
  </w:style>
  <w:style w:type="paragraph" w:customStyle="1" w:styleId="longformcalloutbullet">
    <w:name w:val="long form call out bullet"/>
    <w:basedOn w:val="Longformcallout"/>
    <w:uiPriority w:val="20"/>
    <w:qFormat/>
    <w:rsid w:val="00D5567E"/>
    <w:pPr>
      <w:numPr>
        <w:numId w:val="48"/>
      </w:numPr>
    </w:pPr>
  </w:style>
  <w:style w:type="paragraph" w:customStyle="1" w:styleId="longformcalloutnumber">
    <w:name w:val="long form callout number"/>
    <w:basedOn w:val="longformcalloutbullet"/>
    <w:uiPriority w:val="20"/>
    <w:qFormat/>
    <w:rsid w:val="00D5567E"/>
    <w:pPr>
      <w:numPr>
        <w:numId w:val="49"/>
      </w:numPr>
    </w:pPr>
  </w:style>
  <w:style w:type="paragraph" w:customStyle="1" w:styleId="NousFooter">
    <w:name w:val="Nous Footer"/>
    <w:basedOn w:val="Normal"/>
    <w:uiPriority w:val="96"/>
    <w:qFormat/>
    <w:rsid w:val="00D5567E"/>
    <w:pPr>
      <w:spacing w:after="0"/>
    </w:pPr>
    <w:rPr>
      <w:sz w:val="18"/>
      <w:szCs w:val="15"/>
      <w:lang w:eastAsia="en-AU"/>
    </w:rPr>
  </w:style>
  <w:style w:type="paragraph" w:customStyle="1" w:styleId="ContentsHeading">
    <w:name w:val="Contents Heading"/>
    <w:basedOn w:val="Normal"/>
    <w:uiPriority w:val="19"/>
    <w:rsid w:val="00D5567E"/>
    <w:pPr>
      <w:spacing w:before="360" w:after="600" w:line="560" w:lineRule="exact"/>
    </w:pPr>
    <w:rPr>
      <w:rFonts w:eastAsia="Times New Roman" w:cs="Segoe UI"/>
      <w:b/>
      <w:color w:val="00264D"/>
      <w:sz w:val="36"/>
      <w:szCs w:val="36"/>
      <w:lang w:eastAsia="en-AU"/>
    </w:rPr>
  </w:style>
  <w:style w:type="paragraph" w:styleId="TOC2">
    <w:name w:val="toc 2"/>
    <w:basedOn w:val="Normal"/>
    <w:next w:val="Normal"/>
    <w:autoRedefine/>
    <w:uiPriority w:val="39"/>
    <w:unhideWhenUsed/>
    <w:rsid w:val="00D07CE5"/>
    <w:pPr>
      <w:tabs>
        <w:tab w:val="left" w:pos="851"/>
        <w:tab w:val="right" w:pos="8920"/>
      </w:tabs>
      <w:spacing w:after="100" w:line="240" w:lineRule="auto"/>
      <w:ind w:left="426"/>
    </w:pPr>
    <w:rPr>
      <w:rFonts w:asciiTheme="minorHAnsi" w:hAnsiTheme="minorHAnsi" w:cstheme="minorHAnsi"/>
      <w:noProof/>
      <w:lang w:val="en-US"/>
    </w:rPr>
  </w:style>
  <w:style w:type="paragraph" w:styleId="TOC1">
    <w:name w:val="toc 1"/>
    <w:basedOn w:val="Normal"/>
    <w:next w:val="Normal"/>
    <w:autoRedefine/>
    <w:uiPriority w:val="39"/>
    <w:unhideWhenUsed/>
    <w:rsid w:val="00D5567E"/>
    <w:pPr>
      <w:tabs>
        <w:tab w:val="left" w:pos="426"/>
        <w:tab w:val="left" w:pos="1134"/>
        <w:tab w:val="right" w:pos="8920"/>
      </w:tabs>
      <w:spacing w:after="100" w:line="240" w:lineRule="auto"/>
    </w:pPr>
    <w:rPr>
      <w:noProof/>
      <w:lang w:val="en-US"/>
    </w:rPr>
  </w:style>
  <w:style w:type="paragraph" w:customStyle="1" w:styleId="BioQualifications">
    <w:name w:val="Bio Qualifications"/>
    <w:basedOn w:val="Normal"/>
    <w:uiPriority w:val="97"/>
    <w:qFormat/>
    <w:rsid w:val="00D5567E"/>
    <w:pPr>
      <w:spacing w:before="240" w:after="60" w:line="240" w:lineRule="auto"/>
      <w:jc w:val="center"/>
    </w:pPr>
    <w:rPr>
      <w:b/>
      <w:color w:val="00264D" w:themeColor="background2"/>
      <w:szCs w:val="17"/>
    </w:rPr>
  </w:style>
  <w:style w:type="character" w:styleId="CommentReference">
    <w:name w:val="annotation reference"/>
    <w:basedOn w:val="DefaultParagraphFont"/>
    <w:uiPriority w:val="99"/>
    <w:semiHidden/>
    <w:unhideWhenUsed/>
    <w:rsid w:val="00D5567E"/>
    <w:rPr>
      <w:sz w:val="16"/>
      <w:szCs w:val="16"/>
    </w:rPr>
  </w:style>
  <w:style w:type="paragraph" w:styleId="CommentText">
    <w:name w:val="annotation text"/>
    <w:basedOn w:val="Normal"/>
    <w:link w:val="CommentTextChar"/>
    <w:uiPriority w:val="99"/>
    <w:unhideWhenUsed/>
    <w:rsid w:val="00D5567E"/>
    <w:pPr>
      <w:spacing w:line="240" w:lineRule="auto"/>
    </w:pPr>
    <w:rPr>
      <w:sz w:val="20"/>
      <w:szCs w:val="20"/>
    </w:rPr>
  </w:style>
  <w:style w:type="character" w:customStyle="1" w:styleId="CommentTextChar">
    <w:name w:val="Comment Text Char"/>
    <w:basedOn w:val="DefaultParagraphFont"/>
    <w:link w:val="CommentText"/>
    <w:uiPriority w:val="99"/>
    <w:rsid w:val="00D5567E"/>
    <w:rPr>
      <w:rFonts w:ascii="Segoe UI" w:hAnsi="Segoe UI"/>
      <w:sz w:val="20"/>
      <w:szCs w:val="20"/>
      <w:lang w:val="en-AU"/>
    </w:rPr>
  </w:style>
  <w:style w:type="paragraph" w:customStyle="1" w:styleId="introductionlist">
    <w:name w:val="introduction list"/>
    <w:basedOn w:val="Sectionintroduction"/>
    <w:uiPriority w:val="21"/>
    <w:qFormat/>
    <w:rsid w:val="00D5567E"/>
    <w:pPr>
      <w:numPr>
        <w:numId w:val="46"/>
      </w:numPr>
      <w:spacing w:before="60"/>
    </w:pPr>
  </w:style>
  <w:style w:type="paragraph" w:customStyle="1" w:styleId="intoductionbullet">
    <w:name w:val="intoduction bullet"/>
    <w:basedOn w:val="Sectionintroduction"/>
    <w:uiPriority w:val="21"/>
    <w:qFormat/>
    <w:rsid w:val="00D5567E"/>
    <w:pPr>
      <w:numPr>
        <w:numId w:val="45"/>
      </w:numPr>
    </w:pPr>
  </w:style>
  <w:style w:type="paragraph" w:customStyle="1" w:styleId="BioQualificationsText">
    <w:name w:val="Bio Qualifications Text"/>
    <w:basedOn w:val="Normal"/>
    <w:uiPriority w:val="97"/>
    <w:qFormat/>
    <w:rsid w:val="00D5567E"/>
    <w:pPr>
      <w:spacing w:line="240" w:lineRule="auto"/>
      <w:jc w:val="center"/>
    </w:pPr>
  </w:style>
  <w:style w:type="paragraph" w:customStyle="1" w:styleId="Covertitle">
    <w:name w:val="Cover title"/>
    <w:basedOn w:val="Normal"/>
    <w:link w:val="CovertitleChar"/>
    <w:uiPriority w:val="99"/>
    <w:semiHidden/>
    <w:rsid w:val="00D5567E"/>
    <w:pPr>
      <w:suppressAutoHyphens/>
      <w:spacing w:after="0" w:line="720" w:lineRule="exact"/>
    </w:pPr>
    <w:rPr>
      <w:rFonts w:eastAsia="Times New Roman" w:cs="Times New Roman"/>
      <w:color w:val="2E368F" w:themeColor="text2"/>
      <w:sz w:val="84"/>
      <w:szCs w:val="19"/>
      <w:lang w:eastAsia="en-AU"/>
    </w:rPr>
  </w:style>
  <w:style w:type="character" w:customStyle="1" w:styleId="CovertitleChar">
    <w:name w:val="Cover title Char"/>
    <w:basedOn w:val="DefaultParagraphFont"/>
    <w:link w:val="Covertitle"/>
    <w:uiPriority w:val="99"/>
    <w:semiHidden/>
    <w:rsid w:val="00D5567E"/>
    <w:rPr>
      <w:rFonts w:ascii="Segoe UI" w:eastAsia="Times New Roman" w:hAnsi="Segoe UI" w:cs="Times New Roman"/>
      <w:color w:val="2E368F" w:themeColor="text2"/>
      <w:sz w:val="84"/>
      <w:szCs w:val="19"/>
      <w:lang w:val="en-AU" w:eastAsia="en-AU"/>
    </w:rPr>
  </w:style>
  <w:style w:type="paragraph" w:customStyle="1" w:styleId="CoverPage-Client">
    <w:name w:val="Cover Page - Client"/>
    <w:basedOn w:val="Normal"/>
    <w:link w:val="CoverPage-ClientChar"/>
    <w:uiPriority w:val="99"/>
    <w:semiHidden/>
    <w:rsid w:val="00D5567E"/>
    <w:pPr>
      <w:suppressAutoHyphens/>
      <w:spacing w:before="480" w:after="0" w:line="380" w:lineRule="exact"/>
    </w:pPr>
    <w:rPr>
      <w:rFonts w:eastAsia="Times New Roman" w:cs="Times New Roman"/>
      <w:color w:val="2E368F" w:themeColor="text2"/>
      <w:sz w:val="36"/>
      <w:szCs w:val="19"/>
      <w:lang w:eastAsia="en-AU"/>
    </w:rPr>
  </w:style>
  <w:style w:type="character" w:customStyle="1" w:styleId="CoverPage-ClientChar">
    <w:name w:val="Cover Page - Client Char"/>
    <w:basedOn w:val="DefaultParagraphFont"/>
    <w:link w:val="CoverPage-Client"/>
    <w:uiPriority w:val="99"/>
    <w:semiHidden/>
    <w:rsid w:val="00D5567E"/>
    <w:rPr>
      <w:rFonts w:ascii="Segoe UI" w:eastAsia="Times New Roman" w:hAnsi="Segoe UI" w:cs="Times New Roman"/>
      <w:color w:val="2E368F" w:themeColor="text2"/>
      <w:sz w:val="36"/>
      <w:szCs w:val="19"/>
      <w:lang w:val="en-AU" w:eastAsia="en-AU"/>
    </w:rPr>
  </w:style>
  <w:style w:type="paragraph" w:customStyle="1" w:styleId="CoverPage-Date">
    <w:name w:val="Cover Page - Date"/>
    <w:basedOn w:val="Normal"/>
    <w:link w:val="CoverPage-DateChar"/>
    <w:uiPriority w:val="99"/>
    <w:semiHidden/>
    <w:rsid w:val="00D5567E"/>
    <w:pPr>
      <w:suppressAutoHyphens/>
      <w:spacing w:before="320" w:after="0" w:line="280" w:lineRule="exact"/>
    </w:pPr>
    <w:rPr>
      <w:rFonts w:eastAsia="Times New Roman" w:cs="Times New Roman"/>
      <w:color w:val="00264D" w:themeColor="background2"/>
      <w:sz w:val="24"/>
      <w:szCs w:val="19"/>
      <w:lang w:eastAsia="en-AU"/>
    </w:rPr>
  </w:style>
  <w:style w:type="character" w:customStyle="1" w:styleId="CoverPage-DateChar">
    <w:name w:val="Cover Page - Date Char"/>
    <w:basedOn w:val="DefaultParagraphFont"/>
    <w:link w:val="CoverPage-Date"/>
    <w:uiPriority w:val="99"/>
    <w:semiHidden/>
    <w:rsid w:val="00D5567E"/>
    <w:rPr>
      <w:rFonts w:ascii="Segoe UI" w:eastAsia="Times New Roman" w:hAnsi="Segoe UI" w:cs="Times New Roman"/>
      <w:color w:val="00264D" w:themeColor="background2"/>
      <w:sz w:val="24"/>
      <w:szCs w:val="19"/>
      <w:lang w:val="en-AU" w:eastAsia="en-AU"/>
    </w:rPr>
  </w:style>
  <w:style w:type="character" w:styleId="PlaceholderText">
    <w:name w:val="Placeholder Text"/>
    <w:basedOn w:val="DefaultParagraphFont"/>
    <w:uiPriority w:val="99"/>
    <w:semiHidden/>
    <w:rsid w:val="00D5567E"/>
    <w:rPr>
      <w:color w:val="808080"/>
    </w:rPr>
  </w:style>
  <w:style w:type="table" w:customStyle="1" w:styleId="Sectionintroductiontable">
    <w:name w:val="Section introduction table"/>
    <w:basedOn w:val="TableNormal"/>
    <w:uiPriority w:val="99"/>
    <w:rsid w:val="00D5567E"/>
    <w:pPr>
      <w:spacing w:after="0" w:line="240" w:lineRule="auto"/>
    </w:pPr>
    <w:tblPr>
      <w:tblCellMar>
        <w:top w:w="113" w:type="dxa"/>
        <w:left w:w="0" w:type="dxa"/>
        <w:bottom w:w="113" w:type="dxa"/>
        <w:right w:w="0" w:type="dxa"/>
      </w:tblCellMar>
    </w:tblPr>
    <w:tblStylePr w:type="firstRow">
      <w:pPr>
        <w:wordWrap/>
        <w:spacing w:beforeLines="0" w:before="0" w:beforeAutospacing="0" w:afterLines="0" w:after="0" w:afterAutospacing="0"/>
      </w:pPr>
      <w:rPr>
        <w:rFonts w:ascii="Bahnschrift SemiBold" w:hAnsi="Bahnschrift SemiBold"/>
        <w:color w:val="00264D" w:themeColor="background2"/>
        <w:sz w:val="21"/>
      </w:rPr>
      <w:tblPr/>
      <w:tcPr>
        <w:tcBorders>
          <w:top w:val="single" w:sz="8" w:space="0" w:color="00264D" w:themeColor="background2"/>
          <w:left w:val="nil"/>
          <w:bottom w:val="single" w:sz="8" w:space="0" w:color="00264D" w:themeColor="background2"/>
          <w:right w:val="nil"/>
        </w:tcBorders>
      </w:tcPr>
    </w:tblStylePr>
  </w:style>
  <w:style w:type="numbering" w:customStyle="1" w:styleId="Listnumberedmultilevel">
    <w:name w:val="List (numbered)_multilevel"/>
    <w:uiPriority w:val="99"/>
    <w:rsid w:val="00D5567E"/>
  </w:style>
  <w:style w:type="numbering" w:customStyle="1" w:styleId="TableexpListnumberedmultilevel">
    <w:name w:val="Table exp List (numbered) multilevel"/>
    <w:uiPriority w:val="99"/>
    <w:rsid w:val="00D5567E"/>
    <w:pPr>
      <w:numPr>
        <w:numId w:val="16"/>
      </w:numPr>
    </w:pPr>
  </w:style>
  <w:style w:type="numbering" w:customStyle="1" w:styleId="TableNListnumberedmultilevel">
    <w:name w:val="Table N List (numbered) multilevel"/>
    <w:uiPriority w:val="99"/>
    <w:rsid w:val="00D5567E"/>
    <w:pPr>
      <w:numPr>
        <w:numId w:val="30"/>
      </w:numPr>
    </w:pPr>
  </w:style>
  <w:style w:type="table" w:customStyle="1" w:styleId="NousLongformcallout">
    <w:name w:val="Nous_Long form call out"/>
    <w:basedOn w:val="TableNormal"/>
    <w:uiPriority w:val="99"/>
    <w:rsid w:val="00D5567E"/>
    <w:pPr>
      <w:spacing w:after="0" w:line="240" w:lineRule="auto"/>
    </w:pPr>
    <w:rPr>
      <w:color w:val="00264D" w:themeColor="background2"/>
    </w:rPr>
    <w:tblPr>
      <w:tblBorders>
        <w:left w:val="single" w:sz="18" w:space="0" w:color="F8981D" w:themeColor="accent3"/>
      </w:tblBorders>
      <w:tblCellMar>
        <w:top w:w="113" w:type="dxa"/>
        <w:bottom w:w="113" w:type="dxa"/>
      </w:tblCellMar>
    </w:tblPr>
    <w:tcPr>
      <w:shd w:val="clear" w:color="auto" w:fill="E6E6E1" w:themeFill="accent5"/>
    </w:tcPr>
  </w:style>
  <w:style w:type="paragraph" w:styleId="FootnoteText">
    <w:name w:val="footnote text"/>
    <w:basedOn w:val="Normal"/>
    <w:link w:val="FootnoteTextChar"/>
    <w:uiPriority w:val="99"/>
    <w:semiHidden/>
    <w:unhideWhenUsed/>
    <w:rsid w:val="00D5567E"/>
    <w:pPr>
      <w:spacing w:after="0" w:line="240" w:lineRule="auto"/>
    </w:pPr>
    <w:rPr>
      <w:sz w:val="15"/>
      <w:szCs w:val="20"/>
    </w:rPr>
  </w:style>
  <w:style w:type="character" w:customStyle="1" w:styleId="FootnoteTextChar">
    <w:name w:val="Footnote Text Char"/>
    <w:basedOn w:val="DefaultParagraphFont"/>
    <w:link w:val="FootnoteText"/>
    <w:uiPriority w:val="99"/>
    <w:semiHidden/>
    <w:rsid w:val="00D5567E"/>
    <w:rPr>
      <w:rFonts w:ascii="Segoe UI" w:hAnsi="Segoe UI"/>
      <w:sz w:val="15"/>
      <w:szCs w:val="20"/>
      <w:lang w:val="en-AU"/>
    </w:rPr>
  </w:style>
  <w:style w:type="paragraph" w:customStyle="1" w:styleId="CaseStudytitle">
    <w:name w:val="Case Study title"/>
    <w:basedOn w:val="Normal"/>
    <w:uiPriority w:val="98"/>
    <w:qFormat/>
    <w:rsid w:val="00D5567E"/>
    <w:pPr>
      <w:spacing w:line="240" w:lineRule="auto"/>
    </w:pPr>
    <w:rPr>
      <w:rFonts w:asciiTheme="majorHAnsi" w:hAnsiTheme="majorHAnsi"/>
      <w:caps/>
      <w:color w:val="F25E21" w:themeColor="accent2"/>
      <w:sz w:val="24"/>
    </w:rPr>
  </w:style>
  <w:style w:type="character" w:customStyle="1" w:styleId="TableNTextChar">
    <w:name w:val="Table N Text Char"/>
    <w:basedOn w:val="DefaultParagraphFont"/>
    <w:link w:val="TableNText"/>
    <w:uiPriority w:val="2"/>
    <w:rsid w:val="00D5567E"/>
    <w:rPr>
      <w:rFonts w:ascii="Segoe UI" w:hAnsi="Segoe UI"/>
      <w:sz w:val="21"/>
      <w:lang w:val="en-AU"/>
    </w:rPr>
  </w:style>
  <w:style w:type="paragraph" w:styleId="CommentSubject">
    <w:name w:val="annotation subject"/>
    <w:basedOn w:val="CommentText"/>
    <w:next w:val="CommentText"/>
    <w:link w:val="CommentSubjectChar"/>
    <w:uiPriority w:val="99"/>
    <w:semiHidden/>
    <w:unhideWhenUsed/>
    <w:rsid w:val="00D5567E"/>
    <w:rPr>
      <w:b/>
      <w:bCs/>
    </w:rPr>
  </w:style>
  <w:style w:type="character" w:customStyle="1" w:styleId="CommentSubjectChar">
    <w:name w:val="Comment Subject Char"/>
    <w:basedOn w:val="CommentTextChar"/>
    <w:link w:val="CommentSubject"/>
    <w:uiPriority w:val="99"/>
    <w:semiHidden/>
    <w:rsid w:val="00D5567E"/>
    <w:rPr>
      <w:rFonts w:ascii="Segoe UI" w:hAnsi="Segoe UI"/>
      <w:b/>
      <w:bCs/>
      <w:sz w:val="20"/>
      <w:szCs w:val="20"/>
      <w:lang w:val="en-AU"/>
    </w:rPr>
  </w:style>
  <w:style w:type="character" w:styleId="FootnoteReference">
    <w:name w:val="footnote reference"/>
    <w:basedOn w:val="DefaultParagraphFont"/>
    <w:uiPriority w:val="99"/>
    <w:unhideWhenUsed/>
    <w:rsid w:val="00D5567E"/>
    <w:rPr>
      <w:vertAlign w:val="superscript"/>
    </w:rPr>
  </w:style>
  <w:style w:type="paragraph" w:styleId="NormalWeb">
    <w:name w:val="Normal (Web)"/>
    <w:basedOn w:val="Normal"/>
    <w:uiPriority w:val="99"/>
    <w:unhideWhenUsed/>
    <w:rsid w:val="00D5567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UnresolvedMention1">
    <w:name w:val="Unresolved Mention1"/>
    <w:basedOn w:val="DefaultParagraphFont"/>
    <w:uiPriority w:val="99"/>
    <w:unhideWhenUsed/>
    <w:rsid w:val="00D5567E"/>
    <w:rPr>
      <w:color w:val="605E5C"/>
      <w:shd w:val="clear" w:color="auto" w:fill="E1DFDD"/>
    </w:rPr>
  </w:style>
  <w:style w:type="paragraph" w:styleId="TOC3">
    <w:name w:val="toc 3"/>
    <w:basedOn w:val="Normal"/>
    <w:next w:val="Normal"/>
    <w:autoRedefine/>
    <w:uiPriority w:val="39"/>
    <w:unhideWhenUsed/>
    <w:rsid w:val="00D5567E"/>
    <w:pPr>
      <w:tabs>
        <w:tab w:val="left" w:pos="1320"/>
        <w:tab w:val="right" w:leader="dot" w:pos="8920"/>
      </w:tabs>
      <w:spacing w:after="100" w:line="257" w:lineRule="auto"/>
      <w:ind w:left="680"/>
    </w:pPr>
  </w:style>
  <w:style w:type="character" w:customStyle="1" w:styleId="Mention1">
    <w:name w:val="Mention1"/>
    <w:basedOn w:val="DefaultParagraphFont"/>
    <w:uiPriority w:val="99"/>
    <w:unhideWhenUsed/>
    <w:rsid w:val="00D5567E"/>
    <w:rPr>
      <w:color w:val="2B579A"/>
      <w:shd w:val="clear" w:color="auto" w:fill="E1DFDD"/>
    </w:rPr>
  </w:style>
  <w:style w:type="table" w:customStyle="1" w:styleId="NOUSSideHeader1">
    <w:name w:val="NOUS Side Header1"/>
    <w:basedOn w:val="TableNormal"/>
    <w:next w:val="TableGrid"/>
    <w:uiPriority w:val="39"/>
    <w:rsid w:val="00D5567E"/>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Bahnschrift Light SemiCondensed" w:hAnsi="Bahnschrift Light SemiCondensed"/>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Bahnschrift Light SemiCondensed" w:hAnsi="Bahnschrift Light SemiCondensed"/>
        <w:sz w:val="17"/>
      </w:rPr>
    </w:tblStylePr>
    <w:tblStylePr w:type="band2Horz">
      <w:rPr>
        <w:rFonts w:ascii="Bahnschrift Light SemiCondensed" w:hAnsi="Bahnschrift Light SemiCondensed"/>
        <w:sz w:val="17"/>
      </w:rPr>
    </w:tblStylePr>
  </w:style>
  <w:style w:type="paragraph" w:styleId="Revision">
    <w:name w:val="Revision"/>
    <w:hidden/>
    <w:uiPriority w:val="99"/>
    <w:semiHidden/>
    <w:rsid w:val="00E943A2"/>
    <w:pPr>
      <w:spacing w:after="0" w:line="240" w:lineRule="auto"/>
    </w:pPr>
    <w:rPr>
      <w:rFonts w:ascii="Segoe UI" w:hAnsi="Segoe UI"/>
      <w:sz w:val="19"/>
      <w:lang w:val="en-AU"/>
    </w:rPr>
  </w:style>
  <w:style w:type="character" w:styleId="FollowedHyperlink">
    <w:name w:val="FollowedHyperlink"/>
    <w:basedOn w:val="DefaultParagraphFont"/>
    <w:uiPriority w:val="99"/>
    <w:semiHidden/>
    <w:unhideWhenUsed/>
    <w:rsid w:val="00D5567E"/>
    <w:rPr>
      <w:color w:val="0048C7" w:themeColor="followedHyperlink"/>
      <w:u w:val="single"/>
    </w:rPr>
  </w:style>
  <w:style w:type="character" w:styleId="UnresolvedMention">
    <w:name w:val="Unresolved Mention"/>
    <w:basedOn w:val="DefaultParagraphFont"/>
    <w:uiPriority w:val="99"/>
    <w:unhideWhenUsed/>
    <w:rsid w:val="00D5567E"/>
    <w:rPr>
      <w:color w:val="605E5C"/>
      <w:shd w:val="clear" w:color="auto" w:fill="E1DFDD"/>
    </w:rPr>
  </w:style>
  <w:style w:type="character" w:styleId="Mention">
    <w:name w:val="Mention"/>
    <w:basedOn w:val="DefaultParagraphFont"/>
    <w:uiPriority w:val="99"/>
    <w:unhideWhenUsed/>
    <w:rsid w:val="00D5567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86535">
      <w:bodyDiv w:val="1"/>
      <w:marLeft w:val="0"/>
      <w:marRight w:val="0"/>
      <w:marTop w:val="0"/>
      <w:marBottom w:val="0"/>
      <w:divBdr>
        <w:top w:val="none" w:sz="0" w:space="0" w:color="auto"/>
        <w:left w:val="none" w:sz="0" w:space="0" w:color="auto"/>
        <w:bottom w:val="none" w:sz="0" w:space="0" w:color="auto"/>
        <w:right w:val="none" w:sz="0" w:space="0" w:color="auto"/>
      </w:divBdr>
    </w:div>
    <w:div w:id="217516854">
      <w:bodyDiv w:val="1"/>
      <w:marLeft w:val="0"/>
      <w:marRight w:val="0"/>
      <w:marTop w:val="0"/>
      <w:marBottom w:val="0"/>
      <w:divBdr>
        <w:top w:val="none" w:sz="0" w:space="0" w:color="auto"/>
        <w:left w:val="none" w:sz="0" w:space="0" w:color="auto"/>
        <w:bottom w:val="none" w:sz="0" w:space="0" w:color="auto"/>
        <w:right w:val="none" w:sz="0" w:space="0" w:color="auto"/>
      </w:divBdr>
      <w:divsChild>
        <w:div w:id="1048531670">
          <w:marLeft w:val="274"/>
          <w:marRight w:val="0"/>
          <w:marTop w:val="120"/>
          <w:marBottom w:val="0"/>
          <w:divBdr>
            <w:top w:val="none" w:sz="0" w:space="0" w:color="auto"/>
            <w:left w:val="none" w:sz="0" w:space="0" w:color="auto"/>
            <w:bottom w:val="none" w:sz="0" w:space="0" w:color="auto"/>
            <w:right w:val="none" w:sz="0" w:space="0" w:color="auto"/>
          </w:divBdr>
        </w:div>
        <w:div w:id="1785535334">
          <w:marLeft w:val="274"/>
          <w:marRight w:val="0"/>
          <w:marTop w:val="120"/>
          <w:marBottom w:val="0"/>
          <w:divBdr>
            <w:top w:val="none" w:sz="0" w:space="0" w:color="auto"/>
            <w:left w:val="none" w:sz="0" w:space="0" w:color="auto"/>
            <w:bottom w:val="none" w:sz="0" w:space="0" w:color="auto"/>
            <w:right w:val="none" w:sz="0" w:space="0" w:color="auto"/>
          </w:divBdr>
        </w:div>
      </w:divsChild>
    </w:div>
    <w:div w:id="267274345">
      <w:bodyDiv w:val="1"/>
      <w:marLeft w:val="0"/>
      <w:marRight w:val="0"/>
      <w:marTop w:val="0"/>
      <w:marBottom w:val="0"/>
      <w:divBdr>
        <w:top w:val="none" w:sz="0" w:space="0" w:color="auto"/>
        <w:left w:val="none" w:sz="0" w:space="0" w:color="auto"/>
        <w:bottom w:val="none" w:sz="0" w:space="0" w:color="auto"/>
        <w:right w:val="none" w:sz="0" w:space="0" w:color="auto"/>
      </w:divBdr>
      <w:divsChild>
        <w:div w:id="71704998">
          <w:marLeft w:val="274"/>
          <w:marRight w:val="0"/>
          <w:marTop w:val="0"/>
          <w:marBottom w:val="0"/>
          <w:divBdr>
            <w:top w:val="none" w:sz="0" w:space="0" w:color="auto"/>
            <w:left w:val="none" w:sz="0" w:space="0" w:color="auto"/>
            <w:bottom w:val="none" w:sz="0" w:space="0" w:color="auto"/>
            <w:right w:val="none" w:sz="0" w:space="0" w:color="auto"/>
          </w:divBdr>
        </w:div>
        <w:div w:id="102120284">
          <w:marLeft w:val="274"/>
          <w:marRight w:val="0"/>
          <w:marTop w:val="0"/>
          <w:marBottom w:val="0"/>
          <w:divBdr>
            <w:top w:val="none" w:sz="0" w:space="0" w:color="auto"/>
            <w:left w:val="none" w:sz="0" w:space="0" w:color="auto"/>
            <w:bottom w:val="none" w:sz="0" w:space="0" w:color="auto"/>
            <w:right w:val="none" w:sz="0" w:space="0" w:color="auto"/>
          </w:divBdr>
        </w:div>
        <w:div w:id="121310290">
          <w:marLeft w:val="274"/>
          <w:marRight w:val="0"/>
          <w:marTop w:val="0"/>
          <w:marBottom w:val="0"/>
          <w:divBdr>
            <w:top w:val="none" w:sz="0" w:space="0" w:color="auto"/>
            <w:left w:val="none" w:sz="0" w:space="0" w:color="auto"/>
            <w:bottom w:val="none" w:sz="0" w:space="0" w:color="auto"/>
            <w:right w:val="none" w:sz="0" w:space="0" w:color="auto"/>
          </w:divBdr>
        </w:div>
        <w:div w:id="172497080">
          <w:marLeft w:val="274"/>
          <w:marRight w:val="0"/>
          <w:marTop w:val="0"/>
          <w:marBottom w:val="0"/>
          <w:divBdr>
            <w:top w:val="none" w:sz="0" w:space="0" w:color="auto"/>
            <w:left w:val="none" w:sz="0" w:space="0" w:color="auto"/>
            <w:bottom w:val="none" w:sz="0" w:space="0" w:color="auto"/>
            <w:right w:val="none" w:sz="0" w:space="0" w:color="auto"/>
          </w:divBdr>
        </w:div>
        <w:div w:id="313415870">
          <w:marLeft w:val="274"/>
          <w:marRight w:val="0"/>
          <w:marTop w:val="0"/>
          <w:marBottom w:val="0"/>
          <w:divBdr>
            <w:top w:val="none" w:sz="0" w:space="0" w:color="auto"/>
            <w:left w:val="none" w:sz="0" w:space="0" w:color="auto"/>
            <w:bottom w:val="none" w:sz="0" w:space="0" w:color="auto"/>
            <w:right w:val="none" w:sz="0" w:space="0" w:color="auto"/>
          </w:divBdr>
        </w:div>
        <w:div w:id="544371095">
          <w:marLeft w:val="274"/>
          <w:marRight w:val="0"/>
          <w:marTop w:val="0"/>
          <w:marBottom w:val="0"/>
          <w:divBdr>
            <w:top w:val="none" w:sz="0" w:space="0" w:color="auto"/>
            <w:left w:val="none" w:sz="0" w:space="0" w:color="auto"/>
            <w:bottom w:val="none" w:sz="0" w:space="0" w:color="auto"/>
            <w:right w:val="none" w:sz="0" w:space="0" w:color="auto"/>
          </w:divBdr>
        </w:div>
        <w:div w:id="556478171">
          <w:marLeft w:val="274"/>
          <w:marRight w:val="0"/>
          <w:marTop w:val="0"/>
          <w:marBottom w:val="0"/>
          <w:divBdr>
            <w:top w:val="none" w:sz="0" w:space="0" w:color="auto"/>
            <w:left w:val="none" w:sz="0" w:space="0" w:color="auto"/>
            <w:bottom w:val="none" w:sz="0" w:space="0" w:color="auto"/>
            <w:right w:val="none" w:sz="0" w:space="0" w:color="auto"/>
          </w:divBdr>
        </w:div>
        <w:div w:id="562527882">
          <w:marLeft w:val="274"/>
          <w:marRight w:val="0"/>
          <w:marTop w:val="0"/>
          <w:marBottom w:val="0"/>
          <w:divBdr>
            <w:top w:val="none" w:sz="0" w:space="0" w:color="auto"/>
            <w:left w:val="none" w:sz="0" w:space="0" w:color="auto"/>
            <w:bottom w:val="none" w:sz="0" w:space="0" w:color="auto"/>
            <w:right w:val="none" w:sz="0" w:space="0" w:color="auto"/>
          </w:divBdr>
        </w:div>
        <w:div w:id="778447715">
          <w:marLeft w:val="274"/>
          <w:marRight w:val="0"/>
          <w:marTop w:val="0"/>
          <w:marBottom w:val="0"/>
          <w:divBdr>
            <w:top w:val="none" w:sz="0" w:space="0" w:color="auto"/>
            <w:left w:val="none" w:sz="0" w:space="0" w:color="auto"/>
            <w:bottom w:val="none" w:sz="0" w:space="0" w:color="auto"/>
            <w:right w:val="none" w:sz="0" w:space="0" w:color="auto"/>
          </w:divBdr>
        </w:div>
        <w:div w:id="1122192498">
          <w:marLeft w:val="274"/>
          <w:marRight w:val="0"/>
          <w:marTop w:val="0"/>
          <w:marBottom w:val="0"/>
          <w:divBdr>
            <w:top w:val="none" w:sz="0" w:space="0" w:color="auto"/>
            <w:left w:val="none" w:sz="0" w:space="0" w:color="auto"/>
            <w:bottom w:val="none" w:sz="0" w:space="0" w:color="auto"/>
            <w:right w:val="none" w:sz="0" w:space="0" w:color="auto"/>
          </w:divBdr>
        </w:div>
        <w:div w:id="1158576941">
          <w:marLeft w:val="274"/>
          <w:marRight w:val="0"/>
          <w:marTop w:val="0"/>
          <w:marBottom w:val="0"/>
          <w:divBdr>
            <w:top w:val="none" w:sz="0" w:space="0" w:color="auto"/>
            <w:left w:val="none" w:sz="0" w:space="0" w:color="auto"/>
            <w:bottom w:val="none" w:sz="0" w:space="0" w:color="auto"/>
            <w:right w:val="none" w:sz="0" w:space="0" w:color="auto"/>
          </w:divBdr>
        </w:div>
        <w:div w:id="1184324547">
          <w:marLeft w:val="274"/>
          <w:marRight w:val="0"/>
          <w:marTop w:val="0"/>
          <w:marBottom w:val="0"/>
          <w:divBdr>
            <w:top w:val="none" w:sz="0" w:space="0" w:color="auto"/>
            <w:left w:val="none" w:sz="0" w:space="0" w:color="auto"/>
            <w:bottom w:val="none" w:sz="0" w:space="0" w:color="auto"/>
            <w:right w:val="none" w:sz="0" w:space="0" w:color="auto"/>
          </w:divBdr>
        </w:div>
        <w:div w:id="1342586441">
          <w:marLeft w:val="274"/>
          <w:marRight w:val="0"/>
          <w:marTop w:val="0"/>
          <w:marBottom w:val="0"/>
          <w:divBdr>
            <w:top w:val="none" w:sz="0" w:space="0" w:color="auto"/>
            <w:left w:val="none" w:sz="0" w:space="0" w:color="auto"/>
            <w:bottom w:val="none" w:sz="0" w:space="0" w:color="auto"/>
            <w:right w:val="none" w:sz="0" w:space="0" w:color="auto"/>
          </w:divBdr>
        </w:div>
        <w:div w:id="1428502946">
          <w:marLeft w:val="274"/>
          <w:marRight w:val="0"/>
          <w:marTop w:val="0"/>
          <w:marBottom w:val="0"/>
          <w:divBdr>
            <w:top w:val="none" w:sz="0" w:space="0" w:color="auto"/>
            <w:left w:val="none" w:sz="0" w:space="0" w:color="auto"/>
            <w:bottom w:val="none" w:sz="0" w:space="0" w:color="auto"/>
            <w:right w:val="none" w:sz="0" w:space="0" w:color="auto"/>
          </w:divBdr>
        </w:div>
        <w:div w:id="1460951989">
          <w:marLeft w:val="274"/>
          <w:marRight w:val="0"/>
          <w:marTop w:val="0"/>
          <w:marBottom w:val="0"/>
          <w:divBdr>
            <w:top w:val="none" w:sz="0" w:space="0" w:color="auto"/>
            <w:left w:val="none" w:sz="0" w:space="0" w:color="auto"/>
            <w:bottom w:val="none" w:sz="0" w:space="0" w:color="auto"/>
            <w:right w:val="none" w:sz="0" w:space="0" w:color="auto"/>
          </w:divBdr>
        </w:div>
        <w:div w:id="1524896649">
          <w:marLeft w:val="274"/>
          <w:marRight w:val="0"/>
          <w:marTop w:val="0"/>
          <w:marBottom w:val="0"/>
          <w:divBdr>
            <w:top w:val="none" w:sz="0" w:space="0" w:color="auto"/>
            <w:left w:val="none" w:sz="0" w:space="0" w:color="auto"/>
            <w:bottom w:val="none" w:sz="0" w:space="0" w:color="auto"/>
            <w:right w:val="none" w:sz="0" w:space="0" w:color="auto"/>
          </w:divBdr>
        </w:div>
        <w:div w:id="1718049921">
          <w:marLeft w:val="274"/>
          <w:marRight w:val="0"/>
          <w:marTop w:val="0"/>
          <w:marBottom w:val="0"/>
          <w:divBdr>
            <w:top w:val="none" w:sz="0" w:space="0" w:color="auto"/>
            <w:left w:val="none" w:sz="0" w:space="0" w:color="auto"/>
            <w:bottom w:val="none" w:sz="0" w:space="0" w:color="auto"/>
            <w:right w:val="none" w:sz="0" w:space="0" w:color="auto"/>
          </w:divBdr>
        </w:div>
        <w:div w:id="2007243299">
          <w:marLeft w:val="274"/>
          <w:marRight w:val="0"/>
          <w:marTop w:val="0"/>
          <w:marBottom w:val="0"/>
          <w:divBdr>
            <w:top w:val="none" w:sz="0" w:space="0" w:color="auto"/>
            <w:left w:val="none" w:sz="0" w:space="0" w:color="auto"/>
            <w:bottom w:val="none" w:sz="0" w:space="0" w:color="auto"/>
            <w:right w:val="none" w:sz="0" w:space="0" w:color="auto"/>
          </w:divBdr>
        </w:div>
      </w:divsChild>
    </w:div>
    <w:div w:id="354116941">
      <w:bodyDiv w:val="1"/>
      <w:marLeft w:val="0"/>
      <w:marRight w:val="0"/>
      <w:marTop w:val="0"/>
      <w:marBottom w:val="0"/>
      <w:divBdr>
        <w:top w:val="none" w:sz="0" w:space="0" w:color="auto"/>
        <w:left w:val="none" w:sz="0" w:space="0" w:color="auto"/>
        <w:bottom w:val="none" w:sz="0" w:space="0" w:color="auto"/>
        <w:right w:val="none" w:sz="0" w:space="0" w:color="auto"/>
      </w:divBdr>
    </w:div>
    <w:div w:id="361442039">
      <w:bodyDiv w:val="1"/>
      <w:marLeft w:val="0"/>
      <w:marRight w:val="0"/>
      <w:marTop w:val="0"/>
      <w:marBottom w:val="0"/>
      <w:divBdr>
        <w:top w:val="none" w:sz="0" w:space="0" w:color="auto"/>
        <w:left w:val="none" w:sz="0" w:space="0" w:color="auto"/>
        <w:bottom w:val="none" w:sz="0" w:space="0" w:color="auto"/>
        <w:right w:val="none" w:sz="0" w:space="0" w:color="auto"/>
      </w:divBdr>
    </w:div>
    <w:div w:id="480081189">
      <w:bodyDiv w:val="1"/>
      <w:marLeft w:val="0"/>
      <w:marRight w:val="0"/>
      <w:marTop w:val="0"/>
      <w:marBottom w:val="0"/>
      <w:divBdr>
        <w:top w:val="none" w:sz="0" w:space="0" w:color="auto"/>
        <w:left w:val="none" w:sz="0" w:space="0" w:color="auto"/>
        <w:bottom w:val="none" w:sz="0" w:space="0" w:color="auto"/>
        <w:right w:val="none" w:sz="0" w:space="0" w:color="auto"/>
      </w:divBdr>
    </w:div>
    <w:div w:id="491482711">
      <w:bodyDiv w:val="1"/>
      <w:marLeft w:val="0"/>
      <w:marRight w:val="0"/>
      <w:marTop w:val="0"/>
      <w:marBottom w:val="0"/>
      <w:divBdr>
        <w:top w:val="none" w:sz="0" w:space="0" w:color="auto"/>
        <w:left w:val="none" w:sz="0" w:space="0" w:color="auto"/>
        <w:bottom w:val="none" w:sz="0" w:space="0" w:color="auto"/>
        <w:right w:val="none" w:sz="0" w:space="0" w:color="auto"/>
      </w:divBdr>
    </w:div>
    <w:div w:id="609774059">
      <w:bodyDiv w:val="1"/>
      <w:marLeft w:val="0"/>
      <w:marRight w:val="0"/>
      <w:marTop w:val="0"/>
      <w:marBottom w:val="0"/>
      <w:divBdr>
        <w:top w:val="none" w:sz="0" w:space="0" w:color="auto"/>
        <w:left w:val="none" w:sz="0" w:space="0" w:color="auto"/>
        <w:bottom w:val="none" w:sz="0" w:space="0" w:color="auto"/>
        <w:right w:val="none" w:sz="0" w:space="0" w:color="auto"/>
      </w:divBdr>
    </w:div>
    <w:div w:id="699742367">
      <w:bodyDiv w:val="1"/>
      <w:marLeft w:val="0"/>
      <w:marRight w:val="0"/>
      <w:marTop w:val="0"/>
      <w:marBottom w:val="0"/>
      <w:divBdr>
        <w:top w:val="none" w:sz="0" w:space="0" w:color="auto"/>
        <w:left w:val="none" w:sz="0" w:space="0" w:color="auto"/>
        <w:bottom w:val="none" w:sz="0" w:space="0" w:color="auto"/>
        <w:right w:val="none" w:sz="0" w:space="0" w:color="auto"/>
      </w:divBdr>
    </w:div>
    <w:div w:id="723454247">
      <w:bodyDiv w:val="1"/>
      <w:marLeft w:val="0"/>
      <w:marRight w:val="0"/>
      <w:marTop w:val="0"/>
      <w:marBottom w:val="0"/>
      <w:divBdr>
        <w:top w:val="none" w:sz="0" w:space="0" w:color="auto"/>
        <w:left w:val="none" w:sz="0" w:space="0" w:color="auto"/>
        <w:bottom w:val="none" w:sz="0" w:space="0" w:color="auto"/>
        <w:right w:val="none" w:sz="0" w:space="0" w:color="auto"/>
      </w:divBdr>
      <w:divsChild>
        <w:div w:id="88158593">
          <w:marLeft w:val="274"/>
          <w:marRight w:val="0"/>
          <w:marTop w:val="0"/>
          <w:marBottom w:val="60"/>
          <w:divBdr>
            <w:top w:val="none" w:sz="0" w:space="0" w:color="auto"/>
            <w:left w:val="none" w:sz="0" w:space="0" w:color="auto"/>
            <w:bottom w:val="none" w:sz="0" w:space="0" w:color="auto"/>
            <w:right w:val="none" w:sz="0" w:space="0" w:color="auto"/>
          </w:divBdr>
        </w:div>
        <w:div w:id="1229996835">
          <w:marLeft w:val="274"/>
          <w:marRight w:val="0"/>
          <w:marTop w:val="0"/>
          <w:marBottom w:val="60"/>
          <w:divBdr>
            <w:top w:val="none" w:sz="0" w:space="0" w:color="auto"/>
            <w:left w:val="none" w:sz="0" w:space="0" w:color="auto"/>
            <w:bottom w:val="none" w:sz="0" w:space="0" w:color="auto"/>
            <w:right w:val="none" w:sz="0" w:space="0" w:color="auto"/>
          </w:divBdr>
        </w:div>
        <w:div w:id="1766221924">
          <w:marLeft w:val="274"/>
          <w:marRight w:val="0"/>
          <w:marTop w:val="0"/>
          <w:marBottom w:val="60"/>
          <w:divBdr>
            <w:top w:val="none" w:sz="0" w:space="0" w:color="auto"/>
            <w:left w:val="none" w:sz="0" w:space="0" w:color="auto"/>
            <w:bottom w:val="none" w:sz="0" w:space="0" w:color="auto"/>
            <w:right w:val="none" w:sz="0" w:space="0" w:color="auto"/>
          </w:divBdr>
        </w:div>
      </w:divsChild>
    </w:div>
    <w:div w:id="775103013">
      <w:bodyDiv w:val="1"/>
      <w:marLeft w:val="0"/>
      <w:marRight w:val="0"/>
      <w:marTop w:val="0"/>
      <w:marBottom w:val="0"/>
      <w:divBdr>
        <w:top w:val="none" w:sz="0" w:space="0" w:color="auto"/>
        <w:left w:val="none" w:sz="0" w:space="0" w:color="auto"/>
        <w:bottom w:val="none" w:sz="0" w:space="0" w:color="auto"/>
        <w:right w:val="none" w:sz="0" w:space="0" w:color="auto"/>
      </w:divBdr>
    </w:div>
    <w:div w:id="799147495">
      <w:bodyDiv w:val="1"/>
      <w:marLeft w:val="0"/>
      <w:marRight w:val="0"/>
      <w:marTop w:val="0"/>
      <w:marBottom w:val="0"/>
      <w:divBdr>
        <w:top w:val="none" w:sz="0" w:space="0" w:color="auto"/>
        <w:left w:val="none" w:sz="0" w:space="0" w:color="auto"/>
        <w:bottom w:val="none" w:sz="0" w:space="0" w:color="auto"/>
        <w:right w:val="none" w:sz="0" w:space="0" w:color="auto"/>
      </w:divBdr>
    </w:div>
    <w:div w:id="838159889">
      <w:bodyDiv w:val="1"/>
      <w:marLeft w:val="0"/>
      <w:marRight w:val="0"/>
      <w:marTop w:val="0"/>
      <w:marBottom w:val="0"/>
      <w:divBdr>
        <w:top w:val="none" w:sz="0" w:space="0" w:color="auto"/>
        <w:left w:val="none" w:sz="0" w:space="0" w:color="auto"/>
        <w:bottom w:val="none" w:sz="0" w:space="0" w:color="auto"/>
        <w:right w:val="none" w:sz="0" w:space="0" w:color="auto"/>
      </w:divBdr>
    </w:div>
    <w:div w:id="845242502">
      <w:bodyDiv w:val="1"/>
      <w:marLeft w:val="0"/>
      <w:marRight w:val="0"/>
      <w:marTop w:val="0"/>
      <w:marBottom w:val="0"/>
      <w:divBdr>
        <w:top w:val="none" w:sz="0" w:space="0" w:color="auto"/>
        <w:left w:val="none" w:sz="0" w:space="0" w:color="auto"/>
        <w:bottom w:val="none" w:sz="0" w:space="0" w:color="auto"/>
        <w:right w:val="none" w:sz="0" w:space="0" w:color="auto"/>
      </w:divBdr>
    </w:div>
    <w:div w:id="860171595">
      <w:bodyDiv w:val="1"/>
      <w:marLeft w:val="0"/>
      <w:marRight w:val="0"/>
      <w:marTop w:val="0"/>
      <w:marBottom w:val="0"/>
      <w:divBdr>
        <w:top w:val="none" w:sz="0" w:space="0" w:color="auto"/>
        <w:left w:val="none" w:sz="0" w:space="0" w:color="auto"/>
        <w:bottom w:val="none" w:sz="0" w:space="0" w:color="auto"/>
        <w:right w:val="none" w:sz="0" w:space="0" w:color="auto"/>
      </w:divBdr>
    </w:div>
    <w:div w:id="863790803">
      <w:bodyDiv w:val="1"/>
      <w:marLeft w:val="0"/>
      <w:marRight w:val="0"/>
      <w:marTop w:val="0"/>
      <w:marBottom w:val="0"/>
      <w:divBdr>
        <w:top w:val="none" w:sz="0" w:space="0" w:color="auto"/>
        <w:left w:val="none" w:sz="0" w:space="0" w:color="auto"/>
        <w:bottom w:val="none" w:sz="0" w:space="0" w:color="auto"/>
        <w:right w:val="none" w:sz="0" w:space="0" w:color="auto"/>
      </w:divBdr>
    </w:div>
    <w:div w:id="867715251">
      <w:bodyDiv w:val="1"/>
      <w:marLeft w:val="0"/>
      <w:marRight w:val="0"/>
      <w:marTop w:val="0"/>
      <w:marBottom w:val="0"/>
      <w:divBdr>
        <w:top w:val="none" w:sz="0" w:space="0" w:color="auto"/>
        <w:left w:val="none" w:sz="0" w:space="0" w:color="auto"/>
        <w:bottom w:val="none" w:sz="0" w:space="0" w:color="auto"/>
        <w:right w:val="none" w:sz="0" w:space="0" w:color="auto"/>
      </w:divBdr>
    </w:div>
    <w:div w:id="870994330">
      <w:bodyDiv w:val="1"/>
      <w:marLeft w:val="0"/>
      <w:marRight w:val="0"/>
      <w:marTop w:val="0"/>
      <w:marBottom w:val="0"/>
      <w:divBdr>
        <w:top w:val="none" w:sz="0" w:space="0" w:color="auto"/>
        <w:left w:val="none" w:sz="0" w:space="0" w:color="auto"/>
        <w:bottom w:val="none" w:sz="0" w:space="0" w:color="auto"/>
        <w:right w:val="none" w:sz="0" w:space="0" w:color="auto"/>
      </w:divBdr>
    </w:div>
    <w:div w:id="876701080">
      <w:bodyDiv w:val="1"/>
      <w:marLeft w:val="0"/>
      <w:marRight w:val="0"/>
      <w:marTop w:val="0"/>
      <w:marBottom w:val="0"/>
      <w:divBdr>
        <w:top w:val="none" w:sz="0" w:space="0" w:color="auto"/>
        <w:left w:val="none" w:sz="0" w:space="0" w:color="auto"/>
        <w:bottom w:val="none" w:sz="0" w:space="0" w:color="auto"/>
        <w:right w:val="none" w:sz="0" w:space="0" w:color="auto"/>
      </w:divBdr>
      <w:divsChild>
        <w:div w:id="481435598">
          <w:marLeft w:val="274"/>
          <w:marRight w:val="0"/>
          <w:marTop w:val="60"/>
          <w:marBottom w:val="0"/>
          <w:divBdr>
            <w:top w:val="none" w:sz="0" w:space="0" w:color="auto"/>
            <w:left w:val="none" w:sz="0" w:space="0" w:color="auto"/>
            <w:bottom w:val="none" w:sz="0" w:space="0" w:color="auto"/>
            <w:right w:val="none" w:sz="0" w:space="0" w:color="auto"/>
          </w:divBdr>
        </w:div>
        <w:div w:id="2050035538">
          <w:marLeft w:val="274"/>
          <w:marRight w:val="0"/>
          <w:marTop w:val="60"/>
          <w:marBottom w:val="0"/>
          <w:divBdr>
            <w:top w:val="none" w:sz="0" w:space="0" w:color="auto"/>
            <w:left w:val="none" w:sz="0" w:space="0" w:color="auto"/>
            <w:bottom w:val="none" w:sz="0" w:space="0" w:color="auto"/>
            <w:right w:val="none" w:sz="0" w:space="0" w:color="auto"/>
          </w:divBdr>
        </w:div>
      </w:divsChild>
    </w:div>
    <w:div w:id="882327236">
      <w:bodyDiv w:val="1"/>
      <w:marLeft w:val="0"/>
      <w:marRight w:val="0"/>
      <w:marTop w:val="0"/>
      <w:marBottom w:val="0"/>
      <w:divBdr>
        <w:top w:val="none" w:sz="0" w:space="0" w:color="auto"/>
        <w:left w:val="none" w:sz="0" w:space="0" w:color="auto"/>
        <w:bottom w:val="none" w:sz="0" w:space="0" w:color="auto"/>
        <w:right w:val="none" w:sz="0" w:space="0" w:color="auto"/>
      </w:divBdr>
    </w:div>
    <w:div w:id="899250752">
      <w:bodyDiv w:val="1"/>
      <w:marLeft w:val="0"/>
      <w:marRight w:val="0"/>
      <w:marTop w:val="0"/>
      <w:marBottom w:val="0"/>
      <w:divBdr>
        <w:top w:val="none" w:sz="0" w:space="0" w:color="auto"/>
        <w:left w:val="none" w:sz="0" w:space="0" w:color="auto"/>
        <w:bottom w:val="none" w:sz="0" w:space="0" w:color="auto"/>
        <w:right w:val="none" w:sz="0" w:space="0" w:color="auto"/>
      </w:divBdr>
    </w:div>
    <w:div w:id="927497693">
      <w:bodyDiv w:val="1"/>
      <w:marLeft w:val="0"/>
      <w:marRight w:val="0"/>
      <w:marTop w:val="0"/>
      <w:marBottom w:val="0"/>
      <w:divBdr>
        <w:top w:val="none" w:sz="0" w:space="0" w:color="auto"/>
        <w:left w:val="none" w:sz="0" w:space="0" w:color="auto"/>
        <w:bottom w:val="none" w:sz="0" w:space="0" w:color="auto"/>
        <w:right w:val="none" w:sz="0" w:space="0" w:color="auto"/>
      </w:divBdr>
    </w:div>
    <w:div w:id="930625488">
      <w:bodyDiv w:val="1"/>
      <w:marLeft w:val="0"/>
      <w:marRight w:val="0"/>
      <w:marTop w:val="0"/>
      <w:marBottom w:val="0"/>
      <w:divBdr>
        <w:top w:val="none" w:sz="0" w:space="0" w:color="auto"/>
        <w:left w:val="none" w:sz="0" w:space="0" w:color="auto"/>
        <w:bottom w:val="none" w:sz="0" w:space="0" w:color="auto"/>
        <w:right w:val="none" w:sz="0" w:space="0" w:color="auto"/>
      </w:divBdr>
    </w:div>
    <w:div w:id="939995907">
      <w:bodyDiv w:val="1"/>
      <w:marLeft w:val="0"/>
      <w:marRight w:val="0"/>
      <w:marTop w:val="0"/>
      <w:marBottom w:val="0"/>
      <w:divBdr>
        <w:top w:val="none" w:sz="0" w:space="0" w:color="auto"/>
        <w:left w:val="none" w:sz="0" w:space="0" w:color="auto"/>
        <w:bottom w:val="none" w:sz="0" w:space="0" w:color="auto"/>
        <w:right w:val="none" w:sz="0" w:space="0" w:color="auto"/>
      </w:divBdr>
    </w:div>
    <w:div w:id="948395986">
      <w:bodyDiv w:val="1"/>
      <w:marLeft w:val="0"/>
      <w:marRight w:val="0"/>
      <w:marTop w:val="0"/>
      <w:marBottom w:val="0"/>
      <w:divBdr>
        <w:top w:val="none" w:sz="0" w:space="0" w:color="auto"/>
        <w:left w:val="none" w:sz="0" w:space="0" w:color="auto"/>
        <w:bottom w:val="none" w:sz="0" w:space="0" w:color="auto"/>
        <w:right w:val="none" w:sz="0" w:space="0" w:color="auto"/>
      </w:divBdr>
      <w:divsChild>
        <w:div w:id="653217318">
          <w:marLeft w:val="317"/>
          <w:marRight w:val="0"/>
          <w:marTop w:val="80"/>
          <w:marBottom w:val="0"/>
          <w:divBdr>
            <w:top w:val="none" w:sz="0" w:space="0" w:color="auto"/>
            <w:left w:val="none" w:sz="0" w:space="0" w:color="auto"/>
            <w:bottom w:val="none" w:sz="0" w:space="0" w:color="auto"/>
            <w:right w:val="none" w:sz="0" w:space="0" w:color="auto"/>
          </w:divBdr>
        </w:div>
        <w:div w:id="1439135202">
          <w:marLeft w:val="0"/>
          <w:marRight w:val="0"/>
          <w:marTop w:val="80"/>
          <w:marBottom w:val="0"/>
          <w:divBdr>
            <w:top w:val="none" w:sz="0" w:space="0" w:color="auto"/>
            <w:left w:val="none" w:sz="0" w:space="0" w:color="auto"/>
            <w:bottom w:val="none" w:sz="0" w:space="0" w:color="auto"/>
            <w:right w:val="none" w:sz="0" w:space="0" w:color="auto"/>
          </w:divBdr>
        </w:div>
        <w:div w:id="1629159946">
          <w:marLeft w:val="317"/>
          <w:marRight w:val="0"/>
          <w:marTop w:val="80"/>
          <w:marBottom w:val="0"/>
          <w:divBdr>
            <w:top w:val="none" w:sz="0" w:space="0" w:color="auto"/>
            <w:left w:val="none" w:sz="0" w:space="0" w:color="auto"/>
            <w:bottom w:val="none" w:sz="0" w:space="0" w:color="auto"/>
            <w:right w:val="none" w:sz="0" w:space="0" w:color="auto"/>
          </w:divBdr>
        </w:div>
        <w:div w:id="1756776735">
          <w:marLeft w:val="317"/>
          <w:marRight w:val="0"/>
          <w:marTop w:val="80"/>
          <w:marBottom w:val="0"/>
          <w:divBdr>
            <w:top w:val="none" w:sz="0" w:space="0" w:color="auto"/>
            <w:left w:val="none" w:sz="0" w:space="0" w:color="auto"/>
            <w:bottom w:val="none" w:sz="0" w:space="0" w:color="auto"/>
            <w:right w:val="none" w:sz="0" w:space="0" w:color="auto"/>
          </w:divBdr>
        </w:div>
      </w:divsChild>
    </w:div>
    <w:div w:id="969483145">
      <w:bodyDiv w:val="1"/>
      <w:marLeft w:val="0"/>
      <w:marRight w:val="0"/>
      <w:marTop w:val="0"/>
      <w:marBottom w:val="0"/>
      <w:divBdr>
        <w:top w:val="none" w:sz="0" w:space="0" w:color="auto"/>
        <w:left w:val="none" w:sz="0" w:space="0" w:color="auto"/>
        <w:bottom w:val="none" w:sz="0" w:space="0" w:color="auto"/>
        <w:right w:val="none" w:sz="0" w:space="0" w:color="auto"/>
      </w:divBdr>
    </w:div>
    <w:div w:id="985938680">
      <w:bodyDiv w:val="1"/>
      <w:marLeft w:val="0"/>
      <w:marRight w:val="0"/>
      <w:marTop w:val="0"/>
      <w:marBottom w:val="0"/>
      <w:divBdr>
        <w:top w:val="none" w:sz="0" w:space="0" w:color="auto"/>
        <w:left w:val="none" w:sz="0" w:space="0" w:color="auto"/>
        <w:bottom w:val="none" w:sz="0" w:space="0" w:color="auto"/>
        <w:right w:val="none" w:sz="0" w:space="0" w:color="auto"/>
      </w:divBdr>
    </w:div>
    <w:div w:id="992291346">
      <w:bodyDiv w:val="1"/>
      <w:marLeft w:val="0"/>
      <w:marRight w:val="0"/>
      <w:marTop w:val="0"/>
      <w:marBottom w:val="0"/>
      <w:divBdr>
        <w:top w:val="none" w:sz="0" w:space="0" w:color="auto"/>
        <w:left w:val="none" w:sz="0" w:space="0" w:color="auto"/>
        <w:bottom w:val="none" w:sz="0" w:space="0" w:color="auto"/>
        <w:right w:val="none" w:sz="0" w:space="0" w:color="auto"/>
      </w:divBdr>
    </w:div>
    <w:div w:id="998776226">
      <w:bodyDiv w:val="1"/>
      <w:marLeft w:val="0"/>
      <w:marRight w:val="0"/>
      <w:marTop w:val="0"/>
      <w:marBottom w:val="0"/>
      <w:divBdr>
        <w:top w:val="none" w:sz="0" w:space="0" w:color="auto"/>
        <w:left w:val="none" w:sz="0" w:space="0" w:color="auto"/>
        <w:bottom w:val="none" w:sz="0" w:space="0" w:color="auto"/>
        <w:right w:val="none" w:sz="0" w:space="0" w:color="auto"/>
      </w:divBdr>
    </w:div>
    <w:div w:id="1009259404">
      <w:bodyDiv w:val="1"/>
      <w:marLeft w:val="0"/>
      <w:marRight w:val="0"/>
      <w:marTop w:val="0"/>
      <w:marBottom w:val="0"/>
      <w:divBdr>
        <w:top w:val="none" w:sz="0" w:space="0" w:color="auto"/>
        <w:left w:val="none" w:sz="0" w:space="0" w:color="auto"/>
        <w:bottom w:val="none" w:sz="0" w:space="0" w:color="auto"/>
        <w:right w:val="none" w:sz="0" w:space="0" w:color="auto"/>
      </w:divBdr>
    </w:div>
    <w:div w:id="1063256557">
      <w:bodyDiv w:val="1"/>
      <w:marLeft w:val="0"/>
      <w:marRight w:val="0"/>
      <w:marTop w:val="0"/>
      <w:marBottom w:val="0"/>
      <w:divBdr>
        <w:top w:val="none" w:sz="0" w:space="0" w:color="auto"/>
        <w:left w:val="none" w:sz="0" w:space="0" w:color="auto"/>
        <w:bottom w:val="none" w:sz="0" w:space="0" w:color="auto"/>
        <w:right w:val="none" w:sz="0" w:space="0" w:color="auto"/>
      </w:divBdr>
      <w:divsChild>
        <w:div w:id="9068608">
          <w:marLeft w:val="274"/>
          <w:marRight w:val="0"/>
          <w:marTop w:val="0"/>
          <w:marBottom w:val="0"/>
          <w:divBdr>
            <w:top w:val="none" w:sz="0" w:space="0" w:color="auto"/>
            <w:left w:val="none" w:sz="0" w:space="0" w:color="auto"/>
            <w:bottom w:val="none" w:sz="0" w:space="0" w:color="auto"/>
            <w:right w:val="none" w:sz="0" w:space="0" w:color="auto"/>
          </w:divBdr>
        </w:div>
        <w:div w:id="88045554">
          <w:marLeft w:val="274"/>
          <w:marRight w:val="0"/>
          <w:marTop w:val="0"/>
          <w:marBottom w:val="0"/>
          <w:divBdr>
            <w:top w:val="none" w:sz="0" w:space="0" w:color="auto"/>
            <w:left w:val="none" w:sz="0" w:space="0" w:color="auto"/>
            <w:bottom w:val="none" w:sz="0" w:space="0" w:color="auto"/>
            <w:right w:val="none" w:sz="0" w:space="0" w:color="auto"/>
          </w:divBdr>
        </w:div>
        <w:div w:id="205719056">
          <w:marLeft w:val="274"/>
          <w:marRight w:val="0"/>
          <w:marTop w:val="0"/>
          <w:marBottom w:val="0"/>
          <w:divBdr>
            <w:top w:val="none" w:sz="0" w:space="0" w:color="auto"/>
            <w:left w:val="none" w:sz="0" w:space="0" w:color="auto"/>
            <w:bottom w:val="none" w:sz="0" w:space="0" w:color="auto"/>
            <w:right w:val="none" w:sz="0" w:space="0" w:color="auto"/>
          </w:divBdr>
        </w:div>
        <w:div w:id="263539798">
          <w:marLeft w:val="274"/>
          <w:marRight w:val="0"/>
          <w:marTop w:val="0"/>
          <w:marBottom w:val="0"/>
          <w:divBdr>
            <w:top w:val="none" w:sz="0" w:space="0" w:color="auto"/>
            <w:left w:val="none" w:sz="0" w:space="0" w:color="auto"/>
            <w:bottom w:val="none" w:sz="0" w:space="0" w:color="auto"/>
            <w:right w:val="none" w:sz="0" w:space="0" w:color="auto"/>
          </w:divBdr>
        </w:div>
        <w:div w:id="280966508">
          <w:marLeft w:val="274"/>
          <w:marRight w:val="0"/>
          <w:marTop w:val="0"/>
          <w:marBottom w:val="0"/>
          <w:divBdr>
            <w:top w:val="none" w:sz="0" w:space="0" w:color="auto"/>
            <w:left w:val="none" w:sz="0" w:space="0" w:color="auto"/>
            <w:bottom w:val="none" w:sz="0" w:space="0" w:color="auto"/>
            <w:right w:val="none" w:sz="0" w:space="0" w:color="auto"/>
          </w:divBdr>
        </w:div>
        <w:div w:id="433793085">
          <w:marLeft w:val="274"/>
          <w:marRight w:val="0"/>
          <w:marTop w:val="0"/>
          <w:marBottom w:val="0"/>
          <w:divBdr>
            <w:top w:val="none" w:sz="0" w:space="0" w:color="auto"/>
            <w:left w:val="none" w:sz="0" w:space="0" w:color="auto"/>
            <w:bottom w:val="none" w:sz="0" w:space="0" w:color="auto"/>
            <w:right w:val="none" w:sz="0" w:space="0" w:color="auto"/>
          </w:divBdr>
        </w:div>
        <w:div w:id="536938025">
          <w:marLeft w:val="274"/>
          <w:marRight w:val="0"/>
          <w:marTop w:val="0"/>
          <w:marBottom w:val="0"/>
          <w:divBdr>
            <w:top w:val="none" w:sz="0" w:space="0" w:color="auto"/>
            <w:left w:val="none" w:sz="0" w:space="0" w:color="auto"/>
            <w:bottom w:val="none" w:sz="0" w:space="0" w:color="auto"/>
            <w:right w:val="none" w:sz="0" w:space="0" w:color="auto"/>
          </w:divBdr>
        </w:div>
        <w:div w:id="572544501">
          <w:marLeft w:val="274"/>
          <w:marRight w:val="0"/>
          <w:marTop w:val="0"/>
          <w:marBottom w:val="0"/>
          <w:divBdr>
            <w:top w:val="none" w:sz="0" w:space="0" w:color="auto"/>
            <w:left w:val="none" w:sz="0" w:space="0" w:color="auto"/>
            <w:bottom w:val="none" w:sz="0" w:space="0" w:color="auto"/>
            <w:right w:val="none" w:sz="0" w:space="0" w:color="auto"/>
          </w:divBdr>
        </w:div>
        <w:div w:id="620772558">
          <w:marLeft w:val="274"/>
          <w:marRight w:val="0"/>
          <w:marTop w:val="0"/>
          <w:marBottom w:val="0"/>
          <w:divBdr>
            <w:top w:val="none" w:sz="0" w:space="0" w:color="auto"/>
            <w:left w:val="none" w:sz="0" w:space="0" w:color="auto"/>
            <w:bottom w:val="none" w:sz="0" w:space="0" w:color="auto"/>
            <w:right w:val="none" w:sz="0" w:space="0" w:color="auto"/>
          </w:divBdr>
        </w:div>
        <w:div w:id="626009197">
          <w:marLeft w:val="274"/>
          <w:marRight w:val="0"/>
          <w:marTop w:val="0"/>
          <w:marBottom w:val="0"/>
          <w:divBdr>
            <w:top w:val="none" w:sz="0" w:space="0" w:color="auto"/>
            <w:left w:val="none" w:sz="0" w:space="0" w:color="auto"/>
            <w:bottom w:val="none" w:sz="0" w:space="0" w:color="auto"/>
            <w:right w:val="none" w:sz="0" w:space="0" w:color="auto"/>
          </w:divBdr>
        </w:div>
        <w:div w:id="654534620">
          <w:marLeft w:val="274"/>
          <w:marRight w:val="0"/>
          <w:marTop w:val="0"/>
          <w:marBottom w:val="0"/>
          <w:divBdr>
            <w:top w:val="none" w:sz="0" w:space="0" w:color="auto"/>
            <w:left w:val="none" w:sz="0" w:space="0" w:color="auto"/>
            <w:bottom w:val="none" w:sz="0" w:space="0" w:color="auto"/>
            <w:right w:val="none" w:sz="0" w:space="0" w:color="auto"/>
          </w:divBdr>
        </w:div>
        <w:div w:id="798955677">
          <w:marLeft w:val="274"/>
          <w:marRight w:val="0"/>
          <w:marTop w:val="0"/>
          <w:marBottom w:val="0"/>
          <w:divBdr>
            <w:top w:val="none" w:sz="0" w:space="0" w:color="auto"/>
            <w:left w:val="none" w:sz="0" w:space="0" w:color="auto"/>
            <w:bottom w:val="none" w:sz="0" w:space="0" w:color="auto"/>
            <w:right w:val="none" w:sz="0" w:space="0" w:color="auto"/>
          </w:divBdr>
        </w:div>
        <w:div w:id="929890913">
          <w:marLeft w:val="274"/>
          <w:marRight w:val="0"/>
          <w:marTop w:val="0"/>
          <w:marBottom w:val="0"/>
          <w:divBdr>
            <w:top w:val="none" w:sz="0" w:space="0" w:color="auto"/>
            <w:left w:val="none" w:sz="0" w:space="0" w:color="auto"/>
            <w:bottom w:val="none" w:sz="0" w:space="0" w:color="auto"/>
            <w:right w:val="none" w:sz="0" w:space="0" w:color="auto"/>
          </w:divBdr>
        </w:div>
        <w:div w:id="935744440">
          <w:marLeft w:val="274"/>
          <w:marRight w:val="0"/>
          <w:marTop w:val="0"/>
          <w:marBottom w:val="0"/>
          <w:divBdr>
            <w:top w:val="none" w:sz="0" w:space="0" w:color="auto"/>
            <w:left w:val="none" w:sz="0" w:space="0" w:color="auto"/>
            <w:bottom w:val="none" w:sz="0" w:space="0" w:color="auto"/>
            <w:right w:val="none" w:sz="0" w:space="0" w:color="auto"/>
          </w:divBdr>
        </w:div>
        <w:div w:id="1090078786">
          <w:marLeft w:val="274"/>
          <w:marRight w:val="0"/>
          <w:marTop w:val="0"/>
          <w:marBottom w:val="0"/>
          <w:divBdr>
            <w:top w:val="none" w:sz="0" w:space="0" w:color="auto"/>
            <w:left w:val="none" w:sz="0" w:space="0" w:color="auto"/>
            <w:bottom w:val="none" w:sz="0" w:space="0" w:color="auto"/>
            <w:right w:val="none" w:sz="0" w:space="0" w:color="auto"/>
          </w:divBdr>
        </w:div>
        <w:div w:id="1097286548">
          <w:marLeft w:val="274"/>
          <w:marRight w:val="0"/>
          <w:marTop w:val="0"/>
          <w:marBottom w:val="0"/>
          <w:divBdr>
            <w:top w:val="none" w:sz="0" w:space="0" w:color="auto"/>
            <w:left w:val="none" w:sz="0" w:space="0" w:color="auto"/>
            <w:bottom w:val="none" w:sz="0" w:space="0" w:color="auto"/>
            <w:right w:val="none" w:sz="0" w:space="0" w:color="auto"/>
          </w:divBdr>
        </w:div>
        <w:div w:id="1147088708">
          <w:marLeft w:val="274"/>
          <w:marRight w:val="0"/>
          <w:marTop w:val="0"/>
          <w:marBottom w:val="0"/>
          <w:divBdr>
            <w:top w:val="none" w:sz="0" w:space="0" w:color="auto"/>
            <w:left w:val="none" w:sz="0" w:space="0" w:color="auto"/>
            <w:bottom w:val="none" w:sz="0" w:space="0" w:color="auto"/>
            <w:right w:val="none" w:sz="0" w:space="0" w:color="auto"/>
          </w:divBdr>
        </w:div>
        <w:div w:id="1153066962">
          <w:marLeft w:val="274"/>
          <w:marRight w:val="0"/>
          <w:marTop w:val="0"/>
          <w:marBottom w:val="0"/>
          <w:divBdr>
            <w:top w:val="none" w:sz="0" w:space="0" w:color="auto"/>
            <w:left w:val="none" w:sz="0" w:space="0" w:color="auto"/>
            <w:bottom w:val="none" w:sz="0" w:space="0" w:color="auto"/>
            <w:right w:val="none" w:sz="0" w:space="0" w:color="auto"/>
          </w:divBdr>
        </w:div>
        <w:div w:id="1246302399">
          <w:marLeft w:val="274"/>
          <w:marRight w:val="0"/>
          <w:marTop w:val="0"/>
          <w:marBottom w:val="0"/>
          <w:divBdr>
            <w:top w:val="none" w:sz="0" w:space="0" w:color="auto"/>
            <w:left w:val="none" w:sz="0" w:space="0" w:color="auto"/>
            <w:bottom w:val="none" w:sz="0" w:space="0" w:color="auto"/>
            <w:right w:val="none" w:sz="0" w:space="0" w:color="auto"/>
          </w:divBdr>
        </w:div>
        <w:div w:id="1288394222">
          <w:marLeft w:val="274"/>
          <w:marRight w:val="0"/>
          <w:marTop w:val="0"/>
          <w:marBottom w:val="0"/>
          <w:divBdr>
            <w:top w:val="none" w:sz="0" w:space="0" w:color="auto"/>
            <w:left w:val="none" w:sz="0" w:space="0" w:color="auto"/>
            <w:bottom w:val="none" w:sz="0" w:space="0" w:color="auto"/>
            <w:right w:val="none" w:sz="0" w:space="0" w:color="auto"/>
          </w:divBdr>
        </w:div>
        <w:div w:id="1470441105">
          <w:marLeft w:val="274"/>
          <w:marRight w:val="0"/>
          <w:marTop w:val="0"/>
          <w:marBottom w:val="0"/>
          <w:divBdr>
            <w:top w:val="none" w:sz="0" w:space="0" w:color="auto"/>
            <w:left w:val="none" w:sz="0" w:space="0" w:color="auto"/>
            <w:bottom w:val="none" w:sz="0" w:space="0" w:color="auto"/>
            <w:right w:val="none" w:sz="0" w:space="0" w:color="auto"/>
          </w:divBdr>
        </w:div>
        <w:div w:id="1525172325">
          <w:marLeft w:val="274"/>
          <w:marRight w:val="0"/>
          <w:marTop w:val="0"/>
          <w:marBottom w:val="0"/>
          <w:divBdr>
            <w:top w:val="none" w:sz="0" w:space="0" w:color="auto"/>
            <w:left w:val="none" w:sz="0" w:space="0" w:color="auto"/>
            <w:bottom w:val="none" w:sz="0" w:space="0" w:color="auto"/>
            <w:right w:val="none" w:sz="0" w:space="0" w:color="auto"/>
          </w:divBdr>
        </w:div>
        <w:div w:id="1607927942">
          <w:marLeft w:val="274"/>
          <w:marRight w:val="0"/>
          <w:marTop w:val="0"/>
          <w:marBottom w:val="0"/>
          <w:divBdr>
            <w:top w:val="none" w:sz="0" w:space="0" w:color="auto"/>
            <w:left w:val="none" w:sz="0" w:space="0" w:color="auto"/>
            <w:bottom w:val="none" w:sz="0" w:space="0" w:color="auto"/>
            <w:right w:val="none" w:sz="0" w:space="0" w:color="auto"/>
          </w:divBdr>
        </w:div>
        <w:div w:id="1695380817">
          <w:marLeft w:val="274"/>
          <w:marRight w:val="0"/>
          <w:marTop w:val="0"/>
          <w:marBottom w:val="0"/>
          <w:divBdr>
            <w:top w:val="none" w:sz="0" w:space="0" w:color="auto"/>
            <w:left w:val="none" w:sz="0" w:space="0" w:color="auto"/>
            <w:bottom w:val="none" w:sz="0" w:space="0" w:color="auto"/>
            <w:right w:val="none" w:sz="0" w:space="0" w:color="auto"/>
          </w:divBdr>
        </w:div>
        <w:div w:id="1857763716">
          <w:marLeft w:val="274"/>
          <w:marRight w:val="0"/>
          <w:marTop w:val="0"/>
          <w:marBottom w:val="0"/>
          <w:divBdr>
            <w:top w:val="none" w:sz="0" w:space="0" w:color="auto"/>
            <w:left w:val="none" w:sz="0" w:space="0" w:color="auto"/>
            <w:bottom w:val="none" w:sz="0" w:space="0" w:color="auto"/>
            <w:right w:val="none" w:sz="0" w:space="0" w:color="auto"/>
          </w:divBdr>
        </w:div>
        <w:div w:id="1894079011">
          <w:marLeft w:val="274"/>
          <w:marRight w:val="0"/>
          <w:marTop w:val="0"/>
          <w:marBottom w:val="0"/>
          <w:divBdr>
            <w:top w:val="none" w:sz="0" w:space="0" w:color="auto"/>
            <w:left w:val="none" w:sz="0" w:space="0" w:color="auto"/>
            <w:bottom w:val="none" w:sz="0" w:space="0" w:color="auto"/>
            <w:right w:val="none" w:sz="0" w:space="0" w:color="auto"/>
          </w:divBdr>
        </w:div>
        <w:div w:id="1896428794">
          <w:marLeft w:val="274"/>
          <w:marRight w:val="0"/>
          <w:marTop w:val="0"/>
          <w:marBottom w:val="0"/>
          <w:divBdr>
            <w:top w:val="none" w:sz="0" w:space="0" w:color="auto"/>
            <w:left w:val="none" w:sz="0" w:space="0" w:color="auto"/>
            <w:bottom w:val="none" w:sz="0" w:space="0" w:color="auto"/>
            <w:right w:val="none" w:sz="0" w:space="0" w:color="auto"/>
          </w:divBdr>
        </w:div>
        <w:div w:id="1974014707">
          <w:marLeft w:val="274"/>
          <w:marRight w:val="0"/>
          <w:marTop w:val="0"/>
          <w:marBottom w:val="0"/>
          <w:divBdr>
            <w:top w:val="none" w:sz="0" w:space="0" w:color="auto"/>
            <w:left w:val="none" w:sz="0" w:space="0" w:color="auto"/>
            <w:bottom w:val="none" w:sz="0" w:space="0" w:color="auto"/>
            <w:right w:val="none" w:sz="0" w:space="0" w:color="auto"/>
          </w:divBdr>
        </w:div>
        <w:div w:id="2017416883">
          <w:marLeft w:val="274"/>
          <w:marRight w:val="0"/>
          <w:marTop w:val="0"/>
          <w:marBottom w:val="0"/>
          <w:divBdr>
            <w:top w:val="none" w:sz="0" w:space="0" w:color="auto"/>
            <w:left w:val="none" w:sz="0" w:space="0" w:color="auto"/>
            <w:bottom w:val="none" w:sz="0" w:space="0" w:color="auto"/>
            <w:right w:val="none" w:sz="0" w:space="0" w:color="auto"/>
          </w:divBdr>
        </w:div>
      </w:divsChild>
    </w:div>
    <w:div w:id="1063941413">
      <w:bodyDiv w:val="1"/>
      <w:marLeft w:val="0"/>
      <w:marRight w:val="0"/>
      <w:marTop w:val="0"/>
      <w:marBottom w:val="0"/>
      <w:divBdr>
        <w:top w:val="none" w:sz="0" w:space="0" w:color="auto"/>
        <w:left w:val="none" w:sz="0" w:space="0" w:color="auto"/>
        <w:bottom w:val="none" w:sz="0" w:space="0" w:color="auto"/>
        <w:right w:val="none" w:sz="0" w:space="0" w:color="auto"/>
      </w:divBdr>
      <w:divsChild>
        <w:div w:id="65498985">
          <w:marLeft w:val="274"/>
          <w:marRight w:val="0"/>
          <w:marTop w:val="0"/>
          <w:marBottom w:val="0"/>
          <w:divBdr>
            <w:top w:val="none" w:sz="0" w:space="0" w:color="auto"/>
            <w:left w:val="none" w:sz="0" w:space="0" w:color="auto"/>
            <w:bottom w:val="none" w:sz="0" w:space="0" w:color="auto"/>
            <w:right w:val="none" w:sz="0" w:space="0" w:color="auto"/>
          </w:divBdr>
        </w:div>
        <w:div w:id="122191109">
          <w:marLeft w:val="274"/>
          <w:marRight w:val="0"/>
          <w:marTop w:val="0"/>
          <w:marBottom w:val="0"/>
          <w:divBdr>
            <w:top w:val="none" w:sz="0" w:space="0" w:color="auto"/>
            <w:left w:val="none" w:sz="0" w:space="0" w:color="auto"/>
            <w:bottom w:val="none" w:sz="0" w:space="0" w:color="auto"/>
            <w:right w:val="none" w:sz="0" w:space="0" w:color="auto"/>
          </w:divBdr>
        </w:div>
        <w:div w:id="159926009">
          <w:marLeft w:val="274"/>
          <w:marRight w:val="0"/>
          <w:marTop w:val="0"/>
          <w:marBottom w:val="0"/>
          <w:divBdr>
            <w:top w:val="none" w:sz="0" w:space="0" w:color="auto"/>
            <w:left w:val="none" w:sz="0" w:space="0" w:color="auto"/>
            <w:bottom w:val="none" w:sz="0" w:space="0" w:color="auto"/>
            <w:right w:val="none" w:sz="0" w:space="0" w:color="auto"/>
          </w:divBdr>
        </w:div>
        <w:div w:id="174730991">
          <w:marLeft w:val="274"/>
          <w:marRight w:val="0"/>
          <w:marTop w:val="0"/>
          <w:marBottom w:val="0"/>
          <w:divBdr>
            <w:top w:val="none" w:sz="0" w:space="0" w:color="auto"/>
            <w:left w:val="none" w:sz="0" w:space="0" w:color="auto"/>
            <w:bottom w:val="none" w:sz="0" w:space="0" w:color="auto"/>
            <w:right w:val="none" w:sz="0" w:space="0" w:color="auto"/>
          </w:divBdr>
        </w:div>
        <w:div w:id="188226538">
          <w:marLeft w:val="274"/>
          <w:marRight w:val="0"/>
          <w:marTop w:val="0"/>
          <w:marBottom w:val="0"/>
          <w:divBdr>
            <w:top w:val="none" w:sz="0" w:space="0" w:color="auto"/>
            <w:left w:val="none" w:sz="0" w:space="0" w:color="auto"/>
            <w:bottom w:val="none" w:sz="0" w:space="0" w:color="auto"/>
            <w:right w:val="none" w:sz="0" w:space="0" w:color="auto"/>
          </w:divBdr>
        </w:div>
        <w:div w:id="216937527">
          <w:marLeft w:val="274"/>
          <w:marRight w:val="0"/>
          <w:marTop w:val="0"/>
          <w:marBottom w:val="0"/>
          <w:divBdr>
            <w:top w:val="none" w:sz="0" w:space="0" w:color="auto"/>
            <w:left w:val="none" w:sz="0" w:space="0" w:color="auto"/>
            <w:bottom w:val="none" w:sz="0" w:space="0" w:color="auto"/>
            <w:right w:val="none" w:sz="0" w:space="0" w:color="auto"/>
          </w:divBdr>
        </w:div>
        <w:div w:id="235556926">
          <w:marLeft w:val="274"/>
          <w:marRight w:val="0"/>
          <w:marTop w:val="0"/>
          <w:marBottom w:val="0"/>
          <w:divBdr>
            <w:top w:val="none" w:sz="0" w:space="0" w:color="auto"/>
            <w:left w:val="none" w:sz="0" w:space="0" w:color="auto"/>
            <w:bottom w:val="none" w:sz="0" w:space="0" w:color="auto"/>
            <w:right w:val="none" w:sz="0" w:space="0" w:color="auto"/>
          </w:divBdr>
        </w:div>
        <w:div w:id="315845154">
          <w:marLeft w:val="274"/>
          <w:marRight w:val="0"/>
          <w:marTop w:val="0"/>
          <w:marBottom w:val="0"/>
          <w:divBdr>
            <w:top w:val="none" w:sz="0" w:space="0" w:color="auto"/>
            <w:left w:val="none" w:sz="0" w:space="0" w:color="auto"/>
            <w:bottom w:val="none" w:sz="0" w:space="0" w:color="auto"/>
            <w:right w:val="none" w:sz="0" w:space="0" w:color="auto"/>
          </w:divBdr>
        </w:div>
        <w:div w:id="363211731">
          <w:marLeft w:val="274"/>
          <w:marRight w:val="0"/>
          <w:marTop w:val="0"/>
          <w:marBottom w:val="0"/>
          <w:divBdr>
            <w:top w:val="none" w:sz="0" w:space="0" w:color="auto"/>
            <w:left w:val="none" w:sz="0" w:space="0" w:color="auto"/>
            <w:bottom w:val="none" w:sz="0" w:space="0" w:color="auto"/>
            <w:right w:val="none" w:sz="0" w:space="0" w:color="auto"/>
          </w:divBdr>
        </w:div>
        <w:div w:id="418675554">
          <w:marLeft w:val="274"/>
          <w:marRight w:val="0"/>
          <w:marTop w:val="0"/>
          <w:marBottom w:val="0"/>
          <w:divBdr>
            <w:top w:val="none" w:sz="0" w:space="0" w:color="auto"/>
            <w:left w:val="none" w:sz="0" w:space="0" w:color="auto"/>
            <w:bottom w:val="none" w:sz="0" w:space="0" w:color="auto"/>
            <w:right w:val="none" w:sz="0" w:space="0" w:color="auto"/>
          </w:divBdr>
        </w:div>
        <w:div w:id="554515009">
          <w:marLeft w:val="274"/>
          <w:marRight w:val="0"/>
          <w:marTop w:val="0"/>
          <w:marBottom w:val="0"/>
          <w:divBdr>
            <w:top w:val="none" w:sz="0" w:space="0" w:color="auto"/>
            <w:left w:val="none" w:sz="0" w:space="0" w:color="auto"/>
            <w:bottom w:val="none" w:sz="0" w:space="0" w:color="auto"/>
            <w:right w:val="none" w:sz="0" w:space="0" w:color="auto"/>
          </w:divBdr>
        </w:div>
        <w:div w:id="566498796">
          <w:marLeft w:val="274"/>
          <w:marRight w:val="0"/>
          <w:marTop w:val="0"/>
          <w:marBottom w:val="0"/>
          <w:divBdr>
            <w:top w:val="none" w:sz="0" w:space="0" w:color="auto"/>
            <w:left w:val="none" w:sz="0" w:space="0" w:color="auto"/>
            <w:bottom w:val="none" w:sz="0" w:space="0" w:color="auto"/>
            <w:right w:val="none" w:sz="0" w:space="0" w:color="auto"/>
          </w:divBdr>
        </w:div>
        <w:div w:id="741412808">
          <w:marLeft w:val="274"/>
          <w:marRight w:val="0"/>
          <w:marTop w:val="0"/>
          <w:marBottom w:val="0"/>
          <w:divBdr>
            <w:top w:val="none" w:sz="0" w:space="0" w:color="auto"/>
            <w:left w:val="none" w:sz="0" w:space="0" w:color="auto"/>
            <w:bottom w:val="none" w:sz="0" w:space="0" w:color="auto"/>
            <w:right w:val="none" w:sz="0" w:space="0" w:color="auto"/>
          </w:divBdr>
        </w:div>
        <w:div w:id="819074557">
          <w:marLeft w:val="274"/>
          <w:marRight w:val="0"/>
          <w:marTop w:val="0"/>
          <w:marBottom w:val="0"/>
          <w:divBdr>
            <w:top w:val="none" w:sz="0" w:space="0" w:color="auto"/>
            <w:left w:val="none" w:sz="0" w:space="0" w:color="auto"/>
            <w:bottom w:val="none" w:sz="0" w:space="0" w:color="auto"/>
            <w:right w:val="none" w:sz="0" w:space="0" w:color="auto"/>
          </w:divBdr>
        </w:div>
        <w:div w:id="820465944">
          <w:marLeft w:val="274"/>
          <w:marRight w:val="0"/>
          <w:marTop w:val="0"/>
          <w:marBottom w:val="0"/>
          <w:divBdr>
            <w:top w:val="none" w:sz="0" w:space="0" w:color="auto"/>
            <w:left w:val="none" w:sz="0" w:space="0" w:color="auto"/>
            <w:bottom w:val="none" w:sz="0" w:space="0" w:color="auto"/>
            <w:right w:val="none" w:sz="0" w:space="0" w:color="auto"/>
          </w:divBdr>
        </w:div>
        <w:div w:id="990063974">
          <w:marLeft w:val="274"/>
          <w:marRight w:val="0"/>
          <w:marTop w:val="0"/>
          <w:marBottom w:val="0"/>
          <w:divBdr>
            <w:top w:val="none" w:sz="0" w:space="0" w:color="auto"/>
            <w:left w:val="none" w:sz="0" w:space="0" w:color="auto"/>
            <w:bottom w:val="none" w:sz="0" w:space="0" w:color="auto"/>
            <w:right w:val="none" w:sz="0" w:space="0" w:color="auto"/>
          </w:divBdr>
        </w:div>
        <w:div w:id="1131631515">
          <w:marLeft w:val="274"/>
          <w:marRight w:val="0"/>
          <w:marTop w:val="0"/>
          <w:marBottom w:val="0"/>
          <w:divBdr>
            <w:top w:val="none" w:sz="0" w:space="0" w:color="auto"/>
            <w:left w:val="none" w:sz="0" w:space="0" w:color="auto"/>
            <w:bottom w:val="none" w:sz="0" w:space="0" w:color="auto"/>
            <w:right w:val="none" w:sz="0" w:space="0" w:color="auto"/>
          </w:divBdr>
        </w:div>
        <w:div w:id="1328751758">
          <w:marLeft w:val="274"/>
          <w:marRight w:val="0"/>
          <w:marTop w:val="0"/>
          <w:marBottom w:val="0"/>
          <w:divBdr>
            <w:top w:val="none" w:sz="0" w:space="0" w:color="auto"/>
            <w:left w:val="none" w:sz="0" w:space="0" w:color="auto"/>
            <w:bottom w:val="none" w:sz="0" w:space="0" w:color="auto"/>
            <w:right w:val="none" w:sz="0" w:space="0" w:color="auto"/>
          </w:divBdr>
        </w:div>
        <w:div w:id="1335108822">
          <w:marLeft w:val="274"/>
          <w:marRight w:val="0"/>
          <w:marTop w:val="0"/>
          <w:marBottom w:val="0"/>
          <w:divBdr>
            <w:top w:val="none" w:sz="0" w:space="0" w:color="auto"/>
            <w:left w:val="none" w:sz="0" w:space="0" w:color="auto"/>
            <w:bottom w:val="none" w:sz="0" w:space="0" w:color="auto"/>
            <w:right w:val="none" w:sz="0" w:space="0" w:color="auto"/>
          </w:divBdr>
        </w:div>
        <w:div w:id="1347902013">
          <w:marLeft w:val="274"/>
          <w:marRight w:val="0"/>
          <w:marTop w:val="0"/>
          <w:marBottom w:val="0"/>
          <w:divBdr>
            <w:top w:val="none" w:sz="0" w:space="0" w:color="auto"/>
            <w:left w:val="none" w:sz="0" w:space="0" w:color="auto"/>
            <w:bottom w:val="none" w:sz="0" w:space="0" w:color="auto"/>
            <w:right w:val="none" w:sz="0" w:space="0" w:color="auto"/>
          </w:divBdr>
        </w:div>
        <w:div w:id="1621835547">
          <w:marLeft w:val="274"/>
          <w:marRight w:val="0"/>
          <w:marTop w:val="0"/>
          <w:marBottom w:val="0"/>
          <w:divBdr>
            <w:top w:val="none" w:sz="0" w:space="0" w:color="auto"/>
            <w:left w:val="none" w:sz="0" w:space="0" w:color="auto"/>
            <w:bottom w:val="none" w:sz="0" w:space="0" w:color="auto"/>
            <w:right w:val="none" w:sz="0" w:space="0" w:color="auto"/>
          </w:divBdr>
        </w:div>
        <w:div w:id="1691174893">
          <w:marLeft w:val="274"/>
          <w:marRight w:val="0"/>
          <w:marTop w:val="0"/>
          <w:marBottom w:val="0"/>
          <w:divBdr>
            <w:top w:val="none" w:sz="0" w:space="0" w:color="auto"/>
            <w:left w:val="none" w:sz="0" w:space="0" w:color="auto"/>
            <w:bottom w:val="none" w:sz="0" w:space="0" w:color="auto"/>
            <w:right w:val="none" w:sz="0" w:space="0" w:color="auto"/>
          </w:divBdr>
        </w:div>
        <w:div w:id="1709333569">
          <w:marLeft w:val="274"/>
          <w:marRight w:val="0"/>
          <w:marTop w:val="0"/>
          <w:marBottom w:val="0"/>
          <w:divBdr>
            <w:top w:val="none" w:sz="0" w:space="0" w:color="auto"/>
            <w:left w:val="none" w:sz="0" w:space="0" w:color="auto"/>
            <w:bottom w:val="none" w:sz="0" w:space="0" w:color="auto"/>
            <w:right w:val="none" w:sz="0" w:space="0" w:color="auto"/>
          </w:divBdr>
        </w:div>
        <w:div w:id="1710109570">
          <w:marLeft w:val="274"/>
          <w:marRight w:val="0"/>
          <w:marTop w:val="0"/>
          <w:marBottom w:val="0"/>
          <w:divBdr>
            <w:top w:val="none" w:sz="0" w:space="0" w:color="auto"/>
            <w:left w:val="none" w:sz="0" w:space="0" w:color="auto"/>
            <w:bottom w:val="none" w:sz="0" w:space="0" w:color="auto"/>
            <w:right w:val="none" w:sz="0" w:space="0" w:color="auto"/>
          </w:divBdr>
        </w:div>
        <w:div w:id="1786804405">
          <w:marLeft w:val="274"/>
          <w:marRight w:val="0"/>
          <w:marTop w:val="0"/>
          <w:marBottom w:val="0"/>
          <w:divBdr>
            <w:top w:val="none" w:sz="0" w:space="0" w:color="auto"/>
            <w:left w:val="none" w:sz="0" w:space="0" w:color="auto"/>
            <w:bottom w:val="none" w:sz="0" w:space="0" w:color="auto"/>
            <w:right w:val="none" w:sz="0" w:space="0" w:color="auto"/>
          </w:divBdr>
        </w:div>
        <w:div w:id="1817263153">
          <w:marLeft w:val="274"/>
          <w:marRight w:val="0"/>
          <w:marTop w:val="0"/>
          <w:marBottom w:val="0"/>
          <w:divBdr>
            <w:top w:val="none" w:sz="0" w:space="0" w:color="auto"/>
            <w:left w:val="none" w:sz="0" w:space="0" w:color="auto"/>
            <w:bottom w:val="none" w:sz="0" w:space="0" w:color="auto"/>
            <w:right w:val="none" w:sz="0" w:space="0" w:color="auto"/>
          </w:divBdr>
        </w:div>
        <w:div w:id="1914269755">
          <w:marLeft w:val="274"/>
          <w:marRight w:val="0"/>
          <w:marTop w:val="0"/>
          <w:marBottom w:val="0"/>
          <w:divBdr>
            <w:top w:val="none" w:sz="0" w:space="0" w:color="auto"/>
            <w:left w:val="none" w:sz="0" w:space="0" w:color="auto"/>
            <w:bottom w:val="none" w:sz="0" w:space="0" w:color="auto"/>
            <w:right w:val="none" w:sz="0" w:space="0" w:color="auto"/>
          </w:divBdr>
        </w:div>
      </w:divsChild>
    </w:div>
    <w:div w:id="1068384147">
      <w:bodyDiv w:val="1"/>
      <w:marLeft w:val="0"/>
      <w:marRight w:val="0"/>
      <w:marTop w:val="0"/>
      <w:marBottom w:val="0"/>
      <w:divBdr>
        <w:top w:val="none" w:sz="0" w:space="0" w:color="auto"/>
        <w:left w:val="none" w:sz="0" w:space="0" w:color="auto"/>
        <w:bottom w:val="none" w:sz="0" w:space="0" w:color="auto"/>
        <w:right w:val="none" w:sz="0" w:space="0" w:color="auto"/>
      </w:divBdr>
    </w:div>
    <w:div w:id="1101292383">
      <w:bodyDiv w:val="1"/>
      <w:marLeft w:val="0"/>
      <w:marRight w:val="0"/>
      <w:marTop w:val="0"/>
      <w:marBottom w:val="0"/>
      <w:divBdr>
        <w:top w:val="none" w:sz="0" w:space="0" w:color="auto"/>
        <w:left w:val="none" w:sz="0" w:space="0" w:color="auto"/>
        <w:bottom w:val="none" w:sz="0" w:space="0" w:color="auto"/>
        <w:right w:val="none" w:sz="0" w:space="0" w:color="auto"/>
      </w:divBdr>
    </w:div>
    <w:div w:id="1155950904">
      <w:bodyDiv w:val="1"/>
      <w:marLeft w:val="0"/>
      <w:marRight w:val="0"/>
      <w:marTop w:val="0"/>
      <w:marBottom w:val="0"/>
      <w:divBdr>
        <w:top w:val="none" w:sz="0" w:space="0" w:color="auto"/>
        <w:left w:val="none" w:sz="0" w:space="0" w:color="auto"/>
        <w:bottom w:val="none" w:sz="0" w:space="0" w:color="auto"/>
        <w:right w:val="none" w:sz="0" w:space="0" w:color="auto"/>
      </w:divBdr>
    </w:div>
    <w:div w:id="1172648379">
      <w:bodyDiv w:val="1"/>
      <w:marLeft w:val="0"/>
      <w:marRight w:val="0"/>
      <w:marTop w:val="0"/>
      <w:marBottom w:val="0"/>
      <w:divBdr>
        <w:top w:val="none" w:sz="0" w:space="0" w:color="auto"/>
        <w:left w:val="none" w:sz="0" w:space="0" w:color="auto"/>
        <w:bottom w:val="none" w:sz="0" w:space="0" w:color="auto"/>
        <w:right w:val="none" w:sz="0" w:space="0" w:color="auto"/>
      </w:divBdr>
    </w:div>
    <w:div w:id="1289703347">
      <w:bodyDiv w:val="1"/>
      <w:marLeft w:val="0"/>
      <w:marRight w:val="0"/>
      <w:marTop w:val="0"/>
      <w:marBottom w:val="0"/>
      <w:divBdr>
        <w:top w:val="none" w:sz="0" w:space="0" w:color="auto"/>
        <w:left w:val="none" w:sz="0" w:space="0" w:color="auto"/>
        <w:bottom w:val="none" w:sz="0" w:space="0" w:color="auto"/>
        <w:right w:val="none" w:sz="0" w:space="0" w:color="auto"/>
      </w:divBdr>
    </w:div>
    <w:div w:id="1297301061">
      <w:bodyDiv w:val="1"/>
      <w:marLeft w:val="0"/>
      <w:marRight w:val="0"/>
      <w:marTop w:val="0"/>
      <w:marBottom w:val="0"/>
      <w:divBdr>
        <w:top w:val="none" w:sz="0" w:space="0" w:color="auto"/>
        <w:left w:val="none" w:sz="0" w:space="0" w:color="auto"/>
        <w:bottom w:val="none" w:sz="0" w:space="0" w:color="auto"/>
        <w:right w:val="none" w:sz="0" w:space="0" w:color="auto"/>
      </w:divBdr>
    </w:div>
    <w:div w:id="1303123580">
      <w:bodyDiv w:val="1"/>
      <w:marLeft w:val="0"/>
      <w:marRight w:val="0"/>
      <w:marTop w:val="0"/>
      <w:marBottom w:val="0"/>
      <w:divBdr>
        <w:top w:val="none" w:sz="0" w:space="0" w:color="auto"/>
        <w:left w:val="none" w:sz="0" w:space="0" w:color="auto"/>
        <w:bottom w:val="none" w:sz="0" w:space="0" w:color="auto"/>
        <w:right w:val="none" w:sz="0" w:space="0" w:color="auto"/>
      </w:divBdr>
    </w:div>
    <w:div w:id="1317034657">
      <w:bodyDiv w:val="1"/>
      <w:marLeft w:val="0"/>
      <w:marRight w:val="0"/>
      <w:marTop w:val="0"/>
      <w:marBottom w:val="0"/>
      <w:divBdr>
        <w:top w:val="none" w:sz="0" w:space="0" w:color="auto"/>
        <w:left w:val="none" w:sz="0" w:space="0" w:color="auto"/>
        <w:bottom w:val="none" w:sz="0" w:space="0" w:color="auto"/>
        <w:right w:val="none" w:sz="0" w:space="0" w:color="auto"/>
      </w:divBdr>
      <w:divsChild>
        <w:div w:id="41293249">
          <w:marLeft w:val="274"/>
          <w:marRight w:val="0"/>
          <w:marTop w:val="0"/>
          <w:marBottom w:val="0"/>
          <w:divBdr>
            <w:top w:val="none" w:sz="0" w:space="0" w:color="auto"/>
            <w:left w:val="none" w:sz="0" w:space="0" w:color="auto"/>
            <w:bottom w:val="none" w:sz="0" w:space="0" w:color="auto"/>
            <w:right w:val="none" w:sz="0" w:space="0" w:color="auto"/>
          </w:divBdr>
        </w:div>
        <w:div w:id="44069899">
          <w:marLeft w:val="274"/>
          <w:marRight w:val="0"/>
          <w:marTop w:val="0"/>
          <w:marBottom w:val="0"/>
          <w:divBdr>
            <w:top w:val="none" w:sz="0" w:space="0" w:color="auto"/>
            <w:left w:val="none" w:sz="0" w:space="0" w:color="auto"/>
            <w:bottom w:val="none" w:sz="0" w:space="0" w:color="auto"/>
            <w:right w:val="none" w:sz="0" w:space="0" w:color="auto"/>
          </w:divBdr>
        </w:div>
        <w:div w:id="167327981">
          <w:marLeft w:val="274"/>
          <w:marRight w:val="0"/>
          <w:marTop w:val="0"/>
          <w:marBottom w:val="0"/>
          <w:divBdr>
            <w:top w:val="none" w:sz="0" w:space="0" w:color="auto"/>
            <w:left w:val="none" w:sz="0" w:space="0" w:color="auto"/>
            <w:bottom w:val="none" w:sz="0" w:space="0" w:color="auto"/>
            <w:right w:val="none" w:sz="0" w:space="0" w:color="auto"/>
          </w:divBdr>
        </w:div>
        <w:div w:id="188958162">
          <w:marLeft w:val="274"/>
          <w:marRight w:val="0"/>
          <w:marTop w:val="0"/>
          <w:marBottom w:val="0"/>
          <w:divBdr>
            <w:top w:val="none" w:sz="0" w:space="0" w:color="auto"/>
            <w:left w:val="none" w:sz="0" w:space="0" w:color="auto"/>
            <w:bottom w:val="none" w:sz="0" w:space="0" w:color="auto"/>
            <w:right w:val="none" w:sz="0" w:space="0" w:color="auto"/>
          </w:divBdr>
        </w:div>
        <w:div w:id="237710047">
          <w:marLeft w:val="274"/>
          <w:marRight w:val="0"/>
          <w:marTop w:val="0"/>
          <w:marBottom w:val="0"/>
          <w:divBdr>
            <w:top w:val="none" w:sz="0" w:space="0" w:color="auto"/>
            <w:left w:val="none" w:sz="0" w:space="0" w:color="auto"/>
            <w:bottom w:val="none" w:sz="0" w:space="0" w:color="auto"/>
            <w:right w:val="none" w:sz="0" w:space="0" w:color="auto"/>
          </w:divBdr>
        </w:div>
        <w:div w:id="261426229">
          <w:marLeft w:val="274"/>
          <w:marRight w:val="0"/>
          <w:marTop w:val="0"/>
          <w:marBottom w:val="0"/>
          <w:divBdr>
            <w:top w:val="none" w:sz="0" w:space="0" w:color="auto"/>
            <w:left w:val="none" w:sz="0" w:space="0" w:color="auto"/>
            <w:bottom w:val="none" w:sz="0" w:space="0" w:color="auto"/>
            <w:right w:val="none" w:sz="0" w:space="0" w:color="auto"/>
          </w:divBdr>
        </w:div>
        <w:div w:id="327826384">
          <w:marLeft w:val="274"/>
          <w:marRight w:val="0"/>
          <w:marTop w:val="0"/>
          <w:marBottom w:val="0"/>
          <w:divBdr>
            <w:top w:val="none" w:sz="0" w:space="0" w:color="auto"/>
            <w:left w:val="none" w:sz="0" w:space="0" w:color="auto"/>
            <w:bottom w:val="none" w:sz="0" w:space="0" w:color="auto"/>
            <w:right w:val="none" w:sz="0" w:space="0" w:color="auto"/>
          </w:divBdr>
        </w:div>
        <w:div w:id="444497792">
          <w:marLeft w:val="274"/>
          <w:marRight w:val="0"/>
          <w:marTop w:val="0"/>
          <w:marBottom w:val="0"/>
          <w:divBdr>
            <w:top w:val="none" w:sz="0" w:space="0" w:color="auto"/>
            <w:left w:val="none" w:sz="0" w:space="0" w:color="auto"/>
            <w:bottom w:val="none" w:sz="0" w:space="0" w:color="auto"/>
            <w:right w:val="none" w:sz="0" w:space="0" w:color="auto"/>
          </w:divBdr>
        </w:div>
        <w:div w:id="509220252">
          <w:marLeft w:val="274"/>
          <w:marRight w:val="0"/>
          <w:marTop w:val="0"/>
          <w:marBottom w:val="0"/>
          <w:divBdr>
            <w:top w:val="none" w:sz="0" w:space="0" w:color="auto"/>
            <w:left w:val="none" w:sz="0" w:space="0" w:color="auto"/>
            <w:bottom w:val="none" w:sz="0" w:space="0" w:color="auto"/>
            <w:right w:val="none" w:sz="0" w:space="0" w:color="auto"/>
          </w:divBdr>
        </w:div>
        <w:div w:id="573971869">
          <w:marLeft w:val="274"/>
          <w:marRight w:val="0"/>
          <w:marTop w:val="0"/>
          <w:marBottom w:val="0"/>
          <w:divBdr>
            <w:top w:val="none" w:sz="0" w:space="0" w:color="auto"/>
            <w:left w:val="none" w:sz="0" w:space="0" w:color="auto"/>
            <w:bottom w:val="none" w:sz="0" w:space="0" w:color="auto"/>
            <w:right w:val="none" w:sz="0" w:space="0" w:color="auto"/>
          </w:divBdr>
        </w:div>
        <w:div w:id="597449914">
          <w:marLeft w:val="274"/>
          <w:marRight w:val="0"/>
          <w:marTop w:val="0"/>
          <w:marBottom w:val="0"/>
          <w:divBdr>
            <w:top w:val="none" w:sz="0" w:space="0" w:color="auto"/>
            <w:left w:val="none" w:sz="0" w:space="0" w:color="auto"/>
            <w:bottom w:val="none" w:sz="0" w:space="0" w:color="auto"/>
            <w:right w:val="none" w:sz="0" w:space="0" w:color="auto"/>
          </w:divBdr>
        </w:div>
        <w:div w:id="772822129">
          <w:marLeft w:val="274"/>
          <w:marRight w:val="0"/>
          <w:marTop w:val="0"/>
          <w:marBottom w:val="0"/>
          <w:divBdr>
            <w:top w:val="none" w:sz="0" w:space="0" w:color="auto"/>
            <w:left w:val="none" w:sz="0" w:space="0" w:color="auto"/>
            <w:bottom w:val="none" w:sz="0" w:space="0" w:color="auto"/>
            <w:right w:val="none" w:sz="0" w:space="0" w:color="auto"/>
          </w:divBdr>
        </w:div>
        <w:div w:id="782113403">
          <w:marLeft w:val="274"/>
          <w:marRight w:val="0"/>
          <w:marTop w:val="0"/>
          <w:marBottom w:val="0"/>
          <w:divBdr>
            <w:top w:val="none" w:sz="0" w:space="0" w:color="auto"/>
            <w:left w:val="none" w:sz="0" w:space="0" w:color="auto"/>
            <w:bottom w:val="none" w:sz="0" w:space="0" w:color="auto"/>
            <w:right w:val="none" w:sz="0" w:space="0" w:color="auto"/>
          </w:divBdr>
        </w:div>
        <w:div w:id="869806439">
          <w:marLeft w:val="274"/>
          <w:marRight w:val="0"/>
          <w:marTop w:val="0"/>
          <w:marBottom w:val="0"/>
          <w:divBdr>
            <w:top w:val="none" w:sz="0" w:space="0" w:color="auto"/>
            <w:left w:val="none" w:sz="0" w:space="0" w:color="auto"/>
            <w:bottom w:val="none" w:sz="0" w:space="0" w:color="auto"/>
            <w:right w:val="none" w:sz="0" w:space="0" w:color="auto"/>
          </w:divBdr>
        </w:div>
        <w:div w:id="936448597">
          <w:marLeft w:val="274"/>
          <w:marRight w:val="0"/>
          <w:marTop w:val="0"/>
          <w:marBottom w:val="0"/>
          <w:divBdr>
            <w:top w:val="none" w:sz="0" w:space="0" w:color="auto"/>
            <w:left w:val="none" w:sz="0" w:space="0" w:color="auto"/>
            <w:bottom w:val="none" w:sz="0" w:space="0" w:color="auto"/>
            <w:right w:val="none" w:sz="0" w:space="0" w:color="auto"/>
          </w:divBdr>
        </w:div>
        <w:div w:id="1048184724">
          <w:marLeft w:val="274"/>
          <w:marRight w:val="0"/>
          <w:marTop w:val="0"/>
          <w:marBottom w:val="0"/>
          <w:divBdr>
            <w:top w:val="none" w:sz="0" w:space="0" w:color="auto"/>
            <w:left w:val="none" w:sz="0" w:space="0" w:color="auto"/>
            <w:bottom w:val="none" w:sz="0" w:space="0" w:color="auto"/>
            <w:right w:val="none" w:sz="0" w:space="0" w:color="auto"/>
          </w:divBdr>
        </w:div>
        <w:div w:id="1118329077">
          <w:marLeft w:val="274"/>
          <w:marRight w:val="0"/>
          <w:marTop w:val="0"/>
          <w:marBottom w:val="0"/>
          <w:divBdr>
            <w:top w:val="none" w:sz="0" w:space="0" w:color="auto"/>
            <w:left w:val="none" w:sz="0" w:space="0" w:color="auto"/>
            <w:bottom w:val="none" w:sz="0" w:space="0" w:color="auto"/>
            <w:right w:val="none" w:sz="0" w:space="0" w:color="auto"/>
          </w:divBdr>
        </w:div>
        <w:div w:id="1190603092">
          <w:marLeft w:val="274"/>
          <w:marRight w:val="0"/>
          <w:marTop w:val="0"/>
          <w:marBottom w:val="0"/>
          <w:divBdr>
            <w:top w:val="none" w:sz="0" w:space="0" w:color="auto"/>
            <w:left w:val="none" w:sz="0" w:space="0" w:color="auto"/>
            <w:bottom w:val="none" w:sz="0" w:space="0" w:color="auto"/>
            <w:right w:val="none" w:sz="0" w:space="0" w:color="auto"/>
          </w:divBdr>
        </w:div>
        <w:div w:id="1244339767">
          <w:marLeft w:val="274"/>
          <w:marRight w:val="0"/>
          <w:marTop w:val="0"/>
          <w:marBottom w:val="0"/>
          <w:divBdr>
            <w:top w:val="none" w:sz="0" w:space="0" w:color="auto"/>
            <w:left w:val="none" w:sz="0" w:space="0" w:color="auto"/>
            <w:bottom w:val="none" w:sz="0" w:space="0" w:color="auto"/>
            <w:right w:val="none" w:sz="0" w:space="0" w:color="auto"/>
          </w:divBdr>
        </w:div>
        <w:div w:id="1377389337">
          <w:marLeft w:val="274"/>
          <w:marRight w:val="0"/>
          <w:marTop w:val="0"/>
          <w:marBottom w:val="0"/>
          <w:divBdr>
            <w:top w:val="none" w:sz="0" w:space="0" w:color="auto"/>
            <w:left w:val="none" w:sz="0" w:space="0" w:color="auto"/>
            <w:bottom w:val="none" w:sz="0" w:space="0" w:color="auto"/>
            <w:right w:val="none" w:sz="0" w:space="0" w:color="auto"/>
          </w:divBdr>
        </w:div>
        <w:div w:id="1400513732">
          <w:marLeft w:val="274"/>
          <w:marRight w:val="0"/>
          <w:marTop w:val="0"/>
          <w:marBottom w:val="0"/>
          <w:divBdr>
            <w:top w:val="none" w:sz="0" w:space="0" w:color="auto"/>
            <w:left w:val="none" w:sz="0" w:space="0" w:color="auto"/>
            <w:bottom w:val="none" w:sz="0" w:space="0" w:color="auto"/>
            <w:right w:val="none" w:sz="0" w:space="0" w:color="auto"/>
          </w:divBdr>
        </w:div>
        <w:div w:id="1424842572">
          <w:marLeft w:val="274"/>
          <w:marRight w:val="0"/>
          <w:marTop w:val="0"/>
          <w:marBottom w:val="0"/>
          <w:divBdr>
            <w:top w:val="none" w:sz="0" w:space="0" w:color="auto"/>
            <w:left w:val="none" w:sz="0" w:space="0" w:color="auto"/>
            <w:bottom w:val="none" w:sz="0" w:space="0" w:color="auto"/>
            <w:right w:val="none" w:sz="0" w:space="0" w:color="auto"/>
          </w:divBdr>
        </w:div>
        <w:div w:id="1430155351">
          <w:marLeft w:val="274"/>
          <w:marRight w:val="0"/>
          <w:marTop w:val="0"/>
          <w:marBottom w:val="0"/>
          <w:divBdr>
            <w:top w:val="none" w:sz="0" w:space="0" w:color="auto"/>
            <w:left w:val="none" w:sz="0" w:space="0" w:color="auto"/>
            <w:bottom w:val="none" w:sz="0" w:space="0" w:color="auto"/>
            <w:right w:val="none" w:sz="0" w:space="0" w:color="auto"/>
          </w:divBdr>
        </w:div>
        <w:div w:id="1551577033">
          <w:marLeft w:val="274"/>
          <w:marRight w:val="0"/>
          <w:marTop w:val="0"/>
          <w:marBottom w:val="0"/>
          <w:divBdr>
            <w:top w:val="none" w:sz="0" w:space="0" w:color="auto"/>
            <w:left w:val="none" w:sz="0" w:space="0" w:color="auto"/>
            <w:bottom w:val="none" w:sz="0" w:space="0" w:color="auto"/>
            <w:right w:val="none" w:sz="0" w:space="0" w:color="auto"/>
          </w:divBdr>
        </w:div>
        <w:div w:id="1741632650">
          <w:marLeft w:val="274"/>
          <w:marRight w:val="0"/>
          <w:marTop w:val="0"/>
          <w:marBottom w:val="0"/>
          <w:divBdr>
            <w:top w:val="none" w:sz="0" w:space="0" w:color="auto"/>
            <w:left w:val="none" w:sz="0" w:space="0" w:color="auto"/>
            <w:bottom w:val="none" w:sz="0" w:space="0" w:color="auto"/>
            <w:right w:val="none" w:sz="0" w:space="0" w:color="auto"/>
          </w:divBdr>
        </w:div>
        <w:div w:id="1774132457">
          <w:marLeft w:val="274"/>
          <w:marRight w:val="0"/>
          <w:marTop w:val="0"/>
          <w:marBottom w:val="0"/>
          <w:divBdr>
            <w:top w:val="none" w:sz="0" w:space="0" w:color="auto"/>
            <w:left w:val="none" w:sz="0" w:space="0" w:color="auto"/>
            <w:bottom w:val="none" w:sz="0" w:space="0" w:color="auto"/>
            <w:right w:val="none" w:sz="0" w:space="0" w:color="auto"/>
          </w:divBdr>
        </w:div>
        <w:div w:id="1881211201">
          <w:marLeft w:val="274"/>
          <w:marRight w:val="0"/>
          <w:marTop w:val="0"/>
          <w:marBottom w:val="0"/>
          <w:divBdr>
            <w:top w:val="none" w:sz="0" w:space="0" w:color="auto"/>
            <w:left w:val="none" w:sz="0" w:space="0" w:color="auto"/>
            <w:bottom w:val="none" w:sz="0" w:space="0" w:color="auto"/>
            <w:right w:val="none" w:sz="0" w:space="0" w:color="auto"/>
          </w:divBdr>
        </w:div>
        <w:div w:id="1912429062">
          <w:marLeft w:val="274"/>
          <w:marRight w:val="0"/>
          <w:marTop w:val="0"/>
          <w:marBottom w:val="0"/>
          <w:divBdr>
            <w:top w:val="none" w:sz="0" w:space="0" w:color="auto"/>
            <w:left w:val="none" w:sz="0" w:space="0" w:color="auto"/>
            <w:bottom w:val="none" w:sz="0" w:space="0" w:color="auto"/>
            <w:right w:val="none" w:sz="0" w:space="0" w:color="auto"/>
          </w:divBdr>
        </w:div>
        <w:div w:id="2067946825">
          <w:marLeft w:val="274"/>
          <w:marRight w:val="0"/>
          <w:marTop w:val="0"/>
          <w:marBottom w:val="0"/>
          <w:divBdr>
            <w:top w:val="none" w:sz="0" w:space="0" w:color="auto"/>
            <w:left w:val="none" w:sz="0" w:space="0" w:color="auto"/>
            <w:bottom w:val="none" w:sz="0" w:space="0" w:color="auto"/>
            <w:right w:val="none" w:sz="0" w:space="0" w:color="auto"/>
          </w:divBdr>
        </w:div>
      </w:divsChild>
    </w:div>
    <w:div w:id="1322927135">
      <w:bodyDiv w:val="1"/>
      <w:marLeft w:val="0"/>
      <w:marRight w:val="0"/>
      <w:marTop w:val="0"/>
      <w:marBottom w:val="0"/>
      <w:divBdr>
        <w:top w:val="none" w:sz="0" w:space="0" w:color="auto"/>
        <w:left w:val="none" w:sz="0" w:space="0" w:color="auto"/>
        <w:bottom w:val="none" w:sz="0" w:space="0" w:color="auto"/>
        <w:right w:val="none" w:sz="0" w:space="0" w:color="auto"/>
      </w:divBdr>
      <w:divsChild>
        <w:div w:id="189882725">
          <w:marLeft w:val="274"/>
          <w:marRight w:val="0"/>
          <w:marTop w:val="0"/>
          <w:marBottom w:val="0"/>
          <w:divBdr>
            <w:top w:val="none" w:sz="0" w:space="0" w:color="auto"/>
            <w:left w:val="none" w:sz="0" w:space="0" w:color="auto"/>
            <w:bottom w:val="none" w:sz="0" w:space="0" w:color="auto"/>
            <w:right w:val="none" w:sz="0" w:space="0" w:color="auto"/>
          </w:divBdr>
        </w:div>
        <w:div w:id="190801180">
          <w:marLeft w:val="274"/>
          <w:marRight w:val="0"/>
          <w:marTop w:val="0"/>
          <w:marBottom w:val="0"/>
          <w:divBdr>
            <w:top w:val="none" w:sz="0" w:space="0" w:color="auto"/>
            <w:left w:val="none" w:sz="0" w:space="0" w:color="auto"/>
            <w:bottom w:val="none" w:sz="0" w:space="0" w:color="auto"/>
            <w:right w:val="none" w:sz="0" w:space="0" w:color="auto"/>
          </w:divBdr>
        </w:div>
        <w:div w:id="287782237">
          <w:marLeft w:val="274"/>
          <w:marRight w:val="0"/>
          <w:marTop w:val="0"/>
          <w:marBottom w:val="0"/>
          <w:divBdr>
            <w:top w:val="none" w:sz="0" w:space="0" w:color="auto"/>
            <w:left w:val="none" w:sz="0" w:space="0" w:color="auto"/>
            <w:bottom w:val="none" w:sz="0" w:space="0" w:color="auto"/>
            <w:right w:val="none" w:sz="0" w:space="0" w:color="auto"/>
          </w:divBdr>
        </w:div>
        <w:div w:id="334501659">
          <w:marLeft w:val="274"/>
          <w:marRight w:val="0"/>
          <w:marTop w:val="0"/>
          <w:marBottom w:val="0"/>
          <w:divBdr>
            <w:top w:val="none" w:sz="0" w:space="0" w:color="auto"/>
            <w:left w:val="none" w:sz="0" w:space="0" w:color="auto"/>
            <w:bottom w:val="none" w:sz="0" w:space="0" w:color="auto"/>
            <w:right w:val="none" w:sz="0" w:space="0" w:color="auto"/>
          </w:divBdr>
        </w:div>
        <w:div w:id="435835718">
          <w:marLeft w:val="274"/>
          <w:marRight w:val="0"/>
          <w:marTop w:val="0"/>
          <w:marBottom w:val="0"/>
          <w:divBdr>
            <w:top w:val="none" w:sz="0" w:space="0" w:color="auto"/>
            <w:left w:val="none" w:sz="0" w:space="0" w:color="auto"/>
            <w:bottom w:val="none" w:sz="0" w:space="0" w:color="auto"/>
            <w:right w:val="none" w:sz="0" w:space="0" w:color="auto"/>
          </w:divBdr>
        </w:div>
        <w:div w:id="464157021">
          <w:marLeft w:val="274"/>
          <w:marRight w:val="0"/>
          <w:marTop w:val="0"/>
          <w:marBottom w:val="0"/>
          <w:divBdr>
            <w:top w:val="none" w:sz="0" w:space="0" w:color="auto"/>
            <w:left w:val="none" w:sz="0" w:space="0" w:color="auto"/>
            <w:bottom w:val="none" w:sz="0" w:space="0" w:color="auto"/>
            <w:right w:val="none" w:sz="0" w:space="0" w:color="auto"/>
          </w:divBdr>
        </w:div>
        <w:div w:id="652946954">
          <w:marLeft w:val="274"/>
          <w:marRight w:val="0"/>
          <w:marTop w:val="0"/>
          <w:marBottom w:val="0"/>
          <w:divBdr>
            <w:top w:val="none" w:sz="0" w:space="0" w:color="auto"/>
            <w:left w:val="none" w:sz="0" w:space="0" w:color="auto"/>
            <w:bottom w:val="none" w:sz="0" w:space="0" w:color="auto"/>
            <w:right w:val="none" w:sz="0" w:space="0" w:color="auto"/>
          </w:divBdr>
        </w:div>
        <w:div w:id="797604047">
          <w:marLeft w:val="274"/>
          <w:marRight w:val="0"/>
          <w:marTop w:val="0"/>
          <w:marBottom w:val="0"/>
          <w:divBdr>
            <w:top w:val="none" w:sz="0" w:space="0" w:color="auto"/>
            <w:left w:val="none" w:sz="0" w:space="0" w:color="auto"/>
            <w:bottom w:val="none" w:sz="0" w:space="0" w:color="auto"/>
            <w:right w:val="none" w:sz="0" w:space="0" w:color="auto"/>
          </w:divBdr>
        </w:div>
        <w:div w:id="806317259">
          <w:marLeft w:val="274"/>
          <w:marRight w:val="0"/>
          <w:marTop w:val="0"/>
          <w:marBottom w:val="0"/>
          <w:divBdr>
            <w:top w:val="none" w:sz="0" w:space="0" w:color="auto"/>
            <w:left w:val="none" w:sz="0" w:space="0" w:color="auto"/>
            <w:bottom w:val="none" w:sz="0" w:space="0" w:color="auto"/>
            <w:right w:val="none" w:sz="0" w:space="0" w:color="auto"/>
          </w:divBdr>
        </w:div>
        <w:div w:id="1085105324">
          <w:marLeft w:val="274"/>
          <w:marRight w:val="0"/>
          <w:marTop w:val="0"/>
          <w:marBottom w:val="0"/>
          <w:divBdr>
            <w:top w:val="none" w:sz="0" w:space="0" w:color="auto"/>
            <w:left w:val="none" w:sz="0" w:space="0" w:color="auto"/>
            <w:bottom w:val="none" w:sz="0" w:space="0" w:color="auto"/>
            <w:right w:val="none" w:sz="0" w:space="0" w:color="auto"/>
          </w:divBdr>
        </w:div>
        <w:div w:id="1101529884">
          <w:marLeft w:val="274"/>
          <w:marRight w:val="0"/>
          <w:marTop w:val="0"/>
          <w:marBottom w:val="0"/>
          <w:divBdr>
            <w:top w:val="none" w:sz="0" w:space="0" w:color="auto"/>
            <w:left w:val="none" w:sz="0" w:space="0" w:color="auto"/>
            <w:bottom w:val="none" w:sz="0" w:space="0" w:color="auto"/>
            <w:right w:val="none" w:sz="0" w:space="0" w:color="auto"/>
          </w:divBdr>
        </w:div>
        <w:div w:id="1182666923">
          <w:marLeft w:val="274"/>
          <w:marRight w:val="0"/>
          <w:marTop w:val="0"/>
          <w:marBottom w:val="0"/>
          <w:divBdr>
            <w:top w:val="none" w:sz="0" w:space="0" w:color="auto"/>
            <w:left w:val="none" w:sz="0" w:space="0" w:color="auto"/>
            <w:bottom w:val="none" w:sz="0" w:space="0" w:color="auto"/>
            <w:right w:val="none" w:sz="0" w:space="0" w:color="auto"/>
          </w:divBdr>
        </w:div>
        <w:div w:id="1182865114">
          <w:marLeft w:val="274"/>
          <w:marRight w:val="0"/>
          <w:marTop w:val="0"/>
          <w:marBottom w:val="0"/>
          <w:divBdr>
            <w:top w:val="none" w:sz="0" w:space="0" w:color="auto"/>
            <w:left w:val="none" w:sz="0" w:space="0" w:color="auto"/>
            <w:bottom w:val="none" w:sz="0" w:space="0" w:color="auto"/>
            <w:right w:val="none" w:sz="0" w:space="0" w:color="auto"/>
          </w:divBdr>
        </w:div>
        <w:div w:id="1292975579">
          <w:marLeft w:val="274"/>
          <w:marRight w:val="0"/>
          <w:marTop w:val="0"/>
          <w:marBottom w:val="0"/>
          <w:divBdr>
            <w:top w:val="none" w:sz="0" w:space="0" w:color="auto"/>
            <w:left w:val="none" w:sz="0" w:space="0" w:color="auto"/>
            <w:bottom w:val="none" w:sz="0" w:space="0" w:color="auto"/>
            <w:right w:val="none" w:sz="0" w:space="0" w:color="auto"/>
          </w:divBdr>
        </w:div>
        <w:div w:id="1454784783">
          <w:marLeft w:val="274"/>
          <w:marRight w:val="0"/>
          <w:marTop w:val="0"/>
          <w:marBottom w:val="0"/>
          <w:divBdr>
            <w:top w:val="none" w:sz="0" w:space="0" w:color="auto"/>
            <w:left w:val="none" w:sz="0" w:space="0" w:color="auto"/>
            <w:bottom w:val="none" w:sz="0" w:space="0" w:color="auto"/>
            <w:right w:val="none" w:sz="0" w:space="0" w:color="auto"/>
          </w:divBdr>
        </w:div>
        <w:div w:id="1469082494">
          <w:marLeft w:val="274"/>
          <w:marRight w:val="0"/>
          <w:marTop w:val="0"/>
          <w:marBottom w:val="0"/>
          <w:divBdr>
            <w:top w:val="none" w:sz="0" w:space="0" w:color="auto"/>
            <w:left w:val="none" w:sz="0" w:space="0" w:color="auto"/>
            <w:bottom w:val="none" w:sz="0" w:space="0" w:color="auto"/>
            <w:right w:val="none" w:sz="0" w:space="0" w:color="auto"/>
          </w:divBdr>
        </w:div>
        <w:div w:id="1491674589">
          <w:marLeft w:val="274"/>
          <w:marRight w:val="0"/>
          <w:marTop w:val="0"/>
          <w:marBottom w:val="0"/>
          <w:divBdr>
            <w:top w:val="none" w:sz="0" w:space="0" w:color="auto"/>
            <w:left w:val="none" w:sz="0" w:space="0" w:color="auto"/>
            <w:bottom w:val="none" w:sz="0" w:space="0" w:color="auto"/>
            <w:right w:val="none" w:sz="0" w:space="0" w:color="auto"/>
          </w:divBdr>
        </w:div>
        <w:div w:id="1562057762">
          <w:marLeft w:val="274"/>
          <w:marRight w:val="0"/>
          <w:marTop w:val="0"/>
          <w:marBottom w:val="0"/>
          <w:divBdr>
            <w:top w:val="none" w:sz="0" w:space="0" w:color="auto"/>
            <w:left w:val="none" w:sz="0" w:space="0" w:color="auto"/>
            <w:bottom w:val="none" w:sz="0" w:space="0" w:color="auto"/>
            <w:right w:val="none" w:sz="0" w:space="0" w:color="auto"/>
          </w:divBdr>
        </w:div>
        <w:div w:id="1752772270">
          <w:marLeft w:val="274"/>
          <w:marRight w:val="0"/>
          <w:marTop w:val="0"/>
          <w:marBottom w:val="0"/>
          <w:divBdr>
            <w:top w:val="none" w:sz="0" w:space="0" w:color="auto"/>
            <w:left w:val="none" w:sz="0" w:space="0" w:color="auto"/>
            <w:bottom w:val="none" w:sz="0" w:space="0" w:color="auto"/>
            <w:right w:val="none" w:sz="0" w:space="0" w:color="auto"/>
          </w:divBdr>
        </w:div>
        <w:div w:id="1900356266">
          <w:marLeft w:val="274"/>
          <w:marRight w:val="0"/>
          <w:marTop w:val="0"/>
          <w:marBottom w:val="0"/>
          <w:divBdr>
            <w:top w:val="none" w:sz="0" w:space="0" w:color="auto"/>
            <w:left w:val="none" w:sz="0" w:space="0" w:color="auto"/>
            <w:bottom w:val="none" w:sz="0" w:space="0" w:color="auto"/>
            <w:right w:val="none" w:sz="0" w:space="0" w:color="auto"/>
          </w:divBdr>
        </w:div>
        <w:div w:id="2007171908">
          <w:marLeft w:val="274"/>
          <w:marRight w:val="0"/>
          <w:marTop w:val="0"/>
          <w:marBottom w:val="0"/>
          <w:divBdr>
            <w:top w:val="none" w:sz="0" w:space="0" w:color="auto"/>
            <w:left w:val="none" w:sz="0" w:space="0" w:color="auto"/>
            <w:bottom w:val="none" w:sz="0" w:space="0" w:color="auto"/>
            <w:right w:val="none" w:sz="0" w:space="0" w:color="auto"/>
          </w:divBdr>
        </w:div>
        <w:div w:id="2109426030">
          <w:marLeft w:val="274"/>
          <w:marRight w:val="0"/>
          <w:marTop w:val="0"/>
          <w:marBottom w:val="0"/>
          <w:divBdr>
            <w:top w:val="none" w:sz="0" w:space="0" w:color="auto"/>
            <w:left w:val="none" w:sz="0" w:space="0" w:color="auto"/>
            <w:bottom w:val="none" w:sz="0" w:space="0" w:color="auto"/>
            <w:right w:val="none" w:sz="0" w:space="0" w:color="auto"/>
          </w:divBdr>
        </w:div>
        <w:div w:id="2126999913">
          <w:marLeft w:val="274"/>
          <w:marRight w:val="0"/>
          <w:marTop w:val="0"/>
          <w:marBottom w:val="0"/>
          <w:divBdr>
            <w:top w:val="none" w:sz="0" w:space="0" w:color="auto"/>
            <w:left w:val="none" w:sz="0" w:space="0" w:color="auto"/>
            <w:bottom w:val="none" w:sz="0" w:space="0" w:color="auto"/>
            <w:right w:val="none" w:sz="0" w:space="0" w:color="auto"/>
          </w:divBdr>
        </w:div>
      </w:divsChild>
    </w:div>
    <w:div w:id="1345548985">
      <w:bodyDiv w:val="1"/>
      <w:marLeft w:val="0"/>
      <w:marRight w:val="0"/>
      <w:marTop w:val="0"/>
      <w:marBottom w:val="0"/>
      <w:divBdr>
        <w:top w:val="none" w:sz="0" w:space="0" w:color="auto"/>
        <w:left w:val="none" w:sz="0" w:space="0" w:color="auto"/>
        <w:bottom w:val="none" w:sz="0" w:space="0" w:color="auto"/>
        <w:right w:val="none" w:sz="0" w:space="0" w:color="auto"/>
      </w:divBdr>
    </w:div>
    <w:div w:id="1347248531">
      <w:bodyDiv w:val="1"/>
      <w:marLeft w:val="0"/>
      <w:marRight w:val="0"/>
      <w:marTop w:val="0"/>
      <w:marBottom w:val="0"/>
      <w:divBdr>
        <w:top w:val="none" w:sz="0" w:space="0" w:color="auto"/>
        <w:left w:val="none" w:sz="0" w:space="0" w:color="auto"/>
        <w:bottom w:val="none" w:sz="0" w:space="0" w:color="auto"/>
        <w:right w:val="none" w:sz="0" w:space="0" w:color="auto"/>
      </w:divBdr>
    </w:div>
    <w:div w:id="1352679287">
      <w:bodyDiv w:val="1"/>
      <w:marLeft w:val="0"/>
      <w:marRight w:val="0"/>
      <w:marTop w:val="0"/>
      <w:marBottom w:val="0"/>
      <w:divBdr>
        <w:top w:val="none" w:sz="0" w:space="0" w:color="auto"/>
        <w:left w:val="none" w:sz="0" w:space="0" w:color="auto"/>
        <w:bottom w:val="none" w:sz="0" w:space="0" w:color="auto"/>
        <w:right w:val="none" w:sz="0" w:space="0" w:color="auto"/>
      </w:divBdr>
    </w:div>
    <w:div w:id="1395660006">
      <w:bodyDiv w:val="1"/>
      <w:marLeft w:val="0"/>
      <w:marRight w:val="0"/>
      <w:marTop w:val="0"/>
      <w:marBottom w:val="0"/>
      <w:divBdr>
        <w:top w:val="none" w:sz="0" w:space="0" w:color="auto"/>
        <w:left w:val="none" w:sz="0" w:space="0" w:color="auto"/>
        <w:bottom w:val="none" w:sz="0" w:space="0" w:color="auto"/>
        <w:right w:val="none" w:sz="0" w:space="0" w:color="auto"/>
      </w:divBdr>
    </w:div>
    <w:div w:id="1411318740">
      <w:bodyDiv w:val="1"/>
      <w:marLeft w:val="0"/>
      <w:marRight w:val="0"/>
      <w:marTop w:val="0"/>
      <w:marBottom w:val="0"/>
      <w:divBdr>
        <w:top w:val="none" w:sz="0" w:space="0" w:color="auto"/>
        <w:left w:val="none" w:sz="0" w:space="0" w:color="auto"/>
        <w:bottom w:val="none" w:sz="0" w:space="0" w:color="auto"/>
        <w:right w:val="none" w:sz="0" w:space="0" w:color="auto"/>
      </w:divBdr>
      <w:divsChild>
        <w:div w:id="222448636">
          <w:marLeft w:val="274"/>
          <w:marRight w:val="0"/>
          <w:marTop w:val="0"/>
          <w:marBottom w:val="0"/>
          <w:divBdr>
            <w:top w:val="none" w:sz="0" w:space="0" w:color="auto"/>
            <w:left w:val="none" w:sz="0" w:space="0" w:color="auto"/>
            <w:bottom w:val="none" w:sz="0" w:space="0" w:color="auto"/>
            <w:right w:val="none" w:sz="0" w:space="0" w:color="auto"/>
          </w:divBdr>
        </w:div>
        <w:div w:id="223682287">
          <w:marLeft w:val="274"/>
          <w:marRight w:val="0"/>
          <w:marTop w:val="0"/>
          <w:marBottom w:val="0"/>
          <w:divBdr>
            <w:top w:val="none" w:sz="0" w:space="0" w:color="auto"/>
            <w:left w:val="none" w:sz="0" w:space="0" w:color="auto"/>
            <w:bottom w:val="none" w:sz="0" w:space="0" w:color="auto"/>
            <w:right w:val="none" w:sz="0" w:space="0" w:color="auto"/>
          </w:divBdr>
        </w:div>
        <w:div w:id="236746815">
          <w:marLeft w:val="274"/>
          <w:marRight w:val="0"/>
          <w:marTop w:val="0"/>
          <w:marBottom w:val="0"/>
          <w:divBdr>
            <w:top w:val="none" w:sz="0" w:space="0" w:color="auto"/>
            <w:left w:val="none" w:sz="0" w:space="0" w:color="auto"/>
            <w:bottom w:val="none" w:sz="0" w:space="0" w:color="auto"/>
            <w:right w:val="none" w:sz="0" w:space="0" w:color="auto"/>
          </w:divBdr>
        </w:div>
        <w:div w:id="266625639">
          <w:marLeft w:val="274"/>
          <w:marRight w:val="0"/>
          <w:marTop w:val="0"/>
          <w:marBottom w:val="0"/>
          <w:divBdr>
            <w:top w:val="none" w:sz="0" w:space="0" w:color="auto"/>
            <w:left w:val="none" w:sz="0" w:space="0" w:color="auto"/>
            <w:bottom w:val="none" w:sz="0" w:space="0" w:color="auto"/>
            <w:right w:val="none" w:sz="0" w:space="0" w:color="auto"/>
          </w:divBdr>
        </w:div>
        <w:div w:id="357434669">
          <w:marLeft w:val="274"/>
          <w:marRight w:val="0"/>
          <w:marTop w:val="0"/>
          <w:marBottom w:val="0"/>
          <w:divBdr>
            <w:top w:val="none" w:sz="0" w:space="0" w:color="auto"/>
            <w:left w:val="none" w:sz="0" w:space="0" w:color="auto"/>
            <w:bottom w:val="none" w:sz="0" w:space="0" w:color="auto"/>
            <w:right w:val="none" w:sz="0" w:space="0" w:color="auto"/>
          </w:divBdr>
        </w:div>
        <w:div w:id="414134909">
          <w:marLeft w:val="274"/>
          <w:marRight w:val="0"/>
          <w:marTop w:val="0"/>
          <w:marBottom w:val="0"/>
          <w:divBdr>
            <w:top w:val="none" w:sz="0" w:space="0" w:color="auto"/>
            <w:left w:val="none" w:sz="0" w:space="0" w:color="auto"/>
            <w:bottom w:val="none" w:sz="0" w:space="0" w:color="auto"/>
            <w:right w:val="none" w:sz="0" w:space="0" w:color="auto"/>
          </w:divBdr>
        </w:div>
        <w:div w:id="605886614">
          <w:marLeft w:val="274"/>
          <w:marRight w:val="0"/>
          <w:marTop w:val="0"/>
          <w:marBottom w:val="0"/>
          <w:divBdr>
            <w:top w:val="none" w:sz="0" w:space="0" w:color="auto"/>
            <w:left w:val="none" w:sz="0" w:space="0" w:color="auto"/>
            <w:bottom w:val="none" w:sz="0" w:space="0" w:color="auto"/>
            <w:right w:val="none" w:sz="0" w:space="0" w:color="auto"/>
          </w:divBdr>
        </w:div>
        <w:div w:id="700597022">
          <w:marLeft w:val="274"/>
          <w:marRight w:val="0"/>
          <w:marTop w:val="0"/>
          <w:marBottom w:val="0"/>
          <w:divBdr>
            <w:top w:val="none" w:sz="0" w:space="0" w:color="auto"/>
            <w:left w:val="none" w:sz="0" w:space="0" w:color="auto"/>
            <w:bottom w:val="none" w:sz="0" w:space="0" w:color="auto"/>
            <w:right w:val="none" w:sz="0" w:space="0" w:color="auto"/>
          </w:divBdr>
        </w:div>
        <w:div w:id="766004287">
          <w:marLeft w:val="274"/>
          <w:marRight w:val="0"/>
          <w:marTop w:val="0"/>
          <w:marBottom w:val="0"/>
          <w:divBdr>
            <w:top w:val="none" w:sz="0" w:space="0" w:color="auto"/>
            <w:left w:val="none" w:sz="0" w:space="0" w:color="auto"/>
            <w:bottom w:val="none" w:sz="0" w:space="0" w:color="auto"/>
            <w:right w:val="none" w:sz="0" w:space="0" w:color="auto"/>
          </w:divBdr>
        </w:div>
        <w:div w:id="1173255823">
          <w:marLeft w:val="274"/>
          <w:marRight w:val="0"/>
          <w:marTop w:val="0"/>
          <w:marBottom w:val="0"/>
          <w:divBdr>
            <w:top w:val="none" w:sz="0" w:space="0" w:color="auto"/>
            <w:left w:val="none" w:sz="0" w:space="0" w:color="auto"/>
            <w:bottom w:val="none" w:sz="0" w:space="0" w:color="auto"/>
            <w:right w:val="none" w:sz="0" w:space="0" w:color="auto"/>
          </w:divBdr>
        </w:div>
        <w:div w:id="1334380430">
          <w:marLeft w:val="274"/>
          <w:marRight w:val="0"/>
          <w:marTop w:val="0"/>
          <w:marBottom w:val="0"/>
          <w:divBdr>
            <w:top w:val="none" w:sz="0" w:space="0" w:color="auto"/>
            <w:left w:val="none" w:sz="0" w:space="0" w:color="auto"/>
            <w:bottom w:val="none" w:sz="0" w:space="0" w:color="auto"/>
            <w:right w:val="none" w:sz="0" w:space="0" w:color="auto"/>
          </w:divBdr>
        </w:div>
        <w:div w:id="1450272211">
          <w:marLeft w:val="274"/>
          <w:marRight w:val="0"/>
          <w:marTop w:val="0"/>
          <w:marBottom w:val="0"/>
          <w:divBdr>
            <w:top w:val="none" w:sz="0" w:space="0" w:color="auto"/>
            <w:left w:val="none" w:sz="0" w:space="0" w:color="auto"/>
            <w:bottom w:val="none" w:sz="0" w:space="0" w:color="auto"/>
            <w:right w:val="none" w:sz="0" w:space="0" w:color="auto"/>
          </w:divBdr>
        </w:div>
        <w:div w:id="1459761337">
          <w:marLeft w:val="274"/>
          <w:marRight w:val="0"/>
          <w:marTop w:val="0"/>
          <w:marBottom w:val="0"/>
          <w:divBdr>
            <w:top w:val="none" w:sz="0" w:space="0" w:color="auto"/>
            <w:left w:val="none" w:sz="0" w:space="0" w:color="auto"/>
            <w:bottom w:val="none" w:sz="0" w:space="0" w:color="auto"/>
            <w:right w:val="none" w:sz="0" w:space="0" w:color="auto"/>
          </w:divBdr>
        </w:div>
        <w:div w:id="1521822181">
          <w:marLeft w:val="274"/>
          <w:marRight w:val="0"/>
          <w:marTop w:val="0"/>
          <w:marBottom w:val="0"/>
          <w:divBdr>
            <w:top w:val="none" w:sz="0" w:space="0" w:color="auto"/>
            <w:left w:val="none" w:sz="0" w:space="0" w:color="auto"/>
            <w:bottom w:val="none" w:sz="0" w:space="0" w:color="auto"/>
            <w:right w:val="none" w:sz="0" w:space="0" w:color="auto"/>
          </w:divBdr>
        </w:div>
        <w:div w:id="1542671145">
          <w:marLeft w:val="274"/>
          <w:marRight w:val="0"/>
          <w:marTop w:val="0"/>
          <w:marBottom w:val="0"/>
          <w:divBdr>
            <w:top w:val="none" w:sz="0" w:space="0" w:color="auto"/>
            <w:left w:val="none" w:sz="0" w:space="0" w:color="auto"/>
            <w:bottom w:val="none" w:sz="0" w:space="0" w:color="auto"/>
            <w:right w:val="none" w:sz="0" w:space="0" w:color="auto"/>
          </w:divBdr>
        </w:div>
        <w:div w:id="1598295445">
          <w:marLeft w:val="274"/>
          <w:marRight w:val="0"/>
          <w:marTop w:val="0"/>
          <w:marBottom w:val="0"/>
          <w:divBdr>
            <w:top w:val="none" w:sz="0" w:space="0" w:color="auto"/>
            <w:left w:val="none" w:sz="0" w:space="0" w:color="auto"/>
            <w:bottom w:val="none" w:sz="0" w:space="0" w:color="auto"/>
            <w:right w:val="none" w:sz="0" w:space="0" w:color="auto"/>
          </w:divBdr>
        </w:div>
        <w:div w:id="1801731242">
          <w:marLeft w:val="274"/>
          <w:marRight w:val="0"/>
          <w:marTop w:val="0"/>
          <w:marBottom w:val="0"/>
          <w:divBdr>
            <w:top w:val="none" w:sz="0" w:space="0" w:color="auto"/>
            <w:left w:val="none" w:sz="0" w:space="0" w:color="auto"/>
            <w:bottom w:val="none" w:sz="0" w:space="0" w:color="auto"/>
            <w:right w:val="none" w:sz="0" w:space="0" w:color="auto"/>
          </w:divBdr>
        </w:div>
        <w:div w:id="1879200316">
          <w:marLeft w:val="274"/>
          <w:marRight w:val="0"/>
          <w:marTop w:val="0"/>
          <w:marBottom w:val="0"/>
          <w:divBdr>
            <w:top w:val="none" w:sz="0" w:space="0" w:color="auto"/>
            <w:left w:val="none" w:sz="0" w:space="0" w:color="auto"/>
            <w:bottom w:val="none" w:sz="0" w:space="0" w:color="auto"/>
            <w:right w:val="none" w:sz="0" w:space="0" w:color="auto"/>
          </w:divBdr>
        </w:div>
        <w:div w:id="2084373427">
          <w:marLeft w:val="274"/>
          <w:marRight w:val="0"/>
          <w:marTop w:val="0"/>
          <w:marBottom w:val="0"/>
          <w:divBdr>
            <w:top w:val="none" w:sz="0" w:space="0" w:color="auto"/>
            <w:left w:val="none" w:sz="0" w:space="0" w:color="auto"/>
            <w:bottom w:val="none" w:sz="0" w:space="0" w:color="auto"/>
            <w:right w:val="none" w:sz="0" w:space="0" w:color="auto"/>
          </w:divBdr>
        </w:div>
        <w:div w:id="2102288241">
          <w:marLeft w:val="274"/>
          <w:marRight w:val="0"/>
          <w:marTop w:val="0"/>
          <w:marBottom w:val="0"/>
          <w:divBdr>
            <w:top w:val="none" w:sz="0" w:space="0" w:color="auto"/>
            <w:left w:val="none" w:sz="0" w:space="0" w:color="auto"/>
            <w:bottom w:val="none" w:sz="0" w:space="0" w:color="auto"/>
            <w:right w:val="none" w:sz="0" w:space="0" w:color="auto"/>
          </w:divBdr>
        </w:div>
      </w:divsChild>
    </w:div>
    <w:div w:id="1416853486">
      <w:bodyDiv w:val="1"/>
      <w:marLeft w:val="0"/>
      <w:marRight w:val="0"/>
      <w:marTop w:val="0"/>
      <w:marBottom w:val="0"/>
      <w:divBdr>
        <w:top w:val="none" w:sz="0" w:space="0" w:color="auto"/>
        <w:left w:val="none" w:sz="0" w:space="0" w:color="auto"/>
        <w:bottom w:val="none" w:sz="0" w:space="0" w:color="auto"/>
        <w:right w:val="none" w:sz="0" w:space="0" w:color="auto"/>
      </w:divBdr>
    </w:div>
    <w:div w:id="1419524492">
      <w:bodyDiv w:val="1"/>
      <w:marLeft w:val="0"/>
      <w:marRight w:val="0"/>
      <w:marTop w:val="0"/>
      <w:marBottom w:val="0"/>
      <w:divBdr>
        <w:top w:val="none" w:sz="0" w:space="0" w:color="auto"/>
        <w:left w:val="none" w:sz="0" w:space="0" w:color="auto"/>
        <w:bottom w:val="none" w:sz="0" w:space="0" w:color="auto"/>
        <w:right w:val="none" w:sz="0" w:space="0" w:color="auto"/>
      </w:divBdr>
    </w:div>
    <w:div w:id="1446849042">
      <w:bodyDiv w:val="1"/>
      <w:marLeft w:val="0"/>
      <w:marRight w:val="0"/>
      <w:marTop w:val="0"/>
      <w:marBottom w:val="0"/>
      <w:divBdr>
        <w:top w:val="none" w:sz="0" w:space="0" w:color="auto"/>
        <w:left w:val="none" w:sz="0" w:space="0" w:color="auto"/>
        <w:bottom w:val="none" w:sz="0" w:space="0" w:color="auto"/>
        <w:right w:val="none" w:sz="0" w:space="0" w:color="auto"/>
      </w:divBdr>
    </w:div>
    <w:div w:id="1492871713">
      <w:bodyDiv w:val="1"/>
      <w:marLeft w:val="0"/>
      <w:marRight w:val="0"/>
      <w:marTop w:val="0"/>
      <w:marBottom w:val="0"/>
      <w:divBdr>
        <w:top w:val="none" w:sz="0" w:space="0" w:color="auto"/>
        <w:left w:val="none" w:sz="0" w:space="0" w:color="auto"/>
        <w:bottom w:val="none" w:sz="0" w:space="0" w:color="auto"/>
        <w:right w:val="none" w:sz="0" w:space="0" w:color="auto"/>
      </w:divBdr>
    </w:div>
    <w:div w:id="1526822738">
      <w:bodyDiv w:val="1"/>
      <w:marLeft w:val="0"/>
      <w:marRight w:val="0"/>
      <w:marTop w:val="0"/>
      <w:marBottom w:val="0"/>
      <w:divBdr>
        <w:top w:val="none" w:sz="0" w:space="0" w:color="auto"/>
        <w:left w:val="none" w:sz="0" w:space="0" w:color="auto"/>
        <w:bottom w:val="none" w:sz="0" w:space="0" w:color="auto"/>
        <w:right w:val="none" w:sz="0" w:space="0" w:color="auto"/>
      </w:divBdr>
    </w:div>
    <w:div w:id="1539508193">
      <w:bodyDiv w:val="1"/>
      <w:marLeft w:val="0"/>
      <w:marRight w:val="0"/>
      <w:marTop w:val="0"/>
      <w:marBottom w:val="0"/>
      <w:divBdr>
        <w:top w:val="none" w:sz="0" w:space="0" w:color="auto"/>
        <w:left w:val="none" w:sz="0" w:space="0" w:color="auto"/>
        <w:bottom w:val="none" w:sz="0" w:space="0" w:color="auto"/>
        <w:right w:val="none" w:sz="0" w:space="0" w:color="auto"/>
      </w:divBdr>
      <w:divsChild>
        <w:div w:id="1857099">
          <w:marLeft w:val="360"/>
          <w:marRight w:val="0"/>
          <w:marTop w:val="0"/>
          <w:marBottom w:val="0"/>
          <w:divBdr>
            <w:top w:val="none" w:sz="0" w:space="0" w:color="auto"/>
            <w:left w:val="none" w:sz="0" w:space="0" w:color="auto"/>
            <w:bottom w:val="none" w:sz="0" w:space="0" w:color="auto"/>
            <w:right w:val="none" w:sz="0" w:space="0" w:color="auto"/>
          </w:divBdr>
        </w:div>
        <w:div w:id="334960795">
          <w:marLeft w:val="360"/>
          <w:marRight w:val="0"/>
          <w:marTop w:val="0"/>
          <w:marBottom w:val="0"/>
          <w:divBdr>
            <w:top w:val="none" w:sz="0" w:space="0" w:color="auto"/>
            <w:left w:val="none" w:sz="0" w:space="0" w:color="auto"/>
            <w:bottom w:val="none" w:sz="0" w:space="0" w:color="auto"/>
            <w:right w:val="none" w:sz="0" w:space="0" w:color="auto"/>
          </w:divBdr>
        </w:div>
        <w:div w:id="623924474">
          <w:marLeft w:val="360"/>
          <w:marRight w:val="0"/>
          <w:marTop w:val="0"/>
          <w:marBottom w:val="0"/>
          <w:divBdr>
            <w:top w:val="none" w:sz="0" w:space="0" w:color="auto"/>
            <w:left w:val="none" w:sz="0" w:space="0" w:color="auto"/>
            <w:bottom w:val="none" w:sz="0" w:space="0" w:color="auto"/>
            <w:right w:val="none" w:sz="0" w:space="0" w:color="auto"/>
          </w:divBdr>
        </w:div>
        <w:div w:id="656155815">
          <w:marLeft w:val="360"/>
          <w:marRight w:val="0"/>
          <w:marTop w:val="0"/>
          <w:marBottom w:val="0"/>
          <w:divBdr>
            <w:top w:val="none" w:sz="0" w:space="0" w:color="auto"/>
            <w:left w:val="none" w:sz="0" w:space="0" w:color="auto"/>
            <w:bottom w:val="none" w:sz="0" w:space="0" w:color="auto"/>
            <w:right w:val="none" w:sz="0" w:space="0" w:color="auto"/>
          </w:divBdr>
        </w:div>
        <w:div w:id="816457536">
          <w:marLeft w:val="360"/>
          <w:marRight w:val="0"/>
          <w:marTop w:val="0"/>
          <w:marBottom w:val="0"/>
          <w:divBdr>
            <w:top w:val="none" w:sz="0" w:space="0" w:color="auto"/>
            <w:left w:val="none" w:sz="0" w:space="0" w:color="auto"/>
            <w:bottom w:val="none" w:sz="0" w:space="0" w:color="auto"/>
            <w:right w:val="none" w:sz="0" w:space="0" w:color="auto"/>
          </w:divBdr>
        </w:div>
        <w:div w:id="1058748671">
          <w:marLeft w:val="360"/>
          <w:marRight w:val="0"/>
          <w:marTop w:val="0"/>
          <w:marBottom w:val="0"/>
          <w:divBdr>
            <w:top w:val="none" w:sz="0" w:space="0" w:color="auto"/>
            <w:left w:val="none" w:sz="0" w:space="0" w:color="auto"/>
            <w:bottom w:val="none" w:sz="0" w:space="0" w:color="auto"/>
            <w:right w:val="none" w:sz="0" w:space="0" w:color="auto"/>
          </w:divBdr>
        </w:div>
        <w:div w:id="1682974247">
          <w:marLeft w:val="360"/>
          <w:marRight w:val="0"/>
          <w:marTop w:val="0"/>
          <w:marBottom w:val="0"/>
          <w:divBdr>
            <w:top w:val="none" w:sz="0" w:space="0" w:color="auto"/>
            <w:left w:val="none" w:sz="0" w:space="0" w:color="auto"/>
            <w:bottom w:val="none" w:sz="0" w:space="0" w:color="auto"/>
            <w:right w:val="none" w:sz="0" w:space="0" w:color="auto"/>
          </w:divBdr>
        </w:div>
        <w:div w:id="1880628443">
          <w:marLeft w:val="360"/>
          <w:marRight w:val="0"/>
          <w:marTop w:val="0"/>
          <w:marBottom w:val="0"/>
          <w:divBdr>
            <w:top w:val="none" w:sz="0" w:space="0" w:color="auto"/>
            <w:left w:val="none" w:sz="0" w:space="0" w:color="auto"/>
            <w:bottom w:val="none" w:sz="0" w:space="0" w:color="auto"/>
            <w:right w:val="none" w:sz="0" w:space="0" w:color="auto"/>
          </w:divBdr>
        </w:div>
        <w:div w:id="2136944210">
          <w:marLeft w:val="360"/>
          <w:marRight w:val="0"/>
          <w:marTop w:val="0"/>
          <w:marBottom w:val="0"/>
          <w:divBdr>
            <w:top w:val="none" w:sz="0" w:space="0" w:color="auto"/>
            <w:left w:val="none" w:sz="0" w:space="0" w:color="auto"/>
            <w:bottom w:val="none" w:sz="0" w:space="0" w:color="auto"/>
            <w:right w:val="none" w:sz="0" w:space="0" w:color="auto"/>
          </w:divBdr>
        </w:div>
        <w:div w:id="2140293114">
          <w:marLeft w:val="360"/>
          <w:marRight w:val="0"/>
          <w:marTop w:val="0"/>
          <w:marBottom w:val="0"/>
          <w:divBdr>
            <w:top w:val="none" w:sz="0" w:space="0" w:color="auto"/>
            <w:left w:val="none" w:sz="0" w:space="0" w:color="auto"/>
            <w:bottom w:val="none" w:sz="0" w:space="0" w:color="auto"/>
            <w:right w:val="none" w:sz="0" w:space="0" w:color="auto"/>
          </w:divBdr>
        </w:div>
      </w:divsChild>
    </w:div>
    <w:div w:id="1554658348">
      <w:bodyDiv w:val="1"/>
      <w:marLeft w:val="0"/>
      <w:marRight w:val="0"/>
      <w:marTop w:val="0"/>
      <w:marBottom w:val="0"/>
      <w:divBdr>
        <w:top w:val="none" w:sz="0" w:space="0" w:color="auto"/>
        <w:left w:val="none" w:sz="0" w:space="0" w:color="auto"/>
        <w:bottom w:val="none" w:sz="0" w:space="0" w:color="auto"/>
        <w:right w:val="none" w:sz="0" w:space="0" w:color="auto"/>
      </w:divBdr>
    </w:div>
    <w:div w:id="1555236267">
      <w:bodyDiv w:val="1"/>
      <w:marLeft w:val="0"/>
      <w:marRight w:val="0"/>
      <w:marTop w:val="0"/>
      <w:marBottom w:val="0"/>
      <w:divBdr>
        <w:top w:val="none" w:sz="0" w:space="0" w:color="auto"/>
        <w:left w:val="none" w:sz="0" w:space="0" w:color="auto"/>
        <w:bottom w:val="none" w:sz="0" w:space="0" w:color="auto"/>
        <w:right w:val="none" w:sz="0" w:space="0" w:color="auto"/>
      </w:divBdr>
    </w:div>
    <w:div w:id="1555652453">
      <w:bodyDiv w:val="1"/>
      <w:marLeft w:val="0"/>
      <w:marRight w:val="0"/>
      <w:marTop w:val="0"/>
      <w:marBottom w:val="0"/>
      <w:divBdr>
        <w:top w:val="none" w:sz="0" w:space="0" w:color="auto"/>
        <w:left w:val="none" w:sz="0" w:space="0" w:color="auto"/>
        <w:bottom w:val="none" w:sz="0" w:space="0" w:color="auto"/>
        <w:right w:val="none" w:sz="0" w:space="0" w:color="auto"/>
      </w:divBdr>
      <w:divsChild>
        <w:div w:id="99953128">
          <w:marLeft w:val="274"/>
          <w:marRight w:val="0"/>
          <w:marTop w:val="0"/>
          <w:marBottom w:val="0"/>
          <w:divBdr>
            <w:top w:val="none" w:sz="0" w:space="0" w:color="auto"/>
            <w:left w:val="none" w:sz="0" w:space="0" w:color="auto"/>
            <w:bottom w:val="none" w:sz="0" w:space="0" w:color="auto"/>
            <w:right w:val="none" w:sz="0" w:space="0" w:color="auto"/>
          </w:divBdr>
        </w:div>
        <w:div w:id="115878577">
          <w:marLeft w:val="274"/>
          <w:marRight w:val="0"/>
          <w:marTop w:val="0"/>
          <w:marBottom w:val="0"/>
          <w:divBdr>
            <w:top w:val="none" w:sz="0" w:space="0" w:color="auto"/>
            <w:left w:val="none" w:sz="0" w:space="0" w:color="auto"/>
            <w:bottom w:val="none" w:sz="0" w:space="0" w:color="auto"/>
            <w:right w:val="none" w:sz="0" w:space="0" w:color="auto"/>
          </w:divBdr>
        </w:div>
        <w:div w:id="329799780">
          <w:marLeft w:val="274"/>
          <w:marRight w:val="0"/>
          <w:marTop w:val="0"/>
          <w:marBottom w:val="0"/>
          <w:divBdr>
            <w:top w:val="none" w:sz="0" w:space="0" w:color="auto"/>
            <w:left w:val="none" w:sz="0" w:space="0" w:color="auto"/>
            <w:bottom w:val="none" w:sz="0" w:space="0" w:color="auto"/>
            <w:right w:val="none" w:sz="0" w:space="0" w:color="auto"/>
          </w:divBdr>
        </w:div>
        <w:div w:id="423065617">
          <w:marLeft w:val="274"/>
          <w:marRight w:val="0"/>
          <w:marTop w:val="0"/>
          <w:marBottom w:val="0"/>
          <w:divBdr>
            <w:top w:val="none" w:sz="0" w:space="0" w:color="auto"/>
            <w:left w:val="none" w:sz="0" w:space="0" w:color="auto"/>
            <w:bottom w:val="none" w:sz="0" w:space="0" w:color="auto"/>
            <w:right w:val="none" w:sz="0" w:space="0" w:color="auto"/>
          </w:divBdr>
        </w:div>
        <w:div w:id="559438907">
          <w:marLeft w:val="274"/>
          <w:marRight w:val="0"/>
          <w:marTop w:val="0"/>
          <w:marBottom w:val="0"/>
          <w:divBdr>
            <w:top w:val="none" w:sz="0" w:space="0" w:color="auto"/>
            <w:left w:val="none" w:sz="0" w:space="0" w:color="auto"/>
            <w:bottom w:val="none" w:sz="0" w:space="0" w:color="auto"/>
            <w:right w:val="none" w:sz="0" w:space="0" w:color="auto"/>
          </w:divBdr>
        </w:div>
        <w:div w:id="565918883">
          <w:marLeft w:val="274"/>
          <w:marRight w:val="0"/>
          <w:marTop w:val="0"/>
          <w:marBottom w:val="0"/>
          <w:divBdr>
            <w:top w:val="none" w:sz="0" w:space="0" w:color="auto"/>
            <w:left w:val="none" w:sz="0" w:space="0" w:color="auto"/>
            <w:bottom w:val="none" w:sz="0" w:space="0" w:color="auto"/>
            <w:right w:val="none" w:sz="0" w:space="0" w:color="auto"/>
          </w:divBdr>
        </w:div>
        <w:div w:id="923608198">
          <w:marLeft w:val="274"/>
          <w:marRight w:val="0"/>
          <w:marTop w:val="0"/>
          <w:marBottom w:val="0"/>
          <w:divBdr>
            <w:top w:val="none" w:sz="0" w:space="0" w:color="auto"/>
            <w:left w:val="none" w:sz="0" w:space="0" w:color="auto"/>
            <w:bottom w:val="none" w:sz="0" w:space="0" w:color="auto"/>
            <w:right w:val="none" w:sz="0" w:space="0" w:color="auto"/>
          </w:divBdr>
        </w:div>
        <w:div w:id="935400429">
          <w:marLeft w:val="274"/>
          <w:marRight w:val="0"/>
          <w:marTop w:val="0"/>
          <w:marBottom w:val="0"/>
          <w:divBdr>
            <w:top w:val="none" w:sz="0" w:space="0" w:color="auto"/>
            <w:left w:val="none" w:sz="0" w:space="0" w:color="auto"/>
            <w:bottom w:val="none" w:sz="0" w:space="0" w:color="auto"/>
            <w:right w:val="none" w:sz="0" w:space="0" w:color="auto"/>
          </w:divBdr>
        </w:div>
        <w:div w:id="985547114">
          <w:marLeft w:val="274"/>
          <w:marRight w:val="0"/>
          <w:marTop w:val="0"/>
          <w:marBottom w:val="0"/>
          <w:divBdr>
            <w:top w:val="none" w:sz="0" w:space="0" w:color="auto"/>
            <w:left w:val="none" w:sz="0" w:space="0" w:color="auto"/>
            <w:bottom w:val="none" w:sz="0" w:space="0" w:color="auto"/>
            <w:right w:val="none" w:sz="0" w:space="0" w:color="auto"/>
          </w:divBdr>
        </w:div>
        <w:div w:id="1143502861">
          <w:marLeft w:val="274"/>
          <w:marRight w:val="0"/>
          <w:marTop w:val="0"/>
          <w:marBottom w:val="0"/>
          <w:divBdr>
            <w:top w:val="none" w:sz="0" w:space="0" w:color="auto"/>
            <w:left w:val="none" w:sz="0" w:space="0" w:color="auto"/>
            <w:bottom w:val="none" w:sz="0" w:space="0" w:color="auto"/>
            <w:right w:val="none" w:sz="0" w:space="0" w:color="auto"/>
          </w:divBdr>
        </w:div>
        <w:div w:id="1261529804">
          <w:marLeft w:val="274"/>
          <w:marRight w:val="0"/>
          <w:marTop w:val="0"/>
          <w:marBottom w:val="0"/>
          <w:divBdr>
            <w:top w:val="none" w:sz="0" w:space="0" w:color="auto"/>
            <w:left w:val="none" w:sz="0" w:space="0" w:color="auto"/>
            <w:bottom w:val="none" w:sz="0" w:space="0" w:color="auto"/>
            <w:right w:val="none" w:sz="0" w:space="0" w:color="auto"/>
          </w:divBdr>
        </w:div>
        <w:div w:id="1383363532">
          <w:marLeft w:val="274"/>
          <w:marRight w:val="0"/>
          <w:marTop w:val="0"/>
          <w:marBottom w:val="0"/>
          <w:divBdr>
            <w:top w:val="none" w:sz="0" w:space="0" w:color="auto"/>
            <w:left w:val="none" w:sz="0" w:space="0" w:color="auto"/>
            <w:bottom w:val="none" w:sz="0" w:space="0" w:color="auto"/>
            <w:right w:val="none" w:sz="0" w:space="0" w:color="auto"/>
          </w:divBdr>
        </w:div>
        <w:div w:id="1397968844">
          <w:marLeft w:val="274"/>
          <w:marRight w:val="0"/>
          <w:marTop w:val="0"/>
          <w:marBottom w:val="0"/>
          <w:divBdr>
            <w:top w:val="none" w:sz="0" w:space="0" w:color="auto"/>
            <w:left w:val="none" w:sz="0" w:space="0" w:color="auto"/>
            <w:bottom w:val="none" w:sz="0" w:space="0" w:color="auto"/>
            <w:right w:val="none" w:sz="0" w:space="0" w:color="auto"/>
          </w:divBdr>
        </w:div>
        <w:div w:id="1442872207">
          <w:marLeft w:val="274"/>
          <w:marRight w:val="0"/>
          <w:marTop w:val="0"/>
          <w:marBottom w:val="0"/>
          <w:divBdr>
            <w:top w:val="none" w:sz="0" w:space="0" w:color="auto"/>
            <w:left w:val="none" w:sz="0" w:space="0" w:color="auto"/>
            <w:bottom w:val="none" w:sz="0" w:space="0" w:color="auto"/>
            <w:right w:val="none" w:sz="0" w:space="0" w:color="auto"/>
          </w:divBdr>
        </w:div>
        <w:div w:id="1783264856">
          <w:marLeft w:val="274"/>
          <w:marRight w:val="0"/>
          <w:marTop w:val="0"/>
          <w:marBottom w:val="0"/>
          <w:divBdr>
            <w:top w:val="none" w:sz="0" w:space="0" w:color="auto"/>
            <w:left w:val="none" w:sz="0" w:space="0" w:color="auto"/>
            <w:bottom w:val="none" w:sz="0" w:space="0" w:color="auto"/>
            <w:right w:val="none" w:sz="0" w:space="0" w:color="auto"/>
          </w:divBdr>
        </w:div>
        <w:div w:id="2070761585">
          <w:marLeft w:val="274"/>
          <w:marRight w:val="0"/>
          <w:marTop w:val="0"/>
          <w:marBottom w:val="0"/>
          <w:divBdr>
            <w:top w:val="none" w:sz="0" w:space="0" w:color="auto"/>
            <w:left w:val="none" w:sz="0" w:space="0" w:color="auto"/>
            <w:bottom w:val="none" w:sz="0" w:space="0" w:color="auto"/>
            <w:right w:val="none" w:sz="0" w:space="0" w:color="auto"/>
          </w:divBdr>
        </w:div>
        <w:div w:id="2093427891">
          <w:marLeft w:val="274"/>
          <w:marRight w:val="0"/>
          <w:marTop w:val="0"/>
          <w:marBottom w:val="0"/>
          <w:divBdr>
            <w:top w:val="none" w:sz="0" w:space="0" w:color="auto"/>
            <w:left w:val="none" w:sz="0" w:space="0" w:color="auto"/>
            <w:bottom w:val="none" w:sz="0" w:space="0" w:color="auto"/>
            <w:right w:val="none" w:sz="0" w:space="0" w:color="auto"/>
          </w:divBdr>
        </w:div>
      </w:divsChild>
    </w:div>
    <w:div w:id="1585726637">
      <w:bodyDiv w:val="1"/>
      <w:marLeft w:val="0"/>
      <w:marRight w:val="0"/>
      <w:marTop w:val="0"/>
      <w:marBottom w:val="0"/>
      <w:divBdr>
        <w:top w:val="none" w:sz="0" w:space="0" w:color="auto"/>
        <w:left w:val="none" w:sz="0" w:space="0" w:color="auto"/>
        <w:bottom w:val="none" w:sz="0" w:space="0" w:color="auto"/>
        <w:right w:val="none" w:sz="0" w:space="0" w:color="auto"/>
      </w:divBdr>
    </w:div>
    <w:div w:id="1599368033">
      <w:bodyDiv w:val="1"/>
      <w:marLeft w:val="0"/>
      <w:marRight w:val="0"/>
      <w:marTop w:val="0"/>
      <w:marBottom w:val="0"/>
      <w:divBdr>
        <w:top w:val="none" w:sz="0" w:space="0" w:color="auto"/>
        <w:left w:val="none" w:sz="0" w:space="0" w:color="auto"/>
        <w:bottom w:val="none" w:sz="0" w:space="0" w:color="auto"/>
        <w:right w:val="none" w:sz="0" w:space="0" w:color="auto"/>
      </w:divBdr>
    </w:div>
    <w:div w:id="1602372477">
      <w:bodyDiv w:val="1"/>
      <w:marLeft w:val="0"/>
      <w:marRight w:val="0"/>
      <w:marTop w:val="0"/>
      <w:marBottom w:val="0"/>
      <w:divBdr>
        <w:top w:val="none" w:sz="0" w:space="0" w:color="auto"/>
        <w:left w:val="none" w:sz="0" w:space="0" w:color="auto"/>
        <w:bottom w:val="none" w:sz="0" w:space="0" w:color="auto"/>
        <w:right w:val="none" w:sz="0" w:space="0" w:color="auto"/>
      </w:divBdr>
    </w:div>
    <w:div w:id="1635211865">
      <w:bodyDiv w:val="1"/>
      <w:marLeft w:val="0"/>
      <w:marRight w:val="0"/>
      <w:marTop w:val="0"/>
      <w:marBottom w:val="0"/>
      <w:divBdr>
        <w:top w:val="none" w:sz="0" w:space="0" w:color="auto"/>
        <w:left w:val="none" w:sz="0" w:space="0" w:color="auto"/>
        <w:bottom w:val="none" w:sz="0" w:space="0" w:color="auto"/>
        <w:right w:val="none" w:sz="0" w:space="0" w:color="auto"/>
      </w:divBdr>
    </w:div>
    <w:div w:id="1674215403">
      <w:bodyDiv w:val="1"/>
      <w:marLeft w:val="0"/>
      <w:marRight w:val="0"/>
      <w:marTop w:val="0"/>
      <w:marBottom w:val="0"/>
      <w:divBdr>
        <w:top w:val="none" w:sz="0" w:space="0" w:color="auto"/>
        <w:left w:val="none" w:sz="0" w:space="0" w:color="auto"/>
        <w:bottom w:val="none" w:sz="0" w:space="0" w:color="auto"/>
        <w:right w:val="none" w:sz="0" w:space="0" w:color="auto"/>
      </w:divBdr>
      <w:divsChild>
        <w:div w:id="500508561">
          <w:marLeft w:val="418"/>
          <w:marRight w:val="0"/>
          <w:marTop w:val="60"/>
          <w:marBottom w:val="0"/>
          <w:divBdr>
            <w:top w:val="none" w:sz="0" w:space="0" w:color="auto"/>
            <w:left w:val="none" w:sz="0" w:space="0" w:color="auto"/>
            <w:bottom w:val="none" w:sz="0" w:space="0" w:color="auto"/>
            <w:right w:val="none" w:sz="0" w:space="0" w:color="auto"/>
          </w:divBdr>
        </w:div>
        <w:div w:id="1358896839">
          <w:marLeft w:val="418"/>
          <w:marRight w:val="0"/>
          <w:marTop w:val="60"/>
          <w:marBottom w:val="0"/>
          <w:divBdr>
            <w:top w:val="none" w:sz="0" w:space="0" w:color="auto"/>
            <w:left w:val="none" w:sz="0" w:space="0" w:color="auto"/>
            <w:bottom w:val="none" w:sz="0" w:space="0" w:color="auto"/>
            <w:right w:val="none" w:sz="0" w:space="0" w:color="auto"/>
          </w:divBdr>
        </w:div>
        <w:div w:id="1371372268">
          <w:marLeft w:val="418"/>
          <w:marRight w:val="0"/>
          <w:marTop w:val="60"/>
          <w:marBottom w:val="0"/>
          <w:divBdr>
            <w:top w:val="none" w:sz="0" w:space="0" w:color="auto"/>
            <w:left w:val="none" w:sz="0" w:space="0" w:color="auto"/>
            <w:bottom w:val="none" w:sz="0" w:space="0" w:color="auto"/>
            <w:right w:val="none" w:sz="0" w:space="0" w:color="auto"/>
          </w:divBdr>
        </w:div>
      </w:divsChild>
    </w:div>
    <w:div w:id="1686327170">
      <w:bodyDiv w:val="1"/>
      <w:marLeft w:val="0"/>
      <w:marRight w:val="0"/>
      <w:marTop w:val="0"/>
      <w:marBottom w:val="0"/>
      <w:divBdr>
        <w:top w:val="none" w:sz="0" w:space="0" w:color="auto"/>
        <w:left w:val="none" w:sz="0" w:space="0" w:color="auto"/>
        <w:bottom w:val="none" w:sz="0" w:space="0" w:color="auto"/>
        <w:right w:val="none" w:sz="0" w:space="0" w:color="auto"/>
      </w:divBdr>
    </w:div>
    <w:div w:id="1761563642">
      <w:bodyDiv w:val="1"/>
      <w:marLeft w:val="0"/>
      <w:marRight w:val="0"/>
      <w:marTop w:val="0"/>
      <w:marBottom w:val="0"/>
      <w:divBdr>
        <w:top w:val="none" w:sz="0" w:space="0" w:color="auto"/>
        <w:left w:val="none" w:sz="0" w:space="0" w:color="auto"/>
        <w:bottom w:val="none" w:sz="0" w:space="0" w:color="auto"/>
        <w:right w:val="none" w:sz="0" w:space="0" w:color="auto"/>
      </w:divBdr>
      <w:divsChild>
        <w:div w:id="270750675">
          <w:marLeft w:val="274"/>
          <w:marRight w:val="0"/>
          <w:marTop w:val="0"/>
          <w:marBottom w:val="0"/>
          <w:divBdr>
            <w:top w:val="none" w:sz="0" w:space="0" w:color="auto"/>
            <w:left w:val="none" w:sz="0" w:space="0" w:color="auto"/>
            <w:bottom w:val="none" w:sz="0" w:space="0" w:color="auto"/>
            <w:right w:val="none" w:sz="0" w:space="0" w:color="auto"/>
          </w:divBdr>
        </w:div>
        <w:div w:id="587497342">
          <w:marLeft w:val="274"/>
          <w:marRight w:val="0"/>
          <w:marTop w:val="0"/>
          <w:marBottom w:val="0"/>
          <w:divBdr>
            <w:top w:val="none" w:sz="0" w:space="0" w:color="auto"/>
            <w:left w:val="none" w:sz="0" w:space="0" w:color="auto"/>
            <w:bottom w:val="none" w:sz="0" w:space="0" w:color="auto"/>
            <w:right w:val="none" w:sz="0" w:space="0" w:color="auto"/>
          </w:divBdr>
        </w:div>
        <w:div w:id="756710088">
          <w:marLeft w:val="274"/>
          <w:marRight w:val="0"/>
          <w:marTop w:val="0"/>
          <w:marBottom w:val="0"/>
          <w:divBdr>
            <w:top w:val="none" w:sz="0" w:space="0" w:color="auto"/>
            <w:left w:val="none" w:sz="0" w:space="0" w:color="auto"/>
            <w:bottom w:val="none" w:sz="0" w:space="0" w:color="auto"/>
            <w:right w:val="none" w:sz="0" w:space="0" w:color="auto"/>
          </w:divBdr>
        </w:div>
        <w:div w:id="811295139">
          <w:marLeft w:val="274"/>
          <w:marRight w:val="0"/>
          <w:marTop w:val="0"/>
          <w:marBottom w:val="0"/>
          <w:divBdr>
            <w:top w:val="none" w:sz="0" w:space="0" w:color="auto"/>
            <w:left w:val="none" w:sz="0" w:space="0" w:color="auto"/>
            <w:bottom w:val="none" w:sz="0" w:space="0" w:color="auto"/>
            <w:right w:val="none" w:sz="0" w:space="0" w:color="auto"/>
          </w:divBdr>
        </w:div>
        <w:div w:id="1011446894">
          <w:marLeft w:val="274"/>
          <w:marRight w:val="0"/>
          <w:marTop w:val="0"/>
          <w:marBottom w:val="0"/>
          <w:divBdr>
            <w:top w:val="none" w:sz="0" w:space="0" w:color="auto"/>
            <w:left w:val="none" w:sz="0" w:space="0" w:color="auto"/>
            <w:bottom w:val="none" w:sz="0" w:space="0" w:color="auto"/>
            <w:right w:val="none" w:sz="0" w:space="0" w:color="auto"/>
          </w:divBdr>
        </w:div>
        <w:div w:id="1207448700">
          <w:marLeft w:val="274"/>
          <w:marRight w:val="0"/>
          <w:marTop w:val="0"/>
          <w:marBottom w:val="0"/>
          <w:divBdr>
            <w:top w:val="none" w:sz="0" w:space="0" w:color="auto"/>
            <w:left w:val="none" w:sz="0" w:space="0" w:color="auto"/>
            <w:bottom w:val="none" w:sz="0" w:space="0" w:color="auto"/>
            <w:right w:val="none" w:sz="0" w:space="0" w:color="auto"/>
          </w:divBdr>
        </w:div>
        <w:div w:id="1222447024">
          <w:marLeft w:val="274"/>
          <w:marRight w:val="0"/>
          <w:marTop w:val="0"/>
          <w:marBottom w:val="0"/>
          <w:divBdr>
            <w:top w:val="none" w:sz="0" w:space="0" w:color="auto"/>
            <w:left w:val="none" w:sz="0" w:space="0" w:color="auto"/>
            <w:bottom w:val="none" w:sz="0" w:space="0" w:color="auto"/>
            <w:right w:val="none" w:sz="0" w:space="0" w:color="auto"/>
          </w:divBdr>
        </w:div>
      </w:divsChild>
    </w:div>
    <w:div w:id="1787459605">
      <w:bodyDiv w:val="1"/>
      <w:marLeft w:val="0"/>
      <w:marRight w:val="0"/>
      <w:marTop w:val="0"/>
      <w:marBottom w:val="0"/>
      <w:divBdr>
        <w:top w:val="none" w:sz="0" w:space="0" w:color="auto"/>
        <w:left w:val="none" w:sz="0" w:space="0" w:color="auto"/>
        <w:bottom w:val="none" w:sz="0" w:space="0" w:color="auto"/>
        <w:right w:val="none" w:sz="0" w:space="0" w:color="auto"/>
      </w:divBdr>
      <w:divsChild>
        <w:div w:id="619069270">
          <w:marLeft w:val="274"/>
          <w:marRight w:val="0"/>
          <w:marTop w:val="120"/>
          <w:marBottom w:val="0"/>
          <w:divBdr>
            <w:top w:val="none" w:sz="0" w:space="0" w:color="auto"/>
            <w:left w:val="none" w:sz="0" w:space="0" w:color="auto"/>
            <w:bottom w:val="none" w:sz="0" w:space="0" w:color="auto"/>
            <w:right w:val="none" w:sz="0" w:space="0" w:color="auto"/>
          </w:divBdr>
        </w:div>
        <w:div w:id="742679264">
          <w:marLeft w:val="274"/>
          <w:marRight w:val="0"/>
          <w:marTop w:val="120"/>
          <w:marBottom w:val="0"/>
          <w:divBdr>
            <w:top w:val="none" w:sz="0" w:space="0" w:color="auto"/>
            <w:left w:val="none" w:sz="0" w:space="0" w:color="auto"/>
            <w:bottom w:val="none" w:sz="0" w:space="0" w:color="auto"/>
            <w:right w:val="none" w:sz="0" w:space="0" w:color="auto"/>
          </w:divBdr>
        </w:div>
        <w:div w:id="895895570">
          <w:marLeft w:val="274"/>
          <w:marRight w:val="0"/>
          <w:marTop w:val="120"/>
          <w:marBottom w:val="0"/>
          <w:divBdr>
            <w:top w:val="none" w:sz="0" w:space="0" w:color="auto"/>
            <w:left w:val="none" w:sz="0" w:space="0" w:color="auto"/>
            <w:bottom w:val="none" w:sz="0" w:space="0" w:color="auto"/>
            <w:right w:val="none" w:sz="0" w:space="0" w:color="auto"/>
          </w:divBdr>
        </w:div>
      </w:divsChild>
    </w:div>
    <w:div w:id="1810392255">
      <w:bodyDiv w:val="1"/>
      <w:marLeft w:val="0"/>
      <w:marRight w:val="0"/>
      <w:marTop w:val="0"/>
      <w:marBottom w:val="0"/>
      <w:divBdr>
        <w:top w:val="none" w:sz="0" w:space="0" w:color="auto"/>
        <w:left w:val="none" w:sz="0" w:space="0" w:color="auto"/>
        <w:bottom w:val="none" w:sz="0" w:space="0" w:color="auto"/>
        <w:right w:val="none" w:sz="0" w:space="0" w:color="auto"/>
      </w:divBdr>
      <w:divsChild>
        <w:div w:id="114370084">
          <w:marLeft w:val="274"/>
          <w:marRight w:val="0"/>
          <w:marTop w:val="0"/>
          <w:marBottom w:val="0"/>
          <w:divBdr>
            <w:top w:val="none" w:sz="0" w:space="0" w:color="auto"/>
            <w:left w:val="none" w:sz="0" w:space="0" w:color="auto"/>
            <w:bottom w:val="none" w:sz="0" w:space="0" w:color="auto"/>
            <w:right w:val="none" w:sz="0" w:space="0" w:color="auto"/>
          </w:divBdr>
        </w:div>
        <w:div w:id="253712434">
          <w:marLeft w:val="274"/>
          <w:marRight w:val="0"/>
          <w:marTop w:val="0"/>
          <w:marBottom w:val="0"/>
          <w:divBdr>
            <w:top w:val="none" w:sz="0" w:space="0" w:color="auto"/>
            <w:left w:val="none" w:sz="0" w:space="0" w:color="auto"/>
            <w:bottom w:val="none" w:sz="0" w:space="0" w:color="auto"/>
            <w:right w:val="none" w:sz="0" w:space="0" w:color="auto"/>
          </w:divBdr>
        </w:div>
        <w:div w:id="294409290">
          <w:marLeft w:val="274"/>
          <w:marRight w:val="0"/>
          <w:marTop w:val="0"/>
          <w:marBottom w:val="0"/>
          <w:divBdr>
            <w:top w:val="none" w:sz="0" w:space="0" w:color="auto"/>
            <w:left w:val="none" w:sz="0" w:space="0" w:color="auto"/>
            <w:bottom w:val="none" w:sz="0" w:space="0" w:color="auto"/>
            <w:right w:val="none" w:sz="0" w:space="0" w:color="auto"/>
          </w:divBdr>
        </w:div>
        <w:div w:id="413936622">
          <w:marLeft w:val="274"/>
          <w:marRight w:val="0"/>
          <w:marTop w:val="0"/>
          <w:marBottom w:val="0"/>
          <w:divBdr>
            <w:top w:val="none" w:sz="0" w:space="0" w:color="auto"/>
            <w:left w:val="none" w:sz="0" w:space="0" w:color="auto"/>
            <w:bottom w:val="none" w:sz="0" w:space="0" w:color="auto"/>
            <w:right w:val="none" w:sz="0" w:space="0" w:color="auto"/>
          </w:divBdr>
        </w:div>
        <w:div w:id="529531220">
          <w:marLeft w:val="274"/>
          <w:marRight w:val="0"/>
          <w:marTop w:val="0"/>
          <w:marBottom w:val="0"/>
          <w:divBdr>
            <w:top w:val="none" w:sz="0" w:space="0" w:color="auto"/>
            <w:left w:val="none" w:sz="0" w:space="0" w:color="auto"/>
            <w:bottom w:val="none" w:sz="0" w:space="0" w:color="auto"/>
            <w:right w:val="none" w:sz="0" w:space="0" w:color="auto"/>
          </w:divBdr>
        </w:div>
        <w:div w:id="846791932">
          <w:marLeft w:val="274"/>
          <w:marRight w:val="0"/>
          <w:marTop w:val="0"/>
          <w:marBottom w:val="0"/>
          <w:divBdr>
            <w:top w:val="none" w:sz="0" w:space="0" w:color="auto"/>
            <w:left w:val="none" w:sz="0" w:space="0" w:color="auto"/>
            <w:bottom w:val="none" w:sz="0" w:space="0" w:color="auto"/>
            <w:right w:val="none" w:sz="0" w:space="0" w:color="auto"/>
          </w:divBdr>
        </w:div>
        <w:div w:id="941374391">
          <w:marLeft w:val="274"/>
          <w:marRight w:val="0"/>
          <w:marTop w:val="0"/>
          <w:marBottom w:val="0"/>
          <w:divBdr>
            <w:top w:val="none" w:sz="0" w:space="0" w:color="auto"/>
            <w:left w:val="none" w:sz="0" w:space="0" w:color="auto"/>
            <w:bottom w:val="none" w:sz="0" w:space="0" w:color="auto"/>
            <w:right w:val="none" w:sz="0" w:space="0" w:color="auto"/>
          </w:divBdr>
        </w:div>
        <w:div w:id="1117331922">
          <w:marLeft w:val="274"/>
          <w:marRight w:val="0"/>
          <w:marTop w:val="0"/>
          <w:marBottom w:val="0"/>
          <w:divBdr>
            <w:top w:val="none" w:sz="0" w:space="0" w:color="auto"/>
            <w:left w:val="none" w:sz="0" w:space="0" w:color="auto"/>
            <w:bottom w:val="none" w:sz="0" w:space="0" w:color="auto"/>
            <w:right w:val="none" w:sz="0" w:space="0" w:color="auto"/>
          </w:divBdr>
        </w:div>
        <w:div w:id="1260791586">
          <w:marLeft w:val="274"/>
          <w:marRight w:val="0"/>
          <w:marTop w:val="0"/>
          <w:marBottom w:val="0"/>
          <w:divBdr>
            <w:top w:val="none" w:sz="0" w:space="0" w:color="auto"/>
            <w:left w:val="none" w:sz="0" w:space="0" w:color="auto"/>
            <w:bottom w:val="none" w:sz="0" w:space="0" w:color="auto"/>
            <w:right w:val="none" w:sz="0" w:space="0" w:color="auto"/>
          </w:divBdr>
        </w:div>
        <w:div w:id="1522624403">
          <w:marLeft w:val="274"/>
          <w:marRight w:val="0"/>
          <w:marTop w:val="0"/>
          <w:marBottom w:val="0"/>
          <w:divBdr>
            <w:top w:val="none" w:sz="0" w:space="0" w:color="auto"/>
            <w:left w:val="none" w:sz="0" w:space="0" w:color="auto"/>
            <w:bottom w:val="none" w:sz="0" w:space="0" w:color="auto"/>
            <w:right w:val="none" w:sz="0" w:space="0" w:color="auto"/>
          </w:divBdr>
        </w:div>
        <w:div w:id="1594969661">
          <w:marLeft w:val="274"/>
          <w:marRight w:val="0"/>
          <w:marTop w:val="0"/>
          <w:marBottom w:val="0"/>
          <w:divBdr>
            <w:top w:val="none" w:sz="0" w:space="0" w:color="auto"/>
            <w:left w:val="none" w:sz="0" w:space="0" w:color="auto"/>
            <w:bottom w:val="none" w:sz="0" w:space="0" w:color="auto"/>
            <w:right w:val="none" w:sz="0" w:space="0" w:color="auto"/>
          </w:divBdr>
        </w:div>
        <w:div w:id="1724980803">
          <w:marLeft w:val="274"/>
          <w:marRight w:val="0"/>
          <w:marTop w:val="0"/>
          <w:marBottom w:val="0"/>
          <w:divBdr>
            <w:top w:val="none" w:sz="0" w:space="0" w:color="auto"/>
            <w:left w:val="none" w:sz="0" w:space="0" w:color="auto"/>
            <w:bottom w:val="none" w:sz="0" w:space="0" w:color="auto"/>
            <w:right w:val="none" w:sz="0" w:space="0" w:color="auto"/>
          </w:divBdr>
        </w:div>
        <w:div w:id="1808431035">
          <w:marLeft w:val="274"/>
          <w:marRight w:val="0"/>
          <w:marTop w:val="0"/>
          <w:marBottom w:val="0"/>
          <w:divBdr>
            <w:top w:val="none" w:sz="0" w:space="0" w:color="auto"/>
            <w:left w:val="none" w:sz="0" w:space="0" w:color="auto"/>
            <w:bottom w:val="none" w:sz="0" w:space="0" w:color="auto"/>
            <w:right w:val="none" w:sz="0" w:space="0" w:color="auto"/>
          </w:divBdr>
        </w:div>
        <w:div w:id="1820613087">
          <w:marLeft w:val="274"/>
          <w:marRight w:val="0"/>
          <w:marTop w:val="0"/>
          <w:marBottom w:val="0"/>
          <w:divBdr>
            <w:top w:val="none" w:sz="0" w:space="0" w:color="auto"/>
            <w:left w:val="none" w:sz="0" w:space="0" w:color="auto"/>
            <w:bottom w:val="none" w:sz="0" w:space="0" w:color="auto"/>
            <w:right w:val="none" w:sz="0" w:space="0" w:color="auto"/>
          </w:divBdr>
        </w:div>
        <w:div w:id="1838379581">
          <w:marLeft w:val="274"/>
          <w:marRight w:val="0"/>
          <w:marTop w:val="0"/>
          <w:marBottom w:val="0"/>
          <w:divBdr>
            <w:top w:val="none" w:sz="0" w:space="0" w:color="auto"/>
            <w:left w:val="none" w:sz="0" w:space="0" w:color="auto"/>
            <w:bottom w:val="none" w:sz="0" w:space="0" w:color="auto"/>
            <w:right w:val="none" w:sz="0" w:space="0" w:color="auto"/>
          </w:divBdr>
        </w:div>
        <w:div w:id="1958178289">
          <w:marLeft w:val="274"/>
          <w:marRight w:val="0"/>
          <w:marTop w:val="0"/>
          <w:marBottom w:val="0"/>
          <w:divBdr>
            <w:top w:val="none" w:sz="0" w:space="0" w:color="auto"/>
            <w:left w:val="none" w:sz="0" w:space="0" w:color="auto"/>
            <w:bottom w:val="none" w:sz="0" w:space="0" w:color="auto"/>
            <w:right w:val="none" w:sz="0" w:space="0" w:color="auto"/>
          </w:divBdr>
        </w:div>
        <w:div w:id="2108959543">
          <w:marLeft w:val="274"/>
          <w:marRight w:val="0"/>
          <w:marTop w:val="0"/>
          <w:marBottom w:val="0"/>
          <w:divBdr>
            <w:top w:val="none" w:sz="0" w:space="0" w:color="auto"/>
            <w:left w:val="none" w:sz="0" w:space="0" w:color="auto"/>
            <w:bottom w:val="none" w:sz="0" w:space="0" w:color="auto"/>
            <w:right w:val="none" w:sz="0" w:space="0" w:color="auto"/>
          </w:divBdr>
        </w:div>
        <w:div w:id="2115324030">
          <w:marLeft w:val="274"/>
          <w:marRight w:val="0"/>
          <w:marTop w:val="0"/>
          <w:marBottom w:val="0"/>
          <w:divBdr>
            <w:top w:val="none" w:sz="0" w:space="0" w:color="auto"/>
            <w:left w:val="none" w:sz="0" w:space="0" w:color="auto"/>
            <w:bottom w:val="none" w:sz="0" w:space="0" w:color="auto"/>
            <w:right w:val="none" w:sz="0" w:space="0" w:color="auto"/>
          </w:divBdr>
        </w:div>
      </w:divsChild>
    </w:div>
    <w:div w:id="1810972362">
      <w:bodyDiv w:val="1"/>
      <w:marLeft w:val="0"/>
      <w:marRight w:val="0"/>
      <w:marTop w:val="0"/>
      <w:marBottom w:val="0"/>
      <w:divBdr>
        <w:top w:val="none" w:sz="0" w:space="0" w:color="auto"/>
        <w:left w:val="none" w:sz="0" w:space="0" w:color="auto"/>
        <w:bottom w:val="none" w:sz="0" w:space="0" w:color="auto"/>
        <w:right w:val="none" w:sz="0" w:space="0" w:color="auto"/>
      </w:divBdr>
    </w:div>
    <w:div w:id="1845628710">
      <w:bodyDiv w:val="1"/>
      <w:marLeft w:val="0"/>
      <w:marRight w:val="0"/>
      <w:marTop w:val="0"/>
      <w:marBottom w:val="0"/>
      <w:divBdr>
        <w:top w:val="none" w:sz="0" w:space="0" w:color="auto"/>
        <w:left w:val="none" w:sz="0" w:space="0" w:color="auto"/>
        <w:bottom w:val="none" w:sz="0" w:space="0" w:color="auto"/>
        <w:right w:val="none" w:sz="0" w:space="0" w:color="auto"/>
      </w:divBdr>
      <w:divsChild>
        <w:div w:id="97262920">
          <w:marLeft w:val="274"/>
          <w:marRight w:val="0"/>
          <w:marTop w:val="120"/>
          <w:marBottom w:val="0"/>
          <w:divBdr>
            <w:top w:val="none" w:sz="0" w:space="0" w:color="auto"/>
            <w:left w:val="none" w:sz="0" w:space="0" w:color="auto"/>
            <w:bottom w:val="none" w:sz="0" w:space="0" w:color="auto"/>
            <w:right w:val="none" w:sz="0" w:space="0" w:color="auto"/>
          </w:divBdr>
        </w:div>
        <w:div w:id="561797197">
          <w:marLeft w:val="274"/>
          <w:marRight w:val="0"/>
          <w:marTop w:val="120"/>
          <w:marBottom w:val="0"/>
          <w:divBdr>
            <w:top w:val="none" w:sz="0" w:space="0" w:color="auto"/>
            <w:left w:val="none" w:sz="0" w:space="0" w:color="auto"/>
            <w:bottom w:val="none" w:sz="0" w:space="0" w:color="auto"/>
            <w:right w:val="none" w:sz="0" w:space="0" w:color="auto"/>
          </w:divBdr>
        </w:div>
      </w:divsChild>
    </w:div>
    <w:div w:id="1852721053">
      <w:bodyDiv w:val="1"/>
      <w:marLeft w:val="0"/>
      <w:marRight w:val="0"/>
      <w:marTop w:val="0"/>
      <w:marBottom w:val="0"/>
      <w:divBdr>
        <w:top w:val="none" w:sz="0" w:space="0" w:color="auto"/>
        <w:left w:val="none" w:sz="0" w:space="0" w:color="auto"/>
        <w:bottom w:val="none" w:sz="0" w:space="0" w:color="auto"/>
        <w:right w:val="none" w:sz="0" w:space="0" w:color="auto"/>
      </w:divBdr>
    </w:div>
    <w:div w:id="1855608245">
      <w:bodyDiv w:val="1"/>
      <w:marLeft w:val="0"/>
      <w:marRight w:val="0"/>
      <w:marTop w:val="0"/>
      <w:marBottom w:val="0"/>
      <w:divBdr>
        <w:top w:val="none" w:sz="0" w:space="0" w:color="auto"/>
        <w:left w:val="none" w:sz="0" w:space="0" w:color="auto"/>
        <w:bottom w:val="none" w:sz="0" w:space="0" w:color="auto"/>
        <w:right w:val="none" w:sz="0" w:space="0" w:color="auto"/>
      </w:divBdr>
    </w:div>
    <w:div w:id="1856577783">
      <w:bodyDiv w:val="1"/>
      <w:marLeft w:val="0"/>
      <w:marRight w:val="0"/>
      <w:marTop w:val="0"/>
      <w:marBottom w:val="0"/>
      <w:divBdr>
        <w:top w:val="none" w:sz="0" w:space="0" w:color="auto"/>
        <w:left w:val="none" w:sz="0" w:space="0" w:color="auto"/>
        <w:bottom w:val="none" w:sz="0" w:space="0" w:color="auto"/>
        <w:right w:val="none" w:sz="0" w:space="0" w:color="auto"/>
      </w:divBdr>
    </w:div>
    <w:div w:id="1856796967">
      <w:bodyDiv w:val="1"/>
      <w:marLeft w:val="0"/>
      <w:marRight w:val="0"/>
      <w:marTop w:val="0"/>
      <w:marBottom w:val="0"/>
      <w:divBdr>
        <w:top w:val="none" w:sz="0" w:space="0" w:color="auto"/>
        <w:left w:val="none" w:sz="0" w:space="0" w:color="auto"/>
        <w:bottom w:val="none" w:sz="0" w:space="0" w:color="auto"/>
        <w:right w:val="none" w:sz="0" w:space="0" w:color="auto"/>
      </w:divBdr>
    </w:div>
    <w:div w:id="1881237917">
      <w:bodyDiv w:val="1"/>
      <w:marLeft w:val="0"/>
      <w:marRight w:val="0"/>
      <w:marTop w:val="0"/>
      <w:marBottom w:val="0"/>
      <w:divBdr>
        <w:top w:val="none" w:sz="0" w:space="0" w:color="auto"/>
        <w:left w:val="none" w:sz="0" w:space="0" w:color="auto"/>
        <w:bottom w:val="none" w:sz="0" w:space="0" w:color="auto"/>
        <w:right w:val="none" w:sz="0" w:space="0" w:color="auto"/>
      </w:divBdr>
    </w:div>
    <w:div w:id="1893075776">
      <w:bodyDiv w:val="1"/>
      <w:marLeft w:val="0"/>
      <w:marRight w:val="0"/>
      <w:marTop w:val="0"/>
      <w:marBottom w:val="0"/>
      <w:divBdr>
        <w:top w:val="none" w:sz="0" w:space="0" w:color="auto"/>
        <w:left w:val="none" w:sz="0" w:space="0" w:color="auto"/>
        <w:bottom w:val="none" w:sz="0" w:space="0" w:color="auto"/>
        <w:right w:val="none" w:sz="0" w:space="0" w:color="auto"/>
      </w:divBdr>
    </w:div>
    <w:div w:id="1937399397">
      <w:bodyDiv w:val="1"/>
      <w:marLeft w:val="0"/>
      <w:marRight w:val="0"/>
      <w:marTop w:val="0"/>
      <w:marBottom w:val="0"/>
      <w:divBdr>
        <w:top w:val="none" w:sz="0" w:space="0" w:color="auto"/>
        <w:left w:val="none" w:sz="0" w:space="0" w:color="auto"/>
        <w:bottom w:val="none" w:sz="0" w:space="0" w:color="auto"/>
        <w:right w:val="none" w:sz="0" w:space="0" w:color="auto"/>
      </w:divBdr>
    </w:div>
    <w:div w:id="1970502860">
      <w:bodyDiv w:val="1"/>
      <w:marLeft w:val="0"/>
      <w:marRight w:val="0"/>
      <w:marTop w:val="0"/>
      <w:marBottom w:val="0"/>
      <w:divBdr>
        <w:top w:val="none" w:sz="0" w:space="0" w:color="auto"/>
        <w:left w:val="none" w:sz="0" w:space="0" w:color="auto"/>
        <w:bottom w:val="none" w:sz="0" w:space="0" w:color="auto"/>
        <w:right w:val="none" w:sz="0" w:space="0" w:color="auto"/>
      </w:divBdr>
      <w:divsChild>
        <w:div w:id="104816652">
          <w:marLeft w:val="274"/>
          <w:marRight w:val="0"/>
          <w:marTop w:val="0"/>
          <w:marBottom w:val="0"/>
          <w:divBdr>
            <w:top w:val="none" w:sz="0" w:space="0" w:color="auto"/>
            <w:left w:val="none" w:sz="0" w:space="0" w:color="auto"/>
            <w:bottom w:val="none" w:sz="0" w:space="0" w:color="auto"/>
            <w:right w:val="none" w:sz="0" w:space="0" w:color="auto"/>
          </w:divBdr>
        </w:div>
        <w:div w:id="178351943">
          <w:marLeft w:val="274"/>
          <w:marRight w:val="0"/>
          <w:marTop w:val="0"/>
          <w:marBottom w:val="0"/>
          <w:divBdr>
            <w:top w:val="none" w:sz="0" w:space="0" w:color="auto"/>
            <w:left w:val="none" w:sz="0" w:space="0" w:color="auto"/>
            <w:bottom w:val="none" w:sz="0" w:space="0" w:color="auto"/>
            <w:right w:val="none" w:sz="0" w:space="0" w:color="auto"/>
          </w:divBdr>
        </w:div>
        <w:div w:id="425031215">
          <w:marLeft w:val="274"/>
          <w:marRight w:val="0"/>
          <w:marTop w:val="0"/>
          <w:marBottom w:val="0"/>
          <w:divBdr>
            <w:top w:val="none" w:sz="0" w:space="0" w:color="auto"/>
            <w:left w:val="none" w:sz="0" w:space="0" w:color="auto"/>
            <w:bottom w:val="none" w:sz="0" w:space="0" w:color="auto"/>
            <w:right w:val="none" w:sz="0" w:space="0" w:color="auto"/>
          </w:divBdr>
        </w:div>
        <w:div w:id="450319830">
          <w:marLeft w:val="274"/>
          <w:marRight w:val="0"/>
          <w:marTop w:val="0"/>
          <w:marBottom w:val="0"/>
          <w:divBdr>
            <w:top w:val="none" w:sz="0" w:space="0" w:color="auto"/>
            <w:left w:val="none" w:sz="0" w:space="0" w:color="auto"/>
            <w:bottom w:val="none" w:sz="0" w:space="0" w:color="auto"/>
            <w:right w:val="none" w:sz="0" w:space="0" w:color="auto"/>
          </w:divBdr>
        </w:div>
        <w:div w:id="595556652">
          <w:marLeft w:val="274"/>
          <w:marRight w:val="0"/>
          <w:marTop w:val="0"/>
          <w:marBottom w:val="0"/>
          <w:divBdr>
            <w:top w:val="none" w:sz="0" w:space="0" w:color="auto"/>
            <w:left w:val="none" w:sz="0" w:space="0" w:color="auto"/>
            <w:bottom w:val="none" w:sz="0" w:space="0" w:color="auto"/>
            <w:right w:val="none" w:sz="0" w:space="0" w:color="auto"/>
          </w:divBdr>
        </w:div>
        <w:div w:id="602032580">
          <w:marLeft w:val="274"/>
          <w:marRight w:val="0"/>
          <w:marTop w:val="0"/>
          <w:marBottom w:val="0"/>
          <w:divBdr>
            <w:top w:val="none" w:sz="0" w:space="0" w:color="auto"/>
            <w:left w:val="none" w:sz="0" w:space="0" w:color="auto"/>
            <w:bottom w:val="none" w:sz="0" w:space="0" w:color="auto"/>
            <w:right w:val="none" w:sz="0" w:space="0" w:color="auto"/>
          </w:divBdr>
        </w:div>
        <w:div w:id="645935139">
          <w:marLeft w:val="274"/>
          <w:marRight w:val="0"/>
          <w:marTop w:val="0"/>
          <w:marBottom w:val="0"/>
          <w:divBdr>
            <w:top w:val="none" w:sz="0" w:space="0" w:color="auto"/>
            <w:left w:val="none" w:sz="0" w:space="0" w:color="auto"/>
            <w:bottom w:val="none" w:sz="0" w:space="0" w:color="auto"/>
            <w:right w:val="none" w:sz="0" w:space="0" w:color="auto"/>
          </w:divBdr>
        </w:div>
        <w:div w:id="869876461">
          <w:marLeft w:val="274"/>
          <w:marRight w:val="0"/>
          <w:marTop w:val="0"/>
          <w:marBottom w:val="0"/>
          <w:divBdr>
            <w:top w:val="none" w:sz="0" w:space="0" w:color="auto"/>
            <w:left w:val="none" w:sz="0" w:space="0" w:color="auto"/>
            <w:bottom w:val="none" w:sz="0" w:space="0" w:color="auto"/>
            <w:right w:val="none" w:sz="0" w:space="0" w:color="auto"/>
          </w:divBdr>
        </w:div>
        <w:div w:id="1258640528">
          <w:marLeft w:val="274"/>
          <w:marRight w:val="0"/>
          <w:marTop w:val="0"/>
          <w:marBottom w:val="0"/>
          <w:divBdr>
            <w:top w:val="none" w:sz="0" w:space="0" w:color="auto"/>
            <w:left w:val="none" w:sz="0" w:space="0" w:color="auto"/>
            <w:bottom w:val="none" w:sz="0" w:space="0" w:color="auto"/>
            <w:right w:val="none" w:sz="0" w:space="0" w:color="auto"/>
          </w:divBdr>
        </w:div>
        <w:div w:id="1298103098">
          <w:marLeft w:val="274"/>
          <w:marRight w:val="0"/>
          <w:marTop w:val="0"/>
          <w:marBottom w:val="0"/>
          <w:divBdr>
            <w:top w:val="none" w:sz="0" w:space="0" w:color="auto"/>
            <w:left w:val="none" w:sz="0" w:space="0" w:color="auto"/>
            <w:bottom w:val="none" w:sz="0" w:space="0" w:color="auto"/>
            <w:right w:val="none" w:sz="0" w:space="0" w:color="auto"/>
          </w:divBdr>
        </w:div>
        <w:div w:id="1357845721">
          <w:marLeft w:val="274"/>
          <w:marRight w:val="0"/>
          <w:marTop w:val="0"/>
          <w:marBottom w:val="0"/>
          <w:divBdr>
            <w:top w:val="none" w:sz="0" w:space="0" w:color="auto"/>
            <w:left w:val="none" w:sz="0" w:space="0" w:color="auto"/>
            <w:bottom w:val="none" w:sz="0" w:space="0" w:color="auto"/>
            <w:right w:val="none" w:sz="0" w:space="0" w:color="auto"/>
          </w:divBdr>
        </w:div>
        <w:div w:id="1471944844">
          <w:marLeft w:val="274"/>
          <w:marRight w:val="0"/>
          <w:marTop w:val="0"/>
          <w:marBottom w:val="0"/>
          <w:divBdr>
            <w:top w:val="none" w:sz="0" w:space="0" w:color="auto"/>
            <w:left w:val="none" w:sz="0" w:space="0" w:color="auto"/>
            <w:bottom w:val="none" w:sz="0" w:space="0" w:color="auto"/>
            <w:right w:val="none" w:sz="0" w:space="0" w:color="auto"/>
          </w:divBdr>
        </w:div>
        <w:div w:id="1500541025">
          <w:marLeft w:val="274"/>
          <w:marRight w:val="0"/>
          <w:marTop w:val="0"/>
          <w:marBottom w:val="0"/>
          <w:divBdr>
            <w:top w:val="none" w:sz="0" w:space="0" w:color="auto"/>
            <w:left w:val="none" w:sz="0" w:space="0" w:color="auto"/>
            <w:bottom w:val="none" w:sz="0" w:space="0" w:color="auto"/>
            <w:right w:val="none" w:sz="0" w:space="0" w:color="auto"/>
          </w:divBdr>
        </w:div>
        <w:div w:id="1641380549">
          <w:marLeft w:val="274"/>
          <w:marRight w:val="0"/>
          <w:marTop w:val="0"/>
          <w:marBottom w:val="0"/>
          <w:divBdr>
            <w:top w:val="none" w:sz="0" w:space="0" w:color="auto"/>
            <w:left w:val="none" w:sz="0" w:space="0" w:color="auto"/>
            <w:bottom w:val="none" w:sz="0" w:space="0" w:color="auto"/>
            <w:right w:val="none" w:sz="0" w:space="0" w:color="auto"/>
          </w:divBdr>
        </w:div>
        <w:div w:id="1659578088">
          <w:marLeft w:val="274"/>
          <w:marRight w:val="0"/>
          <w:marTop w:val="0"/>
          <w:marBottom w:val="0"/>
          <w:divBdr>
            <w:top w:val="none" w:sz="0" w:space="0" w:color="auto"/>
            <w:left w:val="none" w:sz="0" w:space="0" w:color="auto"/>
            <w:bottom w:val="none" w:sz="0" w:space="0" w:color="auto"/>
            <w:right w:val="none" w:sz="0" w:space="0" w:color="auto"/>
          </w:divBdr>
        </w:div>
        <w:div w:id="1727872138">
          <w:marLeft w:val="274"/>
          <w:marRight w:val="0"/>
          <w:marTop w:val="0"/>
          <w:marBottom w:val="0"/>
          <w:divBdr>
            <w:top w:val="none" w:sz="0" w:space="0" w:color="auto"/>
            <w:left w:val="none" w:sz="0" w:space="0" w:color="auto"/>
            <w:bottom w:val="none" w:sz="0" w:space="0" w:color="auto"/>
            <w:right w:val="none" w:sz="0" w:space="0" w:color="auto"/>
          </w:divBdr>
        </w:div>
        <w:div w:id="1731151604">
          <w:marLeft w:val="274"/>
          <w:marRight w:val="0"/>
          <w:marTop w:val="0"/>
          <w:marBottom w:val="0"/>
          <w:divBdr>
            <w:top w:val="none" w:sz="0" w:space="0" w:color="auto"/>
            <w:left w:val="none" w:sz="0" w:space="0" w:color="auto"/>
            <w:bottom w:val="none" w:sz="0" w:space="0" w:color="auto"/>
            <w:right w:val="none" w:sz="0" w:space="0" w:color="auto"/>
          </w:divBdr>
        </w:div>
        <w:div w:id="1823423456">
          <w:marLeft w:val="274"/>
          <w:marRight w:val="0"/>
          <w:marTop w:val="0"/>
          <w:marBottom w:val="0"/>
          <w:divBdr>
            <w:top w:val="none" w:sz="0" w:space="0" w:color="auto"/>
            <w:left w:val="none" w:sz="0" w:space="0" w:color="auto"/>
            <w:bottom w:val="none" w:sz="0" w:space="0" w:color="auto"/>
            <w:right w:val="none" w:sz="0" w:space="0" w:color="auto"/>
          </w:divBdr>
        </w:div>
        <w:div w:id="1877085406">
          <w:marLeft w:val="274"/>
          <w:marRight w:val="0"/>
          <w:marTop w:val="0"/>
          <w:marBottom w:val="0"/>
          <w:divBdr>
            <w:top w:val="none" w:sz="0" w:space="0" w:color="auto"/>
            <w:left w:val="none" w:sz="0" w:space="0" w:color="auto"/>
            <w:bottom w:val="none" w:sz="0" w:space="0" w:color="auto"/>
            <w:right w:val="none" w:sz="0" w:space="0" w:color="auto"/>
          </w:divBdr>
        </w:div>
        <w:div w:id="1905918469">
          <w:marLeft w:val="274"/>
          <w:marRight w:val="0"/>
          <w:marTop w:val="0"/>
          <w:marBottom w:val="0"/>
          <w:divBdr>
            <w:top w:val="none" w:sz="0" w:space="0" w:color="auto"/>
            <w:left w:val="none" w:sz="0" w:space="0" w:color="auto"/>
            <w:bottom w:val="none" w:sz="0" w:space="0" w:color="auto"/>
            <w:right w:val="none" w:sz="0" w:space="0" w:color="auto"/>
          </w:divBdr>
        </w:div>
        <w:div w:id="2053648347">
          <w:marLeft w:val="274"/>
          <w:marRight w:val="0"/>
          <w:marTop w:val="0"/>
          <w:marBottom w:val="0"/>
          <w:divBdr>
            <w:top w:val="none" w:sz="0" w:space="0" w:color="auto"/>
            <w:left w:val="none" w:sz="0" w:space="0" w:color="auto"/>
            <w:bottom w:val="none" w:sz="0" w:space="0" w:color="auto"/>
            <w:right w:val="none" w:sz="0" w:space="0" w:color="auto"/>
          </w:divBdr>
        </w:div>
        <w:div w:id="2114394817">
          <w:marLeft w:val="274"/>
          <w:marRight w:val="0"/>
          <w:marTop w:val="0"/>
          <w:marBottom w:val="0"/>
          <w:divBdr>
            <w:top w:val="none" w:sz="0" w:space="0" w:color="auto"/>
            <w:left w:val="none" w:sz="0" w:space="0" w:color="auto"/>
            <w:bottom w:val="none" w:sz="0" w:space="0" w:color="auto"/>
            <w:right w:val="none" w:sz="0" w:space="0" w:color="auto"/>
          </w:divBdr>
        </w:div>
      </w:divsChild>
    </w:div>
    <w:div w:id="1982803910">
      <w:bodyDiv w:val="1"/>
      <w:marLeft w:val="0"/>
      <w:marRight w:val="0"/>
      <w:marTop w:val="0"/>
      <w:marBottom w:val="0"/>
      <w:divBdr>
        <w:top w:val="none" w:sz="0" w:space="0" w:color="auto"/>
        <w:left w:val="none" w:sz="0" w:space="0" w:color="auto"/>
        <w:bottom w:val="none" w:sz="0" w:space="0" w:color="auto"/>
        <w:right w:val="none" w:sz="0" w:space="0" w:color="auto"/>
      </w:divBdr>
    </w:div>
    <w:div w:id="2006781016">
      <w:bodyDiv w:val="1"/>
      <w:marLeft w:val="0"/>
      <w:marRight w:val="0"/>
      <w:marTop w:val="0"/>
      <w:marBottom w:val="0"/>
      <w:divBdr>
        <w:top w:val="none" w:sz="0" w:space="0" w:color="auto"/>
        <w:left w:val="none" w:sz="0" w:space="0" w:color="auto"/>
        <w:bottom w:val="none" w:sz="0" w:space="0" w:color="auto"/>
        <w:right w:val="none" w:sz="0" w:space="0" w:color="auto"/>
      </w:divBdr>
    </w:div>
    <w:div w:id="2009821391">
      <w:bodyDiv w:val="1"/>
      <w:marLeft w:val="0"/>
      <w:marRight w:val="0"/>
      <w:marTop w:val="0"/>
      <w:marBottom w:val="0"/>
      <w:divBdr>
        <w:top w:val="none" w:sz="0" w:space="0" w:color="auto"/>
        <w:left w:val="none" w:sz="0" w:space="0" w:color="auto"/>
        <w:bottom w:val="none" w:sz="0" w:space="0" w:color="auto"/>
        <w:right w:val="none" w:sz="0" w:space="0" w:color="auto"/>
      </w:divBdr>
    </w:div>
    <w:div w:id="2022585839">
      <w:bodyDiv w:val="1"/>
      <w:marLeft w:val="0"/>
      <w:marRight w:val="0"/>
      <w:marTop w:val="0"/>
      <w:marBottom w:val="0"/>
      <w:divBdr>
        <w:top w:val="none" w:sz="0" w:space="0" w:color="auto"/>
        <w:left w:val="none" w:sz="0" w:space="0" w:color="auto"/>
        <w:bottom w:val="none" w:sz="0" w:space="0" w:color="auto"/>
        <w:right w:val="none" w:sz="0" w:space="0" w:color="auto"/>
      </w:divBdr>
    </w:div>
    <w:div w:id="2047288938">
      <w:bodyDiv w:val="1"/>
      <w:marLeft w:val="0"/>
      <w:marRight w:val="0"/>
      <w:marTop w:val="0"/>
      <w:marBottom w:val="0"/>
      <w:divBdr>
        <w:top w:val="none" w:sz="0" w:space="0" w:color="auto"/>
        <w:left w:val="none" w:sz="0" w:space="0" w:color="auto"/>
        <w:bottom w:val="none" w:sz="0" w:space="0" w:color="auto"/>
        <w:right w:val="none" w:sz="0" w:space="0" w:color="auto"/>
      </w:divBdr>
    </w:div>
    <w:div w:id="2090733023">
      <w:bodyDiv w:val="1"/>
      <w:marLeft w:val="0"/>
      <w:marRight w:val="0"/>
      <w:marTop w:val="0"/>
      <w:marBottom w:val="0"/>
      <w:divBdr>
        <w:top w:val="none" w:sz="0" w:space="0" w:color="auto"/>
        <w:left w:val="none" w:sz="0" w:space="0" w:color="auto"/>
        <w:bottom w:val="none" w:sz="0" w:space="0" w:color="auto"/>
        <w:right w:val="none" w:sz="0" w:space="0" w:color="auto"/>
      </w:divBdr>
    </w:div>
    <w:div w:id="2096589113">
      <w:bodyDiv w:val="1"/>
      <w:marLeft w:val="0"/>
      <w:marRight w:val="0"/>
      <w:marTop w:val="0"/>
      <w:marBottom w:val="0"/>
      <w:divBdr>
        <w:top w:val="none" w:sz="0" w:space="0" w:color="auto"/>
        <w:left w:val="none" w:sz="0" w:space="0" w:color="auto"/>
        <w:bottom w:val="none" w:sz="0" w:space="0" w:color="auto"/>
        <w:right w:val="none" w:sz="0" w:space="0" w:color="auto"/>
      </w:divBdr>
    </w:div>
    <w:div w:id="2119787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emf"/><Relationship Id="rId47" Type="http://schemas.openxmlformats.org/officeDocument/2006/relationships/header" Target="header5.xml"/><Relationship Id="rId63" Type="http://schemas.openxmlformats.org/officeDocument/2006/relationships/image" Target="media/image46.emf"/><Relationship Id="rId68" Type="http://schemas.openxmlformats.org/officeDocument/2006/relationships/image" Target="media/image51.emf"/><Relationship Id="rId84" Type="http://schemas.openxmlformats.org/officeDocument/2006/relationships/image" Target="media/image65.png"/><Relationship Id="rId89" Type="http://schemas.openxmlformats.org/officeDocument/2006/relationships/image" Target="media/image70.png"/><Relationship Id="rId16" Type="http://schemas.openxmlformats.org/officeDocument/2006/relationships/image" Target="media/image5.png"/><Relationship Id="rId11" Type="http://schemas.openxmlformats.org/officeDocument/2006/relationships/footer" Target="footer1.xml"/><Relationship Id="rId32" Type="http://schemas.openxmlformats.org/officeDocument/2006/relationships/image" Target="media/image21.emf"/><Relationship Id="rId37" Type="http://schemas.openxmlformats.org/officeDocument/2006/relationships/image" Target="media/image26.emf"/><Relationship Id="rId53" Type="http://schemas.openxmlformats.org/officeDocument/2006/relationships/header" Target="header8.xml"/><Relationship Id="rId58" Type="http://schemas.openxmlformats.org/officeDocument/2006/relationships/image" Target="media/image41.emf"/><Relationship Id="rId74" Type="http://schemas.openxmlformats.org/officeDocument/2006/relationships/image" Target="media/image57.png"/><Relationship Id="rId79" Type="http://schemas.openxmlformats.org/officeDocument/2006/relationships/image" Target="media/image60.png"/><Relationship Id="rId102"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71.png"/><Relationship Id="rId95" Type="http://schemas.openxmlformats.org/officeDocument/2006/relationships/image" Target="media/image75.png"/><Relationship Id="rId22" Type="http://schemas.openxmlformats.org/officeDocument/2006/relationships/image" Target="media/image11.png"/><Relationship Id="rId27" Type="http://schemas.openxmlformats.org/officeDocument/2006/relationships/image" Target="media/image16.emf"/><Relationship Id="rId43" Type="http://schemas.openxmlformats.org/officeDocument/2006/relationships/image" Target="media/image32.emf"/><Relationship Id="rId48" Type="http://schemas.openxmlformats.org/officeDocument/2006/relationships/header" Target="header6.xml"/><Relationship Id="rId64" Type="http://schemas.openxmlformats.org/officeDocument/2006/relationships/image" Target="media/image47.emf"/><Relationship Id="rId69" Type="http://schemas.openxmlformats.org/officeDocument/2006/relationships/image" Target="media/image52.emf"/><Relationship Id="rId80" Type="http://schemas.openxmlformats.org/officeDocument/2006/relationships/image" Target="media/image61.png"/><Relationship Id="rId85" Type="http://schemas.openxmlformats.org/officeDocument/2006/relationships/image" Target="media/image66.png"/><Relationship Id="rId12" Type="http://schemas.openxmlformats.org/officeDocument/2006/relationships/header" Target="header2.xml"/><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5.emf"/><Relationship Id="rId59" Type="http://schemas.openxmlformats.org/officeDocument/2006/relationships/image" Target="media/image42.emf"/><Relationship Id="rId67" Type="http://schemas.openxmlformats.org/officeDocument/2006/relationships/image" Target="media/image50.png"/><Relationship Id="rId20" Type="http://schemas.openxmlformats.org/officeDocument/2006/relationships/image" Target="media/image9.emf"/><Relationship Id="rId41" Type="http://schemas.openxmlformats.org/officeDocument/2006/relationships/image" Target="media/image30.png"/><Relationship Id="rId54" Type="http://schemas.openxmlformats.org/officeDocument/2006/relationships/image" Target="media/image37.png"/><Relationship Id="rId62" Type="http://schemas.openxmlformats.org/officeDocument/2006/relationships/image" Target="media/image45.emf"/><Relationship Id="rId70" Type="http://schemas.openxmlformats.org/officeDocument/2006/relationships/image" Target="media/image53.emf"/><Relationship Id="rId75" Type="http://schemas.openxmlformats.org/officeDocument/2006/relationships/image" Target="media/image58.emf"/><Relationship Id="rId83" Type="http://schemas.openxmlformats.org/officeDocument/2006/relationships/image" Target="media/image64.png"/><Relationship Id="rId88" Type="http://schemas.openxmlformats.org/officeDocument/2006/relationships/image" Target="media/image69.png"/><Relationship Id="rId91" Type="http://schemas.openxmlformats.org/officeDocument/2006/relationships/header" Target="header10.xml"/><Relationship Id="rId96" Type="http://schemas.openxmlformats.org/officeDocument/2006/relationships/image" Target="media/image7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footer" Target="footer2.xml"/><Relationship Id="rId57" Type="http://schemas.openxmlformats.org/officeDocument/2006/relationships/image" Target="media/image40.emf"/><Relationship Id="rId10" Type="http://schemas.openxmlformats.org/officeDocument/2006/relationships/header" Target="header1.xml"/><Relationship Id="rId31" Type="http://schemas.openxmlformats.org/officeDocument/2006/relationships/image" Target="media/image20.emf"/><Relationship Id="rId44" Type="http://schemas.openxmlformats.org/officeDocument/2006/relationships/image" Target="media/image33.emf"/><Relationship Id="rId52" Type="http://schemas.openxmlformats.org/officeDocument/2006/relationships/footer" Target="footer4.xml"/><Relationship Id="rId60" Type="http://schemas.openxmlformats.org/officeDocument/2006/relationships/image" Target="media/image43.png"/><Relationship Id="rId65" Type="http://schemas.openxmlformats.org/officeDocument/2006/relationships/image" Target="media/image48.emf"/><Relationship Id="rId73" Type="http://schemas.openxmlformats.org/officeDocument/2006/relationships/image" Target="media/image56.emf"/><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7.png"/><Relationship Id="rId94" Type="http://schemas.openxmlformats.org/officeDocument/2006/relationships/image" Target="media/image74.png"/><Relationship Id="rId99" Type="http://schemas.openxmlformats.org/officeDocument/2006/relationships/header" Target="header11.xml"/><Relationship Id="rId10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image" Target="media/image7.emf"/><Relationship Id="rId39" Type="http://schemas.openxmlformats.org/officeDocument/2006/relationships/image" Target="media/image28.emf"/><Relationship Id="rId34" Type="http://schemas.openxmlformats.org/officeDocument/2006/relationships/image" Target="media/image23.emf"/><Relationship Id="rId50" Type="http://schemas.openxmlformats.org/officeDocument/2006/relationships/header" Target="header7.xml"/><Relationship Id="rId55" Type="http://schemas.openxmlformats.org/officeDocument/2006/relationships/image" Target="media/image38.emf"/><Relationship Id="rId76" Type="http://schemas.openxmlformats.org/officeDocument/2006/relationships/header" Target="header9.xml"/><Relationship Id="rId97" Type="http://schemas.openxmlformats.org/officeDocument/2006/relationships/image" Target="media/image77.png"/><Relationship Id="rId7" Type="http://schemas.openxmlformats.org/officeDocument/2006/relationships/footnotes" Target="footnotes.xml"/><Relationship Id="rId71" Type="http://schemas.openxmlformats.org/officeDocument/2006/relationships/image" Target="media/image54.emf"/><Relationship Id="rId92" Type="http://schemas.openxmlformats.org/officeDocument/2006/relationships/image" Target="media/image72.png"/><Relationship Id="rId2" Type="http://schemas.openxmlformats.org/officeDocument/2006/relationships/customXml" Target="../customXml/item2.xml"/><Relationship Id="rId29" Type="http://schemas.openxmlformats.org/officeDocument/2006/relationships/image" Target="media/image18.emf"/><Relationship Id="rId24" Type="http://schemas.openxmlformats.org/officeDocument/2006/relationships/image" Target="media/image13.emf"/><Relationship Id="rId40" Type="http://schemas.openxmlformats.org/officeDocument/2006/relationships/image" Target="media/image29.png"/><Relationship Id="rId45" Type="http://schemas.openxmlformats.org/officeDocument/2006/relationships/image" Target="media/image34.emf"/><Relationship Id="rId66" Type="http://schemas.openxmlformats.org/officeDocument/2006/relationships/image" Target="media/image49.emf"/><Relationship Id="rId87" Type="http://schemas.openxmlformats.org/officeDocument/2006/relationships/image" Target="media/image68.png"/><Relationship Id="rId61" Type="http://schemas.openxmlformats.org/officeDocument/2006/relationships/image" Target="media/image44.emf"/><Relationship Id="rId82" Type="http://schemas.openxmlformats.org/officeDocument/2006/relationships/image" Target="media/image63.png"/><Relationship Id="rId19" Type="http://schemas.openxmlformats.org/officeDocument/2006/relationships/image" Target="media/image8.emf"/><Relationship Id="rId14" Type="http://schemas.openxmlformats.org/officeDocument/2006/relationships/header" Target="header4.xml"/><Relationship Id="rId30" Type="http://schemas.openxmlformats.org/officeDocument/2006/relationships/image" Target="media/image19.emf"/><Relationship Id="rId35" Type="http://schemas.openxmlformats.org/officeDocument/2006/relationships/image" Target="media/image24.emf"/><Relationship Id="rId56" Type="http://schemas.openxmlformats.org/officeDocument/2006/relationships/image" Target="media/image39.emf"/><Relationship Id="rId77" Type="http://schemas.openxmlformats.org/officeDocument/2006/relationships/footer" Target="footer5.xml"/><Relationship Id="rId100" Type="http://schemas.openxmlformats.org/officeDocument/2006/relationships/footer" Target="footer6.xml"/><Relationship Id="rId8" Type="http://schemas.openxmlformats.org/officeDocument/2006/relationships/endnotes" Target="endnotes.xml"/><Relationship Id="rId51" Type="http://schemas.openxmlformats.org/officeDocument/2006/relationships/footer" Target="footer3.xml"/><Relationship Id="rId72" Type="http://schemas.openxmlformats.org/officeDocument/2006/relationships/image" Target="media/image55.emf"/><Relationship Id="rId93" Type="http://schemas.openxmlformats.org/officeDocument/2006/relationships/image" Target="media/image73.emf"/><Relationship Id="rId98" Type="http://schemas.openxmlformats.org/officeDocument/2006/relationships/image" Target="media/image78.png"/><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13" Type="http://schemas.openxmlformats.org/officeDocument/2006/relationships/hyperlink" Target="https://doi.org/10.1080/00273171.2011.540475" TargetMode="External"/><Relationship Id="rId18" Type="http://schemas.openxmlformats.org/officeDocument/2006/relationships/hyperlink" Target="https://assets.publishing.service.gov.uk/government/uploads/system/uploads/attachment_data/file/662657/A_Review_of_the_Small_Business_Research_Initiative_.pdf" TargetMode="External"/><Relationship Id="rId26" Type="http://schemas.openxmlformats.org/officeDocument/2006/relationships/hyperlink" Target="https://www.ic.gc.ca/eic/site/101.nsf/eng/00129.html" TargetMode="External"/><Relationship Id="rId3" Type="http://schemas.openxmlformats.org/officeDocument/2006/relationships/hyperlink" Target="https://www.agriculture.gov.au/biosecurity/research-innovation/program" TargetMode="External"/><Relationship Id="rId21" Type="http://schemas.openxmlformats.org/officeDocument/2006/relationships/hyperlink" Target="https://www.sbir.gov/sites/default/files/Eastern%20Road%20Tour%20Combined.pdf" TargetMode="External"/><Relationship Id="rId34" Type="http://schemas.openxmlformats.org/officeDocument/2006/relationships/hyperlink" Target="https://www.transparency.gov.au/annual-reports/department-defence/reporting-year/2018-2019-113" TargetMode="External"/><Relationship Id="rId7" Type="http://schemas.openxmlformats.org/officeDocument/2006/relationships/hyperlink" Target="https://www.chiefscientist.nsw.gov.au/funding/research-and-development/small-business-innovation-research-program" TargetMode="External"/><Relationship Id="rId12" Type="http://schemas.openxmlformats.org/officeDocument/2006/relationships/hyperlink" Target="https://pmc.gov.au/sites/default/files/publications/cost-benefit-analysis_0.pdf" TargetMode="External"/><Relationship Id="rId17" Type="http://schemas.openxmlformats.org/officeDocument/2006/relationships/hyperlink" Target="https://assets.publishing.service.gov.uk/government/uploads/system/uploads/attachment_data/file/662657/A_Review_of_the_Small_Business_Research_Initiative_.pdf" TargetMode="External"/><Relationship Id="rId25" Type="http://schemas.openxmlformats.org/officeDocument/2006/relationships/hyperlink" Target="https://www.sbir.gov/analytics-dashboard" TargetMode="External"/><Relationship Id="rId33" Type="http://schemas.openxmlformats.org/officeDocument/2006/relationships/hyperlink" Target="https://www.atap.gov.au/sites/default/files/pv2_road_parameter_values.pdf" TargetMode="External"/><Relationship Id="rId2" Type="http://schemas.openxmlformats.org/officeDocument/2006/relationships/hyperlink" Target="https://www1.ic.gc.ca/eic/site/101.nsf/vwapj/00129_en.pdf/$FILE/00129_en.pdf" TargetMode="External"/><Relationship Id="rId16" Type="http://schemas.openxmlformats.org/officeDocument/2006/relationships/hyperlink" Target="https://cebra.unimelb.edu.au/__data/assets/pdf_file/0020/3535013/CEBRA_Value_Docs_KeyResultSummary_v0.6_Endorsed.pdf" TargetMode="External"/><Relationship Id="rId20" Type="http://schemas.openxmlformats.org/officeDocument/2006/relationships/hyperlink" Target="https://www.industry.gov.au/sites/default/files/2019-06/brii-pilot-post-commencement-evaluation-2018-final-report.pdf" TargetMode="External"/><Relationship Id="rId29" Type="http://schemas.openxmlformats.org/officeDocument/2006/relationships/hyperlink" Target="https://www.abs.gov.au/statistics/economy/national-accounts/australian-national-accounts-national-income-expenditure-and-product/mar-2021" TargetMode="External"/><Relationship Id="rId1" Type="http://schemas.openxmlformats.org/officeDocument/2006/relationships/hyperlink" Target="https://pmc.gov.au/sites/default/files/publications/cost-benefit-analysis_0.pdf" TargetMode="External"/><Relationship Id="rId6" Type="http://schemas.openxmlformats.org/officeDocument/2006/relationships/hyperlink" Target="https://budget.gov.au/2021-22/content/resilient.htm" TargetMode="External"/><Relationship Id="rId11" Type="http://schemas.openxmlformats.org/officeDocument/2006/relationships/hyperlink" Target="https://www1.ic.gc.ca/eic/site/101.nsf/vwapj/00129_en.pdf/$FILE/00129_en.pdf" TargetMode="External"/><Relationship Id="rId24" Type="http://schemas.openxmlformats.org/officeDocument/2006/relationships/hyperlink" Target="https://bit.ly/37vfiGd" TargetMode="External"/><Relationship Id="rId32" Type="http://schemas.openxmlformats.org/officeDocument/2006/relationships/hyperlink" Target="https://www.agriculture.gov.au/biosecurity/avm/aircraft/disinsection" TargetMode="External"/><Relationship Id="rId5" Type="http://schemas.openxmlformats.org/officeDocument/2006/relationships/hyperlink" Target="https://cbrin.com.au/event-news/innovation-is-the-key-to-creating-safer-borders-against-pests-and-disease/" TargetMode="External"/><Relationship Id="rId15" Type="http://schemas.openxmlformats.org/officeDocument/2006/relationships/hyperlink" Target="https://pmc.gov.au/sites/default/files/publications/cost-benefit-analysis_0.pdf" TargetMode="External"/><Relationship Id="rId23" Type="http://schemas.openxmlformats.org/officeDocument/2006/relationships/hyperlink" Target="https://www1.ic.gc.ca/eic/site/101.nsf/vwapj/00129_en.pdf/$FILE/00129_en.pdf" TargetMode="External"/><Relationship Id="rId28" Type="http://schemas.openxmlformats.org/officeDocument/2006/relationships/hyperlink" Target="https://www.abs.gov.au/statistics/economy/business-indicators/counts-australian-businesses-including-entries-and-exits/latest-release" TargetMode="External"/><Relationship Id="rId10" Type="http://schemas.openxmlformats.org/officeDocument/2006/relationships/hyperlink" Target="https://www.nap.edu/read/23406/chapter/7" TargetMode="External"/><Relationship Id="rId19" Type="http://schemas.openxmlformats.org/officeDocument/2006/relationships/hyperlink" Target="https://budget.gov.au/2021-22/content/resilient.htm" TargetMode="External"/><Relationship Id="rId31" Type="http://schemas.openxmlformats.org/officeDocument/2006/relationships/hyperlink" Target="https://www.run.edu.au/resources/RUN_Findings_Report_final_.pdf" TargetMode="External"/><Relationship Id="rId4" Type="http://schemas.openxmlformats.org/officeDocument/2006/relationships/hyperlink" Target="https://cbrin.com.au/event-news/innovation-is-the-key-to-creating-safer-borders-against-pests-and-disease/" TargetMode="External"/><Relationship Id="rId9" Type="http://schemas.openxmlformats.org/officeDocument/2006/relationships/hyperlink" Target="https://sbtc.org/wp-content/uploads/2018/02/Impacts-of-the-SBIR-program.pdf" TargetMode="External"/><Relationship Id="rId14" Type="http://schemas.openxmlformats.org/officeDocument/2006/relationships/hyperlink" Target="https://doi.org/10.1007/s00068-017-0786-6" TargetMode="External"/><Relationship Id="rId22" Type="http://schemas.openxmlformats.org/officeDocument/2006/relationships/hyperlink" Target="https://assets.publishing.service.gov.uk/government/uploads/system/uploads/attachment_data/file/669605/Leveraging_Public_Procurement_David_Connell_report.pdf" TargetMode="External"/><Relationship Id="rId27" Type="http://schemas.openxmlformats.org/officeDocument/2006/relationships/hyperlink" Target="https://www.research.manchester.ac.uk/portal/files/61664793/SBRI_Review_Final_Report_June_2016.pdf" TargetMode="External"/><Relationship Id="rId30" Type="http://schemas.openxmlformats.org/officeDocument/2006/relationships/hyperlink" Target="https://www.research.manchester.ac.uk/portal/files/61664793/SBRI_Review_Final_Report_June_2016.pdf" TargetMode="External"/><Relationship Id="rId35" Type="http://schemas.openxmlformats.org/officeDocument/2006/relationships/hyperlink" Target="https://pmc.gov.au/sites/default/files/publications/cost-benefit-analysis_0.pdf" TargetMode="External"/><Relationship Id="rId8" Type="http://schemas.openxmlformats.org/officeDocument/2006/relationships/hyperlink" Target="https://www.accc.gov.au/system/files/Murray-Darling%20Basin%20-%20water%20markets%20inquiry%20-%20Final%20report_0.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1" Type="http://schemas.openxmlformats.org/officeDocument/2006/relationships/image" Target="media/image36.jpeg"/></Relationships>
</file>

<file path=word/_rels/header11.xml.rels><?xml version="1.0" encoding="UTF-8" standalone="yes"?>
<Relationships xmlns="http://schemas.openxmlformats.org/package/2006/relationships"><Relationship Id="rId1" Type="http://schemas.openxmlformats.org/officeDocument/2006/relationships/image" Target="media/image36.jpeg"/></Relationships>
</file>

<file path=word/_rels/header6.xml.rels><?xml version="1.0" encoding="UTF-8" standalone="yes"?>
<Relationships xmlns="http://schemas.openxmlformats.org/package/2006/relationships"><Relationship Id="rId1" Type="http://schemas.openxmlformats.org/officeDocument/2006/relationships/image" Target="media/image36.jpeg"/></Relationships>
</file>

<file path=word/_rels/header7.xml.rels><?xml version="1.0" encoding="UTF-8" standalone="yes"?>
<Relationships xmlns="http://schemas.openxmlformats.org/package/2006/relationships"><Relationship Id="rId1" Type="http://schemas.openxmlformats.org/officeDocument/2006/relationships/image" Target="media/image36.jpeg"/></Relationships>
</file>

<file path=word/_rels/header8.xml.rels><?xml version="1.0" encoding="UTF-8" standalone="yes"?>
<Relationships xmlns="http://schemas.openxmlformats.org/package/2006/relationships"><Relationship Id="rId1" Type="http://schemas.openxmlformats.org/officeDocument/2006/relationships/image" Target="media/image36.jpeg"/></Relationships>
</file>

<file path=word/_rels/header9.xml.rels><?xml version="1.0" encoding="UTF-8" standalone="yes"?>
<Relationships xmlns="http://schemas.openxmlformats.org/package/2006/relationships"><Relationship Id="rId1" Type="http://schemas.openxmlformats.org/officeDocument/2006/relationships/image" Target="media/image36.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Default Theme">
  <a:themeElements>
    <a:clrScheme name="New Brand">
      <a:dk1>
        <a:sysClr val="windowText" lastClr="000000"/>
      </a:dk1>
      <a:lt1>
        <a:sysClr val="window" lastClr="FFFFFF"/>
      </a:lt1>
      <a:dk2>
        <a:srgbClr val="2E368F"/>
      </a:dk2>
      <a:lt2>
        <a:srgbClr val="00264D"/>
      </a:lt2>
      <a:accent1>
        <a:srgbClr val="FF3A40"/>
      </a:accent1>
      <a:accent2>
        <a:srgbClr val="F25E21"/>
      </a:accent2>
      <a:accent3>
        <a:srgbClr val="F8981D"/>
      </a:accent3>
      <a:accent4>
        <a:srgbClr val="FED13B"/>
      </a:accent4>
      <a:accent5>
        <a:srgbClr val="E6E6E1"/>
      </a:accent5>
      <a:accent6>
        <a:srgbClr val="25B3E0"/>
      </a:accent6>
      <a:hlink>
        <a:srgbClr val="0048C7"/>
      </a:hlink>
      <a:folHlink>
        <a:srgbClr val="0048C7"/>
      </a:folHlink>
    </a:clrScheme>
    <a:fontScheme name="Nous Font">
      <a:majorFont>
        <a:latin typeface="Segoe UI Semibold"/>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chemeClr val="accent3"/>
          </a:solid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25400" cap="rnd">
          <a:solidFill>
            <a:schemeClr val="accent3"/>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29F1AFA-4FAE-4139-B76F-A77EDE0B8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143</Pages>
  <Words>40331</Words>
  <Characters>229887</Characters>
  <Application>Microsoft Office Word</Application>
  <DocSecurity>0</DocSecurity>
  <Lines>1915</Lines>
  <Paragraphs>539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269679</CharactersWithSpaces>
  <SharedDoc>false</SharedDoc>
  <HLinks>
    <vt:vector size="576" baseType="variant">
      <vt:variant>
        <vt:i4>1310771</vt:i4>
      </vt:variant>
      <vt:variant>
        <vt:i4>362</vt:i4>
      </vt:variant>
      <vt:variant>
        <vt:i4>0</vt:i4>
      </vt:variant>
      <vt:variant>
        <vt:i4>5</vt:i4>
      </vt:variant>
      <vt:variant>
        <vt:lpwstr/>
      </vt:variant>
      <vt:variant>
        <vt:lpwstr>_Toc79490605</vt:lpwstr>
      </vt:variant>
      <vt:variant>
        <vt:i4>1376307</vt:i4>
      </vt:variant>
      <vt:variant>
        <vt:i4>356</vt:i4>
      </vt:variant>
      <vt:variant>
        <vt:i4>0</vt:i4>
      </vt:variant>
      <vt:variant>
        <vt:i4>5</vt:i4>
      </vt:variant>
      <vt:variant>
        <vt:lpwstr/>
      </vt:variant>
      <vt:variant>
        <vt:lpwstr>_Toc79490604</vt:lpwstr>
      </vt:variant>
      <vt:variant>
        <vt:i4>1179699</vt:i4>
      </vt:variant>
      <vt:variant>
        <vt:i4>350</vt:i4>
      </vt:variant>
      <vt:variant>
        <vt:i4>0</vt:i4>
      </vt:variant>
      <vt:variant>
        <vt:i4>5</vt:i4>
      </vt:variant>
      <vt:variant>
        <vt:lpwstr/>
      </vt:variant>
      <vt:variant>
        <vt:lpwstr>_Toc79490603</vt:lpwstr>
      </vt:variant>
      <vt:variant>
        <vt:i4>1245235</vt:i4>
      </vt:variant>
      <vt:variant>
        <vt:i4>344</vt:i4>
      </vt:variant>
      <vt:variant>
        <vt:i4>0</vt:i4>
      </vt:variant>
      <vt:variant>
        <vt:i4>5</vt:i4>
      </vt:variant>
      <vt:variant>
        <vt:lpwstr/>
      </vt:variant>
      <vt:variant>
        <vt:lpwstr>_Toc79490602</vt:lpwstr>
      </vt:variant>
      <vt:variant>
        <vt:i4>1048627</vt:i4>
      </vt:variant>
      <vt:variant>
        <vt:i4>338</vt:i4>
      </vt:variant>
      <vt:variant>
        <vt:i4>0</vt:i4>
      </vt:variant>
      <vt:variant>
        <vt:i4>5</vt:i4>
      </vt:variant>
      <vt:variant>
        <vt:lpwstr/>
      </vt:variant>
      <vt:variant>
        <vt:lpwstr>_Toc79490601</vt:lpwstr>
      </vt:variant>
      <vt:variant>
        <vt:i4>1114163</vt:i4>
      </vt:variant>
      <vt:variant>
        <vt:i4>332</vt:i4>
      </vt:variant>
      <vt:variant>
        <vt:i4>0</vt:i4>
      </vt:variant>
      <vt:variant>
        <vt:i4>5</vt:i4>
      </vt:variant>
      <vt:variant>
        <vt:lpwstr/>
      </vt:variant>
      <vt:variant>
        <vt:lpwstr>_Toc79490600</vt:lpwstr>
      </vt:variant>
      <vt:variant>
        <vt:i4>1769530</vt:i4>
      </vt:variant>
      <vt:variant>
        <vt:i4>326</vt:i4>
      </vt:variant>
      <vt:variant>
        <vt:i4>0</vt:i4>
      </vt:variant>
      <vt:variant>
        <vt:i4>5</vt:i4>
      </vt:variant>
      <vt:variant>
        <vt:lpwstr/>
      </vt:variant>
      <vt:variant>
        <vt:lpwstr>_Toc79490599</vt:lpwstr>
      </vt:variant>
      <vt:variant>
        <vt:i4>1703994</vt:i4>
      </vt:variant>
      <vt:variant>
        <vt:i4>320</vt:i4>
      </vt:variant>
      <vt:variant>
        <vt:i4>0</vt:i4>
      </vt:variant>
      <vt:variant>
        <vt:i4>5</vt:i4>
      </vt:variant>
      <vt:variant>
        <vt:lpwstr/>
      </vt:variant>
      <vt:variant>
        <vt:lpwstr>_Toc79490598</vt:lpwstr>
      </vt:variant>
      <vt:variant>
        <vt:i4>1376314</vt:i4>
      </vt:variant>
      <vt:variant>
        <vt:i4>314</vt:i4>
      </vt:variant>
      <vt:variant>
        <vt:i4>0</vt:i4>
      </vt:variant>
      <vt:variant>
        <vt:i4>5</vt:i4>
      </vt:variant>
      <vt:variant>
        <vt:lpwstr/>
      </vt:variant>
      <vt:variant>
        <vt:lpwstr>_Toc79490597</vt:lpwstr>
      </vt:variant>
      <vt:variant>
        <vt:i4>1310778</vt:i4>
      </vt:variant>
      <vt:variant>
        <vt:i4>308</vt:i4>
      </vt:variant>
      <vt:variant>
        <vt:i4>0</vt:i4>
      </vt:variant>
      <vt:variant>
        <vt:i4>5</vt:i4>
      </vt:variant>
      <vt:variant>
        <vt:lpwstr/>
      </vt:variant>
      <vt:variant>
        <vt:lpwstr>_Toc79490596</vt:lpwstr>
      </vt:variant>
      <vt:variant>
        <vt:i4>1507386</vt:i4>
      </vt:variant>
      <vt:variant>
        <vt:i4>302</vt:i4>
      </vt:variant>
      <vt:variant>
        <vt:i4>0</vt:i4>
      </vt:variant>
      <vt:variant>
        <vt:i4>5</vt:i4>
      </vt:variant>
      <vt:variant>
        <vt:lpwstr/>
      </vt:variant>
      <vt:variant>
        <vt:lpwstr>_Toc79490595</vt:lpwstr>
      </vt:variant>
      <vt:variant>
        <vt:i4>1441850</vt:i4>
      </vt:variant>
      <vt:variant>
        <vt:i4>296</vt:i4>
      </vt:variant>
      <vt:variant>
        <vt:i4>0</vt:i4>
      </vt:variant>
      <vt:variant>
        <vt:i4>5</vt:i4>
      </vt:variant>
      <vt:variant>
        <vt:lpwstr/>
      </vt:variant>
      <vt:variant>
        <vt:lpwstr>_Toc79490594</vt:lpwstr>
      </vt:variant>
      <vt:variant>
        <vt:i4>1114170</vt:i4>
      </vt:variant>
      <vt:variant>
        <vt:i4>290</vt:i4>
      </vt:variant>
      <vt:variant>
        <vt:i4>0</vt:i4>
      </vt:variant>
      <vt:variant>
        <vt:i4>5</vt:i4>
      </vt:variant>
      <vt:variant>
        <vt:lpwstr/>
      </vt:variant>
      <vt:variant>
        <vt:lpwstr>_Toc79490593</vt:lpwstr>
      </vt:variant>
      <vt:variant>
        <vt:i4>1048634</vt:i4>
      </vt:variant>
      <vt:variant>
        <vt:i4>284</vt:i4>
      </vt:variant>
      <vt:variant>
        <vt:i4>0</vt:i4>
      </vt:variant>
      <vt:variant>
        <vt:i4>5</vt:i4>
      </vt:variant>
      <vt:variant>
        <vt:lpwstr/>
      </vt:variant>
      <vt:variant>
        <vt:lpwstr>_Toc79490592</vt:lpwstr>
      </vt:variant>
      <vt:variant>
        <vt:i4>1245242</vt:i4>
      </vt:variant>
      <vt:variant>
        <vt:i4>278</vt:i4>
      </vt:variant>
      <vt:variant>
        <vt:i4>0</vt:i4>
      </vt:variant>
      <vt:variant>
        <vt:i4>5</vt:i4>
      </vt:variant>
      <vt:variant>
        <vt:lpwstr/>
      </vt:variant>
      <vt:variant>
        <vt:lpwstr>_Toc79490591</vt:lpwstr>
      </vt:variant>
      <vt:variant>
        <vt:i4>1179706</vt:i4>
      </vt:variant>
      <vt:variant>
        <vt:i4>272</vt:i4>
      </vt:variant>
      <vt:variant>
        <vt:i4>0</vt:i4>
      </vt:variant>
      <vt:variant>
        <vt:i4>5</vt:i4>
      </vt:variant>
      <vt:variant>
        <vt:lpwstr/>
      </vt:variant>
      <vt:variant>
        <vt:lpwstr>_Toc79490590</vt:lpwstr>
      </vt:variant>
      <vt:variant>
        <vt:i4>1769531</vt:i4>
      </vt:variant>
      <vt:variant>
        <vt:i4>266</vt:i4>
      </vt:variant>
      <vt:variant>
        <vt:i4>0</vt:i4>
      </vt:variant>
      <vt:variant>
        <vt:i4>5</vt:i4>
      </vt:variant>
      <vt:variant>
        <vt:lpwstr/>
      </vt:variant>
      <vt:variant>
        <vt:lpwstr>_Toc79490589</vt:lpwstr>
      </vt:variant>
      <vt:variant>
        <vt:i4>1703995</vt:i4>
      </vt:variant>
      <vt:variant>
        <vt:i4>260</vt:i4>
      </vt:variant>
      <vt:variant>
        <vt:i4>0</vt:i4>
      </vt:variant>
      <vt:variant>
        <vt:i4>5</vt:i4>
      </vt:variant>
      <vt:variant>
        <vt:lpwstr/>
      </vt:variant>
      <vt:variant>
        <vt:lpwstr>_Toc79490588</vt:lpwstr>
      </vt:variant>
      <vt:variant>
        <vt:i4>1376315</vt:i4>
      </vt:variant>
      <vt:variant>
        <vt:i4>254</vt:i4>
      </vt:variant>
      <vt:variant>
        <vt:i4>0</vt:i4>
      </vt:variant>
      <vt:variant>
        <vt:i4>5</vt:i4>
      </vt:variant>
      <vt:variant>
        <vt:lpwstr/>
      </vt:variant>
      <vt:variant>
        <vt:lpwstr>_Toc79490587</vt:lpwstr>
      </vt:variant>
      <vt:variant>
        <vt:i4>1310779</vt:i4>
      </vt:variant>
      <vt:variant>
        <vt:i4>248</vt:i4>
      </vt:variant>
      <vt:variant>
        <vt:i4>0</vt:i4>
      </vt:variant>
      <vt:variant>
        <vt:i4>5</vt:i4>
      </vt:variant>
      <vt:variant>
        <vt:lpwstr/>
      </vt:variant>
      <vt:variant>
        <vt:lpwstr>_Toc79490586</vt:lpwstr>
      </vt:variant>
      <vt:variant>
        <vt:i4>1507387</vt:i4>
      </vt:variant>
      <vt:variant>
        <vt:i4>242</vt:i4>
      </vt:variant>
      <vt:variant>
        <vt:i4>0</vt:i4>
      </vt:variant>
      <vt:variant>
        <vt:i4>5</vt:i4>
      </vt:variant>
      <vt:variant>
        <vt:lpwstr/>
      </vt:variant>
      <vt:variant>
        <vt:lpwstr>_Toc79490585</vt:lpwstr>
      </vt:variant>
      <vt:variant>
        <vt:i4>1441851</vt:i4>
      </vt:variant>
      <vt:variant>
        <vt:i4>236</vt:i4>
      </vt:variant>
      <vt:variant>
        <vt:i4>0</vt:i4>
      </vt:variant>
      <vt:variant>
        <vt:i4>5</vt:i4>
      </vt:variant>
      <vt:variant>
        <vt:lpwstr/>
      </vt:variant>
      <vt:variant>
        <vt:lpwstr>_Toc79490584</vt:lpwstr>
      </vt:variant>
      <vt:variant>
        <vt:i4>1114171</vt:i4>
      </vt:variant>
      <vt:variant>
        <vt:i4>230</vt:i4>
      </vt:variant>
      <vt:variant>
        <vt:i4>0</vt:i4>
      </vt:variant>
      <vt:variant>
        <vt:i4>5</vt:i4>
      </vt:variant>
      <vt:variant>
        <vt:lpwstr/>
      </vt:variant>
      <vt:variant>
        <vt:lpwstr>_Toc79490583</vt:lpwstr>
      </vt:variant>
      <vt:variant>
        <vt:i4>1048635</vt:i4>
      </vt:variant>
      <vt:variant>
        <vt:i4>224</vt:i4>
      </vt:variant>
      <vt:variant>
        <vt:i4>0</vt:i4>
      </vt:variant>
      <vt:variant>
        <vt:i4>5</vt:i4>
      </vt:variant>
      <vt:variant>
        <vt:lpwstr/>
      </vt:variant>
      <vt:variant>
        <vt:lpwstr>_Toc79490582</vt:lpwstr>
      </vt:variant>
      <vt:variant>
        <vt:i4>1245243</vt:i4>
      </vt:variant>
      <vt:variant>
        <vt:i4>218</vt:i4>
      </vt:variant>
      <vt:variant>
        <vt:i4>0</vt:i4>
      </vt:variant>
      <vt:variant>
        <vt:i4>5</vt:i4>
      </vt:variant>
      <vt:variant>
        <vt:lpwstr/>
      </vt:variant>
      <vt:variant>
        <vt:lpwstr>_Toc79490581</vt:lpwstr>
      </vt:variant>
      <vt:variant>
        <vt:i4>1179707</vt:i4>
      </vt:variant>
      <vt:variant>
        <vt:i4>212</vt:i4>
      </vt:variant>
      <vt:variant>
        <vt:i4>0</vt:i4>
      </vt:variant>
      <vt:variant>
        <vt:i4>5</vt:i4>
      </vt:variant>
      <vt:variant>
        <vt:lpwstr/>
      </vt:variant>
      <vt:variant>
        <vt:lpwstr>_Toc79490580</vt:lpwstr>
      </vt:variant>
      <vt:variant>
        <vt:i4>1769524</vt:i4>
      </vt:variant>
      <vt:variant>
        <vt:i4>206</vt:i4>
      </vt:variant>
      <vt:variant>
        <vt:i4>0</vt:i4>
      </vt:variant>
      <vt:variant>
        <vt:i4>5</vt:i4>
      </vt:variant>
      <vt:variant>
        <vt:lpwstr/>
      </vt:variant>
      <vt:variant>
        <vt:lpwstr>_Toc79490579</vt:lpwstr>
      </vt:variant>
      <vt:variant>
        <vt:i4>1703988</vt:i4>
      </vt:variant>
      <vt:variant>
        <vt:i4>200</vt:i4>
      </vt:variant>
      <vt:variant>
        <vt:i4>0</vt:i4>
      </vt:variant>
      <vt:variant>
        <vt:i4>5</vt:i4>
      </vt:variant>
      <vt:variant>
        <vt:lpwstr/>
      </vt:variant>
      <vt:variant>
        <vt:lpwstr>_Toc79490578</vt:lpwstr>
      </vt:variant>
      <vt:variant>
        <vt:i4>1376308</vt:i4>
      </vt:variant>
      <vt:variant>
        <vt:i4>194</vt:i4>
      </vt:variant>
      <vt:variant>
        <vt:i4>0</vt:i4>
      </vt:variant>
      <vt:variant>
        <vt:i4>5</vt:i4>
      </vt:variant>
      <vt:variant>
        <vt:lpwstr/>
      </vt:variant>
      <vt:variant>
        <vt:lpwstr>_Toc79490577</vt:lpwstr>
      </vt:variant>
      <vt:variant>
        <vt:i4>1310772</vt:i4>
      </vt:variant>
      <vt:variant>
        <vt:i4>188</vt:i4>
      </vt:variant>
      <vt:variant>
        <vt:i4>0</vt:i4>
      </vt:variant>
      <vt:variant>
        <vt:i4>5</vt:i4>
      </vt:variant>
      <vt:variant>
        <vt:lpwstr/>
      </vt:variant>
      <vt:variant>
        <vt:lpwstr>_Toc79490576</vt:lpwstr>
      </vt:variant>
      <vt:variant>
        <vt:i4>1507380</vt:i4>
      </vt:variant>
      <vt:variant>
        <vt:i4>182</vt:i4>
      </vt:variant>
      <vt:variant>
        <vt:i4>0</vt:i4>
      </vt:variant>
      <vt:variant>
        <vt:i4>5</vt:i4>
      </vt:variant>
      <vt:variant>
        <vt:lpwstr/>
      </vt:variant>
      <vt:variant>
        <vt:lpwstr>_Toc79490575</vt:lpwstr>
      </vt:variant>
      <vt:variant>
        <vt:i4>1441844</vt:i4>
      </vt:variant>
      <vt:variant>
        <vt:i4>176</vt:i4>
      </vt:variant>
      <vt:variant>
        <vt:i4>0</vt:i4>
      </vt:variant>
      <vt:variant>
        <vt:i4>5</vt:i4>
      </vt:variant>
      <vt:variant>
        <vt:lpwstr/>
      </vt:variant>
      <vt:variant>
        <vt:lpwstr>_Toc79490574</vt:lpwstr>
      </vt:variant>
      <vt:variant>
        <vt:i4>1114164</vt:i4>
      </vt:variant>
      <vt:variant>
        <vt:i4>170</vt:i4>
      </vt:variant>
      <vt:variant>
        <vt:i4>0</vt:i4>
      </vt:variant>
      <vt:variant>
        <vt:i4>5</vt:i4>
      </vt:variant>
      <vt:variant>
        <vt:lpwstr/>
      </vt:variant>
      <vt:variant>
        <vt:lpwstr>_Toc79490573</vt:lpwstr>
      </vt:variant>
      <vt:variant>
        <vt:i4>1048628</vt:i4>
      </vt:variant>
      <vt:variant>
        <vt:i4>164</vt:i4>
      </vt:variant>
      <vt:variant>
        <vt:i4>0</vt:i4>
      </vt:variant>
      <vt:variant>
        <vt:i4>5</vt:i4>
      </vt:variant>
      <vt:variant>
        <vt:lpwstr/>
      </vt:variant>
      <vt:variant>
        <vt:lpwstr>_Toc79490572</vt:lpwstr>
      </vt:variant>
      <vt:variant>
        <vt:i4>1245236</vt:i4>
      </vt:variant>
      <vt:variant>
        <vt:i4>158</vt:i4>
      </vt:variant>
      <vt:variant>
        <vt:i4>0</vt:i4>
      </vt:variant>
      <vt:variant>
        <vt:i4>5</vt:i4>
      </vt:variant>
      <vt:variant>
        <vt:lpwstr/>
      </vt:variant>
      <vt:variant>
        <vt:lpwstr>_Toc79490571</vt:lpwstr>
      </vt:variant>
      <vt:variant>
        <vt:i4>1179700</vt:i4>
      </vt:variant>
      <vt:variant>
        <vt:i4>152</vt:i4>
      </vt:variant>
      <vt:variant>
        <vt:i4>0</vt:i4>
      </vt:variant>
      <vt:variant>
        <vt:i4>5</vt:i4>
      </vt:variant>
      <vt:variant>
        <vt:lpwstr/>
      </vt:variant>
      <vt:variant>
        <vt:lpwstr>_Toc79490570</vt:lpwstr>
      </vt:variant>
      <vt:variant>
        <vt:i4>1769525</vt:i4>
      </vt:variant>
      <vt:variant>
        <vt:i4>146</vt:i4>
      </vt:variant>
      <vt:variant>
        <vt:i4>0</vt:i4>
      </vt:variant>
      <vt:variant>
        <vt:i4>5</vt:i4>
      </vt:variant>
      <vt:variant>
        <vt:lpwstr/>
      </vt:variant>
      <vt:variant>
        <vt:lpwstr>_Toc79490569</vt:lpwstr>
      </vt:variant>
      <vt:variant>
        <vt:i4>1703989</vt:i4>
      </vt:variant>
      <vt:variant>
        <vt:i4>140</vt:i4>
      </vt:variant>
      <vt:variant>
        <vt:i4>0</vt:i4>
      </vt:variant>
      <vt:variant>
        <vt:i4>5</vt:i4>
      </vt:variant>
      <vt:variant>
        <vt:lpwstr/>
      </vt:variant>
      <vt:variant>
        <vt:lpwstr>_Toc79490568</vt:lpwstr>
      </vt:variant>
      <vt:variant>
        <vt:i4>1376309</vt:i4>
      </vt:variant>
      <vt:variant>
        <vt:i4>134</vt:i4>
      </vt:variant>
      <vt:variant>
        <vt:i4>0</vt:i4>
      </vt:variant>
      <vt:variant>
        <vt:i4>5</vt:i4>
      </vt:variant>
      <vt:variant>
        <vt:lpwstr/>
      </vt:variant>
      <vt:variant>
        <vt:lpwstr>_Toc79490567</vt:lpwstr>
      </vt:variant>
      <vt:variant>
        <vt:i4>1310773</vt:i4>
      </vt:variant>
      <vt:variant>
        <vt:i4>128</vt:i4>
      </vt:variant>
      <vt:variant>
        <vt:i4>0</vt:i4>
      </vt:variant>
      <vt:variant>
        <vt:i4>5</vt:i4>
      </vt:variant>
      <vt:variant>
        <vt:lpwstr/>
      </vt:variant>
      <vt:variant>
        <vt:lpwstr>_Toc79490566</vt:lpwstr>
      </vt:variant>
      <vt:variant>
        <vt:i4>1507381</vt:i4>
      </vt:variant>
      <vt:variant>
        <vt:i4>122</vt:i4>
      </vt:variant>
      <vt:variant>
        <vt:i4>0</vt:i4>
      </vt:variant>
      <vt:variant>
        <vt:i4>5</vt:i4>
      </vt:variant>
      <vt:variant>
        <vt:lpwstr/>
      </vt:variant>
      <vt:variant>
        <vt:lpwstr>_Toc79490565</vt:lpwstr>
      </vt:variant>
      <vt:variant>
        <vt:i4>1441845</vt:i4>
      </vt:variant>
      <vt:variant>
        <vt:i4>116</vt:i4>
      </vt:variant>
      <vt:variant>
        <vt:i4>0</vt:i4>
      </vt:variant>
      <vt:variant>
        <vt:i4>5</vt:i4>
      </vt:variant>
      <vt:variant>
        <vt:lpwstr/>
      </vt:variant>
      <vt:variant>
        <vt:lpwstr>_Toc79490564</vt:lpwstr>
      </vt:variant>
      <vt:variant>
        <vt:i4>1114165</vt:i4>
      </vt:variant>
      <vt:variant>
        <vt:i4>110</vt:i4>
      </vt:variant>
      <vt:variant>
        <vt:i4>0</vt:i4>
      </vt:variant>
      <vt:variant>
        <vt:i4>5</vt:i4>
      </vt:variant>
      <vt:variant>
        <vt:lpwstr/>
      </vt:variant>
      <vt:variant>
        <vt:lpwstr>_Toc79490563</vt:lpwstr>
      </vt:variant>
      <vt:variant>
        <vt:i4>1048629</vt:i4>
      </vt:variant>
      <vt:variant>
        <vt:i4>104</vt:i4>
      </vt:variant>
      <vt:variant>
        <vt:i4>0</vt:i4>
      </vt:variant>
      <vt:variant>
        <vt:i4>5</vt:i4>
      </vt:variant>
      <vt:variant>
        <vt:lpwstr/>
      </vt:variant>
      <vt:variant>
        <vt:lpwstr>_Toc79490562</vt:lpwstr>
      </vt:variant>
      <vt:variant>
        <vt:i4>1245237</vt:i4>
      </vt:variant>
      <vt:variant>
        <vt:i4>98</vt:i4>
      </vt:variant>
      <vt:variant>
        <vt:i4>0</vt:i4>
      </vt:variant>
      <vt:variant>
        <vt:i4>5</vt:i4>
      </vt:variant>
      <vt:variant>
        <vt:lpwstr/>
      </vt:variant>
      <vt:variant>
        <vt:lpwstr>_Toc79490561</vt:lpwstr>
      </vt:variant>
      <vt:variant>
        <vt:i4>1179701</vt:i4>
      </vt:variant>
      <vt:variant>
        <vt:i4>92</vt:i4>
      </vt:variant>
      <vt:variant>
        <vt:i4>0</vt:i4>
      </vt:variant>
      <vt:variant>
        <vt:i4>5</vt:i4>
      </vt:variant>
      <vt:variant>
        <vt:lpwstr/>
      </vt:variant>
      <vt:variant>
        <vt:lpwstr>_Toc79490560</vt:lpwstr>
      </vt:variant>
      <vt:variant>
        <vt:i4>1769526</vt:i4>
      </vt:variant>
      <vt:variant>
        <vt:i4>86</vt:i4>
      </vt:variant>
      <vt:variant>
        <vt:i4>0</vt:i4>
      </vt:variant>
      <vt:variant>
        <vt:i4>5</vt:i4>
      </vt:variant>
      <vt:variant>
        <vt:lpwstr/>
      </vt:variant>
      <vt:variant>
        <vt:lpwstr>_Toc79490559</vt:lpwstr>
      </vt:variant>
      <vt:variant>
        <vt:i4>1703990</vt:i4>
      </vt:variant>
      <vt:variant>
        <vt:i4>80</vt:i4>
      </vt:variant>
      <vt:variant>
        <vt:i4>0</vt:i4>
      </vt:variant>
      <vt:variant>
        <vt:i4>5</vt:i4>
      </vt:variant>
      <vt:variant>
        <vt:lpwstr/>
      </vt:variant>
      <vt:variant>
        <vt:lpwstr>_Toc79490558</vt:lpwstr>
      </vt:variant>
      <vt:variant>
        <vt:i4>1376310</vt:i4>
      </vt:variant>
      <vt:variant>
        <vt:i4>74</vt:i4>
      </vt:variant>
      <vt:variant>
        <vt:i4>0</vt:i4>
      </vt:variant>
      <vt:variant>
        <vt:i4>5</vt:i4>
      </vt:variant>
      <vt:variant>
        <vt:lpwstr/>
      </vt:variant>
      <vt:variant>
        <vt:lpwstr>_Toc79490557</vt:lpwstr>
      </vt:variant>
      <vt:variant>
        <vt:i4>1310774</vt:i4>
      </vt:variant>
      <vt:variant>
        <vt:i4>68</vt:i4>
      </vt:variant>
      <vt:variant>
        <vt:i4>0</vt:i4>
      </vt:variant>
      <vt:variant>
        <vt:i4>5</vt:i4>
      </vt:variant>
      <vt:variant>
        <vt:lpwstr/>
      </vt:variant>
      <vt:variant>
        <vt:lpwstr>_Toc79490556</vt:lpwstr>
      </vt:variant>
      <vt:variant>
        <vt:i4>1507382</vt:i4>
      </vt:variant>
      <vt:variant>
        <vt:i4>62</vt:i4>
      </vt:variant>
      <vt:variant>
        <vt:i4>0</vt:i4>
      </vt:variant>
      <vt:variant>
        <vt:i4>5</vt:i4>
      </vt:variant>
      <vt:variant>
        <vt:lpwstr/>
      </vt:variant>
      <vt:variant>
        <vt:lpwstr>_Toc79490555</vt:lpwstr>
      </vt:variant>
      <vt:variant>
        <vt:i4>1441846</vt:i4>
      </vt:variant>
      <vt:variant>
        <vt:i4>56</vt:i4>
      </vt:variant>
      <vt:variant>
        <vt:i4>0</vt:i4>
      </vt:variant>
      <vt:variant>
        <vt:i4>5</vt:i4>
      </vt:variant>
      <vt:variant>
        <vt:lpwstr/>
      </vt:variant>
      <vt:variant>
        <vt:lpwstr>_Toc79490554</vt:lpwstr>
      </vt:variant>
      <vt:variant>
        <vt:i4>1114166</vt:i4>
      </vt:variant>
      <vt:variant>
        <vt:i4>50</vt:i4>
      </vt:variant>
      <vt:variant>
        <vt:i4>0</vt:i4>
      </vt:variant>
      <vt:variant>
        <vt:i4>5</vt:i4>
      </vt:variant>
      <vt:variant>
        <vt:lpwstr/>
      </vt:variant>
      <vt:variant>
        <vt:lpwstr>_Toc79490553</vt:lpwstr>
      </vt:variant>
      <vt:variant>
        <vt:i4>1048630</vt:i4>
      </vt:variant>
      <vt:variant>
        <vt:i4>44</vt:i4>
      </vt:variant>
      <vt:variant>
        <vt:i4>0</vt:i4>
      </vt:variant>
      <vt:variant>
        <vt:i4>5</vt:i4>
      </vt:variant>
      <vt:variant>
        <vt:lpwstr/>
      </vt:variant>
      <vt:variant>
        <vt:lpwstr>_Toc79490552</vt:lpwstr>
      </vt:variant>
      <vt:variant>
        <vt:i4>1245238</vt:i4>
      </vt:variant>
      <vt:variant>
        <vt:i4>38</vt:i4>
      </vt:variant>
      <vt:variant>
        <vt:i4>0</vt:i4>
      </vt:variant>
      <vt:variant>
        <vt:i4>5</vt:i4>
      </vt:variant>
      <vt:variant>
        <vt:lpwstr/>
      </vt:variant>
      <vt:variant>
        <vt:lpwstr>_Toc79490551</vt:lpwstr>
      </vt:variant>
      <vt:variant>
        <vt:i4>1179702</vt:i4>
      </vt:variant>
      <vt:variant>
        <vt:i4>32</vt:i4>
      </vt:variant>
      <vt:variant>
        <vt:i4>0</vt:i4>
      </vt:variant>
      <vt:variant>
        <vt:i4>5</vt:i4>
      </vt:variant>
      <vt:variant>
        <vt:lpwstr/>
      </vt:variant>
      <vt:variant>
        <vt:lpwstr>_Toc79490550</vt:lpwstr>
      </vt:variant>
      <vt:variant>
        <vt:i4>1769527</vt:i4>
      </vt:variant>
      <vt:variant>
        <vt:i4>26</vt:i4>
      </vt:variant>
      <vt:variant>
        <vt:i4>0</vt:i4>
      </vt:variant>
      <vt:variant>
        <vt:i4>5</vt:i4>
      </vt:variant>
      <vt:variant>
        <vt:lpwstr/>
      </vt:variant>
      <vt:variant>
        <vt:lpwstr>_Toc79490549</vt:lpwstr>
      </vt:variant>
      <vt:variant>
        <vt:i4>1703991</vt:i4>
      </vt:variant>
      <vt:variant>
        <vt:i4>20</vt:i4>
      </vt:variant>
      <vt:variant>
        <vt:i4>0</vt:i4>
      </vt:variant>
      <vt:variant>
        <vt:i4>5</vt:i4>
      </vt:variant>
      <vt:variant>
        <vt:lpwstr/>
      </vt:variant>
      <vt:variant>
        <vt:lpwstr>_Toc79490548</vt:lpwstr>
      </vt:variant>
      <vt:variant>
        <vt:i4>1376311</vt:i4>
      </vt:variant>
      <vt:variant>
        <vt:i4>14</vt:i4>
      </vt:variant>
      <vt:variant>
        <vt:i4>0</vt:i4>
      </vt:variant>
      <vt:variant>
        <vt:i4>5</vt:i4>
      </vt:variant>
      <vt:variant>
        <vt:lpwstr/>
      </vt:variant>
      <vt:variant>
        <vt:lpwstr>_Toc79490547</vt:lpwstr>
      </vt:variant>
      <vt:variant>
        <vt:i4>1310775</vt:i4>
      </vt:variant>
      <vt:variant>
        <vt:i4>8</vt:i4>
      </vt:variant>
      <vt:variant>
        <vt:i4>0</vt:i4>
      </vt:variant>
      <vt:variant>
        <vt:i4>5</vt:i4>
      </vt:variant>
      <vt:variant>
        <vt:lpwstr/>
      </vt:variant>
      <vt:variant>
        <vt:lpwstr>_Toc79490546</vt:lpwstr>
      </vt:variant>
      <vt:variant>
        <vt:i4>1507383</vt:i4>
      </vt:variant>
      <vt:variant>
        <vt:i4>2</vt:i4>
      </vt:variant>
      <vt:variant>
        <vt:i4>0</vt:i4>
      </vt:variant>
      <vt:variant>
        <vt:i4>5</vt:i4>
      </vt:variant>
      <vt:variant>
        <vt:lpwstr/>
      </vt:variant>
      <vt:variant>
        <vt:lpwstr>_Toc79490545</vt:lpwstr>
      </vt:variant>
      <vt:variant>
        <vt:i4>5898338</vt:i4>
      </vt:variant>
      <vt:variant>
        <vt:i4>111</vt:i4>
      </vt:variant>
      <vt:variant>
        <vt:i4>0</vt:i4>
      </vt:variant>
      <vt:variant>
        <vt:i4>5</vt:i4>
      </vt:variant>
      <vt:variant>
        <vt:lpwstr>https://pmc.gov.au/sites/default/files/publications/cost-benefit-analysis_0.pdf</vt:lpwstr>
      </vt:variant>
      <vt:variant>
        <vt:lpwstr/>
      </vt:variant>
      <vt:variant>
        <vt:i4>6357119</vt:i4>
      </vt:variant>
      <vt:variant>
        <vt:i4>108</vt:i4>
      </vt:variant>
      <vt:variant>
        <vt:i4>0</vt:i4>
      </vt:variant>
      <vt:variant>
        <vt:i4>5</vt:i4>
      </vt:variant>
      <vt:variant>
        <vt:lpwstr>https://www.transparency.gov.au/annual-reports/department-defence/reporting-year/2018-2019-113</vt:lpwstr>
      </vt:variant>
      <vt:variant>
        <vt:lpwstr/>
      </vt:variant>
      <vt:variant>
        <vt:i4>2752530</vt:i4>
      </vt:variant>
      <vt:variant>
        <vt:i4>105</vt:i4>
      </vt:variant>
      <vt:variant>
        <vt:i4>0</vt:i4>
      </vt:variant>
      <vt:variant>
        <vt:i4>5</vt:i4>
      </vt:variant>
      <vt:variant>
        <vt:lpwstr>https://www.atap.gov.au/sites/default/files/pv2_road_parameter_values.pdf</vt:lpwstr>
      </vt:variant>
      <vt:variant>
        <vt:lpwstr/>
      </vt:variant>
      <vt:variant>
        <vt:i4>983114</vt:i4>
      </vt:variant>
      <vt:variant>
        <vt:i4>102</vt:i4>
      </vt:variant>
      <vt:variant>
        <vt:i4>0</vt:i4>
      </vt:variant>
      <vt:variant>
        <vt:i4>5</vt:i4>
      </vt:variant>
      <vt:variant>
        <vt:lpwstr>https://www.agriculture.gov.au/biosecurity/avm/aircraft/disinsection</vt:lpwstr>
      </vt:variant>
      <vt:variant>
        <vt:lpwstr>disinsection-process</vt:lpwstr>
      </vt:variant>
      <vt:variant>
        <vt:i4>6094850</vt:i4>
      </vt:variant>
      <vt:variant>
        <vt:i4>99</vt:i4>
      </vt:variant>
      <vt:variant>
        <vt:i4>0</vt:i4>
      </vt:variant>
      <vt:variant>
        <vt:i4>5</vt:i4>
      </vt:variant>
      <vt:variant>
        <vt:lpwstr>https://www.run.edu.au/resources/RUN_Findings_Report_final_.pdf</vt:lpwstr>
      </vt:variant>
      <vt:variant>
        <vt:lpwstr/>
      </vt:variant>
      <vt:variant>
        <vt:i4>4391027</vt:i4>
      </vt:variant>
      <vt:variant>
        <vt:i4>96</vt:i4>
      </vt:variant>
      <vt:variant>
        <vt:i4>0</vt:i4>
      </vt:variant>
      <vt:variant>
        <vt:i4>5</vt:i4>
      </vt:variant>
      <vt:variant>
        <vt:lpwstr>https://www.research.manchester.ac.uk/portal/files/61664793/SBRI_Review_Final_Report_June_2016.pdf</vt:lpwstr>
      </vt:variant>
      <vt:variant>
        <vt:lpwstr/>
      </vt:variant>
      <vt:variant>
        <vt:i4>917571</vt:i4>
      </vt:variant>
      <vt:variant>
        <vt:i4>93</vt:i4>
      </vt:variant>
      <vt:variant>
        <vt:i4>0</vt:i4>
      </vt:variant>
      <vt:variant>
        <vt:i4>5</vt:i4>
      </vt:variant>
      <vt:variant>
        <vt:lpwstr>https://www.abs.gov.au/statistics/economy/national-accounts/australian-national-accounts-national-income-expenditure-and-product/mar-2021</vt:lpwstr>
      </vt:variant>
      <vt:variant>
        <vt:lpwstr/>
      </vt:variant>
      <vt:variant>
        <vt:i4>983121</vt:i4>
      </vt:variant>
      <vt:variant>
        <vt:i4>90</vt:i4>
      </vt:variant>
      <vt:variant>
        <vt:i4>0</vt:i4>
      </vt:variant>
      <vt:variant>
        <vt:i4>5</vt:i4>
      </vt:variant>
      <vt:variant>
        <vt:lpwstr>https://www.abs.gov.au/statistics/economy/business-indicators/counts-australian-businesses-including-entries-and-exits/latest-release</vt:lpwstr>
      </vt:variant>
      <vt:variant>
        <vt:lpwstr/>
      </vt:variant>
      <vt:variant>
        <vt:i4>4391027</vt:i4>
      </vt:variant>
      <vt:variant>
        <vt:i4>87</vt:i4>
      </vt:variant>
      <vt:variant>
        <vt:i4>0</vt:i4>
      </vt:variant>
      <vt:variant>
        <vt:i4>5</vt:i4>
      </vt:variant>
      <vt:variant>
        <vt:lpwstr>https://www.research.manchester.ac.uk/portal/files/61664793/SBRI_Review_Final_Report_June_2016.pdf</vt:lpwstr>
      </vt:variant>
      <vt:variant>
        <vt:lpwstr/>
      </vt:variant>
      <vt:variant>
        <vt:i4>1704021</vt:i4>
      </vt:variant>
      <vt:variant>
        <vt:i4>84</vt:i4>
      </vt:variant>
      <vt:variant>
        <vt:i4>0</vt:i4>
      </vt:variant>
      <vt:variant>
        <vt:i4>5</vt:i4>
      </vt:variant>
      <vt:variant>
        <vt:lpwstr>https://www.ic.gc.ca/eic/site/101.nsf/eng/00129.html</vt:lpwstr>
      </vt:variant>
      <vt:variant>
        <vt:lpwstr/>
      </vt:variant>
      <vt:variant>
        <vt:i4>5898264</vt:i4>
      </vt:variant>
      <vt:variant>
        <vt:i4>81</vt:i4>
      </vt:variant>
      <vt:variant>
        <vt:i4>0</vt:i4>
      </vt:variant>
      <vt:variant>
        <vt:i4>5</vt:i4>
      </vt:variant>
      <vt:variant>
        <vt:lpwstr>https://www.sbir.gov/analytics-dashboard</vt:lpwstr>
      </vt:variant>
      <vt:variant>
        <vt:lpwstr/>
      </vt:variant>
      <vt:variant>
        <vt:i4>6750243</vt:i4>
      </vt:variant>
      <vt:variant>
        <vt:i4>78</vt:i4>
      </vt:variant>
      <vt:variant>
        <vt:i4>0</vt:i4>
      </vt:variant>
      <vt:variant>
        <vt:i4>5</vt:i4>
      </vt:variant>
      <vt:variant>
        <vt:lpwstr>https://bit.ly/37vfiGd</vt:lpwstr>
      </vt:variant>
      <vt:variant>
        <vt:lpwstr/>
      </vt:variant>
      <vt:variant>
        <vt:i4>3670139</vt:i4>
      </vt:variant>
      <vt:variant>
        <vt:i4>75</vt:i4>
      </vt:variant>
      <vt:variant>
        <vt:i4>0</vt:i4>
      </vt:variant>
      <vt:variant>
        <vt:i4>5</vt:i4>
      </vt:variant>
      <vt:variant>
        <vt:lpwstr>https://www1.ic.gc.ca/eic/site/101.nsf/vwapj/00129_en.pdf/$FILE/00129_en.pdf</vt:lpwstr>
      </vt:variant>
      <vt:variant>
        <vt:lpwstr/>
      </vt:variant>
      <vt:variant>
        <vt:i4>720922</vt:i4>
      </vt:variant>
      <vt:variant>
        <vt:i4>72</vt:i4>
      </vt:variant>
      <vt:variant>
        <vt:i4>0</vt:i4>
      </vt:variant>
      <vt:variant>
        <vt:i4>5</vt:i4>
      </vt:variant>
      <vt:variant>
        <vt:lpwstr>https://assets.publishing.service.gov.uk/government/uploads/system/uploads/attachment_data/file/669605/Leveraging_Public_Procurement_David_Connell_report.pdf</vt:lpwstr>
      </vt:variant>
      <vt:variant>
        <vt:lpwstr/>
      </vt:variant>
      <vt:variant>
        <vt:i4>3932265</vt:i4>
      </vt:variant>
      <vt:variant>
        <vt:i4>69</vt:i4>
      </vt:variant>
      <vt:variant>
        <vt:i4>0</vt:i4>
      </vt:variant>
      <vt:variant>
        <vt:i4>5</vt:i4>
      </vt:variant>
      <vt:variant>
        <vt:lpwstr>https://www.sbir.gov/sites/default/files/Eastern Road Tour Combined.pdf</vt:lpwstr>
      </vt:variant>
      <vt:variant>
        <vt:lpwstr/>
      </vt:variant>
      <vt:variant>
        <vt:i4>262153</vt:i4>
      </vt:variant>
      <vt:variant>
        <vt:i4>66</vt:i4>
      </vt:variant>
      <vt:variant>
        <vt:i4>0</vt:i4>
      </vt:variant>
      <vt:variant>
        <vt:i4>5</vt:i4>
      </vt:variant>
      <vt:variant>
        <vt:lpwstr>https://www.industry.gov.au/sites/default/files/2019-06/brii-pilot-post-commencement-evaluation-2018-final-report.pdf</vt:lpwstr>
      </vt:variant>
      <vt:variant>
        <vt:lpwstr/>
      </vt:variant>
      <vt:variant>
        <vt:i4>4128814</vt:i4>
      </vt:variant>
      <vt:variant>
        <vt:i4>63</vt:i4>
      </vt:variant>
      <vt:variant>
        <vt:i4>0</vt:i4>
      </vt:variant>
      <vt:variant>
        <vt:i4>5</vt:i4>
      </vt:variant>
      <vt:variant>
        <vt:lpwstr>https://budget.gov.au/2021-22/content/resilient.htm</vt:lpwstr>
      </vt:variant>
      <vt:variant>
        <vt:lpwstr/>
      </vt:variant>
      <vt:variant>
        <vt:i4>2490397</vt:i4>
      </vt:variant>
      <vt:variant>
        <vt:i4>60</vt:i4>
      </vt:variant>
      <vt:variant>
        <vt:i4>0</vt:i4>
      </vt:variant>
      <vt:variant>
        <vt:i4>5</vt:i4>
      </vt:variant>
      <vt:variant>
        <vt:lpwstr>https://assets.publishing.service.gov.uk/government/uploads/system/uploads/attachment_data/file/662657/A_Review_of_the_Small_Business_Research_Initiative_.pdf</vt:lpwstr>
      </vt:variant>
      <vt:variant>
        <vt:lpwstr/>
      </vt:variant>
      <vt:variant>
        <vt:i4>2490397</vt:i4>
      </vt:variant>
      <vt:variant>
        <vt:i4>57</vt:i4>
      </vt:variant>
      <vt:variant>
        <vt:i4>0</vt:i4>
      </vt:variant>
      <vt:variant>
        <vt:i4>5</vt:i4>
      </vt:variant>
      <vt:variant>
        <vt:lpwstr>https://assets.publishing.service.gov.uk/government/uploads/system/uploads/attachment_data/file/662657/A_Review_of_the_Small_Business_Research_Initiative_.pdf</vt:lpwstr>
      </vt:variant>
      <vt:variant>
        <vt:lpwstr/>
      </vt:variant>
      <vt:variant>
        <vt:i4>2949233</vt:i4>
      </vt:variant>
      <vt:variant>
        <vt:i4>54</vt:i4>
      </vt:variant>
      <vt:variant>
        <vt:i4>0</vt:i4>
      </vt:variant>
      <vt:variant>
        <vt:i4>5</vt:i4>
      </vt:variant>
      <vt:variant>
        <vt:lpwstr>https://cebra.unimelb.edu.au/__data/assets/pdf_file/0020/3535013/CEBRA_Value_Docs_KeyResultSummary_v0.6_Endorsed.pdf</vt:lpwstr>
      </vt:variant>
      <vt:variant>
        <vt:lpwstr/>
      </vt:variant>
      <vt:variant>
        <vt:i4>5898338</vt:i4>
      </vt:variant>
      <vt:variant>
        <vt:i4>45</vt:i4>
      </vt:variant>
      <vt:variant>
        <vt:i4>0</vt:i4>
      </vt:variant>
      <vt:variant>
        <vt:i4>5</vt:i4>
      </vt:variant>
      <vt:variant>
        <vt:lpwstr>https://pmc.gov.au/sites/default/files/publications/cost-benefit-analysis_0.pdf</vt:lpwstr>
      </vt:variant>
      <vt:variant>
        <vt:lpwstr/>
      </vt:variant>
      <vt:variant>
        <vt:i4>589848</vt:i4>
      </vt:variant>
      <vt:variant>
        <vt:i4>42</vt:i4>
      </vt:variant>
      <vt:variant>
        <vt:i4>0</vt:i4>
      </vt:variant>
      <vt:variant>
        <vt:i4>5</vt:i4>
      </vt:variant>
      <vt:variant>
        <vt:lpwstr>https://doi.org/10.1007/s00068-017-0786-6</vt:lpwstr>
      </vt:variant>
      <vt:variant>
        <vt:lpwstr/>
      </vt:variant>
      <vt:variant>
        <vt:i4>262209</vt:i4>
      </vt:variant>
      <vt:variant>
        <vt:i4>39</vt:i4>
      </vt:variant>
      <vt:variant>
        <vt:i4>0</vt:i4>
      </vt:variant>
      <vt:variant>
        <vt:i4>5</vt:i4>
      </vt:variant>
      <vt:variant>
        <vt:lpwstr>https://doi.org/10.1080/00273171.2011.540475</vt:lpwstr>
      </vt:variant>
      <vt:variant>
        <vt:lpwstr/>
      </vt:variant>
      <vt:variant>
        <vt:i4>5898338</vt:i4>
      </vt:variant>
      <vt:variant>
        <vt:i4>36</vt:i4>
      </vt:variant>
      <vt:variant>
        <vt:i4>0</vt:i4>
      </vt:variant>
      <vt:variant>
        <vt:i4>5</vt:i4>
      </vt:variant>
      <vt:variant>
        <vt:lpwstr>https://pmc.gov.au/sites/default/files/publications/cost-benefit-analysis_0.pdf</vt:lpwstr>
      </vt:variant>
      <vt:variant>
        <vt:lpwstr/>
      </vt:variant>
      <vt:variant>
        <vt:i4>3670139</vt:i4>
      </vt:variant>
      <vt:variant>
        <vt:i4>33</vt:i4>
      </vt:variant>
      <vt:variant>
        <vt:i4>0</vt:i4>
      </vt:variant>
      <vt:variant>
        <vt:i4>5</vt:i4>
      </vt:variant>
      <vt:variant>
        <vt:lpwstr>https://www1.ic.gc.ca/eic/site/101.nsf/vwapj/00129_en.pdf/$FILE/00129_en.pdf</vt:lpwstr>
      </vt:variant>
      <vt:variant>
        <vt:lpwstr/>
      </vt:variant>
      <vt:variant>
        <vt:i4>5111820</vt:i4>
      </vt:variant>
      <vt:variant>
        <vt:i4>30</vt:i4>
      </vt:variant>
      <vt:variant>
        <vt:i4>0</vt:i4>
      </vt:variant>
      <vt:variant>
        <vt:i4>5</vt:i4>
      </vt:variant>
      <vt:variant>
        <vt:lpwstr>https://www.nap.edu/read/23406/chapter/7</vt:lpwstr>
      </vt:variant>
      <vt:variant>
        <vt:lpwstr/>
      </vt:variant>
      <vt:variant>
        <vt:i4>7340067</vt:i4>
      </vt:variant>
      <vt:variant>
        <vt:i4>27</vt:i4>
      </vt:variant>
      <vt:variant>
        <vt:i4>0</vt:i4>
      </vt:variant>
      <vt:variant>
        <vt:i4>5</vt:i4>
      </vt:variant>
      <vt:variant>
        <vt:lpwstr>https://sbtc.org/wp-content/uploads/2018/02/Impacts-of-the-SBIR-program.pdf</vt:lpwstr>
      </vt:variant>
      <vt:variant>
        <vt:lpwstr/>
      </vt:variant>
      <vt:variant>
        <vt:i4>7667801</vt:i4>
      </vt:variant>
      <vt:variant>
        <vt:i4>24</vt:i4>
      </vt:variant>
      <vt:variant>
        <vt:i4>0</vt:i4>
      </vt:variant>
      <vt:variant>
        <vt:i4>5</vt:i4>
      </vt:variant>
      <vt:variant>
        <vt:lpwstr>https://www.accc.gov.au/system/files/Murray-Darling Basin - water markets inquiry - Final report_0.pdf</vt:lpwstr>
      </vt:variant>
      <vt:variant>
        <vt:lpwstr/>
      </vt:variant>
      <vt:variant>
        <vt:i4>5767252</vt:i4>
      </vt:variant>
      <vt:variant>
        <vt:i4>21</vt:i4>
      </vt:variant>
      <vt:variant>
        <vt:i4>0</vt:i4>
      </vt:variant>
      <vt:variant>
        <vt:i4>5</vt:i4>
      </vt:variant>
      <vt:variant>
        <vt:lpwstr>https://www.chiefscientist.nsw.gov.au/funding/research-and-development/small-business-innovation-research-program</vt:lpwstr>
      </vt:variant>
      <vt:variant>
        <vt:lpwstr/>
      </vt:variant>
      <vt:variant>
        <vt:i4>4128814</vt:i4>
      </vt:variant>
      <vt:variant>
        <vt:i4>18</vt:i4>
      </vt:variant>
      <vt:variant>
        <vt:i4>0</vt:i4>
      </vt:variant>
      <vt:variant>
        <vt:i4>5</vt:i4>
      </vt:variant>
      <vt:variant>
        <vt:lpwstr>https://budget.gov.au/2021-22/content/resilient.htm</vt:lpwstr>
      </vt:variant>
      <vt:variant>
        <vt:lpwstr/>
      </vt:variant>
      <vt:variant>
        <vt:i4>3145778</vt:i4>
      </vt:variant>
      <vt:variant>
        <vt:i4>15</vt:i4>
      </vt:variant>
      <vt:variant>
        <vt:i4>0</vt:i4>
      </vt:variant>
      <vt:variant>
        <vt:i4>5</vt:i4>
      </vt:variant>
      <vt:variant>
        <vt:lpwstr>https://cbrin.com.au/event-news/innovation-is-the-key-to-creating-safer-borders-against-pests-and-disease/</vt:lpwstr>
      </vt:variant>
      <vt:variant>
        <vt:lpwstr/>
      </vt:variant>
      <vt:variant>
        <vt:i4>3145778</vt:i4>
      </vt:variant>
      <vt:variant>
        <vt:i4>12</vt:i4>
      </vt:variant>
      <vt:variant>
        <vt:i4>0</vt:i4>
      </vt:variant>
      <vt:variant>
        <vt:i4>5</vt:i4>
      </vt:variant>
      <vt:variant>
        <vt:lpwstr>https://cbrin.com.au/event-news/innovation-is-the-key-to-creating-safer-borders-against-pests-and-disease/</vt:lpwstr>
      </vt:variant>
      <vt:variant>
        <vt:lpwstr/>
      </vt:variant>
      <vt:variant>
        <vt:i4>7012456</vt:i4>
      </vt:variant>
      <vt:variant>
        <vt:i4>9</vt:i4>
      </vt:variant>
      <vt:variant>
        <vt:i4>0</vt:i4>
      </vt:variant>
      <vt:variant>
        <vt:i4>5</vt:i4>
      </vt:variant>
      <vt:variant>
        <vt:lpwstr>https://www.agriculture.gov.au/biosecurity/research-innovation/program</vt:lpwstr>
      </vt:variant>
      <vt:variant>
        <vt:lpwstr/>
      </vt:variant>
      <vt:variant>
        <vt:i4>3670139</vt:i4>
      </vt:variant>
      <vt:variant>
        <vt:i4>3</vt:i4>
      </vt:variant>
      <vt:variant>
        <vt:i4>0</vt:i4>
      </vt:variant>
      <vt:variant>
        <vt:i4>5</vt:i4>
      </vt:variant>
      <vt:variant>
        <vt:lpwstr>https://www1.ic.gc.ca/eic/site/101.nsf/vwapj/00129_en.pdf/$FILE/00129_en.pdf</vt:lpwstr>
      </vt:variant>
      <vt:variant>
        <vt:lpwstr/>
      </vt:variant>
      <vt:variant>
        <vt:i4>5898338</vt:i4>
      </vt:variant>
      <vt:variant>
        <vt:i4>0</vt:i4>
      </vt:variant>
      <vt:variant>
        <vt:i4>0</vt:i4>
      </vt:variant>
      <vt:variant>
        <vt:i4>5</vt:i4>
      </vt:variant>
      <vt:variant>
        <vt:lpwstr>https://pmc.gov.au/sites/default/files/publications/cost-benefit-analysis_0.pdf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Research and Innovation Initiative Impact Evaluation</dc:title>
  <dc:subject/>
  <dc:creator/>
  <cp:keywords/>
  <dc:description/>
  <cp:lastModifiedBy/>
  <cp:revision>1</cp:revision>
  <dcterms:created xsi:type="dcterms:W3CDTF">2023-05-26T04:20:00Z</dcterms:created>
  <dcterms:modified xsi:type="dcterms:W3CDTF">2023-05-26T04:21:00Z</dcterms:modified>
</cp:coreProperties>
</file>