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89643" w:displacedByCustomXml="next"/>
    <w:bookmarkStart w:id="1" w:name="_Toc19289776" w:displacedByCustomXml="next"/>
    <w:bookmarkStart w:id="2" w:name="_Toc105761928" w:displacedByCustomXml="next"/>
    <w:bookmarkStart w:id="3" w:name="_Toc105707653" w:displacedByCustomXml="next"/>
    <w:bookmarkStart w:id="4" w:name="_Toc104195961" w:displacedByCustomXml="next"/>
    <w:bookmarkStart w:id="5" w:name="_Toc104194481" w:displacedByCustomXml="next"/>
    <w:bookmarkStart w:id="6" w:name="_Toc104195763" w:displacedByCustomXml="next"/>
    <w:bookmarkStart w:id="7" w:name="_Toc103613118" w:displacedByCustomXml="next"/>
    <w:bookmarkStart w:id="8" w:name="_Toc105764713" w:displacedByCustomXml="next"/>
    <w:bookmarkStart w:id="9" w:name="_Toc107559765" w:displacedByCustomXml="next"/>
    <w:bookmarkStart w:id="10" w:name="_Toc107240385" w:displacedByCustomXml="next"/>
    <w:bookmarkStart w:id="11" w:name="_Toc106911790" w:displacedByCustomXml="next"/>
    <w:bookmarkStart w:id="12" w:name="_Toc106271223" w:displacedByCustomXml="next"/>
    <w:bookmarkStart w:id="13" w:name="_Toc106271275"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rPr>
          <w:rFonts w:asciiTheme="majorHAnsi" w:eastAsiaTheme="majorEastAsia" w:hAnsiTheme="majorHAnsi" w:cstheme="majorBidi"/>
          <w:color w:val="FFFFFF" w:themeColor="background1"/>
          <w:spacing w:val="-10"/>
          <w:kern w:val="28"/>
          <w:sz w:val="72"/>
          <w:szCs w:val="72"/>
        </w:rPr>
      </w:sdtEndPr>
      <w:sdtContent>
        <w:bookmarkEnd w:id="1" w:displacedByCustomXml="prev"/>
        <w:bookmarkEnd w:id="0" w:displacedByCustomXml="prev"/>
        <w:bookmarkStart w:id="14" w:name="_Toc88467169" w:displacedByCustomXml="prev"/>
        <w:p w14:paraId="5FFBA9D7" w14:textId="5E699A2C" w:rsidR="00897C80" w:rsidRPr="0037467D" w:rsidRDefault="0037467D" w:rsidP="00C71FD2">
          <w:pPr>
            <w:pStyle w:val="Title"/>
            <w:spacing w:before="800"/>
          </w:pPr>
          <w:r w:rsidRPr="0037467D">
            <w:rPr>
              <w:noProof/>
              <w:lang w:eastAsia="en-AU"/>
            </w:rPr>
            <mc:AlternateContent>
              <mc:Choice Requires="wps">
                <w:drawing>
                  <wp:anchor distT="0" distB="0" distL="114300" distR="114300" simplePos="0" relativeHeight="251658245" behindDoc="1" locked="0" layoutInCell="1" allowOverlap="1" wp14:anchorId="225995FA" wp14:editId="7CB1D61C">
                    <wp:simplePos x="0" y="0"/>
                    <wp:positionH relativeFrom="page">
                      <wp:posOffset>0</wp:posOffset>
                    </wp:positionH>
                    <wp:positionV relativeFrom="page">
                      <wp:posOffset>-57785</wp:posOffset>
                    </wp:positionV>
                    <wp:extent cx="7560000" cy="10692000"/>
                    <wp:effectExtent l="0" t="0" r="22225" b="14605"/>
                    <wp:wrapNone/>
                    <wp:docPr id="8" name="Rectangle 8" descr="Departmental background colour gradient" title="Departmental background colour gradient"/>
                    <wp:cNvGraphicFramePr/>
                    <a:graphic xmlns:a="http://schemas.openxmlformats.org/drawingml/2006/main">
                      <a:graphicData uri="http://schemas.microsoft.com/office/word/2010/wordprocessingShape">
                        <wps:wsp>
                          <wps:cNvSpPr/>
                          <wps:spPr>
                            <a:xfrm>
                              <a:off x="0" y="0"/>
                              <a:ext cx="7560000" cy="10692000"/>
                            </a:xfrm>
                            <a:prstGeom prst="rect">
                              <a:avLst/>
                            </a:prstGeom>
                            <a:gradFill>
                              <a:gsLst>
                                <a:gs pos="0">
                                  <a:schemeClr val="accent2"/>
                                </a:gs>
                                <a:gs pos="51000">
                                  <a:schemeClr val="tx2"/>
                                </a:gs>
                                <a:gs pos="100000">
                                  <a:schemeClr val="accent3"/>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0887D9E6" w14:textId="214B8726" w:rsidR="0037467D" w:rsidRPr="002C1C3F" w:rsidRDefault="0037467D" w:rsidP="002C1C3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995FA" id="Rectangle 8" o:spid="_x0000_s1026" alt="Title: Departmental background colour gradient - Description: Departmental background colour gradient" style="position:absolute;margin-left:0;margin-top:-4.55pt;width:595.3pt;height:841.9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" fillcolor="#00283e [3205]" strokecolor="#484a4c [1604]" strokeweight="1pt">
                    <v:fill color2="#1b9590 [3206]" colors="0 #00283e;33423f #005677;1 #1b9590" focus="100%" type="gradient"/>
                    <v:textbox>
                      <w:txbxContent>
                        <w:p w14:paraId="0887D9E6" w14:textId="214B8726" w:rsidR="0037467D" w:rsidRPr="002C1C3F" w:rsidRDefault="0037467D" w:rsidP="002C1C3F"/>
                      </w:txbxContent>
                    </v:textbox>
                    <w10:wrap anchorx="page" anchory="page"/>
                  </v:rect>
                </w:pict>
              </mc:Fallback>
            </mc:AlternateContent>
          </w:r>
          <w:r w:rsidR="00A07DFC" w:rsidRPr="0037467D">
            <w:rPr>
              <w:b/>
              <w:bCs/>
              <w:sz w:val="56"/>
              <w:szCs w:val="56"/>
            </w:rPr>
            <w:t>Department of Industry, Science and Resources</w:t>
          </w:r>
          <w:r w:rsidR="00C8796B" w:rsidRPr="0037467D">
            <w:t xml:space="preserve"> </w:t>
          </w:r>
          <w:r w:rsidR="00A07DFC" w:rsidRPr="0037467D">
            <w:rPr>
              <w:b/>
              <w:bCs/>
              <w:sz w:val="56"/>
              <w:szCs w:val="56"/>
            </w:rPr>
            <w:t>C</w:t>
          </w:r>
          <w:r w:rsidR="00216861" w:rsidRPr="0037467D">
            <w:rPr>
              <w:b/>
              <w:bCs/>
              <w:sz w:val="56"/>
              <w:szCs w:val="56"/>
            </w:rPr>
            <w:t xml:space="preserve">orporate </w:t>
          </w:r>
          <w:r w:rsidR="00216861" w:rsidRPr="0037467D" w:rsidDel="00D52597">
            <w:rPr>
              <w:b/>
              <w:bCs/>
              <w:sz w:val="56"/>
              <w:szCs w:val="56"/>
            </w:rPr>
            <w:t>P</w:t>
          </w:r>
          <w:r w:rsidR="00216861" w:rsidRPr="0037467D">
            <w:rPr>
              <w:b/>
              <w:bCs/>
              <w:sz w:val="56"/>
              <w:szCs w:val="56"/>
            </w:rPr>
            <w:t xml:space="preserve">lan </w:t>
          </w:r>
          <w:bookmarkEnd w:id="14"/>
          <w:bookmarkEnd w:id="13"/>
          <w:bookmarkEnd w:id="12"/>
          <w:bookmarkEnd w:id="11"/>
          <w:bookmarkEnd w:id="10"/>
          <w:bookmarkEnd w:id="9"/>
          <w:bookmarkEnd w:id="8"/>
          <w:bookmarkEnd w:id="7"/>
          <w:bookmarkEnd w:id="6"/>
          <w:bookmarkEnd w:id="5"/>
          <w:bookmarkEnd w:id="4"/>
          <w:bookmarkEnd w:id="3"/>
          <w:bookmarkEnd w:id="2"/>
          <w:r w:rsidR="00F8655E" w:rsidRPr="0037467D">
            <w:rPr>
              <w:b/>
              <w:bCs/>
              <w:sz w:val="56"/>
              <w:szCs w:val="56"/>
            </w:rPr>
            <w:t>2023–24</w:t>
          </w:r>
        </w:p>
        <w:bookmarkStart w:id="15" w:name="_Toc103613119" w:displacedByCustomXml="next"/>
        <w:bookmarkEnd w:id="15" w:displacedByCustomXml="next"/>
        <w:bookmarkStart w:id="16" w:name="_Toc88467170" w:displacedByCustomXml="next"/>
        <w:bookmarkEnd w:id="16" w:displacedByCustomXml="next"/>
      </w:sdtContent>
    </w:sdt>
    <w:p w14:paraId="5BDC12E5" w14:textId="32C8DA40" w:rsidR="00D77E01" w:rsidRDefault="00D77E01">
      <w:pPr>
        <w:rPr>
          <w:rStyle w:val="ui-provider"/>
          <w:sz w:val="28"/>
          <w:szCs w:val="28"/>
          <w:highlight w:val="cyan"/>
        </w:rPr>
      </w:pPr>
      <w:bookmarkStart w:id="17" w:name="_Toc81921031"/>
      <w:bookmarkStart w:id="18" w:name="_Toc103613121"/>
      <w:bookmarkStart w:id="19" w:name="_Toc104195765"/>
      <w:bookmarkStart w:id="20" w:name="_Toc106271225"/>
      <w:bookmarkStart w:id="21" w:name="_Toc19023741"/>
      <w:r>
        <w:rPr>
          <w:rStyle w:val="ui-provider"/>
          <w:sz w:val="28"/>
          <w:szCs w:val="28"/>
          <w:highlight w:val="cyan"/>
        </w:rPr>
        <w:br w:type="page"/>
      </w:r>
    </w:p>
    <w:p w14:paraId="02101547" w14:textId="4276065D" w:rsidR="00C247A0" w:rsidRPr="00C247A0" w:rsidRDefault="00C247A0" w:rsidP="002C1C3F">
      <w:pPr>
        <w:pStyle w:val="Heading1"/>
        <w:jc w:val="center"/>
        <w:rPr>
          <w:noProof/>
          <w:sz w:val="28"/>
          <w:szCs w:val="28"/>
        </w:rPr>
      </w:pPr>
      <w:r w:rsidRPr="00114FFA">
        <w:rPr>
          <w:rStyle w:val="ui-provider"/>
          <w:noProof/>
          <w:sz w:val="28"/>
          <w:szCs w:val="28"/>
        </w:rPr>
        <w:lastRenderedPageBreak/>
        <w:drawing>
          <wp:anchor distT="0" distB="0" distL="114300" distR="114300" simplePos="0" relativeHeight="251659269" behindDoc="0" locked="0" layoutInCell="1" allowOverlap="1" wp14:anchorId="4AE36F58" wp14:editId="5F151141">
            <wp:simplePos x="0" y="0"/>
            <wp:positionH relativeFrom="page">
              <wp:align>center</wp:align>
            </wp:positionH>
            <wp:positionV relativeFrom="paragraph">
              <wp:posOffset>0</wp:posOffset>
            </wp:positionV>
            <wp:extent cx="1851660" cy="1752600"/>
            <wp:effectExtent l="0" t="0" r="0" b="0"/>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8"/>
                    <a:srcRect l="35482" t="313" r="35874" b="81678"/>
                    <a:stretch/>
                  </pic:blipFill>
                  <pic:spPr bwMode="auto">
                    <a:xfrm>
                      <a:off x="0" y="0"/>
                      <a:ext cx="1851660" cy="1752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47A0">
        <w:rPr>
          <w:rStyle w:val="Heading1Char"/>
        </w:rPr>
        <w:t>Acknowledgement of Country</w:t>
      </w:r>
    </w:p>
    <w:p w14:paraId="0CA994DC" w14:textId="54DCC6EE" w:rsidR="00C247A0" w:rsidRPr="00C247A0" w:rsidRDefault="00C247A0" w:rsidP="00C247A0">
      <w:pPr>
        <w:jc w:val="center"/>
        <w:rPr>
          <w:sz w:val="28"/>
          <w:szCs w:val="28"/>
        </w:rPr>
      </w:pPr>
      <w:r w:rsidRPr="00C247A0">
        <w:rPr>
          <w:sz w:val="28"/>
          <w:szCs w:val="28"/>
        </w:rPr>
        <w:t>Our department recognises the First Peoples of this Nation and their ongoing cultural and spiritual connections to the lands, waters, seas, skies, and communities.</w:t>
      </w:r>
    </w:p>
    <w:p w14:paraId="137A96C9" w14:textId="610E7D8F" w:rsidR="00C247A0" w:rsidRPr="00C247A0" w:rsidRDefault="00C247A0" w:rsidP="00C247A0">
      <w:pPr>
        <w:jc w:val="center"/>
        <w:rPr>
          <w:sz w:val="28"/>
          <w:szCs w:val="28"/>
        </w:rPr>
      </w:pPr>
      <w:r w:rsidRPr="00C247A0">
        <w:rPr>
          <w:sz w:val="28"/>
          <w:szCs w:val="28"/>
        </w:rPr>
        <w:t xml:space="preserve">We Acknowledge First Nations Peoples as the Traditional Custodians and Lore Keepers of the oldest living culture and pay respects to their Elders past and present. </w:t>
      </w:r>
      <w:r w:rsidR="00CE7BAD">
        <w:rPr>
          <w:sz w:val="28"/>
          <w:szCs w:val="28"/>
        </w:rPr>
        <w:br/>
      </w:r>
      <w:r w:rsidRPr="00C247A0">
        <w:rPr>
          <w:sz w:val="28"/>
          <w:szCs w:val="28"/>
        </w:rPr>
        <w:t>We extend that respect to all First Nations Peoples.</w:t>
      </w:r>
    </w:p>
    <w:p w14:paraId="3F7FA138" w14:textId="5073C9C1" w:rsidR="00C247A0" w:rsidRPr="00C247A0" w:rsidRDefault="00C247A0" w:rsidP="00C247A0">
      <w:pPr>
        <w:jc w:val="center"/>
      </w:pPr>
      <w:r>
        <w:t>Meeting Place icon by DISR employee Amy Huggins</w:t>
      </w:r>
    </w:p>
    <w:p w14:paraId="5E083B9E" w14:textId="6EC9D99C" w:rsidR="00C247A0" w:rsidRPr="00C247A0" w:rsidRDefault="003A4966" w:rsidP="00C247A0">
      <w:pPr>
        <w:rPr>
          <w:i/>
          <w:iCs/>
        </w:rPr>
      </w:pPr>
      <w:r w:rsidRPr="00114FFA">
        <w:rPr>
          <w:rStyle w:val="ui-provider"/>
          <w:noProof/>
          <w:sz w:val="28"/>
          <w:szCs w:val="28"/>
        </w:rPr>
        <w:drawing>
          <wp:inline distT="0" distB="0" distL="0" distR="0" wp14:anchorId="417EA5CB" wp14:editId="32AB402D">
            <wp:extent cx="6746240" cy="3145790"/>
            <wp:effectExtent l="0" t="0" r="0" b="0"/>
            <wp:docPr id="3" name="Picture 3" descr="There is a centre circle surrounded by two shields. People are sitting either side of the centr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e is a centre circle surrounded by two shields. People are sitting either side of the centre circle."/>
                    <pic:cNvPicPr/>
                  </pic:nvPicPr>
                  <pic:blipFill rotWithShape="1">
                    <a:blip r:embed="rId8"/>
                    <a:srcRect l="4243" t="49485" r="4519" b="22245"/>
                    <a:stretch/>
                  </pic:blipFill>
                  <pic:spPr bwMode="auto">
                    <a:xfrm>
                      <a:off x="0" y="0"/>
                      <a:ext cx="6746240" cy="3145790"/>
                    </a:xfrm>
                    <a:prstGeom prst="rect">
                      <a:avLst/>
                    </a:prstGeom>
                    <a:ln>
                      <a:noFill/>
                    </a:ln>
                    <a:extLst>
                      <a:ext uri="{53640926-AAD7-44D8-BBD7-CCE9431645EC}">
                        <a14:shadowObscured xmlns:a14="http://schemas.microsoft.com/office/drawing/2010/main"/>
                      </a:ext>
                    </a:extLst>
                  </pic:spPr>
                </pic:pic>
              </a:graphicData>
            </a:graphic>
          </wp:inline>
        </w:drawing>
      </w:r>
      <w:r w:rsidR="00C247A0">
        <w:rPr>
          <w:i/>
          <w:iCs/>
        </w:rPr>
        <w:br/>
      </w:r>
      <w:r>
        <w:rPr>
          <w:i/>
          <w:iCs/>
        </w:rPr>
        <w:br/>
      </w:r>
      <w:r w:rsidR="00C247A0" w:rsidRPr="00C247A0">
        <w:rPr>
          <w:i/>
          <w:iCs/>
        </w:rPr>
        <w:t xml:space="preserve">Artwork above by Lynnice Church, 2021 </w:t>
      </w:r>
    </w:p>
    <w:p w14:paraId="516FE810" w14:textId="77777777" w:rsidR="00C247A0" w:rsidRDefault="00C247A0" w:rsidP="00C247A0">
      <w:r w:rsidRPr="00C247A0">
        <w:rPr>
          <w:b/>
          <w:bCs/>
        </w:rPr>
        <w:t>About the artist and the artwork:</w:t>
      </w:r>
      <w:r>
        <w:t xml:space="preserve"> Mrs Lynnice Letty Church is a Ngunnawal, Wiradjuri and Kamilaroi woman who lives on her traditional lands in Canberra (Ngunnawal Country). A contemporary Aboriginal artist, Lynnice is self-taught and has painted since she was a young girl. Her artwork reflects the continuing connection of Aboriginal culture in the context of today’s society. She has always been passionate about all forms of art as expression, particularly Aboriginal art and culture and interpreting this into a modern day landscape. </w:t>
      </w:r>
    </w:p>
    <w:p w14:paraId="6C17A337" w14:textId="7CE3FD0D" w:rsidR="00C247A0" w:rsidRPr="00C247A0" w:rsidRDefault="00C247A0" w:rsidP="00C247A0">
      <w:pPr>
        <w:rPr>
          <w:noProof/>
          <w:sz w:val="28"/>
          <w:szCs w:val="28"/>
        </w:rPr>
      </w:pPr>
      <w:r>
        <w:t>The artwork shows the importance of listening, sharing and building knowledge and understanding of Aboriginal and Torres Strait Islander culture to create a culturally safe space. This is shown by the 2 shields and people sitting either side of the centre circle which symbolises the rich culture and experiences that our people bring and are able to share. The centre circle shows this point of connection and the importance of relationships that can only be built through respect, collaboration and trust.</w:t>
      </w:r>
    </w:p>
    <w:p w14:paraId="228895C2" w14:textId="53CC3A03" w:rsidR="00AD22AF" w:rsidRPr="002C63C2" w:rsidRDefault="0AB45692" w:rsidP="00420499">
      <w:pPr>
        <w:pStyle w:val="Heading1"/>
      </w:pPr>
      <w:r>
        <w:lastRenderedPageBreak/>
        <w:t>Secretary’s introduction</w:t>
      </w:r>
      <w:bookmarkEnd w:id="17"/>
      <w:bookmarkEnd w:id="18"/>
      <w:bookmarkEnd w:id="19"/>
      <w:bookmarkEnd w:id="20"/>
    </w:p>
    <w:p w14:paraId="4D39DAFE" w14:textId="63A82C04" w:rsidR="002E468D" w:rsidRDefault="0AB45692" w:rsidP="00135CC9">
      <w:r w:rsidRPr="002C63C2">
        <w:rPr>
          <w:rFonts w:eastAsiaTheme="minorEastAsia"/>
          <w:lang w:eastAsia="en-AU"/>
        </w:rPr>
        <w:t xml:space="preserve">The Department </w:t>
      </w:r>
      <w:r w:rsidRPr="002C63C2">
        <w:t>of Industry, Science and Resources</w:t>
      </w:r>
      <w:r w:rsidRPr="002C63C2">
        <w:rPr>
          <w:rFonts w:eastAsiaTheme="minorEastAsia"/>
          <w:lang w:eastAsia="en-AU"/>
        </w:rPr>
        <w:t xml:space="preserve"> </w:t>
      </w:r>
      <w:r w:rsidR="00597305" w:rsidRPr="002C63C2">
        <w:rPr>
          <w:rFonts w:eastAsiaTheme="minorEastAsia"/>
          <w:lang w:eastAsia="en-AU"/>
        </w:rPr>
        <w:t xml:space="preserve">and </w:t>
      </w:r>
      <w:r w:rsidR="009E3218" w:rsidRPr="002C63C2">
        <w:rPr>
          <w:rFonts w:eastAsiaTheme="minorEastAsia"/>
          <w:lang w:eastAsia="en-AU"/>
        </w:rPr>
        <w:t xml:space="preserve">our </w:t>
      </w:r>
      <w:r w:rsidR="00597305" w:rsidRPr="002C63C2">
        <w:rPr>
          <w:rFonts w:eastAsiaTheme="minorEastAsia"/>
          <w:lang w:eastAsia="en-AU"/>
        </w:rPr>
        <w:t xml:space="preserve">broader portfolio </w:t>
      </w:r>
      <w:r w:rsidR="009622CB" w:rsidRPr="002C63C2">
        <w:rPr>
          <w:rFonts w:eastAsiaTheme="minorEastAsia"/>
          <w:lang w:eastAsia="en-AU"/>
        </w:rPr>
        <w:t>are</w:t>
      </w:r>
      <w:r w:rsidR="00597305" w:rsidRPr="002C63C2">
        <w:rPr>
          <w:rFonts w:eastAsiaTheme="minorEastAsia"/>
          <w:lang w:eastAsia="en-AU"/>
        </w:rPr>
        <w:t xml:space="preserve"> integral </w:t>
      </w:r>
      <w:r w:rsidR="00597305" w:rsidRPr="218580CA">
        <w:rPr>
          <w:rFonts w:eastAsiaTheme="minorEastAsia"/>
          <w:color w:val="000000" w:themeColor="text1"/>
          <w:lang w:eastAsia="en-AU"/>
        </w:rPr>
        <w:t>to the Australian</w:t>
      </w:r>
      <w:r w:rsidR="001C4722">
        <w:rPr>
          <w:rFonts w:eastAsiaTheme="minorEastAsia"/>
          <w:color w:val="000000" w:themeColor="text1"/>
          <w:lang w:eastAsia="en-AU"/>
        </w:rPr>
        <w:t xml:space="preserve"> </w:t>
      </w:r>
      <w:r w:rsidR="00597305" w:rsidRPr="218580CA">
        <w:rPr>
          <w:rFonts w:eastAsiaTheme="minorEastAsia"/>
          <w:color w:val="000000" w:themeColor="text1"/>
          <w:lang w:eastAsia="en-AU"/>
        </w:rPr>
        <w:t xml:space="preserve">Government’s economic agenda. Our purpose is to </w:t>
      </w:r>
      <w:r w:rsidR="009E3218" w:rsidRPr="218580CA">
        <w:rPr>
          <w:rFonts w:eastAsiaTheme="minorEastAsia"/>
          <w:color w:val="000000" w:themeColor="text1"/>
          <w:lang w:eastAsia="en-AU"/>
        </w:rPr>
        <w:t xml:space="preserve">help </w:t>
      </w:r>
      <w:r w:rsidR="00597305" w:rsidRPr="218580CA">
        <w:rPr>
          <w:rFonts w:eastAsiaTheme="minorEastAsia"/>
          <w:color w:val="000000" w:themeColor="text1"/>
          <w:lang w:eastAsia="en-AU"/>
        </w:rPr>
        <w:t xml:space="preserve">the government </w:t>
      </w:r>
      <w:r>
        <w:t xml:space="preserve">build a better future for all Australians </w:t>
      </w:r>
      <w:r w:rsidR="009E3218">
        <w:t>through</w:t>
      </w:r>
      <w:r w:rsidR="0037795B">
        <w:t xml:space="preserve"> </w:t>
      </w:r>
      <w:r w:rsidR="00A92B6A">
        <w:t xml:space="preserve">enabling </w:t>
      </w:r>
      <w:r w:rsidR="0037795B">
        <w:t xml:space="preserve">a productive, resilient and sustainable </w:t>
      </w:r>
      <w:r w:rsidR="009B1CE1">
        <w:t>economy</w:t>
      </w:r>
      <w:r w:rsidR="00197FA8">
        <w:t>,</w:t>
      </w:r>
      <w:r w:rsidR="0037795B">
        <w:t xml:space="preserve"> enriched by science and technology</w:t>
      </w:r>
      <w:r>
        <w:t>.</w:t>
      </w:r>
    </w:p>
    <w:p w14:paraId="580B359A" w14:textId="661D0B75" w:rsidR="009E3218" w:rsidRDefault="00597305" w:rsidP="00135CC9">
      <w:r>
        <w:t>We</w:t>
      </w:r>
      <w:r w:rsidR="001C4722">
        <w:t xml:space="preserve"> </w:t>
      </w:r>
      <w:r w:rsidR="009E3218">
        <w:t>do this by:</w:t>
      </w:r>
    </w:p>
    <w:p w14:paraId="2D078E33" w14:textId="1E6F4BDE" w:rsidR="009E3218" w:rsidRDefault="009E3218" w:rsidP="002C1C3F">
      <w:pPr>
        <w:pStyle w:val="ListParagraph"/>
        <w:numPr>
          <w:ilvl w:val="0"/>
          <w:numId w:val="46"/>
        </w:numPr>
        <w:spacing w:after="120" w:line="240" w:lineRule="auto"/>
        <w:ind w:left="714" w:hanging="357"/>
        <w:contextualSpacing w:val="0"/>
      </w:pPr>
      <w:r>
        <w:t>growing</w:t>
      </w:r>
      <w:r w:rsidR="008E5C20">
        <w:t xml:space="preserve"> innovative and competitive businesses, industries and regions</w:t>
      </w:r>
    </w:p>
    <w:p w14:paraId="7A08DF55" w14:textId="0961762B" w:rsidR="009E3218" w:rsidRDefault="00597305" w:rsidP="002C1C3F">
      <w:pPr>
        <w:pStyle w:val="ListParagraph"/>
        <w:numPr>
          <w:ilvl w:val="0"/>
          <w:numId w:val="46"/>
        </w:numPr>
        <w:spacing w:after="120" w:line="240" w:lineRule="auto"/>
        <w:ind w:left="714" w:hanging="357"/>
        <w:contextualSpacing w:val="0"/>
      </w:pPr>
      <w:r>
        <w:t>invest</w:t>
      </w:r>
      <w:r w:rsidR="009E3218">
        <w:t>ing</w:t>
      </w:r>
      <w:r>
        <w:t xml:space="preserve"> in science and technology</w:t>
      </w:r>
    </w:p>
    <w:p w14:paraId="148483F4" w14:textId="2BE7DD39" w:rsidR="00F36960" w:rsidRDefault="00597305" w:rsidP="002C1C3F">
      <w:pPr>
        <w:pStyle w:val="ListParagraph"/>
        <w:numPr>
          <w:ilvl w:val="0"/>
          <w:numId w:val="46"/>
        </w:numPr>
      </w:pPr>
      <w:bookmarkStart w:id="22" w:name="_Hlk132895489"/>
      <w:r>
        <w:t>str</w:t>
      </w:r>
      <w:r w:rsidR="00135F2C">
        <w:t>engthening the</w:t>
      </w:r>
      <w:r>
        <w:t xml:space="preserve"> resources sector</w:t>
      </w:r>
      <w:bookmarkEnd w:id="22"/>
      <w:r w:rsidR="006C69EF">
        <w:t>.</w:t>
      </w:r>
    </w:p>
    <w:p w14:paraId="69DC5385" w14:textId="77F49A34" w:rsidR="009E3218" w:rsidDel="00135CC9" w:rsidRDefault="00597305" w:rsidP="006A153A">
      <w:r w:rsidDel="00135CC9">
        <w:t xml:space="preserve">In a complex and interconnected world, </w:t>
      </w:r>
      <w:r w:rsidR="00135F2C" w:rsidDel="00135CC9">
        <w:t>we</w:t>
      </w:r>
      <w:r w:rsidR="009E3218" w:rsidDel="00135CC9">
        <w:t xml:space="preserve"> </w:t>
      </w:r>
      <w:r w:rsidR="00135F2C" w:rsidDel="00135CC9">
        <w:t>work</w:t>
      </w:r>
      <w:r w:rsidDel="00135CC9">
        <w:t xml:space="preserve"> </w:t>
      </w:r>
      <w:r w:rsidR="009E3218" w:rsidDel="00135CC9">
        <w:t>with other</w:t>
      </w:r>
      <w:r w:rsidDel="00135CC9">
        <w:t xml:space="preserve"> </w:t>
      </w:r>
      <w:r w:rsidR="009E3218" w:rsidDel="00135CC9">
        <w:t>Australian Government agencies</w:t>
      </w:r>
      <w:r w:rsidDel="00135CC9">
        <w:t>,</w:t>
      </w:r>
      <w:r w:rsidR="0009316F" w:rsidDel="00135CC9">
        <w:t xml:space="preserve"> </w:t>
      </w:r>
      <w:r w:rsidDel="00135CC9">
        <w:t xml:space="preserve">states and </w:t>
      </w:r>
      <w:r w:rsidR="00641B6F" w:rsidDel="00135CC9">
        <w:t>territories</w:t>
      </w:r>
      <w:r w:rsidDel="00135CC9">
        <w:t xml:space="preserve">, </w:t>
      </w:r>
      <w:r w:rsidR="004178FF" w:rsidDel="00135CC9">
        <w:t>international counterparts</w:t>
      </w:r>
      <w:r w:rsidDel="00135CC9">
        <w:t xml:space="preserve"> and a range of external</w:t>
      </w:r>
      <w:r w:rsidR="00657F66" w:rsidDel="00135CC9">
        <w:t xml:space="preserve"> </w:t>
      </w:r>
      <w:r w:rsidDel="00135CC9">
        <w:t xml:space="preserve">stakeholders. This </w:t>
      </w:r>
      <w:r w:rsidR="004178FF" w:rsidDel="00135CC9">
        <w:t>enables</w:t>
      </w:r>
      <w:r w:rsidR="00135F2C" w:rsidDel="00135CC9">
        <w:t xml:space="preserve"> </w:t>
      </w:r>
      <w:r w:rsidDel="00135CC9">
        <w:t>us</w:t>
      </w:r>
      <w:r w:rsidR="006A153A" w:rsidDel="00135CC9">
        <w:t xml:space="preserve"> </w:t>
      </w:r>
      <w:r w:rsidR="004178FF" w:rsidDel="00135CC9">
        <w:t>to deliver</w:t>
      </w:r>
      <w:r w:rsidDel="00135CC9">
        <w:t xml:space="preserve"> integrated policy advice </w:t>
      </w:r>
      <w:r w:rsidR="006A153A" w:rsidDel="00135CC9">
        <w:t xml:space="preserve">and </w:t>
      </w:r>
      <w:r w:rsidR="00445D92" w:rsidDel="00135CC9">
        <w:t xml:space="preserve">implement </w:t>
      </w:r>
      <w:r w:rsidDel="00135CC9">
        <w:t>effective policies and programs</w:t>
      </w:r>
      <w:r w:rsidR="006A153A" w:rsidDel="00135CC9">
        <w:t>.</w:t>
      </w:r>
    </w:p>
    <w:p w14:paraId="46911F8F" w14:textId="7DCCC21C" w:rsidR="008258C1" w:rsidRPr="00BB15BC" w:rsidRDefault="0AB45692" w:rsidP="0AB45692">
      <w:pPr>
        <w:rPr>
          <w:rFonts w:eastAsia="Times New Roman"/>
          <w:lang w:eastAsia="en-AU"/>
        </w:rPr>
      </w:pPr>
      <w:r w:rsidRPr="0AB45692">
        <w:rPr>
          <w:rFonts w:eastAsia="Times New Roman"/>
          <w:lang w:eastAsia="en-AU"/>
        </w:rPr>
        <w:t xml:space="preserve">Our portfolio is at the heart of the </w:t>
      </w:r>
      <w:r w:rsidR="00135F2C" w:rsidRPr="00520C2E">
        <w:rPr>
          <w:rFonts w:eastAsia="Times New Roman"/>
          <w:lang w:eastAsia="en-AU"/>
        </w:rPr>
        <w:t>g</w:t>
      </w:r>
      <w:r w:rsidRPr="00520C2E">
        <w:rPr>
          <w:rFonts w:eastAsia="Times New Roman"/>
          <w:lang w:eastAsia="en-AU"/>
        </w:rPr>
        <w:t>overnment’s</w:t>
      </w:r>
      <w:r w:rsidRPr="0AB45692">
        <w:rPr>
          <w:rFonts w:eastAsia="Times New Roman"/>
          <w:lang w:eastAsia="en-AU"/>
        </w:rPr>
        <w:t xml:space="preserve"> </w:t>
      </w:r>
      <w:r w:rsidR="009E3218">
        <w:rPr>
          <w:rFonts w:eastAsia="Times New Roman"/>
          <w:lang w:eastAsia="en-AU"/>
        </w:rPr>
        <w:t>plan</w:t>
      </w:r>
      <w:r w:rsidR="009E3218" w:rsidRPr="0AB45692">
        <w:rPr>
          <w:rFonts w:eastAsia="Times New Roman"/>
          <w:lang w:eastAsia="en-AU"/>
        </w:rPr>
        <w:t xml:space="preserve"> </w:t>
      </w:r>
      <w:r w:rsidRPr="0AB45692">
        <w:rPr>
          <w:rFonts w:eastAsia="Times New Roman"/>
          <w:lang w:eastAsia="en-AU"/>
        </w:rPr>
        <w:t>to revitalise Australian industry</w:t>
      </w:r>
      <w:r w:rsidR="00ED19E9">
        <w:rPr>
          <w:rFonts w:eastAsia="Times New Roman"/>
          <w:lang w:eastAsia="en-AU"/>
        </w:rPr>
        <w:t>, support the transition to net zero</w:t>
      </w:r>
      <w:r w:rsidRPr="0AB45692">
        <w:rPr>
          <w:rFonts w:eastAsia="Times New Roman"/>
          <w:lang w:eastAsia="en-AU"/>
        </w:rPr>
        <w:t xml:space="preserve"> and make the most of new and emerging technologies</w:t>
      </w:r>
      <w:r w:rsidR="009E3218">
        <w:rPr>
          <w:rFonts w:eastAsia="Times New Roman"/>
          <w:lang w:eastAsia="en-AU"/>
        </w:rPr>
        <w:t>. This will</w:t>
      </w:r>
      <w:r w:rsidRPr="0AB45692">
        <w:rPr>
          <w:rFonts w:eastAsia="Times New Roman"/>
          <w:lang w:eastAsia="en-AU"/>
        </w:rPr>
        <w:t xml:space="preserve"> </w:t>
      </w:r>
      <w:r w:rsidR="009E3218">
        <w:rPr>
          <w:rFonts w:eastAsia="Times New Roman"/>
          <w:lang w:eastAsia="en-AU"/>
        </w:rPr>
        <w:t>create</w:t>
      </w:r>
      <w:r w:rsidRPr="0AB45692">
        <w:rPr>
          <w:rFonts w:eastAsia="Times New Roman"/>
          <w:lang w:eastAsia="en-AU"/>
        </w:rPr>
        <w:t xml:space="preserve"> productive, sustainable and high-value jobs</w:t>
      </w:r>
      <w:r w:rsidR="00597305">
        <w:t xml:space="preserve"> </w:t>
      </w:r>
      <w:r w:rsidR="009C504C" w:rsidRPr="009C504C">
        <w:rPr>
          <w:rFonts w:eastAsia="Times New Roman"/>
          <w:lang w:eastAsia="en-AU"/>
        </w:rPr>
        <w:t>in the economy of tomorrow</w:t>
      </w:r>
      <w:r w:rsidR="009C504C">
        <w:rPr>
          <w:rFonts w:eastAsia="Times New Roman"/>
          <w:lang w:eastAsia="en-AU"/>
        </w:rPr>
        <w:t>.</w:t>
      </w:r>
      <w:r w:rsidRPr="0AB45692">
        <w:rPr>
          <w:rFonts w:eastAsia="Times New Roman"/>
          <w:lang w:eastAsia="en-AU"/>
        </w:rPr>
        <w:t xml:space="preserve"> </w:t>
      </w:r>
      <w:r w:rsidR="008A59A8">
        <w:t xml:space="preserve">Our </w:t>
      </w:r>
      <w:r w:rsidR="008579DC">
        <w:t>portfolio supports businesses and industri</w:t>
      </w:r>
      <w:r w:rsidR="0096252D">
        <w:t xml:space="preserve">es </w:t>
      </w:r>
      <w:r w:rsidR="008579DC">
        <w:t>by reduc</w:t>
      </w:r>
      <w:r w:rsidR="006A153A">
        <w:t>ing</w:t>
      </w:r>
      <w:r w:rsidR="008579DC">
        <w:t xml:space="preserve"> barriers to productivity, designing appropriate regulatory frameworks and providing targeted investment and services.</w:t>
      </w:r>
    </w:p>
    <w:p w14:paraId="6D95DE1F" w14:textId="403F180C" w:rsidR="00135CC9" w:rsidRPr="002E566C" w:rsidRDefault="00F8655E" w:rsidP="0AB45692">
      <w:pPr>
        <w:rPr>
          <w:rFonts w:eastAsia="Times New Roman"/>
          <w:lang w:eastAsia="en-AU"/>
        </w:rPr>
      </w:pPr>
      <w:r>
        <w:rPr>
          <w:rFonts w:eastAsia="Times New Roman"/>
          <w:lang w:eastAsia="en-AU"/>
        </w:rPr>
        <w:t>We</w:t>
      </w:r>
      <w:r w:rsidR="00A2393F">
        <w:rPr>
          <w:rFonts w:eastAsia="Times New Roman"/>
          <w:lang w:eastAsia="en-AU"/>
        </w:rPr>
        <w:t xml:space="preserve"> help Australia’s </w:t>
      </w:r>
      <w:r w:rsidR="00D73EE1">
        <w:rPr>
          <w:rFonts w:eastAsia="Times New Roman"/>
          <w:lang w:eastAsia="en-AU"/>
        </w:rPr>
        <w:t xml:space="preserve">industries </w:t>
      </w:r>
      <w:r w:rsidR="00A2393F">
        <w:rPr>
          <w:rFonts w:eastAsia="Times New Roman"/>
          <w:lang w:eastAsia="en-AU"/>
        </w:rPr>
        <w:t>and resource</w:t>
      </w:r>
      <w:r w:rsidR="00D73EE1">
        <w:rPr>
          <w:rFonts w:eastAsia="Times New Roman"/>
          <w:lang w:eastAsia="en-AU"/>
        </w:rPr>
        <w:t>s</w:t>
      </w:r>
      <w:r w:rsidR="00A2393F">
        <w:rPr>
          <w:rFonts w:eastAsia="Times New Roman"/>
          <w:lang w:eastAsia="en-AU"/>
        </w:rPr>
        <w:t xml:space="preserve"> sector</w:t>
      </w:r>
      <w:r w:rsidR="00091F95">
        <w:rPr>
          <w:rFonts w:eastAsia="Times New Roman"/>
          <w:lang w:eastAsia="en-AU"/>
        </w:rPr>
        <w:t>s</w:t>
      </w:r>
      <w:r w:rsidR="00A2393F">
        <w:rPr>
          <w:rFonts w:eastAsia="Times New Roman"/>
          <w:lang w:eastAsia="en-AU"/>
        </w:rPr>
        <w:t xml:space="preserve"> r</w:t>
      </w:r>
      <w:r w:rsidR="0009316F">
        <w:rPr>
          <w:rFonts w:eastAsia="Times New Roman"/>
          <w:lang w:eastAsia="en-AU"/>
        </w:rPr>
        <w:t xml:space="preserve">espond to </w:t>
      </w:r>
      <w:r w:rsidR="00A2393F">
        <w:rPr>
          <w:rFonts w:eastAsia="Times New Roman"/>
          <w:lang w:eastAsia="en-AU"/>
        </w:rPr>
        <w:t>ongoing</w:t>
      </w:r>
      <w:r w:rsidR="0009316F">
        <w:rPr>
          <w:rFonts w:eastAsia="Times New Roman"/>
          <w:lang w:eastAsia="en-AU"/>
        </w:rPr>
        <w:t xml:space="preserve"> </w:t>
      </w:r>
      <w:r w:rsidR="004844C7">
        <w:rPr>
          <w:rFonts w:eastAsia="Times New Roman"/>
          <w:lang w:eastAsia="en-AU"/>
        </w:rPr>
        <w:t xml:space="preserve">economic </w:t>
      </w:r>
      <w:r w:rsidR="0009316F">
        <w:rPr>
          <w:rFonts w:eastAsia="Times New Roman"/>
          <w:lang w:eastAsia="en-AU"/>
        </w:rPr>
        <w:t xml:space="preserve">pressures </w:t>
      </w:r>
      <w:r w:rsidR="009A232C">
        <w:rPr>
          <w:rFonts w:eastAsia="Times New Roman"/>
          <w:lang w:eastAsia="en-AU"/>
        </w:rPr>
        <w:t xml:space="preserve">and geopolitical tensions. </w:t>
      </w:r>
      <w:r w:rsidR="00A2393F">
        <w:rPr>
          <w:rFonts w:eastAsia="Times New Roman"/>
          <w:lang w:eastAsia="en-AU"/>
        </w:rPr>
        <w:t>We</w:t>
      </w:r>
      <w:r w:rsidR="00597305">
        <w:rPr>
          <w:rFonts w:eastAsia="Times New Roman"/>
          <w:lang w:eastAsia="en-AU"/>
        </w:rPr>
        <w:t xml:space="preserve"> place people and business</w:t>
      </w:r>
      <w:r w:rsidR="00445D92">
        <w:rPr>
          <w:rFonts w:eastAsia="Times New Roman"/>
          <w:lang w:eastAsia="en-AU"/>
        </w:rPr>
        <w:t>es</w:t>
      </w:r>
      <w:r w:rsidR="00597305">
        <w:rPr>
          <w:rFonts w:eastAsia="Times New Roman"/>
          <w:lang w:eastAsia="en-AU"/>
        </w:rPr>
        <w:t xml:space="preserve"> at the centre of our programs and services, </w:t>
      </w:r>
      <w:r w:rsidR="0016698A">
        <w:rPr>
          <w:rFonts w:eastAsia="Times New Roman"/>
          <w:lang w:eastAsia="en-AU"/>
        </w:rPr>
        <w:t xml:space="preserve">consistent with the broader Australian Public Service reform agenda, </w:t>
      </w:r>
      <w:r w:rsidR="009A232C">
        <w:rPr>
          <w:rFonts w:eastAsia="Times New Roman"/>
          <w:lang w:eastAsia="en-AU"/>
        </w:rPr>
        <w:t xml:space="preserve">and are committed to </w:t>
      </w:r>
      <w:r w:rsidR="009A232C">
        <w:t xml:space="preserve">strengthening relationships with First Nations </w:t>
      </w:r>
      <w:r w:rsidR="00346F34">
        <w:t>Peoples</w:t>
      </w:r>
      <w:r w:rsidR="009A232C">
        <w:t>,</w:t>
      </w:r>
      <w:r w:rsidR="002A1BC2">
        <w:t xml:space="preserve"> </w:t>
      </w:r>
      <w:r w:rsidR="009A232C">
        <w:t>communities and organisations</w:t>
      </w:r>
      <w:r w:rsidR="009A232C">
        <w:rPr>
          <w:rFonts w:eastAsia="Times New Roman"/>
          <w:lang w:eastAsia="en-AU"/>
        </w:rPr>
        <w:t>.</w:t>
      </w:r>
    </w:p>
    <w:p w14:paraId="41EFB4CC" w14:textId="3FB84885" w:rsidR="00216861" w:rsidRDefault="00A2393F" w:rsidP="00216861">
      <w:r>
        <w:rPr>
          <w:rFonts w:eastAsia="Times New Roman"/>
          <w:lang w:eastAsia="en-AU"/>
        </w:rPr>
        <w:t>We work effectively thanks to</w:t>
      </w:r>
      <w:r w:rsidR="008E5C20">
        <w:rPr>
          <w:rFonts w:eastAsia="Times New Roman"/>
          <w:lang w:eastAsia="en-AU"/>
        </w:rPr>
        <w:t xml:space="preserve"> the capability of our </w:t>
      </w:r>
      <w:r w:rsidR="00355AAE">
        <w:rPr>
          <w:rFonts w:eastAsia="Times New Roman"/>
          <w:lang w:eastAsia="en-AU"/>
        </w:rPr>
        <w:t>people</w:t>
      </w:r>
      <w:r w:rsidR="008E5C20">
        <w:rPr>
          <w:rFonts w:eastAsia="Times New Roman"/>
          <w:lang w:eastAsia="en-AU"/>
        </w:rPr>
        <w:t xml:space="preserve">, systems and practices. </w:t>
      </w:r>
      <w:r w:rsidR="00FC060B">
        <w:rPr>
          <w:rFonts w:eastAsia="Times New Roman"/>
          <w:lang w:eastAsia="en-AU"/>
        </w:rPr>
        <w:t>We do everything with</w:t>
      </w:r>
      <w:r w:rsidR="008E5C20">
        <w:rPr>
          <w:rFonts w:eastAsia="Times New Roman"/>
          <w:lang w:eastAsia="en-AU"/>
        </w:rPr>
        <w:t xml:space="preserve"> </w:t>
      </w:r>
      <w:r w:rsidR="00FC060B">
        <w:t xml:space="preserve">integrity </w:t>
      </w:r>
      <w:r w:rsidR="0092391E">
        <w:t xml:space="preserve">and </w:t>
      </w:r>
      <w:r w:rsidR="00FC060B">
        <w:t>strive</w:t>
      </w:r>
      <w:r w:rsidR="0092391E">
        <w:t xml:space="preserve"> to be a model employer. </w:t>
      </w:r>
      <w:r w:rsidR="0AB45692" w:rsidRPr="0AB45692">
        <w:rPr>
          <w:color w:val="000000" w:themeColor="text1"/>
        </w:rPr>
        <w:t xml:space="preserve">We </w:t>
      </w:r>
      <w:r w:rsidR="00FC060B">
        <w:rPr>
          <w:color w:val="000000" w:themeColor="text1"/>
        </w:rPr>
        <w:t>will maintain our</w:t>
      </w:r>
      <w:r w:rsidR="0AB45692" w:rsidRPr="0AB45692">
        <w:rPr>
          <w:color w:val="000000" w:themeColor="text1"/>
        </w:rPr>
        <w:t xml:space="preserve"> collaborative, supportive and inclusive culture where everyone feels valued and can perform at their best</w:t>
      </w:r>
      <w:r w:rsidR="0AB45692">
        <w:t>.</w:t>
      </w:r>
    </w:p>
    <w:p w14:paraId="6A832371" w14:textId="08AD4EBC" w:rsidR="00351A09" w:rsidRDefault="00351A09" w:rsidP="00B33771">
      <w:r>
        <w:t>This</w:t>
      </w:r>
      <w:r w:rsidR="0AB45692" w:rsidRPr="0AB45692">
        <w:rPr>
          <w:lang w:val="en-GB"/>
        </w:rPr>
        <w:t xml:space="preserve"> </w:t>
      </w:r>
      <w:r w:rsidR="00FC060B">
        <w:rPr>
          <w:lang w:val="en-GB"/>
        </w:rPr>
        <w:t>c</w:t>
      </w:r>
      <w:r w:rsidR="0AB45692" w:rsidRPr="0AB45692">
        <w:rPr>
          <w:lang w:val="en-GB"/>
        </w:rPr>
        <w:t xml:space="preserve">orporate </w:t>
      </w:r>
      <w:r w:rsidR="00FC060B">
        <w:rPr>
          <w:lang w:val="en-GB"/>
        </w:rPr>
        <w:t>p</w:t>
      </w:r>
      <w:r w:rsidR="00FC060B" w:rsidRPr="0AB45692">
        <w:rPr>
          <w:lang w:val="en-GB"/>
        </w:rPr>
        <w:t xml:space="preserve">lan </w:t>
      </w:r>
      <w:r w:rsidR="0AB45692" w:rsidRPr="0AB45692">
        <w:rPr>
          <w:lang w:val="en-GB"/>
        </w:rPr>
        <w:t xml:space="preserve">for </w:t>
      </w:r>
      <w:r w:rsidR="00BD7CDA" w:rsidRPr="0AB45692">
        <w:rPr>
          <w:lang w:val="en-GB"/>
        </w:rPr>
        <w:t>202</w:t>
      </w:r>
      <w:r w:rsidR="00BD7CDA">
        <w:rPr>
          <w:lang w:val="en-GB"/>
        </w:rPr>
        <w:t>3</w:t>
      </w:r>
      <w:r w:rsidR="0AB45692" w:rsidRPr="0AB45692">
        <w:rPr>
          <w:lang w:val="en-GB"/>
        </w:rPr>
        <w:t>–</w:t>
      </w:r>
      <w:r w:rsidR="00BD7CDA" w:rsidRPr="0AB45692">
        <w:rPr>
          <w:lang w:val="en-GB"/>
        </w:rPr>
        <w:t>2</w:t>
      </w:r>
      <w:r w:rsidR="00BD7CDA">
        <w:rPr>
          <w:lang w:val="en-GB"/>
        </w:rPr>
        <w:t>4</w:t>
      </w:r>
      <w:r w:rsidR="00BD7CDA" w:rsidRPr="0AB45692">
        <w:rPr>
          <w:lang w:val="en-GB"/>
        </w:rPr>
        <w:t xml:space="preserve"> </w:t>
      </w:r>
      <w:r w:rsidR="0AB45692" w:rsidRPr="0AB45692">
        <w:rPr>
          <w:lang w:val="en-GB"/>
        </w:rPr>
        <w:t xml:space="preserve">to </w:t>
      </w:r>
      <w:r w:rsidR="008A59A8" w:rsidRPr="0AB45692">
        <w:rPr>
          <w:lang w:val="en-GB"/>
        </w:rPr>
        <w:t>202</w:t>
      </w:r>
      <w:r w:rsidR="008A59A8">
        <w:rPr>
          <w:lang w:val="en-GB"/>
        </w:rPr>
        <w:t>7</w:t>
      </w:r>
      <w:r w:rsidR="0AB45692" w:rsidRPr="0AB45692">
        <w:rPr>
          <w:lang w:val="en-GB"/>
        </w:rPr>
        <w:t>–</w:t>
      </w:r>
      <w:r w:rsidR="008A59A8" w:rsidRPr="0AB45692">
        <w:rPr>
          <w:lang w:val="en-GB"/>
        </w:rPr>
        <w:t>2</w:t>
      </w:r>
      <w:r w:rsidR="008A59A8">
        <w:rPr>
          <w:lang w:val="en-GB"/>
        </w:rPr>
        <w:t>8</w:t>
      </w:r>
      <w:r w:rsidR="008A59A8" w:rsidRPr="0AB45692">
        <w:rPr>
          <w:lang w:val="en-GB"/>
        </w:rPr>
        <w:t xml:space="preserve"> </w:t>
      </w:r>
      <w:r>
        <w:rPr>
          <w:lang w:val="en-GB"/>
        </w:rPr>
        <w:t xml:space="preserve">sets out how we will achieve our purpose and </w:t>
      </w:r>
      <w:r w:rsidR="00BD7CDA">
        <w:rPr>
          <w:lang w:val="en-GB"/>
        </w:rPr>
        <w:t xml:space="preserve">implement </w:t>
      </w:r>
      <w:r>
        <w:rPr>
          <w:lang w:val="en-GB"/>
        </w:rPr>
        <w:t xml:space="preserve">the </w:t>
      </w:r>
      <w:r w:rsidR="00FC060B" w:rsidRPr="00520C2E">
        <w:rPr>
          <w:lang w:val="en-GB"/>
        </w:rPr>
        <w:t>g</w:t>
      </w:r>
      <w:r w:rsidRPr="00520C2E">
        <w:rPr>
          <w:lang w:val="en-GB"/>
        </w:rPr>
        <w:t>overnment’s</w:t>
      </w:r>
      <w:r>
        <w:rPr>
          <w:lang w:val="en-GB"/>
        </w:rPr>
        <w:t xml:space="preserve"> priorities. It provides </w:t>
      </w:r>
      <w:r>
        <w:t>an overview of our operating environment, strategic priorities, activities</w:t>
      </w:r>
      <w:r w:rsidR="0096252D">
        <w:t>,</w:t>
      </w:r>
      <w:r>
        <w:t xml:space="preserve"> risks, capabilities and how we measure our performance.</w:t>
      </w:r>
    </w:p>
    <w:p w14:paraId="0DDD382F" w14:textId="660A0EBB" w:rsidR="00351A09" w:rsidRDefault="00351A09" w:rsidP="00B33771">
      <w:r>
        <w:rPr>
          <w:lang w:val="en-GB"/>
        </w:rPr>
        <w:t xml:space="preserve">I am pleased to present our </w:t>
      </w:r>
      <w:r w:rsidR="00FC060B">
        <w:rPr>
          <w:lang w:val="en-GB"/>
        </w:rPr>
        <w:t>c</w:t>
      </w:r>
      <w:r>
        <w:rPr>
          <w:lang w:val="en-GB"/>
        </w:rPr>
        <w:t xml:space="preserve">orporate </w:t>
      </w:r>
      <w:r w:rsidR="00FC060B">
        <w:rPr>
          <w:lang w:val="en-GB"/>
        </w:rPr>
        <w:t>p</w:t>
      </w:r>
      <w:r>
        <w:rPr>
          <w:lang w:val="en-GB"/>
        </w:rPr>
        <w:t>lan as required</w:t>
      </w:r>
      <w:r w:rsidR="0AB45692" w:rsidRPr="0AB45692">
        <w:rPr>
          <w:lang w:val="en-GB"/>
        </w:rPr>
        <w:t xml:space="preserve"> under paragraph 35(1)(b) of the </w:t>
      </w:r>
      <w:r w:rsidR="0AB45692" w:rsidRPr="218580CA">
        <w:rPr>
          <w:i/>
          <w:iCs/>
          <w:lang w:val="en-GB"/>
        </w:rPr>
        <w:t>Public Governance, Performance and Accountability Act 2013</w:t>
      </w:r>
      <w:r w:rsidR="0AB45692">
        <w:t xml:space="preserve">. This is our </w:t>
      </w:r>
      <w:r w:rsidR="00FC060B">
        <w:t xml:space="preserve">main </w:t>
      </w:r>
      <w:r w:rsidR="0AB45692">
        <w:t xml:space="preserve">planning document and </w:t>
      </w:r>
      <w:r w:rsidR="0096252D">
        <w:t>was</w:t>
      </w:r>
      <w:r>
        <w:t xml:space="preserve"> prepared accord</w:t>
      </w:r>
      <w:r w:rsidR="00FC060B">
        <w:t>ing</w:t>
      </w:r>
      <w:r>
        <w:t xml:space="preserve"> </w:t>
      </w:r>
      <w:r w:rsidR="00FC060B">
        <w:t xml:space="preserve">to </w:t>
      </w:r>
      <w:r>
        <w:t xml:space="preserve">the requirements of the PGPA </w:t>
      </w:r>
      <w:r w:rsidR="006C69EF">
        <w:t>A</w:t>
      </w:r>
      <w:r>
        <w:t xml:space="preserve">ct. </w:t>
      </w:r>
    </w:p>
    <w:p w14:paraId="77100E7F" w14:textId="2A540B5C" w:rsidR="00096594" w:rsidRPr="00DA1B92" w:rsidRDefault="00351A09" w:rsidP="00B33771">
      <w:r>
        <w:t xml:space="preserve">I look forward to reporting on our progress in the performance statements included in our </w:t>
      </w:r>
      <w:r w:rsidR="00FC060B">
        <w:t>a</w:t>
      </w:r>
      <w:r>
        <w:t xml:space="preserve">nnual </w:t>
      </w:r>
      <w:r w:rsidR="00FC060B">
        <w:t>report</w:t>
      </w:r>
      <w:r w:rsidR="00287831">
        <w:t>.</w:t>
      </w:r>
    </w:p>
    <w:p w14:paraId="152BAD32" w14:textId="068E7E60" w:rsidR="00216861" w:rsidRPr="00C444E6" w:rsidRDefault="0AB45692" w:rsidP="00216861">
      <w:pPr>
        <w:spacing w:after="0"/>
      </w:pPr>
      <w:r w:rsidRPr="00C444E6">
        <w:t>Meghan Quinn PSM</w:t>
      </w:r>
    </w:p>
    <w:p w14:paraId="47A006F8" w14:textId="14CB3BD2" w:rsidR="00216861" w:rsidRPr="00C444E6" w:rsidRDefault="0AB45692" w:rsidP="00216861">
      <w:pPr>
        <w:spacing w:after="0"/>
      </w:pPr>
      <w:r w:rsidRPr="00C444E6">
        <w:t>Secretary</w:t>
      </w:r>
    </w:p>
    <w:p w14:paraId="068D97D5" w14:textId="5B3BEE1E" w:rsidR="005A1979" w:rsidRDefault="002B0091" w:rsidP="00216861">
      <w:pPr>
        <w:spacing w:after="0"/>
      </w:pPr>
      <w:r>
        <w:t>31 August</w:t>
      </w:r>
      <w:r w:rsidR="00287831" w:rsidRPr="00C444E6">
        <w:t xml:space="preserve"> 2023</w:t>
      </w:r>
    </w:p>
    <w:p w14:paraId="0C9994F9" w14:textId="4C16AAAD" w:rsidR="00781537" w:rsidRDefault="00781537">
      <w:pPr>
        <w:rPr>
          <w:rFonts w:asciiTheme="majorHAnsi" w:eastAsiaTheme="majorEastAsia" w:hAnsiTheme="majorHAnsi" w:cstheme="majorBidi"/>
          <w:color w:val="005677" w:themeColor="text2"/>
          <w:sz w:val="40"/>
          <w:szCs w:val="40"/>
        </w:rPr>
      </w:pPr>
      <w:r>
        <w:rPr>
          <w:rFonts w:asciiTheme="majorHAnsi" w:eastAsiaTheme="majorEastAsia" w:hAnsiTheme="majorHAnsi" w:cstheme="majorBidi"/>
          <w:color w:val="005677" w:themeColor="text2"/>
          <w:sz w:val="40"/>
          <w:szCs w:val="40"/>
        </w:rPr>
        <w:br w:type="page"/>
      </w:r>
    </w:p>
    <w:p w14:paraId="158A690D" w14:textId="39BF5DB4" w:rsidR="00D76A38" w:rsidRPr="002C1C3F" w:rsidRDefault="008D13F0" w:rsidP="002C1C3F">
      <w:pPr>
        <w:spacing w:after="3200"/>
        <w:jc w:val="center"/>
        <w:rPr>
          <w:b/>
          <w:bCs/>
          <w:sz w:val="28"/>
          <w:szCs w:val="28"/>
        </w:rPr>
      </w:pPr>
      <w:bookmarkStart w:id="23" w:name="_Toc103613123"/>
      <w:bookmarkStart w:id="24" w:name="_Toc81921033"/>
      <w:r w:rsidRPr="008D13F0">
        <w:rPr>
          <w:rStyle w:val="ui-provider"/>
          <w:b/>
          <w:bCs/>
          <w:noProof/>
          <w:sz w:val="28"/>
          <w:szCs w:val="28"/>
        </w:rPr>
        <w:drawing>
          <wp:inline distT="0" distB="0" distL="0" distR="0" wp14:anchorId="109B6723" wp14:editId="62EDF9F4">
            <wp:extent cx="5823925" cy="5953125"/>
            <wp:effectExtent l="0" t="0" r="5715" b="0"/>
            <wp:docPr id="6" name="Picture 6" descr="Our purpose and key activities.&#10;Our purpose: Building a better future for all Australians through enabling a productive, resilient and sustainable economy, enriched by science and technology.&#10;Our key activities under Industry and Science, and Resources are as follows:&#10;Key activity 1.1: Growing innovative and competitive businesses, industries and regions.&#10;Key activity 1.2: Investing in science and technology.&#10;Key activity 1.3: Supporting a strong resources sector, including providing expert advice to Department of Defence to support initial implementation of the Nuclear-Powered Submarin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ur purpose and key activities.&#10;Our purpose: Building a better future for all Australians through enabling a productive, resilient and sustainable economy, enriched by science and technology.&#10;Our key activities under Industry and Science, and Resources are as follows:&#10;Key activity 1.1: Growing innovative and competitive businesses, industries and regions.&#10;Key activity 1.2: Investing in science and technology.&#10;Key activity 1.3: Supporting a strong resources sector, including providing expert advice to Department of Defence to support initial implementation of the Nuclear-Powered Submarine Program."/>
                    <pic:cNvPicPr/>
                  </pic:nvPicPr>
                  <pic:blipFill>
                    <a:blip r:embed="rId9"/>
                    <a:stretch>
                      <a:fillRect/>
                    </a:stretch>
                  </pic:blipFill>
                  <pic:spPr>
                    <a:xfrm>
                      <a:off x="0" y="0"/>
                      <a:ext cx="5823925" cy="5953125"/>
                    </a:xfrm>
                    <a:prstGeom prst="rect">
                      <a:avLst/>
                    </a:prstGeom>
                  </pic:spPr>
                </pic:pic>
              </a:graphicData>
            </a:graphic>
          </wp:inline>
        </w:drawing>
      </w:r>
      <w:bookmarkStart w:id="25" w:name="Driving_competitiveness_and_growth_in_pr"/>
      <w:bookmarkStart w:id="26" w:name="Delivering_your_agenda"/>
      <w:bookmarkStart w:id="27" w:name="_bookmark0"/>
      <w:bookmarkStart w:id="28" w:name="Technology"/>
      <w:bookmarkStart w:id="29" w:name="Refreshing_and_aligning_our_science_and_"/>
      <w:bookmarkStart w:id="30" w:name="Strengthening_connections_between_scienc"/>
      <w:bookmarkStart w:id="31" w:name="Geopolitics_of_technology"/>
      <w:bookmarkStart w:id="32" w:name="_bookmark2"/>
      <w:bookmarkStart w:id="33" w:name="Australia’s_technology_strengths"/>
      <w:bookmarkStart w:id="34" w:name="Role_of_technology_in_the_Australian_eco"/>
      <w:bookmarkStart w:id="35" w:name="Australia_has_a_strong_comparative_advan"/>
      <w:bookmarkStart w:id="36" w:name="Global_context_and_implications"/>
      <w:bookmarkStart w:id="37" w:name="Australia_can_remain_a_resources_powerho"/>
      <w:bookmarkStart w:id="38" w:name="_Toc103613125"/>
      <w:bookmarkStart w:id="39" w:name="_Toc104195769"/>
      <w:bookmarkStart w:id="40" w:name="_Toc106271229"/>
      <w:bookmarkStart w:id="41" w:name="_Toc103613124"/>
      <w:bookmarkStart w:id="42" w:name="_Toc104195768"/>
      <w:bookmarkStart w:id="43" w:name="_Toc106271228"/>
      <w:bookmarkEnd w:id="23"/>
      <w:bookmarkEnd w:id="25"/>
      <w:bookmarkEnd w:id="26"/>
      <w:bookmarkEnd w:id="27"/>
      <w:bookmarkEnd w:id="28"/>
      <w:bookmarkEnd w:id="29"/>
      <w:bookmarkEnd w:id="30"/>
      <w:bookmarkEnd w:id="31"/>
      <w:bookmarkEnd w:id="32"/>
      <w:bookmarkEnd w:id="33"/>
      <w:bookmarkEnd w:id="34"/>
      <w:bookmarkEnd w:id="35"/>
      <w:bookmarkEnd w:id="36"/>
      <w:bookmarkEnd w:id="37"/>
    </w:p>
    <w:p w14:paraId="1F782C11" w14:textId="5FBA1477" w:rsidR="00D76A38" w:rsidRDefault="00D76A38">
      <w:r w:rsidRPr="00D76A38">
        <w:rPr>
          <w:noProof/>
        </w:rPr>
        <w:drawing>
          <wp:inline distT="0" distB="0" distL="0" distR="0" wp14:anchorId="6973BB85" wp14:editId="06AC1848">
            <wp:extent cx="6768465" cy="743585"/>
            <wp:effectExtent l="0" t="0" r="0" b="0"/>
            <wp:docPr id="2" name="Picture 2" descr="Footnote: Including providing expert advice to the Department of Defence to support initial implementation of the Nuclear-Powered Submarin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otnote: Including providing expert advice to the Department of Defence to support initial implementation of the Nuclear-Powered Submarine Program"/>
                    <pic:cNvPicPr/>
                  </pic:nvPicPr>
                  <pic:blipFill>
                    <a:blip r:embed="rId10"/>
                    <a:stretch>
                      <a:fillRect/>
                    </a:stretch>
                  </pic:blipFill>
                  <pic:spPr>
                    <a:xfrm>
                      <a:off x="0" y="0"/>
                      <a:ext cx="6768465" cy="743585"/>
                    </a:xfrm>
                    <a:prstGeom prst="rect">
                      <a:avLst/>
                    </a:prstGeom>
                  </pic:spPr>
                </pic:pic>
              </a:graphicData>
            </a:graphic>
          </wp:inline>
        </w:drawing>
      </w:r>
    </w:p>
    <w:p w14:paraId="2CA33157" w14:textId="77777777" w:rsidR="00CC4D43" w:rsidRDefault="00CC4D43">
      <w:pPr>
        <w:rPr>
          <w:rFonts w:asciiTheme="majorHAnsi" w:eastAsiaTheme="majorEastAsia" w:hAnsiTheme="majorHAnsi" w:cstheme="majorBidi"/>
          <w:color w:val="005677" w:themeColor="text2"/>
          <w:sz w:val="48"/>
          <w:szCs w:val="32"/>
        </w:rPr>
      </w:pPr>
      <w:r>
        <w:br w:type="page"/>
      </w:r>
    </w:p>
    <w:p w14:paraId="5A1214C6" w14:textId="144B6D0C" w:rsidR="00A16653" w:rsidRPr="000F7843" w:rsidRDefault="000610E8">
      <w:pPr>
        <w:pStyle w:val="Heading1"/>
        <w:rPr>
          <w:rFonts w:cstheme="minorBidi"/>
        </w:rPr>
      </w:pPr>
      <w:r>
        <w:t xml:space="preserve">Our </w:t>
      </w:r>
      <w:r w:rsidR="004267C4">
        <w:t>key activities</w:t>
      </w:r>
      <w:r w:rsidR="00535D8C">
        <w:t xml:space="preserve"> and </w:t>
      </w:r>
      <w:r>
        <w:t>s</w:t>
      </w:r>
      <w:r w:rsidRPr="009714BE">
        <w:t xml:space="preserve">trategic </w:t>
      </w:r>
      <w:r w:rsidRPr="00AB78DA">
        <w:t>priorities</w:t>
      </w:r>
      <w:bookmarkEnd w:id="38"/>
      <w:bookmarkEnd w:id="39"/>
      <w:bookmarkEnd w:id="40"/>
    </w:p>
    <w:p w14:paraId="22180DAA" w14:textId="327DC92A" w:rsidR="0061656B" w:rsidRPr="00DA748E" w:rsidRDefault="00D52597" w:rsidP="00C607FC">
      <w:pPr>
        <w:rPr>
          <w:rFonts w:asciiTheme="majorHAnsi" w:eastAsiaTheme="majorEastAsia" w:hAnsiTheme="majorHAnsi" w:cstheme="majorBidi"/>
          <w:color w:val="005677" w:themeColor="text2"/>
          <w:sz w:val="24"/>
          <w:szCs w:val="16"/>
        </w:rPr>
      </w:pPr>
      <w:r w:rsidRPr="00DA748E">
        <w:rPr>
          <w:rFonts w:asciiTheme="majorHAnsi" w:eastAsiaTheme="majorEastAsia" w:hAnsiTheme="majorHAnsi" w:cstheme="majorBidi"/>
          <w:color w:val="005677" w:themeColor="text2"/>
          <w:sz w:val="24"/>
          <w:szCs w:val="16"/>
        </w:rPr>
        <w:t xml:space="preserve">We will </w:t>
      </w:r>
      <w:r w:rsidR="008628FE" w:rsidRPr="00DA748E">
        <w:rPr>
          <w:rFonts w:asciiTheme="majorHAnsi" w:eastAsiaTheme="majorEastAsia" w:hAnsiTheme="majorHAnsi" w:cstheme="majorBidi"/>
          <w:color w:val="005677" w:themeColor="text2"/>
          <w:sz w:val="24"/>
          <w:szCs w:val="16"/>
        </w:rPr>
        <w:t xml:space="preserve">achieve our purpose </w:t>
      </w:r>
      <w:r w:rsidRPr="00DA748E">
        <w:rPr>
          <w:rFonts w:asciiTheme="majorHAnsi" w:eastAsiaTheme="majorEastAsia" w:hAnsiTheme="majorHAnsi" w:cstheme="majorBidi"/>
          <w:color w:val="005677" w:themeColor="text2"/>
          <w:sz w:val="24"/>
          <w:szCs w:val="16"/>
        </w:rPr>
        <w:t xml:space="preserve">through the following </w:t>
      </w:r>
      <w:bookmarkStart w:id="44" w:name="_Hlk126847335"/>
      <w:r w:rsidR="00791713" w:rsidRPr="00DA748E">
        <w:rPr>
          <w:rFonts w:asciiTheme="majorHAnsi" w:eastAsiaTheme="majorEastAsia" w:hAnsiTheme="majorHAnsi" w:cstheme="majorBidi"/>
          <w:color w:val="005677" w:themeColor="text2"/>
          <w:sz w:val="24"/>
          <w:szCs w:val="16"/>
        </w:rPr>
        <w:t xml:space="preserve">key activities </w:t>
      </w:r>
      <w:r w:rsidRPr="00DA748E">
        <w:rPr>
          <w:rFonts w:asciiTheme="majorHAnsi" w:eastAsiaTheme="majorEastAsia" w:hAnsiTheme="majorHAnsi" w:cstheme="majorBidi"/>
          <w:color w:val="005677" w:themeColor="text2"/>
          <w:sz w:val="24"/>
          <w:szCs w:val="16"/>
        </w:rPr>
        <w:t>and strategic priorities</w:t>
      </w:r>
      <w:bookmarkEnd w:id="44"/>
    </w:p>
    <w:p w14:paraId="6BD16888" w14:textId="70B2E067" w:rsidR="00C53E3F" w:rsidRDefault="00C53E3F" w:rsidP="00C53E3F">
      <w:pPr>
        <w:pStyle w:val="Heading2"/>
        <w:rPr>
          <w:rFonts w:eastAsia="PMingLiU"/>
          <w:lang w:val="en-US"/>
        </w:rPr>
      </w:pPr>
      <w:bookmarkStart w:id="45" w:name="_Hlk126847281"/>
      <w:bookmarkStart w:id="46" w:name="_Hlk124259898"/>
      <w:bookmarkStart w:id="47" w:name="_Hlk122346320"/>
      <w:r w:rsidRPr="745BC7F4">
        <w:rPr>
          <w:rFonts w:eastAsia="PMingLiU"/>
          <w:lang w:val="en-US"/>
        </w:rPr>
        <w:t xml:space="preserve">Key </w:t>
      </w:r>
      <w:r>
        <w:rPr>
          <w:rFonts w:eastAsia="PMingLiU"/>
          <w:lang w:val="en-US"/>
        </w:rPr>
        <w:t>a</w:t>
      </w:r>
      <w:r w:rsidRPr="745BC7F4">
        <w:rPr>
          <w:rFonts w:eastAsia="PMingLiU"/>
          <w:lang w:val="en-US"/>
        </w:rPr>
        <w:t>ctivity 1.</w:t>
      </w:r>
      <w:r>
        <w:rPr>
          <w:rFonts w:eastAsia="PMingLiU"/>
          <w:lang w:val="en-US"/>
        </w:rPr>
        <w:t>1</w:t>
      </w:r>
      <w:r w:rsidRPr="745BC7F4">
        <w:rPr>
          <w:rFonts w:eastAsia="PMingLiU"/>
          <w:lang w:val="en-US"/>
        </w:rPr>
        <w:t xml:space="preserve">: </w:t>
      </w:r>
      <w:r>
        <w:rPr>
          <w:rFonts w:eastAsia="PMingLiU"/>
          <w:lang w:val="en-US"/>
        </w:rPr>
        <w:t>g</w:t>
      </w:r>
      <w:r w:rsidRPr="745BC7F4">
        <w:rPr>
          <w:rFonts w:eastAsia="PMingLiU"/>
          <w:lang w:val="en-US"/>
        </w:rPr>
        <w:t xml:space="preserve">rowing innovative and competitive businesses, </w:t>
      </w:r>
      <w:r w:rsidRPr="00583457">
        <w:rPr>
          <w:rFonts w:eastAsia="PMingLiU"/>
          <w:lang w:val="en-US"/>
        </w:rPr>
        <w:t>industries and regions</w:t>
      </w:r>
    </w:p>
    <w:p w14:paraId="1957CD26" w14:textId="507CE8FA" w:rsidR="00F62EE9" w:rsidRPr="00DA748E" w:rsidRDefault="00F62EE9" w:rsidP="00AB529F">
      <w:pPr>
        <w:rPr>
          <w:lang w:val="en-US"/>
        </w:rPr>
      </w:pPr>
      <w:r w:rsidRPr="00DA748E">
        <w:t>We are building and supporting a flexible, resilient and dynamic economic base for Australia that identifies and adapts to new markets and emerging opportunities. Our strategic priorities under this activity include:</w:t>
      </w:r>
    </w:p>
    <w:p w14:paraId="5BA429E8" w14:textId="3462A0CE" w:rsidR="00C53E3F" w:rsidRPr="002848BE" w:rsidRDefault="00C53E3F" w:rsidP="00D63FB4">
      <w:pPr>
        <w:pStyle w:val="ListParagraph"/>
        <w:numPr>
          <w:ilvl w:val="0"/>
          <w:numId w:val="7"/>
        </w:numPr>
        <w:spacing w:after="0"/>
        <w:ind w:hanging="357"/>
        <w:contextualSpacing w:val="0"/>
      </w:pPr>
      <w:bookmarkStart w:id="48" w:name="_Hlk124236343"/>
      <w:r w:rsidRPr="002848BE">
        <w:rPr>
          <w:rFonts w:eastAsia="Arial"/>
          <w:b/>
          <w:bCs/>
          <w:color w:val="000000"/>
          <w:spacing w:val="-4"/>
          <w:lang w:val="en-US"/>
        </w:rPr>
        <w:t>Diversifying and transforming Australia’s industry</w:t>
      </w:r>
      <w:r w:rsidRPr="002848BE">
        <w:rPr>
          <w:rFonts w:eastAsia="Arial"/>
          <w:color w:val="000000"/>
          <w:spacing w:val="-4"/>
          <w:lang w:val="en-US"/>
        </w:rPr>
        <w:t xml:space="preserve"> to secure future prosperity through the National Reconstruction Fund, which will target investments in priority areas, including:</w:t>
      </w:r>
    </w:p>
    <w:p w14:paraId="43E896E7" w14:textId="3E5BB0DA" w:rsidR="00C53E3F" w:rsidRPr="002848BE" w:rsidRDefault="00C53E3F" w:rsidP="00D63FB4">
      <w:pPr>
        <w:pStyle w:val="ListParagraph"/>
        <w:numPr>
          <w:ilvl w:val="1"/>
          <w:numId w:val="7"/>
        </w:numPr>
        <w:spacing w:after="0" w:line="240" w:lineRule="auto"/>
        <w:ind w:hanging="357"/>
        <w:contextualSpacing w:val="0"/>
        <w:rPr>
          <w:rFonts w:eastAsia="Arial"/>
          <w:color w:val="000000" w:themeColor="text1"/>
          <w:lang w:val="en-US"/>
        </w:rPr>
      </w:pPr>
      <w:r w:rsidRPr="002848BE">
        <w:rPr>
          <w:rFonts w:eastAsia="Arial"/>
          <w:color w:val="000000"/>
          <w:spacing w:val="-4"/>
          <w:lang w:val="en-US"/>
        </w:rPr>
        <w:t>renewables and low emission technologies</w:t>
      </w:r>
    </w:p>
    <w:p w14:paraId="4CF1EBCB" w14:textId="77777777" w:rsidR="00C53E3F" w:rsidRPr="002848BE" w:rsidRDefault="00C53E3F" w:rsidP="00D63FB4">
      <w:pPr>
        <w:pStyle w:val="ListParagraph"/>
        <w:numPr>
          <w:ilvl w:val="1"/>
          <w:numId w:val="7"/>
        </w:numPr>
        <w:spacing w:after="0" w:line="240" w:lineRule="auto"/>
        <w:ind w:hanging="357"/>
        <w:contextualSpacing w:val="0"/>
        <w:rPr>
          <w:rFonts w:eastAsia="Arial"/>
          <w:color w:val="000000" w:themeColor="text1"/>
          <w:lang w:val="en-US"/>
        </w:rPr>
      </w:pPr>
      <w:r w:rsidRPr="002848BE">
        <w:rPr>
          <w:rFonts w:eastAsia="Arial"/>
          <w:color w:val="000000"/>
          <w:spacing w:val="-4"/>
          <w:lang w:val="en-US"/>
        </w:rPr>
        <w:t>medical science</w:t>
      </w:r>
    </w:p>
    <w:p w14:paraId="77EF9658" w14:textId="77777777" w:rsidR="00C53E3F" w:rsidRPr="002848BE" w:rsidRDefault="00C53E3F" w:rsidP="00D63FB4">
      <w:pPr>
        <w:pStyle w:val="ListParagraph"/>
        <w:numPr>
          <w:ilvl w:val="1"/>
          <w:numId w:val="7"/>
        </w:numPr>
        <w:spacing w:after="0" w:line="240" w:lineRule="auto"/>
        <w:ind w:hanging="357"/>
        <w:contextualSpacing w:val="0"/>
        <w:rPr>
          <w:rFonts w:eastAsia="Arial"/>
          <w:color w:val="000000" w:themeColor="text1"/>
          <w:lang w:val="en-US"/>
        </w:rPr>
      </w:pPr>
      <w:r w:rsidRPr="002848BE">
        <w:rPr>
          <w:rFonts w:eastAsia="Arial"/>
          <w:color w:val="000000"/>
          <w:spacing w:val="-4"/>
          <w:lang w:val="en-US"/>
        </w:rPr>
        <w:t>transport</w:t>
      </w:r>
    </w:p>
    <w:p w14:paraId="3D67B8BD" w14:textId="32A38310" w:rsidR="00C53E3F" w:rsidRPr="002848BE" w:rsidRDefault="00C53E3F" w:rsidP="00D63FB4">
      <w:pPr>
        <w:pStyle w:val="ListParagraph"/>
        <w:numPr>
          <w:ilvl w:val="1"/>
          <w:numId w:val="7"/>
        </w:numPr>
        <w:spacing w:after="0" w:line="240" w:lineRule="auto"/>
        <w:ind w:hanging="357"/>
        <w:contextualSpacing w:val="0"/>
        <w:rPr>
          <w:rFonts w:eastAsia="Arial"/>
          <w:color w:val="000000" w:themeColor="text1"/>
          <w:lang w:val="en-US"/>
        </w:rPr>
      </w:pPr>
      <w:r w:rsidRPr="002848BE">
        <w:rPr>
          <w:rFonts w:eastAsia="Arial"/>
          <w:color w:val="000000"/>
          <w:spacing w:val="-4"/>
          <w:lang w:val="en-US"/>
        </w:rPr>
        <w:t>value-add in agriculture, forestry and fisheries</w:t>
      </w:r>
    </w:p>
    <w:p w14:paraId="4F26ED6C" w14:textId="77777777" w:rsidR="00C53E3F" w:rsidRPr="002848BE" w:rsidRDefault="00C53E3F" w:rsidP="00D63FB4">
      <w:pPr>
        <w:pStyle w:val="ListParagraph"/>
        <w:numPr>
          <w:ilvl w:val="1"/>
          <w:numId w:val="7"/>
        </w:numPr>
        <w:spacing w:after="0" w:line="240" w:lineRule="auto"/>
        <w:ind w:hanging="357"/>
        <w:contextualSpacing w:val="0"/>
        <w:rPr>
          <w:rFonts w:eastAsia="Arial"/>
          <w:color w:val="000000" w:themeColor="text1"/>
          <w:lang w:val="en-US"/>
        </w:rPr>
      </w:pPr>
      <w:r w:rsidRPr="002848BE">
        <w:rPr>
          <w:rFonts w:eastAsia="Arial"/>
          <w:color w:val="000000"/>
          <w:spacing w:val="-4"/>
          <w:lang w:val="en-US"/>
        </w:rPr>
        <w:t>value-add in resources</w:t>
      </w:r>
    </w:p>
    <w:p w14:paraId="236F1C02" w14:textId="77777777" w:rsidR="00C53E3F" w:rsidRPr="002848BE" w:rsidRDefault="00C53E3F" w:rsidP="00D63FB4">
      <w:pPr>
        <w:pStyle w:val="ListParagraph"/>
        <w:numPr>
          <w:ilvl w:val="1"/>
          <w:numId w:val="7"/>
        </w:numPr>
        <w:spacing w:after="0" w:line="240" w:lineRule="auto"/>
        <w:ind w:hanging="357"/>
        <w:contextualSpacing w:val="0"/>
        <w:rPr>
          <w:rFonts w:eastAsia="Arial"/>
          <w:color w:val="000000" w:themeColor="text1"/>
          <w:lang w:val="en-US"/>
        </w:rPr>
      </w:pPr>
      <w:r w:rsidRPr="002848BE">
        <w:rPr>
          <w:rFonts w:eastAsia="Arial"/>
          <w:color w:val="000000"/>
          <w:spacing w:val="-4"/>
        </w:rPr>
        <w:t>defence</w:t>
      </w:r>
      <w:r w:rsidRPr="002848BE">
        <w:rPr>
          <w:rFonts w:eastAsia="Arial"/>
          <w:color w:val="000000"/>
          <w:spacing w:val="-4"/>
          <w:lang w:val="en-US"/>
        </w:rPr>
        <w:t xml:space="preserve"> capability</w:t>
      </w:r>
    </w:p>
    <w:p w14:paraId="78922F0C" w14:textId="63A4E8EB" w:rsidR="00C53E3F" w:rsidRPr="002848BE" w:rsidRDefault="00C53E3F" w:rsidP="00C53E3F">
      <w:pPr>
        <w:pStyle w:val="ListParagraph"/>
        <w:numPr>
          <w:ilvl w:val="1"/>
          <w:numId w:val="7"/>
        </w:numPr>
        <w:spacing w:after="120" w:line="240" w:lineRule="auto"/>
        <w:contextualSpacing w:val="0"/>
        <w:rPr>
          <w:rFonts w:eastAsia="Arial"/>
          <w:color w:val="000000" w:themeColor="text1"/>
          <w:lang w:val="en-US"/>
        </w:rPr>
      </w:pPr>
      <w:bookmarkStart w:id="49" w:name="_Hlk139372271"/>
      <w:r w:rsidRPr="002848BE">
        <w:rPr>
          <w:rFonts w:eastAsia="Arial"/>
          <w:color w:val="000000"/>
          <w:spacing w:val="-4"/>
          <w:lang w:val="en-US"/>
        </w:rPr>
        <w:t>enabling capabilities</w:t>
      </w:r>
      <w:r w:rsidR="00F573FB" w:rsidRPr="002848BE">
        <w:rPr>
          <w:rFonts w:eastAsia="Arial"/>
          <w:color w:val="000000"/>
          <w:spacing w:val="-4"/>
          <w:lang w:val="en-US"/>
        </w:rPr>
        <w:t>.</w:t>
      </w:r>
      <w:bookmarkEnd w:id="49"/>
    </w:p>
    <w:p w14:paraId="1A25B23B" w14:textId="77777777" w:rsidR="002E468D" w:rsidRPr="00656FE1" w:rsidRDefault="002E468D" w:rsidP="002E468D">
      <w:pPr>
        <w:pStyle w:val="ListParagraph"/>
        <w:numPr>
          <w:ilvl w:val="0"/>
          <w:numId w:val="7"/>
        </w:numPr>
        <w:spacing w:after="120" w:line="240" w:lineRule="auto"/>
        <w:contextualSpacing w:val="0"/>
        <w:rPr>
          <w:rFonts w:eastAsia="PMingLiU"/>
          <w:lang w:val="en-US"/>
        </w:rPr>
      </w:pPr>
      <w:bookmarkStart w:id="50" w:name="_Hlk138946764"/>
      <w:bookmarkEnd w:id="45"/>
      <w:bookmarkEnd w:id="48"/>
      <w:r w:rsidRPr="00656FE1" w:rsidDel="00436615">
        <w:rPr>
          <w:rFonts w:eastAsia="PMingLiU"/>
          <w:b/>
          <w:bCs/>
          <w:lang w:val="en-US"/>
        </w:rPr>
        <w:t xml:space="preserve">Providing </w:t>
      </w:r>
      <w:r>
        <w:rPr>
          <w:rFonts w:eastAsia="PMingLiU"/>
          <w:b/>
          <w:bCs/>
          <w:lang w:val="en-US"/>
        </w:rPr>
        <w:t>advice and</w:t>
      </w:r>
      <w:r w:rsidRPr="00656FE1" w:rsidDel="00436615">
        <w:rPr>
          <w:rFonts w:eastAsia="PMingLiU"/>
          <w:b/>
          <w:bCs/>
          <w:lang w:val="en-US"/>
        </w:rPr>
        <w:t xml:space="preserve"> targeted funding to support </w:t>
      </w:r>
      <w:r>
        <w:rPr>
          <w:rFonts w:eastAsia="PMingLiU"/>
          <w:b/>
          <w:bCs/>
          <w:lang w:val="en-US"/>
        </w:rPr>
        <w:t xml:space="preserve">innovative </w:t>
      </w:r>
      <w:r w:rsidRPr="00656FE1" w:rsidDel="00436615">
        <w:rPr>
          <w:rFonts w:eastAsia="PMingLiU"/>
          <w:b/>
          <w:bCs/>
          <w:lang w:val="en-US"/>
        </w:rPr>
        <w:t>small to medium enterprises</w:t>
      </w:r>
      <w:r w:rsidRPr="00656FE1" w:rsidDel="00436615">
        <w:rPr>
          <w:rFonts w:eastAsia="PMingLiU"/>
          <w:lang w:val="en-US"/>
        </w:rPr>
        <w:t xml:space="preserve"> to </w:t>
      </w:r>
      <w:r w:rsidRPr="00656FE1">
        <w:rPr>
          <w:rFonts w:eastAsia="PMingLiU"/>
          <w:lang w:val="en-US"/>
        </w:rPr>
        <w:t xml:space="preserve">commercialise their ideas </w:t>
      </w:r>
      <w:r>
        <w:rPr>
          <w:rFonts w:eastAsia="PMingLiU"/>
          <w:lang w:val="en-US"/>
        </w:rPr>
        <w:t xml:space="preserve">and </w:t>
      </w:r>
      <w:r w:rsidRPr="00656FE1" w:rsidDel="00436615">
        <w:rPr>
          <w:rFonts w:eastAsia="PMingLiU"/>
          <w:lang w:val="en-US"/>
        </w:rPr>
        <w:t>grow their business through the Industry Growth Program</w:t>
      </w:r>
      <w:r>
        <w:rPr>
          <w:rFonts w:eastAsia="PMingLiU"/>
          <w:lang w:val="en-US"/>
        </w:rPr>
        <w:t>.</w:t>
      </w:r>
    </w:p>
    <w:p w14:paraId="100878AA" w14:textId="77F481CE" w:rsidR="0092684D" w:rsidRPr="002B4AE6" w:rsidRDefault="0092684D" w:rsidP="00656FE1">
      <w:pPr>
        <w:pStyle w:val="ListParagraph"/>
        <w:numPr>
          <w:ilvl w:val="0"/>
          <w:numId w:val="7"/>
        </w:numPr>
        <w:spacing w:after="120" w:line="240" w:lineRule="auto"/>
        <w:contextualSpacing w:val="0"/>
        <w:rPr>
          <w:rFonts w:eastAsia="PMingLiU"/>
          <w:lang w:val="en-US"/>
        </w:rPr>
      </w:pPr>
      <w:r w:rsidRPr="002B4AE6">
        <w:rPr>
          <w:rFonts w:eastAsia="PMingLiU"/>
          <w:b/>
          <w:bCs/>
          <w:lang w:val="en-US"/>
        </w:rPr>
        <w:t>Supporting industrial decarbonisation sectoral planning</w:t>
      </w:r>
      <w:r w:rsidRPr="0092684D">
        <w:rPr>
          <w:rFonts w:eastAsia="PMingLiU"/>
          <w:lang w:val="en-US"/>
        </w:rPr>
        <w:t xml:space="preserve"> to maximise the benefits of the global transition to net zero. By providing long-term policy certainty, we will drive investment in </w:t>
      </w:r>
      <w:r w:rsidR="00AB529F" w:rsidRPr="0092684D">
        <w:rPr>
          <w:rFonts w:eastAsia="PMingLiU"/>
          <w:lang w:val="en-US"/>
        </w:rPr>
        <w:t>green manufacturing</w:t>
      </w:r>
      <w:r w:rsidR="00AB529F">
        <w:rPr>
          <w:rFonts w:eastAsia="PMingLiU"/>
          <w:lang w:val="en-US"/>
        </w:rPr>
        <w:t>,</w:t>
      </w:r>
      <w:r w:rsidR="00AB529F" w:rsidRPr="0092684D">
        <w:rPr>
          <w:rFonts w:eastAsia="PMingLiU"/>
          <w:lang w:val="en-US"/>
        </w:rPr>
        <w:t xml:space="preserve"> </w:t>
      </w:r>
      <w:r w:rsidRPr="0092684D">
        <w:rPr>
          <w:rFonts w:eastAsia="PMingLiU"/>
          <w:lang w:val="en-US"/>
        </w:rPr>
        <w:t>low emissions and renewable technologies.</w:t>
      </w:r>
    </w:p>
    <w:bookmarkEnd w:id="50"/>
    <w:p w14:paraId="57D7F472" w14:textId="77777777" w:rsidR="00DB4599" w:rsidRPr="002848BE" w:rsidRDefault="00DB4599" w:rsidP="00DB4599">
      <w:pPr>
        <w:pStyle w:val="ListParagraph"/>
        <w:numPr>
          <w:ilvl w:val="0"/>
          <w:numId w:val="7"/>
        </w:numPr>
        <w:spacing w:after="120" w:line="240" w:lineRule="auto"/>
        <w:contextualSpacing w:val="0"/>
        <w:rPr>
          <w:rFonts w:eastAsia="Arial"/>
          <w:color w:val="000000" w:themeColor="text1"/>
          <w:lang w:val="en-US"/>
        </w:rPr>
      </w:pPr>
      <w:r w:rsidRPr="002848BE">
        <w:rPr>
          <w:rFonts w:eastAsia="Arial"/>
          <w:b/>
          <w:bCs/>
          <w:color w:val="000000"/>
          <w:spacing w:val="-4"/>
          <w:lang w:val="en-US"/>
        </w:rPr>
        <w:t xml:space="preserve">Implementing the National Battery Strategy </w:t>
      </w:r>
      <w:r w:rsidRPr="002848BE">
        <w:rPr>
          <w:rFonts w:eastAsia="Arial"/>
          <w:color w:val="000000"/>
          <w:spacing w:val="-4"/>
          <w:lang w:val="en-US"/>
        </w:rPr>
        <w:t xml:space="preserve">to </w:t>
      </w:r>
      <w:r w:rsidRPr="002848BE" w:rsidDel="00D52597">
        <w:rPr>
          <w:rFonts w:eastAsia="Arial"/>
          <w:color w:val="000000"/>
          <w:spacing w:val="-4"/>
          <w:lang w:val="en-US"/>
        </w:rPr>
        <w:t xml:space="preserve">guide </w:t>
      </w:r>
      <w:r w:rsidRPr="002848BE">
        <w:rPr>
          <w:rFonts w:eastAsia="Arial"/>
          <w:color w:val="000000"/>
          <w:spacing w:val="-4"/>
          <w:lang w:val="en-US"/>
        </w:rPr>
        <w:t xml:space="preserve">governments and industry </w:t>
      </w:r>
      <w:r w:rsidRPr="002848BE" w:rsidDel="00D52597">
        <w:rPr>
          <w:rFonts w:eastAsia="Arial"/>
          <w:color w:val="000000"/>
          <w:spacing w:val="-4"/>
          <w:lang w:val="en-US"/>
        </w:rPr>
        <w:t xml:space="preserve">towards </w:t>
      </w:r>
      <w:r w:rsidRPr="002848BE">
        <w:rPr>
          <w:rFonts w:eastAsia="Arial"/>
          <w:color w:val="000000"/>
          <w:spacing w:val="-4"/>
          <w:lang w:val="en-US"/>
        </w:rPr>
        <w:t xml:space="preserve">a shared vision of end-to-end battery manufacturing and </w:t>
      </w:r>
      <w:r>
        <w:rPr>
          <w:rFonts w:eastAsia="Arial"/>
          <w:color w:val="000000"/>
          <w:spacing w:val="-4"/>
          <w:lang w:val="en-US"/>
        </w:rPr>
        <w:t xml:space="preserve">help Australia </w:t>
      </w:r>
      <w:r w:rsidRPr="002848BE">
        <w:rPr>
          <w:rFonts w:eastAsia="Arial"/>
          <w:color w:val="000000"/>
          <w:spacing w:val="-4"/>
          <w:lang w:val="en-US"/>
        </w:rPr>
        <w:t>transition to renewable energy.</w:t>
      </w:r>
    </w:p>
    <w:p w14:paraId="2D73CE95" w14:textId="77777777" w:rsidR="002B68C9" w:rsidRPr="00DA2723" w:rsidRDefault="002B68C9" w:rsidP="002B68C9">
      <w:pPr>
        <w:pStyle w:val="ListParagraph"/>
        <w:numPr>
          <w:ilvl w:val="0"/>
          <w:numId w:val="7"/>
        </w:numPr>
        <w:spacing w:after="120" w:line="240" w:lineRule="auto"/>
        <w:contextualSpacing w:val="0"/>
        <w:rPr>
          <w:rFonts w:eastAsia="PMingLiU"/>
          <w:lang w:val="en-US"/>
        </w:rPr>
      </w:pPr>
      <w:r>
        <w:rPr>
          <w:rFonts w:eastAsia="Arial"/>
          <w:b/>
          <w:bCs/>
          <w:color w:val="000000"/>
          <w:spacing w:val="-4"/>
          <w:lang w:val="en-US"/>
        </w:rPr>
        <w:t xml:space="preserve">Supporting implementation of the </w:t>
      </w:r>
      <w:r w:rsidRPr="00450B72">
        <w:rPr>
          <w:rFonts w:eastAsia="Arial"/>
          <w:b/>
          <w:bCs/>
          <w:color w:val="000000"/>
          <w:spacing w:val="-4"/>
          <w:lang w:val="en-US"/>
        </w:rPr>
        <w:t>Buy Australia</w:t>
      </w:r>
      <w:r>
        <w:rPr>
          <w:rFonts w:eastAsia="Arial"/>
          <w:b/>
          <w:bCs/>
          <w:color w:val="000000"/>
          <w:spacing w:val="-4"/>
          <w:lang w:val="en-US"/>
        </w:rPr>
        <w:t>n</w:t>
      </w:r>
      <w:r w:rsidRPr="00450B72">
        <w:rPr>
          <w:rFonts w:eastAsia="Arial"/>
          <w:b/>
          <w:bCs/>
          <w:color w:val="000000"/>
          <w:spacing w:val="-4"/>
          <w:lang w:val="en-US"/>
        </w:rPr>
        <w:t xml:space="preserve"> Plan</w:t>
      </w:r>
      <w:r w:rsidRPr="001930CA" w:rsidDel="003C1EBE">
        <w:rPr>
          <w:rFonts w:eastAsia="Arial"/>
          <w:b/>
          <w:bCs/>
          <w:color w:val="000000"/>
          <w:spacing w:val="-4"/>
          <w:lang w:val="en-US"/>
        </w:rPr>
        <w:t xml:space="preserve"> </w:t>
      </w:r>
      <w:r>
        <w:rPr>
          <w:rFonts w:eastAsia="Arial"/>
          <w:color w:val="000000"/>
          <w:spacing w:val="-4"/>
          <w:lang w:val="en-US"/>
        </w:rPr>
        <w:t>to improve local industry participation opportunities through the government’s purchasing power.</w:t>
      </w:r>
    </w:p>
    <w:p w14:paraId="4B84C703" w14:textId="4916F775" w:rsidR="00284CC0" w:rsidRPr="00940664" w:rsidRDefault="00284CC0" w:rsidP="00D31CCC">
      <w:pPr>
        <w:pStyle w:val="ListParagraph"/>
        <w:numPr>
          <w:ilvl w:val="0"/>
          <w:numId w:val="7"/>
        </w:numPr>
        <w:spacing w:after="120" w:line="240" w:lineRule="auto"/>
        <w:contextualSpacing w:val="0"/>
        <w:rPr>
          <w:lang w:val="en-US"/>
        </w:rPr>
      </w:pPr>
      <w:bookmarkStart w:id="51" w:name="_Hlk144122545"/>
      <w:r w:rsidRPr="00BB35A7">
        <w:rPr>
          <w:rFonts w:eastAsia="PMingLiU"/>
          <w:b/>
          <w:lang w:val="en-US"/>
        </w:rPr>
        <w:t xml:space="preserve">Boosting collaboration, commercialisation </w:t>
      </w:r>
      <w:r w:rsidRPr="0093124C">
        <w:rPr>
          <w:rFonts w:eastAsia="PMingLiU"/>
          <w:b/>
          <w:lang w:val="en-US"/>
        </w:rPr>
        <w:t xml:space="preserve">and use of Australian research and development </w:t>
      </w:r>
      <w:r w:rsidRPr="00DA748E">
        <w:rPr>
          <w:rFonts w:eastAsia="PMingLiU"/>
          <w:lang w:val="en-US"/>
        </w:rPr>
        <w:t>by</w:t>
      </w:r>
      <w:r w:rsidR="00940664">
        <w:rPr>
          <w:rFonts w:eastAsia="PMingLiU"/>
          <w:b/>
          <w:lang w:val="en-US"/>
        </w:rPr>
        <w:t xml:space="preserve"> </w:t>
      </w:r>
      <w:r w:rsidR="00940664" w:rsidRPr="005A6FC6">
        <w:rPr>
          <w:rFonts w:eastAsia="Arial"/>
          <w:color w:val="000000"/>
          <w:spacing w:val="-4"/>
          <w:lang w:val="en-US"/>
        </w:rPr>
        <w:t>co-administering the Research and Development Tax Incentive.</w:t>
      </w:r>
    </w:p>
    <w:p w14:paraId="1B23D3A7" w14:textId="1B9FFE15" w:rsidR="00C53E3F" w:rsidRPr="002848BE" w:rsidRDefault="00C53E3F" w:rsidP="00D63FB4">
      <w:pPr>
        <w:pStyle w:val="ListParagraph"/>
        <w:numPr>
          <w:ilvl w:val="0"/>
          <w:numId w:val="7"/>
        </w:numPr>
        <w:spacing w:after="0" w:line="240" w:lineRule="auto"/>
        <w:ind w:hanging="357"/>
        <w:contextualSpacing w:val="0"/>
        <w:rPr>
          <w:rFonts w:eastAsia="PMingLiU"/>
          <w:lang w:val="en-US"/>
        </w:rPr>
      </w:pPr>
      <w:r w:rsidRPr="002848BE">
        <w:rPr>
          <w:b/>
          <w:bCs/>
          <w:lang w:val="en-US"/>
        </w:rPr>
        <w:t xml:space="preserve">Delivering grants programs </w:t>
      </w:r>
      <w:r w:rsidRPr="00DA748E">
        <w:rPr>
          <w:lang w:val="en-US"/>
        </w:rPr>
        <w:t>to</w:t>
      </w:r>
      <w:r w:rsidRPr="002848BE">
        <w:rPr>
          <w:lang w:val="en-US"/>
        </w:rPr>
        <w:t>:</w:t>
      </w:r>
    </w:p>
    <w:bookmarkEnd w:id="51"/>
    <w:p w14:paraId="487B5D8C" w14:textId="77777777" w:rsidR="00C53E3F" w:rsidRPr="002848BE" w:rsidRDefault="00C53E3F" w:rsidP="00D63FB4">
      <w:pPr>
        <w:pStyle w:val="ListParagraph"/>
        <w:numPr>
          <w:ilvl w:val="1"/>
          <w:numId w:val="7"/>
        </w:numPr>
        <w:spacing w:after="0" w:line="240" w:lineRule="auto"/>
        <w:ind w:hanging="357"/>
        <w:contextualSpacing w:val="0"/>
        <w:rPr>
          <w:rFonts w:eastAsia="Arial"/>
          <w:color w:val="000000" w:themeColor="text1"/>
          <w:lang w:val="en-US"/>
        </w:rPr>
      </w:pPr>
      <w:r w:rsidRPr="002848BE">
        <w:rPr>
          <w:rFonts w:eastAsia="Arial"/>
          <w:color w:val="000000"/>
          <w:spacing w:val="-4"/>
          <w:lang w:val="en-US"/>
        </w:rPr>
        <w:t>address barriers to scale and competitiveness for Australian manufacturers</w:t>
      </w:r>
    </w:p>
    <w:p w14:paraId="3FC0A052" w14:textId="77777777" w:rsidR="00C53E3F" w:rsidRPr="002848BE" w:rsidRDefault="00C53E3F" w:rsidP="00D63FB4">
      <w:pPr>
        <w:pStyle w:val="ListParagraph"/>
        <w:numPr>
          <w:ilvl w:val="1"/>
          <w:numId w:val="7"/>
        </w:numPr>
        <w:spacing w:after="0" w:line="240" w:lineRule="auto"/>
        <w:ind w:hanging="357"/>
        <w:contextualSpacing w:val="0"/>
        <w:rPr>
          <w:rFonts w:eastAsia="Arial"/>
          <w:color w:val="000000" w:themeColor="text1"/>
          <w:lang w:val="en-US"/>
        </w:rPr>
      </w:pPr>
      <w:r w:rsidRPr="002848BE">
        <w:rPr>
          <w:rFonts w:eastAsia="Arial"/>
          <w:color w:val="000000"/>
          <w:spacing w:val="-4"/>
          <w:lang w:val="en-US"/>
        </w:rPr>
        <w:t>develop domestic manufacturing capabilities</w:t>
      </w:r>
    </w:p>
    <w:p w14:paraId="5BD3492C" w14:textId="77777777" w:rsidR="00C53E3F" w:rsidRPr="002848BE" w:rsidRDefault="00C53E3F" w:rsidP="00D63FB4">
      <w:pPr>
        <w:pStyle w:val="ListParagraph"/>
        <w:numPr>
          <w:ilvl w:val="1"/>
          <w:numId w:val="7"/>
        </w:numPr>
        <w:spacing w:after="0" w:line="240" w:lineRule="auto"/>
        <w:ind w:hanging="357"/>
        <w:contextualSpacing w:val="0"/>
        <w:rPr>
          <w:rFonts w:eastAsia="Arial"/>
          <w:color w:val="000000" w:themeColor="text1"/>
          <w:lang w:val="en-US"/>
        </w:rPr>
      </w:pPr>
      <w:r w:rsidRPr="002848BE">
        <w:rPr>
          <w:rFonts w:eastAsia="Arial"/>
          <w:color w:val="000000"/>
          <w:spacing w:val="-4"/>
          <w:lang w:val="en-US"/>
        </w:rPr>
        <w:t>benefit regional communities</w:t>
      </w:r>
    </w:p>
    <w:p w14:paraId="53AAFF97" w14:textId="15DD8258" w:rsidR="00C53E3F" w:rsidRPr="002848BE" w:rsidRDefault="00C53E3F" w:rsidP="00C53E3F">
      <w:pPr>
        <w:pStyle w:val="ListParagraph"/>
        <w:numPr>
          <w:ilvl w:val="1"/>
          <w:numId w:val="7"/>
        </w:numPr>
        <w:spacing w:after="120" w:line="240" w:lineRule="auto"/>
        <w:contextualSpacing w:val="0"/>
        <w:rPr>
          <w:rFonts w:eastAsia="Arial"/>
          <w:color w:val="000000" w:themeColor="text1"/>
          <w:lang w:val="en-US"/>
        </w:rPr>
      </w:pPr>
      <w:r w:rsidRPr="002848BE">
        <w:rPr>
          <w:rFonts w:eastAsia="Arial"/>
          <w:color w:val="000000"/>
          <w:spacing w:val="-4"/>
          <w:lang w:val="en-US"/>
        </w:rPr>
        <w:t xml:space="preserve">upskill </w:t>
      </w:r>
      <w:r w:rsidR="00A4470B">
        <w:rPr>
          <w:rFonts w:eastAsia="Arial"/>
          <w:color w:val="000000"/>
          <w:spacing w:val="-4"/>
          <w:lang w:val="en-US"/>
        </w:rPr>
        <w:t>each</w:t>
      </w:r>
      <w:r w:rsidRPr="002848BE" w:rsidDel="00D52597">
        <w:rPr>
          <w:rFonts w:eastAsia="Arial"/>
          <w:color w:val="000000"/>
          <w:spacing w:val="-4"/>
          <w:lang w:val="en-US"/>
        </w:rPr>
        <w:t xml:space="preserve"> sector’s </w:t>
      </w:r>
      <w:r w:rsidRPr="002848BE">
        <w:rPr>
          <w:rFonts w:eastAsia="Arial"/>
          <w:color w:val="000000"/>
          <w:spacing w:val="-4"/>
          <w:lang w:val="en-US"/>
        </w:rPr>
        <w:t>workforce to ensure Australia can make things again.</w:t>
      </w:r>
    </w:p>
    <w:p w14:paraId="55FB0840" w14:textId="77777777" w:rsidR="002B68C9" w:rsidRPr="00FE0E4E" w:rsidDel="00A327C1" w:rsidRDefault="002B68C9" w:rsidP="002B68C9">
      <w:pPr>
        <w:pStyle w:val="ListParagraph"/>
        <w:numPr>
          <w:ilvl w:val="0"/>
          <w:numId w:val="7"/>
        </w:numPr>
        <w:spacing w:after="120" w:line="240" w:lineRule="auto"/>
        <w:contextualSpacing w:val="0"/>
        <w:rPr>
          <w:lang w:val="en-US"/>
        </w:rPr>
      </w:pPr>
      <w:r w:rsidRPr="1A4FCB24" w:rsidDel="00A327C1">
        <w:rPr>
          <w:rFonts w:eastAsia="PMingLiU"/>
          <w:b/>
          <w:bCs/>
          <w:spacing w:val="-4"/>
          <w:lang w:val="en-US"/>
        </w:rPr>
        <w:t xml:space="preserve">Enhancing regulatory settings </w:t>
      </w:r>
      <w:r w:rsidRPr="1A4FCB24" w:rsidDel="003A4822">
        <w:rPr>
          <w:rFonts w:eastAsia="PMingLiU"/>
          <w:b/>
          <w:bCs/>
          <w:spacing w:val="-4"/>
          <w:lang w:val="en-US"/>
        </w:rPr>
        <w:t>for businesses and the community</w:t>
      </w:r>
      <w:r w:rsidRPr="1A4FCB24" w:rsidDel="00A327C1">
        <w:rPr>
          <w:rFonts w:eastAsia="PMingLiU"/>
          <w:spacing w:val="-4"/>
          <w:lang w:val="en-US"/>
        </w:rPr>
        <w:t xml:space="preserve"> </w:t>
      </w:r>
      <w:r w:rsidRPr="00DA2723" w:rsidDel="00A327C1">
        <w:rPr>
          <w:rFonts w:eastAsia="Arial"/>
          <w:color w:val="000000"/>
          <w:spacing w:val="-4"/>
          <w:lang w:val="en-US"/>
        </w:rPr>
        <w:t xml:space="preserve">through harmonised national frameworks that promote ethical and sustainable market growth, the responsible use of technology and encourage business collaboration, innovation and investment. </w:t>
      </w:r>
    </w:p>
    <w:p w14:paraId="5F228D71" w14:textId="77777777" w:rsidR="00C53E3F" w:rsidRPr="00867940" w:rsidDel="0061738B" w:rsidRDefault="00C53E3F" w:rsidP="00C53E3F">
      <w:pPr>
        <w:pStyle w:val="ListParagraph"/>
        <w:numPr>
          <w:ilvl w:val="0"/>
          <w:numId w:val="7"/>
        </w:numPr>
        <w:spacing w:after="120" w:line="240" w:lineRule="auto"/>
        <w:contextualSpacing w:val="0"/>
        <w:rPr>
          <w:rFonts w:eastAsia="PMingLiU"/>
          <w:lang w:val="en-US"/>
        </w:rPr>
      </w:pPr>
      <w:r w:rsidRPr="002848BE">
        <w:rPr>
          <w:rFonts w:eastAsia="PMingLiU"/>
          <w:b/>
          <w:bCs/>
          <w:spacing w:val="-4"/>
          <w:lang w:val="en-US"/>
        </w:rPr>
        <w:t>Boosting</w:t>
      </w:r>
      <w:r w:rsidRPr="002848BE" w:rsidDel="0061738B">
        <w:rPr>
          <w:rFonts w:eastAsia="PMingLiU"/>
          <w:b/>
          <w:bCs/>
          <w:spacing w:val="-4"/>
          <w:lang w:val="en-US"/>
        </w:rPr>
        <w:t xml:space="preserve"> critical supply chains and economic resilience </w:t>
      </w:r>
      <w:r w:rsidRPr="002848BE" w:rsidDel="0061738B">
        <w:rPr>
          <w:rFonts w:eastAsia="PMingLiU"/>
          <w:spacing w:val="-4"/>
          <w:lang w:val="en-US"/>
        </w:rPr>
        <w:t>by</w:t>
      </w:r>
      <w:r w:rsidRPr="1A4FCB24" w:rsidDel="0061738B">
        <w:rPr>
          <w:rFonts w:eastAsia="PMingLiU"/>
          <w:spacing w:val="-4"/>
          <w:lang w:val="en-US"/>
        </w:rPr>
        <w:t xml:space="preserve"> encouraging diversification of Australian industry</w:t>
      </w:r>
      <w:r w:rsidDel="0061738B">
        <w:rPr>
          <w:rFonts w:eastAsia="PMingLiU"/>
          <w:spacing w:val="-4"/>
          <w:lang w:val="en-US"/>
        </w:rPr>
        <w:t xml:space="preserve"> </w:t>
      </w:r>
      <w:r w:rsidRPr="1A4FCB24" w:rsidDel="0061738B">
        <w:rPr>
          <w:rFonts w:eastAsia="PMingLiU"/>
          <w:spacing w:val="-4"/>
          <w:lang w:val="en-US"/>
        </w:rPr>
        <w:t xml:space="preserve">and </w:t>
      </w:r>
      <w:r w:rsidDel="0061738B">
        <w:rPr>
          <w:rFonts w:eastAsia="PMingLiU"/>
          <w:spacing w:val="-4"/>
          <w:lang w:val="en-US"/>
        </w:rPr>
        <w:t xml:space="preserve">its imports, and </w:t>
      </w:r>
      <w:r w:rsidRPr="1A4FCB24" w:rsidDel="0061738B">
        <w:rPr>
          <w:rFonts w:eastAsia="PMingLiU"/>
          <w:spacing w:val="-4"/>
          <w:lang w:val="en-US"/>
        </w:rPr>
        <w:t>promoting Australia as a reliable, responsible and sustainable partner</w:t>
      </w:r>
      <w:r w:rsidDel="0061738B">
        <w:rPr>
          <w:rFonts w:eastAsia="PMingLiU"/>
          <w:spacing w:val="-4"/>
          <w:lang w:val="en-US"/>
        </w:rPr>
        <w:t>.</w:t>
      </w:r>
      <w:r w:rsidRPr="1A4FCB24" w:rsidDel="0061738B">
        <w:rPr>
          <w:rFonts w:eastAsia="PMingLiU"/>
          <w:spacing w:val="-4"/>
          <w:lang w:val="en-US"/>
        </w:rPr>
        <w:t xml:space="preserve"> This includes</w:t>
      </w:r>
      <w:r w:rsidRPr="0AB45692" w:rsidDel="0061738B">
        <w:rPr>
          <w:rFonts w:eastAsia="PMingLiU"/>
          <w:spacing w:val="-4"/>
          <w:lang w:val="en-US"/>
        </w:rPr>
        <w:t xml:space="preserve"> </w:t>
      </w:r>
      <w:r w:rsidRPr="1A4FCB24" w:rsidDel="0061738B">
        <w:rPr>
          <w:rFonts w:eastAsia="PMingLiU"/>
          <w:spacing w:val="-4"/>
          <w:lang w:val="en-US"/>
        </w:rPr>
        <w:t>bolstering capability to identify and address risk</w:t>
      </w:r>
      <w:r w:rsidDel="0061738B">
        <w:rPr>
          <w:rFonts w:eastAsia="PMingLiU"/>
          <w:spacing w:val="-4"/>
          <w:lang w:val="en-US"/>
        </w:rPr>
        <w:t xml:space="preserve"> in critical </w:t>
      </w:r>
      <w:r w:rsidRPr="1A4FCB24" w:rsidDel="0061738B">
        <w:rPr>
          <w:rFonts w:eastAsia="PMingLiU"/>
          <w:spacing w:val="-4"/>
          <w:lang w:val="en-US"/>
        </w:rPr>
        <w:t>supply chains.</w:t>
      </w:r>
    </w:p>
    <w:p w14:paraId="1D217761" w14:textId="77777777" w:rsidR="00550BB1" w:rsidRPr="00DA2723" w:rsidRDefault="00550BB1" w:rsidP="00550BB1">
      <w:pPr>
        <w:pStyle w:val="ListParagraph"/>
        <w:numPr>
          <w:ilvl w:val="0"/>
          <w:numId w:val="7"/>
        </w:numPr>
        <w:spacing w:after="120" w:line="240" w:lineRule="auto"/>
        <w:contextualSpacing w:val="0"/>
        <w:rPr>
          <w:rFonts w:eastAsia="PMingLiU"/>
          <w:b/>
          <w:bCs/>
          <w:lang w:val="en-US"/>
        </w:rPr>
      </w:pPr>
      <w:bookmarkStart w:id="52" w:name="_Hlk137019843"/>
      <w:bookmarkStart w:id="53" w:name="_Hlk137069912"/>
      <w:r w:rsidRPr="006E188C">
        <w:rPr>
          <w:rFonts w:eastAsia="PMingLiU"/>
          <w:b/>
          <w:bCs/>
          <w:lang w:val="en-US"/>
        </w:rPr>
        <w:t xml:space="preserve">Developing Australia’s space capability </w:t>
      </w:r>
      <w:r w:rsidRPr="004F0DC9">
        <w:rPr>
          <w:rFonts w:eastAsia="PMingLiU"/>
          <w:lang w:val="en-US"/>
        </w:rPr>
        <w:t xml:space="preserve">through the </w:t>
      </w:r>
      <w:r>
        <w:rPr>
          <w:rFonts w:eastAsia="PMingLiU"/>
          <w:lang w:val="en-US"/>
        </w:rPr>
        <w:t>work</w:t>
      </w:r>
      <w:r w:rsidRPr="004F0DC9">
        <w:rPr>
          <w:rFonts w:eastAsia="PMingLiU"/>
          <w:lang w:val="en-US"/>
        </w:rPr>
        <w:t xml:space="preserve"> of the Australian Space Agency, including its regulatory functions</w:t>
      </w:r>
      <w:r w:rsidRPr="00C454C9">
        <w:rPr>
          <w:rFonts w:eastAsia="PMingLiU"/>
          <w:lang w:val="en-US"/>
        </w:rPr>
        <w:t xml:space="preserve"> </w:t>
      </w:r>
      <w:r>
        <w:rPr>
          <w:rFonts w:eastAsia="PMingLiU"/>
          <w:lang w:val="en-US"/>
        </w:rPr>
        <w:t>and leadership of the civil space sector</w:t>
      </w:r>
      <w:r w:rsidRPr="004F0DC9">
        <w:rPr>
          <w:rFonts w:eastAsia="PMingLiU"/>
          <w:lang w:val="en-US"/>
        </w:rPr>
        <w:t>.</w:t>
      </w:r>
    </w:p>
    <w:p w14:paraId="09DAB25F" w14:textId="77777777" w:rsidR="00550BB1" w:rsidRPr="002848BE" w:rsidRDefault="00550BB1" w:rsidP="00550BB1">
      <w:pPr>
        <w:pStyle w:val="ListParagraph"/>
        <w:numPr>
          <w:ilvl w:val="0"/>
          <w:numId w:val="7"/>
        </w:numPr>
        <w:spacing w:after="120" w:line="240" w:lineRule="auto"/>
        <w:contextualSpacing w:val="0"/>
        <w:rPr>
          <w:rFonts w:eastAsia="PMingLiU"/>
          <w:lang w:val="en-US"/>
        </w:rPr>
      </w:pPr>
      <w:r>
        <w:rPr>
          <w:b/>
          <w:bCs/>
        </w:rPr>
        <w:t>Improving</w:t>
      </w:r>
      <w:r w:rsidRPr="000F6640">
        <w:rPr>
          <w:b/>
          <w:bCs/>
        </w:rPr>
        <w:t xml:space="preserve"> the effectiveness of government services and investment</w:t>
      </w:r>
      <w:r w:rsidRPr="002848BE">
        <w:t xml:space="preserve"> by ensuring businesses benefit from the suite of government initiatives via the Single Business Service</w:t>
      </w:r>
      <w:r>
        <w:t xml:space="preserve"> and the Business Outreach Network</w:t>
      </w:r>
      <w:r w:rsidRPr="002848BE">
        <w:t>.</w:t>
      </w:r>
    </w:p>
    <w:p w14:paraId="629C4A42" w14:textId="51F5EE9B" w:rsidR="00C53E3F" w:rsidRPr="00AA2D96" w:rsidRDefault="009352D4" w:rsidP="00EF6B33">
      <w:pPr>
        <w:pStyle w:val="ListParagraph"/>
        <w:numPr>
          <w:ilvl w:val="0"/>
          <w:numId w:val="7"/>
        </w:numPr>
        <w:spacing w:after="120" w:line="240" w:lineRule="auto"/>
        <w:contextualSpacing w:val="0"/>
        <w:rPr>
          <w:b/>
          <w:bCs/>
        </w:rPr>
      </w:pPr>
      <w:r>
        <w:rPr>
          <w:b/>
          <w:bCs/>
        </w:rPr>
        <w:t>C</w:t>
      </w:r>
      <w:bookmarkEnd w:id="52"/>
      <w:bookmarkEnd w:id="53"/>
      <w:r w:rsidR="00C53E3F" w:rsidRPr="00AA2D96">
        <w:rPr>
          <w:b/>
          <w:bCs/>
        </w:rPr>
        <w:t>ontinuing investment in Australia’s National Centre for Asia Capability – Asialink Business</w:t>
      </w:r>
      <w:r w:rsidR="00C53E3F" w:rsidRPr="00EF6B33">
        <w:t xml:space="preserve"> to help businesses better engage with Asia and grow stronger economic ties.</w:t>
      </w:r>
    </w:p>
    <w:p w14:paraId="1ACD89E9" w14:textId="4D09A685" w:rsidR="00BD525E" w:rsidRDefault="00C53E3F" w:rsidP="00640B09">
      <w:pPr>
        <w:pStyle w:val="Heading2"/>
        <w:rPr>
          <w:rFonts w:eastAsia="PMingLiU"/>
          <w:lang w:val="en-US"/>
        </w:rPr>
      </w:pPr>
      <w:bookmarkStart w:id="54" w:name="_Hlk124260737"/>
      <w:bookmarkEnd w:id="46"/>
      <w:r w:rsidRPr="00BD525E">
        <w:rPr>
          <w:rFonts w:eastAsia="PMingLiU"/>
          <w:lang w:val="en-US"/>
        </w:rPr>
        <w:t>Key activity 1.2: investing in science</w:t>
      </w:r>
      <w:r w:rsidR="00284CC0">
        <w:rPr>
          <w:rFonts w:eastAsia="PMingLiU"/>
          <w:lang w:val="en-US"/>
        </w:rPr>
        <w:t xml:space="preserve"> and</w:t>
      </w:r>
      <w:r w:rsidR="00060BC1">
        <w:rPr>
          <w:rFonts w:eastAsia="PMingLiU"/>
          <w:lang w:val="en-US"/>
        </w:rPr>
        <w:t xml:space="preserve"> </w:t>
      </w:r>
      <w:r w:rsidRPr="00BD525E">
        <w:rPr>
          <w:rFonts w:eastAsia="PMingLiU"/>
          <w:lang w:val="en-US"/>
        </w:rPr>
        <w:t>technology</w:t>
      </w:r>
      <w:bookmarkEnd w:id="47"/>
    </w:p>
    <w:p w14:paraId="6A652067" w14:textId="7CD03515" w:rsidR="00F62EE9" w:rsidRDefault="00F62EE9" w:rsidP="009A4595">
      <w:pPr>
        <w:pStyle w:val="NormalWeb"/>
        <w:spacing w:before="0" w:beforeAutospacing="0" w:after="160" w:afterAutospacing="0"/>
        <w:rPr>
          <w:rFonts w:asciiTheme="minorHAnsi" w:hAnsiTheme="minorHAnsi" w:cstheme="minorHAnsi"/>
          <w:sz w:val="22"/>
          <w:szCs w:val="22"/>
        </w:rPr>
      </w:pPr>
      <w:r w:rsidRPr="00DA748E">
        <w:rPr>
          <w:rFonts w:asciiTheme="minorHAnsi" w:hAnsiTheme="minorHAnsi" w:cstheme="minorHAnsi"/>
          <w:sz w:val="22"/>
          <w:szCs w:val="22"/>
        </w:rPr>
        <w:t>Science and technology are key to economic growth and underpin the competitiveness of our businesses and the adaptability of our society. Our strategic priorities under this activity include:</w:t>
      </w:r>
    </w:p>
    <w:p w14:paraId="102F308F" w14:textId="4661D76D" w:rsidR="00D74997" w:rsidRPr="00A440B3" w:rsidRDefault="00226793" w:rsidP="00C53E3F">
      <w:pPr>
        <w:pStyle w:val="ListParagraph"/>
        <w:numPr>
          <w:ilvl w:val="0"/>
          <w:numId w:val="7"/>
        </w:numPr>
        <w:spacing w:after="120" w:line="240" w:lineRule="auto"/>
        <w:contextualSpacing w:val="0"/>
      </w:pPr>
      <w:bookmarkStart w:id="55" w:name="_Hlk144122637"/>
      <w:r w:rsidRPr="00BF0BD0">
        <w:rPr>
          <w:rFonts w:eastAsia="Arial"/>
          <w:b/>
          <w:bCs/>
          <w:color w:val="000000"/>
          <w:lang w:val="en-US"/>
        </w:rPr>
        <w:t>Building</w:t>
      </w:r>
      <w:r w:rsidR="00C53E3F" w:rsidRPr="00BF0BD0">
        <w:rPr>
          <w:rFonts w:eastAsia="Arial"/>
          <w:b/>
          <w:bCs/>
          <w:color w:val="000000"/>
          <w:lang w:val="en-US"/>
        </w:rPr>
        <w:t xml:space="preserve"> a stronger science sector</w:t>
      </w:r>
      <w:r w:rsidR="00C53E3F" w:rsidRPr="00BF0BD0">
        <w:rPr>
          <w:lang w:val="en-US"/>
        </w:rPr>
        <w:t xml:space="preserve"> </w:t>
      </w:r>
      <w:bookmarkEnd w:id="55"/>
      <w:r w:rsidR="00C53E3F" w:rsidRPr="00BF0BD0">
        <w:rPr>
          <w:lang w:val="en-US"/>
        </w:rPr>
        <w:t xml:space="preserve">to help solve challenges, improve productivity and wellbeing, and boost </w:t>
      </w:r>
      <w:r w:rsidR="00C53E3F" w:rsidRPr="00BF0BD0">
        <w:rPr>
          <w:rFonts w:eastAsia="PMingLiU"/>
          <w:spacing w:val="-4"/>
          <w:lang w:val="en-US"/>
        </w:rPr>
        <w:t>the science, technology, engineering and mathematics (STEM) pipeline.</w:t>
      </w:r>
      <w:r w:rsidR="00C32931">
        <w:rPr>
          <w:rFonts w:eastAsia="PMingLiU"/>
          <w:spacing w:val="-4"/>
          <w:lang w:val="en-US"/>
        </w:rPr>
        <w:t xml:space="preserve"> </w:t>
      </w:r>
      <w:r w:rsidR="00D74997">
        <w:rPr>
          <w:rFonts w:eastAsia="PMingLiU"/>
          <w:spacing w:val="-4"/>
          <w:lang w:val="en-US"/>
        </w:rPr>
        <w:t xml:space="preserve">The refresh of the National Science and Research Priorities and National Science Statement will underpin a strong science sector by providing a unified sense of purpose for Australia’s science and research communities. </w:t>
      </w:r>
    </w:p>
    <w:p w14:paraId="4E68F94E" w14:textId="6A0D3D8E" w:rsidR="00B838D8" w:rsidRPr="00086550" w:rsidRDefault="00B838D8" w:rsidP="00C53E3F">
      <w:pPr>
        <w:pStyle w:val="ListParagraph"/>
        <w:numPr>
          <w:ilvl w:val="0"/>
          <w:numId w:val="7"/>
        </w:numPr>
        <w:spacing w:after="120" w:line="240" w:lineRule="auto"/>
        <w:contextualSpacing w:val="0"/>
      </w:pPr>
      <w:r w:rsidRPr="00C87152">
        <w:rPr>
          <w:b/>
          <w:bCs/>
        </w:rPr>
        <w:t>Improving diversity in STEM</w:t>
      </w:r>
      <w:r w:rsidRPr="00B838D8">
        <w:t>, including through the independent Pathway to Diversity in STEM Review looking into what is working, what is not, and what needs to be done to improve overall diversity in STEM education, STEM industries and leadership, and the STEM-skilled workforce.</w:t>
      </w:r>
    </w:p>
    <w:p w14:paraId="54DF297C" w14:textId="77777777" w:rsidR="006E4B86" w:rsidRPr="007C73FF" w:rsidRDefault="006E4B86" w:rsidP="006E4B86">
      <w:pPr>
        <w:pStyle w:val="ListParagraph"/>
        <w:numPr>
          <w:ilvl w:val="0"/>
          <w:numId w:val="7"/>
        </w:numPr>
        <w:spacing w:after="120" w:line="240" w:lineRule="auto"/>
        <w:contextualSpacing w:val="0"/>
      </w:pPr>
      <w:r w:rsidRPr="00EF6B33">
        <w:rPr>
          <w:b/>
          <w:bCs/>
        </w:rPr>
        <w:t>Providing independent science advice to government</w:t>
      </w:r>
      <w:r w:rsidRPr="006763C6">
        <w:t xml:space="preserve"> </w:t>
      </w:r>
      <w:r>
        <w:t>through the Office of the Chief Scientist to develop well</w:t>
      </w:r>
      <w:r>
        <w:noBreakHyphen/>
        <w:t xml:space="preserve">informed responses to modern challenges and </w:t>
      </w:r>
      <w:r w:rsidRPr="004966E2">
        <w:t>identifying opportunities to improve the science and research system</w:t>
      </w:r>
      <w:r w:rsidRPr="007C73FF">
        <w:t>.</w:t>
      </w:r>
    </w:p>
    <w:p w14:paraId="2E27C64F" w14:textId="77777777" w:rsidR="006954D6" w:rsidRPr="00CA0628" w:rsidRDefault="006954D6" w:rsidP="006954D6">
      <w:pPr>
        <w:pStyle w:val="ListParagraph"/>
        <w:numPr>
          <w:ilvl w:val="0"/>
          <w:numId w:val="7"/>
        </w:numPr>
        <w:spacing w:after="120" w:line="240" w:lineRule="auto"/>
        <w:contextualSpacing w:val="0"/>
        <w:rPr>
          <w:rFonts w:eastAsia="Arial"/>
          <w:b/>
          <w:bCs/>
          <w:color w:val="000000"/>
          <w:lang w:val="en-US"/>
        </w:rPr>
      </w:pPr>
      <w:bookmarkStart w:id="56" w:name="_Hlk139511556"/>
      <w:bookmarkStart w:id="57" w:name="_Hlk139452489"/>
      <w:r w:rsidRPr="004373A1">
        <w:rPr>
          <w:rFonts w:eastAsia="Arial"/>
          <w:b/>
          <w:bCs/>
          <w:color w:val="000000"/>
          <w:lang w:val="en-US"/>
        </w:rPr>
        <w:t>Aligning our international and domestic science</w:t>
      </w:r>
      <w:r>
        <w:rPr>
          <w:rFonts w:eastAsia="Arial"/>
          <w:b/>
          <w:bCs/>
          <w:color w:val="000000"/>
          <w:lang w:val="en-US"/>
        </w:rPr>
        <w:t xml:space="preserve"> </w:t>
      </w:r>
      <w:r w:rsidRPr="004373A1">
        <w:rPr>
          <w:rFonts w:eastAsia="Arial"/>
          <w:b/>
          <w:bCs/>
          <w:color w:val="000000"/>
          <w:lang w:val="en-US"/>
        </w:rPr>
        <w:t xml:space="preserve">and technology priorities </w:t>
      </w:r>
      <w:r w:rsidRPr="00B96838">
        <w:rPr>
          <w:rFonts w:eastAsia="Arial"/>
          <w:color w:val="000000"/>
          <w:lang w:val="en-US"/>
        </w:rPr>
        <w:t xml:space="preserve">to </w:t>
      </w:r>
      <w:r w:rsidRPr="004373A1">
        <w:rPr>
          <w:rFonts w:eastAsia="Arial"/>
          <w:color w:val="000000"/>
          <w:lang w:val="en-US"/>
        </w:rPr>
        <w:t>build our local capability, including through leveraging existing relationships and international agreements</w:t>
      </w:r>
      <w:r>
        <w:rPr>
          <w:rFonts w:eastAsia="Arial"/>
          <w:color w:val="000000"/>
          <w:lang w:val="en-US"/>
        </w:rPr>
        <w:t>, and</w:t>
      </w:r>
      <w:r>
        <w:rPr>
          <w:rFonts w:eastAsia="Arial"/>
          <w:b/>
          <w:bCs/>
          <w:color w:val="000000"/>
          <w:lang w:val="en-US"/>
        </w:rPr>
        <w:t xml:space="preserve"> </w:t>
      </w:r>
      <w:r w:rsidRPr="004966E2">
        <w:rPr>
          <w:rFonts w:eastAsia="Arial"/>
          <w:color w:val="000000"/>
          <w:lang w:val="en-US"/>
        </w:rPr>
        <w:t>enhancing our dialogues and partnerships</w:t>
      </w:r>
      <w:r w:rsidRPr="00504453">
        <w:rPr>
          <w:rFonts w:eastAsia="Arial"/>
          <w:color w:val="000000"/>
          <w:lang w:val="en-US"/>
        </w:rPr>
        <w:t xml:space="preserve"> in science and technology</w:t>
      </w:r>
      <w:r>
        <w:rPr>
          <w:rFonts w:eastAsia="Arial"/>
          <w:color w:val="000000"/>
          <w:lang w:val="en-US"/>
        </w:rPr>
        <w:t>.</w:t>
      </w:r>
    </w:p>
    <w:p w14:paraId="0F03761C" w14:textId="15B0C50B" w:rsidR="0006051F" w:rsidRPr="004373A1" w:rsidRDefault="0006051F" w:rsidP="0006051F">
      <w:pPr>
        <w:pStyle w:val="ListParagraph"/>
        <w:numPr>
          <w:ilvl w:val="0"/>
          <w:numId w:val="7"/>
        </w:numPr>
        <w:spacing w:after="120" w:line="240" w:lineRule="auto"/>
        <w:contextualSpacing w:val="0"/>
        <w:rPr>
          <w:rFonts w:eastAsia="Arial"/>
          <w:color w:val="000000"/>
          <w:lang w:val="en-US"/>
        </w:rPr>
      </w:pPr>
      <w:r w:rsidRPr="004373A1">
        <w:rPr>
          <w:rFonts w:eastAsia="Arial"/>
          <w:b/>
          <w:color w:val="000000"/>
          <w:lang w:val="en-US"/>
        </w:rPr>
        <w:t xml:space="preserve">Build strong collaboration </w:t>
      </w:r>
      <w:r w:rsidRPr="004373A1">
        <w:rPr>
          <w:rFonts w:eastAsia="Arial"/>
          <w:color w:val="000000"/>
          <w:lang w:val="en-US"/>
        </w:rPr>
        <w:t xml:space="preserve">through </w:t>
      </w:r>
      <w:r w:rsidR="00E0642A" w:rsidRPr="004373A1">
        <w:rPr>
          <w:rFonts w:eastAsia="Arial"/>
          <w:color w:val="000000"/>
          <w:lang w:val="en-US"/>
        </w:rPr>
        <w:t xml:space="preserve">providing </w:t>
      </w:r>
      <w:r w:rsidR="0095464C" w:rsidRPr="004373A1">
        <w:rPr>
          <w:rFonts w:eastAsia="Arial"/>
          <w:color w:val="000000"/>
          <w:lang w:val="en-US"/>
        </w:rPr>
        <w:t>short</w:t>
      </w:r>
      <w:r w:rsidR="00E0642A" w:rsidRPr="004373A1">
        <w:rPr>
          <w:rFonts w:eastAsia="Arial"/>
          <w:color w:val="000000"/>
          <w:lang w:val="en-US"/>
        </w:rPr>
        <w:t>-to</w:t>
      </w:r>
      <w:r w:rsidR="00E36044" w:rsidRPr="004373A1">
        <w:rPr>
          <w:rFonts w:eastAsia="Arial"/>
          <w:color w:val="000000"/>
          <w:lang w:val="en-US"/>
        </w:rPr>
        <w:t>-</w:t>
      </w:r>
      <w:r w:rsidR="00E0642A" w:rsidRPr="004373A1">
        <w:rPr>
          <w:rFonts w:eastAsia="Arial"/>
          <w:color w:val="000000"/>
          <w:lang w:val="en-US"/>
        </w:rPr>
        <w:t>long-term funding for industry-led research collaborations through the Cooperative Research Centre</w:t>
      </w:r>
      <w:r w:rsidR="00ED2DDB">
        <w:rPr>
          <w:rFonts w:eastAsia="Arial"/>
          <w:color w:val="000000"/>
          <w:lang w:val="en-US"/>
        </w:rPr>
        <w:t>s</w:t>
      </w:r>
      <w:r w:rsidR="00E0642A" w:rsidRPr="004373A1">
        <w:rPr>
          <w:rFonts w:eastAsia="Arial"/>
          <w:color w:val="000000"/>
          <w:lang w:val="en-US"/>
        </w:rPr>
        <w:t xml:space="preserve"> Program</w:t>
      </w:r>
      <w:r w:rsidR="006B03C0">
        <w:rPr>
          <w:rFonts w:eastAsia="Arial"/>
          <w:color w:val="000000"/>
          <w:lang w:val="en-US"/>
        </w:rPr>
        <w:t>.</w:t>
      </w:r>
    </w:p>
    <w:bookmarkEnd w:id="56"/>
    <w:bookmarkEnd w:id="57"/>
    <w:p w14:paraId="0435315C" w14:textId="39A2B377" w:rsidR="00C53E3F" w:rsidRPr="004373A1" w:rsidRDefault="00C53E3F" w:rsidP="004373A1">
      <w:pPr>
        <w:pStyle w:val="ListParagraph"/>
        <w:numPr>
          <w:ilvl w:val="0"/>
          <w:numId w:val="7"/>
        </w:numPr>
        <w:spacing w:after="120" w:line="240" w:lineRule="auto"/>
        <w:contextualSpacing w:val="0"/>
        <w:rPr>
          <w:rFonts w:eastAsia="Arial"/>
          <w:b/>
          <w:color w:val="000000"/>
          <w:lang w:val="en-US"/>
        </w:rPr>
      </w:pPr>
      <w:r w:rsidRPr="004373A1">
        <w:rPr>
          <w:rFonts w:eastAsia="Arial"/>
          <w:b/>
          <w:color w:val="000000"/>
          <w:lang w:val="en-US"/>
        </w:rPr>
        <w:t xml:space="preserve">Growing Australia’s critical technologies industries </w:t>
      </w:r>
      <w:r w:rsidRPr="004373A1">
        <w:rPr>
          <w:rFonts w:eastAsia="Arial"/>
          <w:color w:val="000000"/>
          <w:lang w:val="en-US"/>
        </w:rPr>
        <w:t>such as quantum, robotics and artificial</w:t>
      </w:r>
      <w:r w:rsidRPr="004373A1" w:rsidDel="000F222C">
        <w:rPr>
          <w:rFonts w:eastAsia="Arial"/>
          <w:color w:val="000000"/>
          <w:lang w:val="en-US"/>
        </w:rPr>
        <w:t xml:space="preserve"> </w:t>
      </w:r>
      <w:r w:rsidRPr="004373A1">
        <w:rPr>
          <w:rFonts w:eastAsia="Arial"/>
          <w:color w:val="000000"/>
          <w:lang w:val="en-US"/>
        </w:rPr>
        <w:t xml:space="preserve">intelligence </w:t>
      </w:r>
      <w:r w:rsidRPr="004373A1" w:rsidDel="000F222C">
        <w:rPr>
          <w:rFonts w:eastAsia="Arial"/>
          <w:color w:val="000000"/>
          <w:lang w:val="en-US"/>
        </w:rPr>
        <w:t xml:space="preserve">to </w:t>
      </w:r>
      <w:r w:rsidRPr="004373A1">
        <w:rPr>
          <w:rFonts w:eastAsia="Arial"/>
          <w:color w:val="000000"/>
          <w:lang w:val="en-US"/>
        </w:rPr>
        <w:t>boost our economy and create high-value jobs that will help retain talent in Australia.</w:t>
      </w:r>
    </w:p>
    <w:p w14:paraId="690273AA" w14:textId="77777777" w:rsidR="0006051F" w:rsidRPr="0058226B" w:rsidRDefault="0006051F" w:rsidP="0006051F">
      <w:pPr>
        <w:pStyle w:val="ListParagraph"/>
        <w:numPr>
          <w:ilvl w:val="0"/>
          <w:numId w:val="7"/>
        </w:numPr>
        <w:spacing w:after="120" w:line="240" w:lineRule="auto"/>
        <w:contextualSpacing w:val="0"/>
        <w:rPr>
          <w:rFonts w:eastAsia="PMingLiU"/>
          <w:lang w:val="en-US"/>
        </w:rPr>
      </w:pPr>
      <w:r w:rsidRPr="00EF6B33">
        <w:rPr>
          <w:rFonts w:eastAsia="PMingLiU"/>
          <w:b/>
          <w:bCs/>
          <w:spacing w:val="-4"/>
          <w:lang w:val="en-US"/>
        </w:rPr>
        <w:t>Supporting Australia’s digital capability</w:t>
      </w:r>
      <w:r w:rsidRPr="00EF6B33">
        <w:rPr>
          <w:rFonts w:eastAsia="PMingLiU"/>
          <w:spacing w:val="-4"/>
          <w:lang w:val="en-US"/>
        </w:rPr>
        <w:t xml:space="preserve"> through targeted initiatives to accelerate the adoption of technologies and foster transformation across the economy</w:t>
      </w:r>
      <w:r>
        <w:rPr>
          <w:rFonts w:eastAsia="PMingLiU"/>
          <w:spacing w:val="-4"/>
          <w:lang w:val="en-US"/>
        </w:rPr>
        <w:t>.</w:t>
      </w:r>
    </w:p>
    <w:p w14:paraId="043DCD32" w14:textId="317D79B6" w:rsidR="00C53E3F" w:rsidRPr="00DA2723" w:rsidRDefault="00C53E3F" w:rsidP="00C53E3F">
      <w:pPr>
        <w:pStyle w:val="ListParagraph"/>
        <w:numPr>
          <w:ilvl w:val="0"/>
          <w:numId w:val="7"/>
        </w:numPr>
        <w:spacing w:after="120" w:line="240" w:lineRule="auto"/>
        <w:ind w:right="-307"/>
        <w:contextualSpacing w:val="0"/>
        <w:rPr>
          <w:rFonts w:eastAsia="Arial"/>
          <w:b/>
          <w:color w:val="000000" w:themeColor="text1"/>
          <w:lang w:val="en-US"/>
        </w:rPr>
      </w:pPr>
      <w:r w:rsidRPr="00DA2723">
        <w:rPr>
          <w:rFonts w:eastAsia="Arial"/>
          <w:b/>
          <w:bCs/>
          <w:color w:val="000000"/>
          <w:spacing w:val="-4"/>
          <w:lang w:val="en-US"/>
        </w:rPr>
        <w:t xml:space="preserve">Ensuring Australia has the advanced measurement science it needs </w:t>
      </w:r>
      <w:r w:rsidRPr="00DA2723">
        <w:rPr>
          <w:rFonts w:eastAsia="Arial"/>
          <w:color w:val="000000"/>
          <w:spacing w:val="-4"/>
          <w:lang w:val="en-US"/>
        </w:rPr>
        <w:t>to accelerate our economy and underpin safety assurance, by developing and harnessing the expertise of the National Measurement Institute.</w:t>
      </w:r>
    </w:p>
    <w:p w14:paraId="3BE4D9E0" w14:textId="2913F86C" w:rsidR="008E6BAA" w:rsidRPr="002A52FC" w:rsidRDefault="008E6BAA" w:rsidP="008E6BAA">
      <w:pPr>
        <w:pStyle w:val="ListParagraph"/>
        <w:numPr>
          <w:ilvl w:val="0"/>
          <w:numId w:val="7"/>
        </w:numPr>
        <w:spacing w:after="120" w:line="240" w:lineRule="auto"/>
        <w:contextualSpacing w:val="0"/>
        <w:rPr>
          <w:rFonts w:eastAsia="PMingLiU"/>
        </w:rPr>
      </w:pPr>
      <w:r>
        <w:rPr>
          <w:rFonts w:eastAsia="PMingLiU"/>
          <w:b/>
          <w:bCs/>
          <w:spacing w:val="-4"/>
          <w:lang w:val="en-US"/>
        </w:rPr>
        <w:t>Growing</w:t>
      </w:r>
      <w:r w:rsidRPr="002A52FC">
        <w:rPr>
          <w:rFonts w:eastAsia="PMingLiU"/>
          <w:b/>
          <w:bCs/>
          <w:spacing w:val="-4"/>
          <w:lang w:val="en-US"/>
        </w:rPr>
        <w:t xml:space="preserve"> long-term science and technology capabilities</w:t>
      </w:r>
      <w:r>
        <w:rPr>
          <w:rFonts w:eastAsia="PMingLiU"/>
          <w:spacing w:val="-4"/>
          <w:lang w:val="en-US"/>
        </w:rPr>
        <w:t xml:space="preserve"> through</w:t>
      </w:r>
      <w:r w:rsidRPr="002A52FC">
        <w:rPr>
          <w:rFonts w:eastAsia="PMingLiU"/>
          <w:spacing w:val="-4"/>
          <w:lang w:val="en-US"/>
        </w:rPr>
        <w:t xml:space="preserve"> Questacon’s science engagement activities and ensuring they reach diverse communities, including those in remote and regional Australia</w:t>
      </w:r>
      <w:r w:rsidRPr="002A52FC">
        <w:rPr>
          <w:rFonts w:eastAsia="PMingLiU"/>
          <w:spacing w:val="-4"/>
        </w:rPr>
        <w:t>.</w:t>
      </w:r>
    </w:p>
    <w:p w14:paraId="13E3AD98" w14:textId="77777777" w:rsidR="009A4595" w:rsidRDefault="009A4595">
      <w:pPr>
        <w:rPr>
          <w:rFonts w:asciiTheme="majorHAnsi" w:eastAsia="PMingLiU" w:hAnsiTheme="majorHAnsi" w:cstheme="majorBidi"/>
          <w:color w:val="005677" w:themeColor="text2"/>
          <w:sz w:val="40"/>
          <w:szCs w:val="48"/>
          <w:lang w:val="en-US"/>
        </w:rPr>
      </w:pPr>
      <w:bookmarkStart w:id="58" w:name="_Hlk122346353"/>
      <w:bookmarkEnd w:id="54"/>
      <w:r>
        <w:rPr>
          <w:rFonts w:eastAsia="PMingLiU"/>
          <w:lang w:val="en-US"/>
        </w:rPr>
        <w:br w:type="page"/>
      </w:r>
    </w:p>
    <w:p w14:paraId="0C225E30" w14:textId="10B892C8" w:rsidR="00C53E3F" w:rsidRDefault="00C53E3F" w:rsidP="00C53E3F">
      <w:pPr>
        <w:pStyle w:val="Heading2"/>
        <w:rPr>
          <w:rFonts w:eastAsia="PMingLiU"/>
          <w:lang w:val="en-US"/>
        </w:rPr>
      </w:pPr>
      <w:r w:rsidRPr="00315CAF">
        <w:rPr>
          <w:rFonts w:eastAsia="PMingLiU"/>
          <w:lang w:val="en-US"/>
        </w:rPr>
        <w:t xml:space="preserve">Key activity 1.3: </w:t>
      </w:r>
      <w:r>
        <w:rPr>
          <w:rFonts w:eastAsia="PMingLiU"/>
          <w:lang w:val="en-US"/>
        </w:rPr>
        <w:t>supporting</w:t>
      </w:r>
      <w:r w:rsidRPr="00315CAF">
        <w:rPr>
          <w:rFonts w:eastAsia="PMingLiU"/>
          <w:lang w:val="en-US"/>
        </w:rPr>
        <w:t xml:space="preserve"> a</w:t>
      </w:r>
      <w:r w:rsidRPr="745BC7F4">
        <w:rPr>
          <w:rFonts w:eastAsia="PMingLiU"/>
          <w:lang w:val="en-US"/>
        </w:rPr>
        <w:t xml:space="preserve"> strong resources sector</w:t>
      </w:r>
    </w:p>
    <w:p w14:paraId="5115E049" w14:textId="724BEC3F" w:rsidR="00F62EE9" w:rsidRPr="00DA748E" w:rsidRDefault="00F62EE9" w:rsidP="00C87152">
      <w:pPr>
        <w:rPr>
          <w:sz w:val="24"/>
          <w:szCs w:val="24"/>
          <w:lang w:val="en-US"/>
        </w:rPr>
      </w:pPr>
      <w:r w:rsidRPr="00DA748E">
        <w:t>A sustainable Australian resources sector attracts private sector investment, encourages the use of innovative technologies and meets community expectations. Our strategic priorities under this activity include:</w:t>
      </w:r>
    </w:p>
    <w:p w14:paraId="3FB93092" w14:textId="6C222EC2" w:rsidR="00A62490" w:rsidRDefault="00A62490" w:rsidP="002C1C3F">
      <w:pPr>
        <w:pStyle w:val="ListParagraph"/>
        <w:numPr>
          <w:ilvl w:val="0"/>
          <w:numId w:val="7"/>
        </w:numPr>
        <w:spacing w:after="120" w:line="240" w:lineRule="auto"/>
        <w:ind w:left="714" w:hanging="357"/>
        <w:contextualSpacing w:val="0"/>
        <w:rPr>
          <w:rFonts w:eastAsia="PMingLiU"/>
          <w:lang w:val="en-US"/>
        </w:rPr>
      </w:pPr>
      <w:bookmarkStart w:id="59" w:name="_Hlk124236332"/>
      <w:bookmarkEnd w:id="58"/>
      <w:r w:rsidRPr="00A62490">
        <w:rPr>
          <w:rFonts w:eastAsia="PMingLiU"/>
          <w:b/>
          <w:bCs/>
          <w:spacing w:val="-4"/>
          <w:lang w:val="en-US"/>
        </w:rPr>
        <w:t xml:space="preserve">Growing national prosperity </w:t>
      </w:r>
      <w:r w:rsidRPr="00EF6B33">
        <w:rPr>
          <w:rFonts w:eastAsia="PMingLiU"/>
          <w:spacing w:val="-4"/>
          <w:lang w:val="en-US"/>
        </w:rPr>
        <w:t xml:space="preserve">through a strong and resilient resources sector that continues to create </w:t>
      </w:r>
      <w:r w:rsidR="0006051F">
        <w:rPr>
          <w:rFonts w:eastAsia="PMingLiU"/>
          <w:spacing w:val="-4"/>
          <w:lang w:val="en-US"/>
        </w:rPr>
        <w:t xml:space="preserve">sustainable and </w:t>
      </w:r>
      <w:r w:rsidRPr="00EF6B33">
        <w:rPr>
          <w:rFonts w:eastAsia="PMingLiU"/>
          <w:spacing w:val="-4"/>
          <w:lang w:val="en-US"/>
        </w:rPr>
        <w:t>high-value jobs, including in regional and remote communities</w:t>
      </w:r>
      <w:r w:rsidR="001F581D">
        <w:rPr>
          <w:rFonts w:eastAsia="PMingLiU"/>
          <w:spacing w:val="-4"/>
          <w:lang w:val="en-US"/>
        </w:rPr>
        <w:t>,</w:t>
      </w:r>
      <w:r w:rsidR="002A59D8">
        <w:rPr>
          <w:rFonts w:eastAsia="PMingLiU"/>
          <w:spacing w:val="-4"/>
          <w:lang w:val="en-US"/>
        </w:rPr>
        <w:t xml:space="preserve"> and maintains Australia’s reputation as a stable and reliable energy supplier to overseas markets.</w:t>
      </w:r>
    </w:p>
    <w:p w14:paraId="59A7FEE5" w14:textId="7B6382A9" w:rsidR="002A59D8" w:rsidRPr="00244B3B" w:rsidRDefault="002A59D8" w:rsidP="002A59D8">
      <w:pPr>
        <w:pStyle w:val="ListParagraph"/>
        <w:numPr>
          <w:ilvl w:val="0"/>
          <w:numId w:val="7"/>
        </w:numPr>
        <w:spacing w:after="120" w:line="240" w:lineRule="auto"/>
        <w:contextualSpacing w:val="0"/>
        <w:rPr>
          <w:rFonts w:eastAsia="PMingLiU"/>
          <w:lang w:val="en-US"/>
        </w:rPr>
      </w:pPr>
      <w:r w:rsidRPr="001930CA">
        <w:rPr>
          <w:rFonts w:eastAsia="PMingLiU"/>
          <w:b/>
          <w:bCs/>
          <w:lang w:val="en-US"/>
        </w:rPr>
        <w:t>Supporting the sector to</w:t>
      </w:r>
      <w:r w:rsidR="00DD1A45">
        <w:rPr>
          <w:rFonts w:eastAsia="PMingLiU"/>
          <w:b/>
          <w:bCs/>
          <w:lang w:val="en-US"/>
        </w:rPr>
        <w:t xml:space="preserve"> plan and</w:t>
      </w:r>
      <w:r w:rsidRPr="001930CA">
        <w:rPr>
          <w:rFonts w:eastAsia="PMingLiU"/>
          <w:b/>
          <w:bCs/>
          <w:lang w:val="en-US"/>
        </w:rPr>
        <w:t xml:space="preserve"> contribute to the global transition to net zero </w:t>
      </w:r>
      <w:r w:rsidRPr="006D449A">
        <w:rPr>
          <w:rFonts w:eastAsia="PMingLiU"/>
          <w:lang w:val="en-US"/>
        </w:rPr>
        <w:t>through emissions reduction, and capitalising on opportunities presented in a low</w:t>
      </w:r>
      <w:r>
        <w:rPr>
          <w:rFonts w:eastAsia="PMingLiU"/>
          <w:lang w:val="en-US"/>
        </w:rPr>
        <w:t>-</w:t>
      </w:r>
      <w:r w:rsidRPr="006D449A">
        <w:rPr>
          <w:rFonts w:eastAsia="PMingLiU"/>
          <w:lang w:val="en-US"/>
        </w:rPr>
        <w:t xml:space="preserve">emissions </w:t>
      </w:r>
      <w:r w:rsidRPr="00244B3B">
        <w:rPr>
          <w:rFonts w:eastAsia="PMingLiU"/>
          <w:lang w:val="en-US"/>
        </w:rPr>
        <w:t>economy</w:t>
      </w:r>
      <w:r w:rsidR="00B40743">
        <w:rPr>
          <w:rFonts w:eastAsia="PMingLiU"/>
          <w:lang w:val="en-US"/>
        </w:rPr>
        <w:t>, including delivery of the Future Gas Strategy</w:t>
      </w:r>
      <w:r w:rsidRPr="00244B3B">
        <w:rPr>
          <w:rFonts w:eastAsia="PMingLiU"/>
          <w:lang w:val="en-US"/>
        </w:rPr>
        <w:t>.</w:t>
      </w:r>
    </w:p>
    <w:p w14:paraId="53BCA65F" w14:textId="11F76F55" w:rsidR="002A59D8" w:rsidRPr="00D521A1" w:rsidRDefault="002A59D8" w:rsidP="002A59D8">
      <w:pPr>
        <w:pStyle w:val="ListParagraph"/>
        <w:numPr>
          <w:ilvl w:val="0"/>
          <w:numId w:val="7"/>
        </w:numPr>
        <w:spacing w:after="120" w:line="240" w:lineRule="auto"/>
        <w:contextualSpacing w:val="0"/>
        <w:rPr>
          <w:rFonts w:eastAsia="PMingLiU"/>
          <w:lang w:val="en-US"/>
        </w:rPr>
      </w:pPr>
      <w:r w:rsidRPr="00244B3B">
        <w:rPr>
          <w:rFonts w:eastAsia="PMingLiU"/>
          <w:b/>
          <w:bCs/>
          <w:spacing w:val="-4"/>
          <w:lang w:val="en-US"/>
        </w:rPr>
        <w:t>Accelerating the growth of Australia’s critical minerals sector</w:t>
      </w:r>
      <w:r w:rsidRPr="00244B3B">
        <w:rPr>
          <w:rFonts w:eastAsia="PMingLiU"/>
          <w:spacing w:val="-4"/>
          <w:lang w:val="en-US"/>
        </w:rPr>
        <w:t xml:space="preserve"> to support new clean</w:t>
      </w:r>
      <w:r w:rsidR="001933FB">
        <w:rPr>
          <w:rFonts w:eastAsia="PMingLiU"/>
          <w:spacing w:val="-4"/>
          <w:lang w:val="en-US"/>
        </w:rPr>
        <w:t xml:space="preserve"> </w:t>
      </w:r>
      <w:r w:rsidRPr="00244B3B">
        <w:rPr>
          <w:rFonts w:eastAsia="PMingLiU"/>
          <w:spacing w:val="-4"/>
          <w:lang w:val="en-US"/>
        </w:rPr>
        <w:t xml:space="preserve">energy technologies in Australia and overseas, including </w:t>
      </w:r>
      <w:r>
        <w:rPr>
          <w:rFonts w:eastAsia="PMingLiU"/>
          <w:spacing w:val="-4"/>
          <w:lang w:val="en-US"/>
        </w:rPr>
        <w:t>delivery of the</w:t>
      </w:r>
      <w:r w:rsidRPr="00244B3B">
        <w:rPr>
          <w:rFonts w:eastAsia="PMingLiU"/>
          <w:spacing w:val="-4"/>
          <w:lang w:val="en-US"/>
        </w:rPr>
        <w:t xml:space="preserve"> Critical Minerals Strategy.</w:t>
      </w:r>
    </w:p>
    <w:p w14:paraId="588E033D" w14:textId="2AD029F3" w:rsidR="002A59D8" w:rsidRPr="001F1CB9" w:rsidRDefault="002A59D8" w:rsidP="002A59D8">
      <w:pPr>
        <w:pStyle w:val="ListParagraph"/>
        <w:numPr>
          <w:ilvl w:val="0"/>
          <w:numId w:val="7"/>
        </w:numPr>
        <w:contextualSpacing w:val="0"/>
        <w:rPr>
          <w:rFonts w:eastAsia="PMingLiU"/>
          <w:spacing w:val="-4"/>
          <w:lang w:val="en-US"/>
        </w:rPr>
      </w:pPr>
      <w:r w:rsidRPr="001930CA">
        <w:rPr>
          <w:rFonts w:eastAsia="PMingLiU"/>
          <w:b/>
          <w:bCs/>
          <w:spacing w:val="-4"/>
          <w:lang w:val="en-US"/>
        </w:rPr>
        <w:t xml:space="preserve">Encouraging </w:t>
      </w:r>
      <w:r>
        <w:rPr>
          <w:rFonts w:eastAsia="PMingLiU"/>
          <w:b/>
          <w:bCs/>
          <w:spacing w:val="-4"/>
          <w:lang w:val="en-US"/>
        </w:rPr>
        <w:t xml:space="preserve">proactive planning for </w:t>
      </w:r>
      <w:r w:rsidRPr="001930CA">
        <w:rPr>
          <w:rFonts w:eastAsia="PMingLiU"/>
          <w:b/>
          <w:bCs/>
          <w:spacing w:val="-4"/>
          <w:lang w:val="en-US"/>
        </w:rPr>
        <w:t xml:space="preserve">decommissioning </w:t>
      </w:r>
      <w:r w:rsidRPr="00B54686">
        <w:rPr>
          <w:rFonts w:eastAsia="PMingLiU"/>
          <w:b/>
          <w:bCs/>
          <w:spacing w:val="-4"/>
          <w:lang w:val="en-US"/>
        </w:rPr>
        <w:t>and rehabilitation activities</w:t>
      </w:r>
      <w:r>
        <w:rPr>
          <w:rFonts w:eastAsia="PMingLiU"/>
          <w:spacing w:val="-4"/>
          <w:lang w:val="en-US"/>
        </w:rPr>
        <w:t xml:space="preserve"> </w:t>
      </w:r>
      <w:r w:rsidR="00F9598F">
        <w:rPr>
          <w:rFonts w:eastAsia="PMingLiU"/>
          <w:spacing w:val="-4"/>
          <w:lang w:val="en-US"/>
        </w:rPr>
        <w:t xml:space="preserve">through </w:t>
      </w:r>
      <w:r>
        <w:rPr>
          <w:rFonts w:eastAsia="PMingLiU"/>
          <w:spacing w:val="-4"/>
          <w:lang w:val="en-US"/>
        </w:rPr>
        <w:t>d</w:t>
      </w:r>
      <w:r w:rsidRPr="00564180">
        <w:rPr>
          <w:rFonts w:eastAsia="PMingLiU"/>
          <w:spacing w:val="-4"/>
          <w:lang w:val="en-US"/>
        </w:rPr>
        <w:t xml:space="preserve">eveloping </w:t>
      </w:r>
      <w:bookmarkStart w:id="60" w:name="_Hlk140278070"/>
      <w:r w:rsidRPr="00564180">
        <w:rPr>
          <w:rFonts w:eastAsia="PMingLiU"/>
          <w:spacing w:val="-4"/>
          <w:lang w:val="en-US"/>
        </w:rPr>
        <w:t xml:space="preserve">a </w:t>
      </w:r>
      <w:r w:rsidR="00D67049">
        <w:rPr>
          <w:rFonts w:eastAsia="PMingLiU"/>
          <w:spacing w:val="-4"/>
          <w:lang w:val="en-US"/>
        </w:rPr>
        <w:t>r</w:t>
      </w:r>
      <w:r w:rsidRPr="00564180">
        <w:rPr>
          <w:rFonts w:eastAsia="PMingLiU"/>
          <w:spacing w:val="-4"/>
          <w:lang w:val="en-US"/>
        </w:rPr>
        <w:t xml:space="preserve">oadmap for </w:t>
      </w:r>
      <w:r w:rsidR="00D67049">
        <w:rPr>
          <w:rFonts w:eastAsia="PMingLiU"/>
          <w:spacing w:val="-4"/>
          <w:lang w:val="en-US"/>
        </w:rPr>
        <w:t>e</w:t>
      </w:r>
      <w:r w:rsidRPr="00564180">
        <w:rPr>
          <w:rFonts w:eastAsia="PMingLiU"/>
          <w:spacing w:val="-4"/>
          <w:lang w:val="en-US"/>
        </w:rPr>
        <w:t xml:space="preserve">stablishing a </w:t>
      </w:r>
      <w:r w:rsidR="00D67049">
        <w:rPr>
          <w:rFonts w:eastAsia="PMingLiU"/>
          <w:spacing w:val="-4"/>
          <w:lang w:val="en-US"/>
        </w:rPr>
        <w:t>d</w:t>
      </w:r>
      <w:r w:rsidRPr="00564180">
        <w:rPr>
          <w:rFonts w:eastAsia="PMingLiU"/>
          <w:spacing w:val="-4"/>
          <w:lang w:val="en-US"/>
        </w:rPr>
        <w:t xml:space="preserve">ecommissioning </w:t>
      </w:r>
      <w:r w:rsidR="00D67049">
        <w:rPr>
          <w:rFonts w:eastAsia="PMingLiU"/>
          <w:spacing w:val="-4"/>
          <w:lang w:val="en-US"/>
        </w:rPr>
        <w:t>i</w:t>
      </w:r>
      <w:r w:rsidRPr="00564180">
        <w:rPr>
          <w:rFonts w:eastAsia="PMingLiU"/>
          <w:spacing w:val="-4"/>
          <w:lang w:val="en-US"/>
        </w:rPr>
        <w:t>ndustry in Australia</w:t>
      </w:r>
      <w:bookmarkEnd w:id="60"/>
      <w:r>
        <w:rPr>
          <w:rFonts w:eastAsia="PMingLiU"/>
          <w:spacing w:val="-4"/>
          <w:lang w:val="en-US"/>
        </w:rPr>
        <w:t xml:space="preserve">, </w:t>
      </w:r>
      <w:r w:rsidRPr="006D449A">
        <w:rPr>
          <w:rFonts w:eastAsia="PMingLiU"/>
          <w:spacing w:val="-4"/>
          <w:lang w:val="en-US"/>
        </w:rPr>
        <w:t xml:space="preserve">overseeing decommissioning of the </w:t>
      </w:r>
      <w:r>
        <w:rPr>
          <w:rFonts w:eastAsia="PMingLiU"/>
          <w:spacing w:val="-4"/>
          <w:lang w:val="en-US"/>
        </w:rPr>
        <w:t>Laminaria-</w:t>
      </w:r>
      <w:r w:rsidR="00AE5AFC" w:rsidRPr="00AE5AFC">
        <w:rPr>
          <w:rFonts w:eastAsia="PMingLiU"/>
          <w:spacing w:val="-4"/>
          <w:lang w:val="en-US"/>
        </w:rPr>
        <w:t xml:space="preserve"> </w:t>
      </w:r>
      <w:r w:rsidR="00AE5AFC">
        <w:rPr>
          <w:rFonts w:eastAsia="PMingLiU"/>
          <w:spacing w:val="-4"/>
          <w:lang w:val="en-US"/>
        </w:rPr>
        <w:t xml:space="preserve">Corrallina </w:t>
      </w:r>
      <w:r>
        <w:rPr>
          <w:rFonts w:eastAsia="PMingLiU"/>
          <w:spacing w:val="-4"/>
          <w:lang w:val="en-US"/>
        </w:rPr>
        <w:t xml:space="preserve">oil fields and </w:t>
      </w:r>
      <w:r w:rsidRPr="006D449A">
        <w:rPr>
          <w:rFonts w:eastAsia="PMingLiU"/>
          <w:spacing w:val="-4"/>
          <w:lang w:val="en-US"/>
        </w:rPr>
        <w:t>Northern Endeavour facility</w:t>
      </w:r>
      <w:r>
        <w:rPr>
          <w:rFonts w:eastAsia="PMingLiU"/>
          <w:spacing w:val="-4"/>
          <w:lang w:val="en-US"/>
        </w:rPr>
        <w:t xml:space="preserve">, </w:t>
      </w:r>
      <w:r w:rsidR="001B4FBD">
        <w:rPr>
          <w:rFonts w:eastAsia="PMingLiU"/>
          <w:spacing w:val="-4"/>
          <w:lang w:val="en-US"/>
        </w:rPr>
        <w:t xml:space="preserve">and the </w:t>
      </w:r>
      <w:r w:rsidR="0076212D">
        <w:rPr>
          <w:rFonts w:eastAsia="PMingLiU"/>
          <w:spacing w:val="-4"/>
          <w:lang w:val="en-US"/>
        </w:rPr>
        <w:t xml:space="preserve">effective </w:t>
      </w:r>
      <w:r>
        <w:rPr>
          <w:rFonts w:eastAsia="PMingLiU"/>
          <w:spacing w:val="-4"/>
          <w:lang w:val="en-US"/>
        </w:rPr>
        <w:t xml:space="preserve">rehabilitation of the </w:t>
      </w:r>
      <w:bookmarkStart w:id="61" w:name="_Hlk138405517"/>
      <w:r>
        <w:rPr>
          <w:rFonts w:eastAsia="PMingLiU"/>
          <w:spacing w:val="-4"/>
          <w:lang w:val="en-US"/>
        </w:rPr>
        <w:t xml:space="preserve">Ranger and Rum Jungle </w:t>
      </w:r>
      <w:bookmarkEnd w:id="61"/>
      <w:r>
        <w:rPr>
          <w:rFonts w:eastAsia="PMingLiU"/>
          <w:spacing w:val="-4"/>
          <w:lang w:val="en-US"/>
        </w:rPr>
        <w:t>uranium mine sites</w:t>
      </w:r>
      <w:r w:rsidR="001B4FBD">
        <w:rPr>
          <w:rFonts w:eastAsia="PMingLiU"/>
          <w:spacing w:val="-4"/>
          <w:lang w:val="en-US"/>
        </w:rPr>
        <w:t xml:space="preserve"> </w:t>
      </w:r>
      <w:r w:rsidR="0076212D" w:rsidRPr="001F1CB9">
        <w:rPr>
          <w:rFonts w:eastAsia="PMingLiU"/>
          <w:spacing w:val="-4"/>
          <w:lang w:val="en-US"/>
        </w:rPr>
        <w:t xml:space="preserve">and </w:t>
      </w:r>
      <w:r w:rsidR="001B4FBD" w:rsidRPr="001F1CB9">
        <w:rPr>
          <w:rFonts w:eastAsia="PMingLiU"/>
          <w:spacing w:val="-4"/>
          <w:lang w:val="en-US"/>
        </w:rPr>
        <w:t xml:space="preserve">the </w:t>
      </w:r>
      <w:r w:rsidR="0076212D" w:rsidRPr="001F1CB9">
        <w:rPr>
          <w:rFonts w:eastAsia="PMingLiU"/>
          <w:spacing w:val="-4"/>
          <w:lang w:val="en-US"/>
        </w:rPr>
        <w:t xml:space="preserve">former nuclear testing site </w:t>
      </w:r>
      <w:r w:rsidR="001B4FBD" w:rsidRPr="001F1CB9">
        <w:rPr>
          <w:rFonts w:eastAsia="PMingLiU"/>
          <w:spacing w:val="-4"/>
          <w:lang w:val="en-US"/>
        </w:rPr>
        <w:t xml:space="preserve">at </w:t>
      </w:r>
      <w:r w:rsidR="0076212D" w:rsidRPr="001F1CB9">
        <w:rPr>
          <w:rFonts w:eastAsia="PMingLiU"/>
          <w:spacing w:val="-4"/>
          <w:lang w:val="en-US"/>
        </w:rPr>
        <w:t>Maralinga</w:t>
      </w:r>
      <w:r w:rsidR="0076212D">
        <w:rPr>
          <w:rFonts w:eastAsia="PMingLiU"/>
          <w:spacing w:val="-4"/>
          <w:lang w:val="en-US"/>
        </w:rPr>
        <w:t>.</w:t>
      </w:r>
    </w:p>
    <w:p w14:paraId="7FCAE0DC" w14:textId="77777777" w:rsidR="00B65CB5" w:rsidRPr="00DB21E1" w:rsidRDefault="00B65CB5" w:rsidP="00B65CB5">
      <w:pPr>
        <w:pStyle w:val="ListParagraph"/>
        <w:numPr>
          <w:ilvl w:val="0"/>
          <w:numId w:val="7"/>
        </w:numPr>
        <w:contextualSpacing w:val="0"/>
      </w:pPr>
      <w:bookmarkStart w:id="62" w:name="_Hlk126658564"/>
      <w:bookmarkStart w:id="63" w:name="_Hlk124259806"/>
      <w:bookmarkStart w:id="64" w:name="_Hlk138784757"/>
      <w:bookmarkEnd w:id="59"/>
      <w:r w:rsidRPr="001930CA">
        <w:rPr>
          <w:rFonts w:eastAsia="PMingLiU"/>
          <w:b/>
          <w:bCs/>
          <w:spacing w:val="-4"/>
          <w:lang w:val="en-US"/>
        </w:rPr>
        <w:t>Progressing a responsible and sustainable approach to long</w:t>
      </w:r>
      <w:r>
        <w:rPr>
          <w:rFonts w:eastAsia="PMingLiU"/>
          <w:b/>
          <w:bCs/>
          <w:spacing w:val="-4"/>
          <w:lang w:val="en-US"/>
        </w:rPr>
        <w:t>-</w:t>
      </w:r>
      <w:r w:rsidRPr="001930CA">
        <w:rPr>
          <w:rFonts w:eastAsia="PMingLiU"/>
          <w:b/>
          <w:bCs/>
          <w:spacing w:val="-4"/>
          <w:lang w:val="en-US"/>
        </w:rPr>
        <w:t xml:space="preserve">term management and disposal of </w:t>
      </w:r>
      <w:r>
        <w:rPr>
          <w:rFonts w:eastAsia="PMingLiU"/>
          <w:b/>
          <w:bCs/>
          <w:spacing w:val="-4"/>
          <w:lang w:val="en-US"/>
        </w:rPr>
        <w:t>Australia’s</w:t>
      </w:r>
      <w:r w:rsidRPr="001930CA">
        <w:rPr>
          <w:rFonts w:eastAsia="PMingLiU"/>
          <w:b/>
          <w:bCs/>
          <w:spacing w:val="-4"/>
          <w:lang w:val="en-US"/>
        </w:rPr>
        <w:t xml:space="preserve"> radioactive waste</w:t>
      </w:r>
      <w:r w:rsidRPr="00BE2911">
        <w:rPr>
          <w:rFonts w:eastAsia="PMingLiU"/>
          <w:spacing w:val="-4"/>
          <w:lang w:val="en-US"/>
        </w:rPr>
        <w:t xml:space="preserve">, </w:t>
      </w:r>
      <w:r w:rsidRPr="00B903D5">
        <w:rPr>
          <w:rFonts w:eastAsia="PMingLiU"/>
          <w:spacing w:val="-4"/>
          <w:lang w:val="en-US"/>
        </w:rPr>
        <w:t xml:space="preserve">including </w:t>
      </w:r>
      <w:r w:rsidRPr="00B903D5">
        <w:rPr>
          <w:spacing w:val="-4"/>
          <w:lang w:val="en-US"/>
        </w:rPr>
        <w:t xml:space="preserve">through the Australian Radioactive Waste Agency </w:t>
      </w:r>
      <w:r>
        <w:rPr>
          <w:spacing w:val="-4"/>
          <w:lang w:val="en-US"/>
        </w:rPr>
        <w:t>(ARWA)</w:t>
      </w:r>
      <w:r w:rsidRPr="00B903D5">
        <w:rPr>
          <w:spacing w:val="-4"/>
          <w:lang w:val="en-US"/>
        </w:rPr>
        <w:t xml:space="preserve"> and expert advice to the Department of Defence to support initial implementation of the </w:t>
      </w:r>
      <w:r>
        <w:rPr>
          <w:spacing w:val="-4"/>
          <w:lang w:val="en-US"/>
        </w:rPr>
        <w:t>N</w:t>
      </w:r>
      <w:r w:rsidRPr="00B903D5">
        <w:rPr>
          <w:spacing w:val="-4"/>
          <w:lang w:val="en-US"/>
        </w:rPr>
        <w:t>uclear-</w:t>
      </w:r>
      <w:r>
        <w:rPr>
          <w:spacing w:val="-4"/>
          <w:lang w:val="en-US"/>
        </w:rPr>
        <w:t>P</w:t>
      </w:r>
      <w:r w:rsidRPr="00B903D5">
        <w:rPr>
          <w:spacing w:val="-4"/>
          <w:lang w:val="en-US"/>
        </w:rPr>
        <w:t xml:space="preserve">owered </w:t>
      </w:r>
      <w:r>
        <w:rPr>
          <w:spacing w:val="-4"/>
          <w:lang w:val="en-US"/>
        </w:rPr>
        <w:t>S</w:t>
      </w:r>
      <w:r w:rsidRPr="00B903D5">
        <w:rPr>
          <w:spacing w:val="-4"/>
          <w:lang w:val="en-US"/>
        </w:rPr>
        <w:t xml:space="preserve">ubmarine </w:t>
      </w:r>
      <w:r>
        <w:rPr>
          <w:spacing w:val="-4"/>
          <w:lang w:val="en-US"/>
        </w:rPr>
        <w:t>P</w:t>
      </w:r>
      <w:r w:rsidRPr="00B903D5">
        <w:rPr>
          <w:spacing w:val="-4"/>
          <w:lang w:val="en-US"/>
        </w:rPr>
        <w:t>rogram</w:t>
      </w:r>
      <w:r w:rsidRPr="001930CA">
        <w:rPr>
          <w:rFonts w:eastAsia="PMingLiU"/>
          <w:spacing w:val="-4"/>
          <w:lang w:val="en-US"/>
        </w:rPr>
        <w:t>.</w:t>
      </w:r>
    </w:p>
    <w:p w14:paraId="6552C023" w14:textId="3DAAF24C" w:rsidR="00C56D38" w:rsidRDefault="00C56D38" w:rsidP="00C56D38">
      <w:pPr>
        <w:pStyle w:val="xxxmsolistparagraph"/>
        <w:numPr>
          <w:ilvl w:val="0"/>
          <w:numId w:val="7"/>
        </w:numPr>
        <w:spacing w:after="120" w:line="240" w:lineRule="auto"/>
      </w:pPr>
      <w:r w:rsidRPr="00C56D38">
        <w:rPr>
          <w:rFonts w:asciiTheme="minorHAnsi" w:eastAsia="PMingLiU" w:hAnsiTheme="minorHAnsi" w:cstheme="minorBidi"/>
          <w:b/>
          <w:bCs/>
          <w:spacing w:val="-4"/>
          <w:lang w:val="en-US" w:eastAsia="en-US"/>
        </w:rPr>
        <w:t>Addressing community expectations on environment</w:t>
      </w:r>
      <w:r w:rsidR="008E7705">
        <w:rPr>
          <w:rFonts w:asciiTheme="minorHAnsi" w:eastAsia="PMingLiU" w:hAnsiTheme="minorHAnsi" w:cstheme="minorBidi"/>
          <w:b/>
          <w:bCs/>
          <w:spacing w:val="-4"/>
          <w:lang w:val="en-US" w:eastAsia="en-US"/>
        </w:rPr>
        <w:t>al</w:t>
      </w:r>
      <w:r w:rsidRPr="00C56D38">
        <w:rPr>
          <w:rFonts w:asciiTheme="minorHAnsi" w:eastAsia="PMingLiU" w:hAnsiTheme="minorHAnsi" w:cstheme="minorBidi"/>
          <w:b/>
          <w:bCs/>
          <w:spacing w:val="-4"/>
          <w:lang w:val="en-US" w:eastAsia="en-US"/>
        </w:rPr>
        <w:t>, social and governance</w:t>
      </w:r>
      <w:r w:rsidR="008006F9">
        <w:rPr>
          <w:rFonts w:asciiTheme="minorHAnsi" w:eastAsia="PMingLiU" w:hAnsiTheme="minorHAnsi" w:cstheme="minorBidi"/>
          <w:b/>
          <w:bCs/>
          <w:spacing w:val="-4"/>
          <w:lang w:val="en-US" w:eastAsia="en-US"/>
        </w:rPr>
        <w:t xml:space="preserve"> (ESG)</w:t>
      </w:r>
      <w:r w:rsidR="0006051F">
        <w:rPr>
          <w:lang w:val="en-US"/>
        </w:rPr>
        <w:t xml:space="preserve"> </w:t>
      </w:r>
      <w:r w:rsidR="003B2777" w:rsidRPr="00BE2911">
        <w:rPr>
          <w:b/>
          <w:lang w:val="en-US"/>
        </w:rPr>
        <w:t>practices</w:t>
      </w:r>
      <w:r w:rsidR="00BE2911">
        <w:rPr>
          <w:lang w:val="en-US"/>
        </w:rPr>
        <w:t>,</w:t>
      </w:r>
      <w:r w:rsidR="00F668BD">
        <w:rPr>
          <w:lang w:val="en-US"/>
        </w:rPr>
        <w:t xml:space="preserve"> </w:t>
      </w:r>
      <w:r w:rsidR="00D11CBF">
        <w:rPr>
          <w:lang w:val="en-US"/>
        </w:rPr>
        <w:t xml:space="preserve">including through </w:t>
      </w:r>
      <w:r>
        <w:rPr>
          <w:lang w:val="en-US"/>
        </w:rPr>
        <w:t>true partnerships with First Nations People</w:t>
      </w:r>
      <w:r w:rsidR="008A59A8">
        <w:rPr>
          <w:lang w:val="en-US"/>
        </w:rPr>
        <w:t>s</w:t>
      </w:r>
      <w:r>
        <w:rPr>
          <w:lang w:val="en-US"/>
        </w:rPr>
        <w:t xml:space="preserve"> and communities</w:t>
      </w:r>
      <w:r w:rsidR="00EC37A0">
        <w:rPr>
          <w:lang w:val="en-US"/>
        </w:rPr>
        <w:t>,</w:t>
      </w:r>
      <w:r w:rsidR="0006051F" w:rsidDel="00F9598F">
        <w:rPr>
          <w:spacing w:val="-4"/>
          <w:lang w:val="en-US"/>
        </w:rPr>
        <w:t xml:space="preserve"> </w:t>
      </w:r>
      <w:r>
        <w:rPr>
          <w:spacing w:val="-4"/>
          <w:lang w:val="en-US"/>
        </w:rPr>
        <w:t>improv</w:t>
      </w:r>
      <w:r w:rsidR="00D11CBF">
        <w:rPr>
          <w:spacing w:val="-4"/>
          <w:lang w:val="en-US"/>
        </w:rPr>
        <w:t>ing</w:t>
      </w:r>
      <w:r>
        <w:rPr>
          <w:spacing w:val="-4"/>
          <w:lang w:val="en-US"/>
        </w:rPr>
        <w:t xml:space="preserve"> gender equality, skills and safety</w:t>
      </w:r>
      <w:r w:rsidR="00D11CBF">
        <w:rPr>
          <w:spacing w:val="-4"/>
          <w:lang w:val="en-US"/>
        </w:rPr>
        <w:t>,</w:t>
      </w:r>
      <w:r w:rsidDel="00F9598F">
        <w:rPr>
          <w:spacing w:val="-4"/>
          <w:lang w:val="en-US"/>
        </w:rPr>
        <w:t xml:space="preserve"> </w:t>
      </w:r>
      <w:r w:rsidR="00F9598F">
        <w:rPr>
          <w:spacing w:val="-4"/>
          <w:lang w:val="en-US"/>
        </w:rPr>
        <w:t xml:space="preserve">and reviewing the </w:t>
      </w:r>
      <w:r>
        <w:rPr>
          <w:spacing w:val="-4"/>
          <w:lang w:val="en-US"/>
        </w:rPr>
        <w:t xml:space="preserve">environmental management regime for offshore petroleum and greenhouse gas storage activities. </w:t>
      </w:r>
    </w:p>
    <w:bookmarkEnd w:id="62"/>
    <w:bookmarkEnd w:id="63"/>
    <w:bookmarkEnd w:id="64"/>
    <w:p w14:paraId="105362FF" w14:textId="7AA07F23" w:rsidR="00216861" w:rsidRPr="003F176B" w:rsidRDefault="00DD789A" w:rsidP="002C1C3F">
      <w:pPr>
        <w:pStyle w:val="Heading1"/>
      </w:pPr>
      <w:r>
        <w:br w:type="page"/>
      </w:r>
      <w:bookmarkStart w:id="65" w:name="_Hlk138249194"/>
      <w:bookmarkStart w:id="66" w:name="_Hlk138408820"/>
      <w:r w:rsidR="0AB45692" w:rsidRPr="003F176B">
        <w:t>Our operating environment</w:t>
      </w:r>
      <w:bookmarkEnd w:id="41"/>
      <w:bookmarkEnd w:id="42"/>
      <w:bookmarkEnd w:id="43"/>
      <w:bookmarkEnd w:id="65"/>
    </w:p>
    <w:p w14:paraId="717B5385" w14:textId="3135FD11" w:rsidR="00216861" w:rsidRPr="00D36152" w:rsidRDefault="00C87152" w:rsidP="002C1C3F">
      <w:pPr>
        <w:pStyle w:val="Heading2"/>
      </w:pPr>
      <w:bookmarkStart w:id="67" w:name="_Hlk143496832"/>
      <w:bookmarkStart w:id="68" w:name="_Hlk123800947"/>
      <w:bookmarkEnd w:id="66"/>
      <w:r>
        <w:rPr>
          <w:rFonts w:eastAsia="Times New Roman"/>
        </w:rPr>
        <w:t>Adaptability and resilience in a disruptive and uncertain economic environment</w:t>
      </w:r>
      <w:bookmarkEnd w:id="67"/>
    </w:p>
    <w:p w14:paraId="14A6DBE5" w14:textId="08C1DD79" w:rsidR="008779DB" w:rsidRDefault="008779DB" w:rsidP="008779DB">
      <w:pPr>
        <w:spacing w:line="252" w:lineRule="auto"/>
      </w:pPr>
      <w:bookmarkStart w:id="69" w:name="_Hlk126753058"/>
      <w:bookmarkStart w:id="70" w:name="_Hlk124259935"/>
      <w:bookmarkStart w:id="71" w:name="_Hlk122694817"/>
      <w:bookmarkStart w:id="72" w:name="_Hlk124176383"/>
      <w:bookmarkEnd w:id="68"/>
      <w:r>
        <w:t xml:space="preserve">The Australian economy has shown strength through </w:t>
      </w:r>
      <w:r w:rsidR="00A527C8">
        <w:t>its</w:t>
      </w:r>
      <w:r>
        <w:t xml:space="preserve"> post-pandemic recovery and in the face of geopolitical </w:t>
      </w:r>
      <w:r w:rsidRPr="00244B3B">
        <w:t>instability</w:t>
      </w:r>
      <w:r>
        <w:t xml:space="preserve">. However, the economic environment remains uncertain and </w:t>
      </w:r>
      <w:r w:rsidR="00A527C8">
        <w:t xml:space="preserve">is </w:t>
      </w:r>
      <w:r>
        <w:t xml:space="preserve">subject to continued </w:t>
      </w:r>
      <w:r w:rsidR="00405CBB" w:rsidRPr="00A163D2">
        <w:t>disruption</w:t>
      </w:r>
      <w:r w:rsidR="00405CBB" w:rsidRPr="003463EE">
        <w:t xml:space="preserve">, including </w:t>
      </w:r>
      <w:r w:rsidR="00405CBB" w:rsidRPr="00A163D2">
        <w:t>in energy, industrial and financial markets</w:t>
      </w:r>
      <w:r w:rsidRPr="008B748B">
        <w:t>.</w:t>
      </w:r>
    </w:p>
    <w:p w14:paraId="2F378196" w14:textId="116AFB14" w:rsidR="00405CBB" w:rsidRPr="00CB50A0" w:rsidRDefault="008779DB" w:rsidP="687C3A40">
      <w:pPr>
        <w:spacing w:line="252" w:lineRule="auto"/>
      </w:pPr>
      <w:r>
        <w:t>Future economic growth and prosperity will be challenged by weaker global economic conditions, persistent inflation</w:t>
      </w:r>
      <w:r w:rsidR="00AD5209">
        <w:t xml:space="preserve"> and</w:t>
      </w:r>
      <w:r>
        <w:t xml:space="preserve"> higher interest rates</w:t>
      </w:r>
      <w:r w:rsidR="00AD5209">
        <w:t>,</w:t>
      </w:r>
      <w:r>
        <w:t xml:space="preserve"> as well as a range of structural shifts in the domestic economy</w:t>
      </w:r>
      <w:r w:rsidR="00405CBB" w:rsidRPr="00A163D2">
        <w:t>. Our long</w:t>
      </w:r>
      <w:r w:rsidR="00E36CB5">
        <w:t>-</w:t>
      </w:r>
      <w:r w:rsidR="00405CBB" w:rsidRPr="00A163D2">
        <w:t xml:space="preserve">term prosperity relies on continued productivity growth, but Australia’s productivity growth has slowed over the past decade, as it has in other advanced economies. Encouraging the diffusion of innovation across the economy, addressing barriers to adoption of technology and supporting </w:t>
      </w:r>
      <w:r w:rsidR="0006051F">
        <w:t xml:space="preserve">a successful </w:t>
      </w:r>
      <w:r w:rsidR="00405CBB" w:rsidRPr="00A163D2">
        <w:t xml:space="preserve">transition to net </w:t>
      </w:r>
      <w:r w:rsidR="00405CBB" w:rsidRPr="00CB50A0">
        <w:t xml:space="preserve">zero will be </w:t>
      </w:r>
      <w:r w:rsidR="00591DAD" w:rsidRPr="00CB50A0">
        <w:t>central in</w:t>
      </w:r>
      <w:r w:rsidR="00405CBB" w:rsidRPr="00CB50A0">
        <w:t xml:space="preserve"> lifting productivity growth.</w:t>
      </w:r>
    </w:p>
    <w:p w14:paraId="282B479D" w14:textId="5EBF35C4" w:rsidR="008779DB" w:rsidRDefault="008779DB" w:rsidP="687C3A40">
      <w:pPr>
        <w:spacing w:line="252" w:lineRule="auto"/>
      </w:pPr>
      <w:r w:rsidRPr="00CB50A0">
        <w:t>Our key sectors will need to become more adaptable and resilient</w:t>
      </w:r>
      <w:r w:rsidR="00E36CB5" w:rsidRPr="00CB50A0">
        <w:t xml:space="preserve"> </w:t>
      </w:r>
      <w:r w:rsidR="00550E88">
        <w:t>so they can</w:t>
      </w:r>
      <w:r w:rsidRPr="00CB50A0">
        <w:t xml:space="preserve"> respond</w:t>
      </w:r>
      <w:r>
        <w:t xml:space="preserve"> </w:t>
      </w:r>
      <w:r w:rsidR="00E36CB5" w:rsidRPr="00A163D2">
        <w:t xml:space="preserve">to, and </w:t>
      </w:r>
      <w:r w:rsidR="00512048" w:rsidRPr="00A163D2">
        <w:t>seize</w:t>
      </w:r>
      <w:r w:rsidR="00667B02">
        <w:t>,</w:t>
      </w:r>
      <w:r w:rsidR="00E36CB5" w:rsidRPr="00A163D2">
        <w:t xml:space="preserve"> the opportunities from</w:t>
      </w:r>
      <w:r w:rsidR="00E36CB5">
        <w:t xml:space="preserve"> </w:t>
      </w:r>
      <w:r>
        <w:t xml:space="preserve">net zero transition, technology transformation </w:t>
      </w:r>
      <w:r w:rsidR="00996C88">
        <w:t>and</w:t>
      </w:r>
      <w:r>
        <w:t xml:space="preserve"> ongoing global tensions</w:t>
      </w:r>
      <w:r w:rsidRPr="687C3A40">
        <w:t xml:space="preserve"> </w:t>
      </w:r>
      <w:r>
        <w:t>that will affect Australia’s economic outlook over the coming years.</w:t>
      </w:r>
    </w:p>
    <w:p w14:paraId="1F671CBE" w14:textId="3DD7410D" w:rsidR="008779DB" w:rsidRDefault="008779DB" w:rsidP="218580CA">
      <w:pPr>
        <w:spacing w:line="252" w:lineRule="auto"/>
      </w:pPr>
      <w:r>
        <w:t xml:space="preserve">Our policy advice and program implementation will be influenced by </w:t>
      </w:r>
      <w:r w:rsidR="00550E88">
        <w:t>many</w:t>
      </w:r>
      <w:r>
        <w:t xml:space="preserve"> factors, including </w:t>
      </w:r>
      <w:r w:rsidRPr="002914BA">
        <w:t>responding to the implications of geo-strategic shifts</w:t>
      </w:r>
      <w:r>
        <w:t>,</w:t>
      </w:r>
      <w:r w:rsidRPr="002914BA">
        <w:t xml:space="preserve"> </w:t>
      </w:r>
      <w:r w:rsidR="00E36CB5" w:rsidRPr="00A163D2">
        <w:t>adapting to and mitigating against climate change</w:t>
      </w:r>
      <w:r w:rsidRPr="00455E0E">
        <w:t xml:space="preserve">, </w:t>
      </w:r>
      <w:r w:rsidR="00AD5209">
        <w:t xml:space="preserve">and </w:t>
      </w:r>
      <w:r w:rsidRPr="00D12C0B">
        <w:t xml:space="preserve">supporting </w:t>
      </w:r>
      <w:r w:rsidR="007C73FF">
        <w:t xml:space="preserve">more </w:t>
      </w:r>
      <w:r w:rsidRPr="00D12C0B">
        <w:t>equitable outcomes for all Australians</w:t>
      </w:r>
      <w:r>
        <w:t>. This i</w:t>
      </w:r>
      <w:r w:rsidRPr="00D12C0B">
        <w:t>nclud</w:t>
      </w:r>
      <w:r>
        <w:t>es</w:t>
      </w:r>
      <w:r w:rsidRPr="00D12C0B">
        <w:t xml:space="preserve"> economic empowerment for disadvantaged groups</w:t>
      </w:r>
      <w:r w:rsidR="00A819FF">
        <w:t>,</w:t>
      </w:r>
      <w:r w:rsidRPr="00D12C0B">
        <w:t xml:space="preserve"> such </w:t>
      </w:r>
      <w:r w:rsidRPr="005365D7">
        <w:t xml:space="preserve">as </w:t>
      </w:r>
      <w:r w:rsidRPr="00A344CA">
        <w:t xml:space="preserve">First Nations </w:t>
      </w:r>
      <w:r w:rsidR="00B205CB" w:rsidRPr="00A344CA">
        <w:t>P</w:t>
      </w:r>
      <w:r w:rsidRPr="00A344CA">
        <w:t>eople</w:t>
      </w:r>
      <w:r w:rsidR="00B205CB" w:rsidRPr="00A344CA">
        <w:t>s</w:t>
      </w:r>
      <w:r w:rsidR="00A819FF">
        <w:t>,</w:t>
      </w:r>
      <w:r>
        <w:t xml:space="preserve"> and</w:t>
      </w:r>
      <w:r w:rsidRPr="00455E0E">
        <w:t xml:space="preserve"> ensuring a skilled and adaptable workforce </w:t>
      </w:r>
      <w:r w:rsidR="00A819FF">
        <w:t xml:space="preserve">– </w:t>
      </w:r>
      <w:r w:rsidRPr="00455E0E">
        <w:t xml:space="preserve">all of which will be necessary to support productivity </w:t>
      </w:r>
      <w:r>
        <w:t>and economic</w:t>
      </w:r>
      <w:r w:rsidRPr="00455E0E">
        <w:t xml:space="preserve"> growth</w:t>
      </w:r>
      <w:r>
        <w:t>.</w:t>
      </w:r>
    </w:p>
    <w:p w14:paraId="57CF8246" w14:textId="6C1352AE" w:rsidR="009314F7" w:rsidRDefault="00883640" w:rsidP="002C1C3F">
      <w:pPr>
        <w:pStyle w:val="Heading2"/>
      </w:pPr>
      <w:r>
        <w:t xml:space="preserve">Growing </w:t>
      </w:r>
      <w:r w:rsidR="00721D1D">
        <w:t>business and industry</w:t>
      </w:r>
      <w:bookmarkEnd w:id="69"/>
    </w:p>
    <w:p w14:paraId="6C401E3A" w14:textId="770F3D88" w:rsidR="00550E88" w:rsidRDefault="008779DB" w:rsidP="008779DB">
      <w:pPr>
        <w:rPr>
          <w:rFonts w:eastAsia="Times New Roman"/>
          <w:lang w:eastAsia="en-AU"/>
        </w:rPr>
      </w:pPr>
      <w:bookmarkStart w:id="73" w:name="_Hlk126753075"/>
      <w:bookmarkStart w:id="74" w:name="_Hlk124260767"/>
      <w:bookmarkEnd w:id="70"/>
      <w:r>
        <w:rPr>
          <w:rFonts w:eastAsia="Times New Roman"/>
          <w:lang w:eastAsia="en-AU"/>
        </w:rPr>
        <w:t>In this operating environment, w</w:t>
      </w:r>
      <w:r w:rsidRPr="0AB45692">
        <w:rPr>
          <w:rFonts w:eastAsia="Times New Roman"/>
          <w:lang w:eastAsia="en-AU"/>
        </w:rPr>
        <w:t xml:space="preserve">e </w:t>
      </w:r>
      <w:r>
        <w:rPr>
          <w:rFonts w:eastAsia="Times New Roman"/>
          <w:lang w:eastAsia="en-AU"/>
        </w:rPr>
        <w:t xml:space="preserve">will support the </w:t>
      </w:r>
      <w:r w:rsidRPr="00D13BD5">
        <w:rPr>
          <w:rFonts w:eastAsia="Times New Roman"/>
          <w:lang w:eastAsia="en-AU"/>
        </w:rPr>
        <w:t>government</w:t>
      </w:r>
      <w:r>
        <w:rPr>
          <w:rFonts w:eastAsia="Times New Roman"/>
          <w:lang w:eastAsia="en-AU"/>
        </w:rPr>
        <w:t xml:space="preserve"> to </w:t>
      </w:r>
      <w:r w:rsidRPr="0AB45692">
        <w:rPr>
          <w:rFonts w:eastAsia="Times New Roman"/>
          <w:lang w:eastAsia="en-AU"/>
        </w:rPr>
        <w:t>strengthen Australia’s prosperity by stimulating high</w:t>
      </w:r>
      <w:r>
        <w:rPr>
          <w:rFonts w:eastAsia="Times New Roman"/>
          <w:lang w:eastAsia="en-AU"/>
        </w:rPr>
        <w:t>-</w:t>
      </w:r>
      <w:r w:rsidRPr="0AB45692">
        <w:rPr>
          <w:rFonts w:eastAsia="Times New Roman"/>
          <w:lang w:eastAsia="en-AU"/>
        </w:rPr>
        <w:t>growth industries and commercialis</w:t>
      </w:r>
      <w:r w:rsidR="00550E88">
        <w:rPr>
          <w:rFonts w:eastAsia="Times New Roman"/>
          <w:lang w:eastAsia="en-AU"/>
        </w:rPr>
        <w:t xml:space="preserve">ing more </w:t>
      </w:r>
      <w:r>
        <w:rPr>
          <w:rFonts w:eastAsia="Times New Roman"/>
          <w:lang w:eastAsia="en-AU"/>
        </w:rPr>
        <w:t>Australian research.</w:t>
      </w:r>
    </w:p>
    <w:p w14:paraId="394AFF25" w14:textId="4E14DE2C" w:rsidR="00E95BE3" w:rsidRDefault="00B34601" w:rsidP="008779DB">
      <w:pPr>
        <w:rPr>
          <w:rFonts w:eastAsia="Arial"/>
          <w:color w:val="000000" w:themeColor="text1"/>
          <w:lang w:val="en-US"/>
        </w:rPr>
      </w:pPr>
      <w:r w:rsidRPr="001930CA">
        <w:rPr>
          <w:rFonts w:eastAsia="Arial"/>
          <w:color w:val="000000" w:themeColor="text1"/>
          <w:lang w:val="en-US"/>
        </w:rPr>
        <w:t xml:space="preserve">We will support the </w:t>
      </w:r>
      <w:r w:rsidR="00996C88" w:rsidRPr="00D13BD5">
        <w:rPr>
          <w:rFonts w:eastAsia="Arial"/>
          <w:color w:val="000000" w:themeColor="text1"/>
          <w:lang w:val="en-US"/>
        </w:rPr>
        <w:t>government’s</w:t>
      </w:r>
      <w:r w:rsidR="00996C88" w:rsidRPr="001930CA">
        <w:rPr>
          <w:rFonts w:eastAsia="Arial"/>
          <w:color w:val="000000" w:themeColor="text1"/>
          <w:lang w:val="en-US"/>
        </w:rPr>
        <w:t xml:space="preserve"> </w:t>
      </w:r>
      <w:r w:rsidRPr="001930CA">
        <w:rPr>
          <w:rFonts w:eastAsia="Arial"/>
          <w:color w:val="000000" w:themeColor="text1"/>
          <w:lang w:val="en-US"/>
        </w:rPr>
        <w:t>agenda to grow innovative and competitive businesses, industries and regions</w:t>
      </w:r>
      <w:r w:rsidR="00E95BE3">
        <w:rPr>
          <w:rFonts w:eastAsia="Arial"/>
          <w:color w:val="000000" w:themeColor="text1"/>
          <w:lang w:val="en-US"/>
        </w:rPr>
        <w:t>.</w:t>
      </w:r>
      <w:r w:rsidR="007512DB" w:rsidRPr="007512DB">
        <w:t xml:space="preserve"> </w:t>
      </w:r>
      <w:r w:rsidR="007512DB" w:rsidRPr="007512DB">
        <w:rPr>
          <w:rFonts w:eastAsia="Arial"/>
          <w:color w:val="000000" w:themeColor="text1"/>
          <w:lang w:val="en-US"/>
        </w:rPr>
        <w:t xml:space="preserve">This includes kickstarting future green industries and enabling Australians to take advantage of the economic opportunities from the global net zero transition. </w:t>
      </w:r>
      <w:r w:rsidR="00E95BE3">
        <w:rPr>
          <w:rFonts w:eastAsia="Arial"/>
          <w:color w:val="000000" w:themeColor="text1"/>
          <w:lang w:val="en-US"/>
        </w:rPr>
        <w:t xml:space="preserve"> We are doing this</w:t>
      </w:r>
      <w:r w:rsidRPr="001930CA">
        <w:rPr>
          <w:rFonts w:eastAsia="Arial"/>
          <w:color w:val="000000" w:themeColor="text1"/>
          <w:lang w:val="en-US"/>
        </w:rPr>
        <w:t xml:space="preserve"> through a range of cross</w:t>
      </w:r>
      <w:r w:rsidR="00A819FF">
        <w:rPr>
          <w:rFonts w:eastAsia="Arial"/>
          <w:color w:val="000000" w:themeColor="text1"/>
          <w:lang w:val="en-US"/>
        </w:rPr>
        <w:t>-</w:t>
      </w:r>
      <w:r w:rsidRPr="001930CA">
        <w:rPr>
          <w:rFonts w:eastAsia="Arial"/>
          <w:color w:val="000000" w:themeColor="text1"/>
          <w:lang w:val="en-US"/>
        </w:rPr>
        <w:t xml:space="preserve">cutting and targeted programs that </w:t>
      </w:r>
      <w:r w:rsidRPr="003A56C1">
        <w:rPr>
          <w:rFonts w:eastAsia="Arial"/>
          <w:color w:val="000000" w:themeColor="text1"/>
          <w:lang w:val="en-US"/>
        </w:rPr>
        <w:t>support economic resilience, sovereign capability and new manufacturing and commercialisation opportunities.</w:t>
      </w:r>
    </w:p>
    <w:p w14:paraId="44B37677" w14:textId="1C361F5F" w:rsidR="008779DB" w:rsidRPr="00244B3B" w:rsidRDefault="008779DB" w:rsidP="008779DB">
      <w:r>
        <w:t xml:space="preserve">We </w:t>
      </w:r>
      <w:r w:rsidR="009C72D0">
        <w:t xml:space="preserve">are </w:t>
      </w:r>
      <w:r w:rsidR="00CF527D">
        <w:t>establish</w:t>
      </w:r>
      <w:r w:rsidR="00EE5A01">
        <w:t>ing</w:t>
      </w:r>
      <w:r>
        <w:t xml:space="preserve"> the $15 billion National Reconstruction Fund (NRF), a major part of the </w:t>
      </w:r>
      <w:r w:rsidRPr="00D13BD5">
        <w:t>government’s</w:t>
      </w:r>
      <w:r>
        <w:t xml:space="preserve"> Future Made in Australia agenda. </w:t>
      </w:r>
      <w:r w:rsidR="00082C1E" w:rsidRPr="00CF527D">
        <w:t xml:space="preserve">The NRF will provide finance for projects that diversify and transform Australia’s industry and economy. </w:t>
      </w:r>
      <w:r w:rsidR="004B5D28">
        <w:t>Through</w:t>
      </w:r>
      <w:r w:rsidR="00082C1E" w:rsidRPr="00CF527D">
        <w:t xml:space="preserve"> the NRF</w:t>
      </w:r>
      <w:r w:rsidR="0046145E">
        <w:t>,</w:t>
      </w:r>
      <w:r w:rsidR="00082C1E" w:rsidRPr="00CF527D">
        <w:t xml:space="preserve"> the </w:t>
      </w:r>
      <w:r w:rsidR="00082C1E" w:rsidRPr="00D13BD5">
        <w:t>government</w:t>
      </w:r>
      <w:r w:rsidR="00082C1E" w:rsidRPr="00CF527D">
        <w:t xml:space="preserve"> is helping secure Australia’s future prosperity and driving sustainable economic growth.</w:t>
      </w:r>
    </w:p>
    <w:p w14:paraId="62C4477B" w14:textId="16788F60" w:rsidR="008779DB" w:rsidRPr="00244B3B" w:rsidRDefault="008779DB" w:rsidP="008779DB">
      <w:bookmarkStart w:id="75" w:name="_Hlk138853131"/>
      <w:r w:rsidRPr="00244B3B">
        <w:t xml:space="preserve">The NRF will complement </w:t>
      </w:r>
      <w:r w:rsidR="00CF527D">
        <w:t>other initiatives</w:t>
      </w:r>
      <w:r w:rsidR="00200440">
        <w:t xml:space="preserve"> </w:t>
      </w:r>
      <w:r w:rsidR="00CF527D">
        <w:t>that help</w:t>
      </w:r>
      <w:r w:rsidRPr="00244B3B">
        <w:t xml:space="preserve"> develop domestic manufacturing capabilities and upskill the sector’s workforce</w:t>
      </w:r>
      <w:r w:rsidR="00DB07CD">
        <w:t>.</w:t>
      </w:r>
      <w:r w:rsidR="0007243E">
        <w:t xml:space="preserve"> </w:t>
      </w:r>
      <w:r w:rsidR="0007243E" w:rsidRPr="0007243E">
        <w:t xml:space="preserve">We will deliver </w:t>
      </w:r>
      <w:r w:rsidR="00996C88">
        <w:t>c</w:t>
      </w:r>
      <w:r w:rsidR="0007243E" w:rsidRPr="0007243E">
        <w:t xml:space="preserve">o-investment </w:t>
      </w:r>
      <w:r w:rsidR="00BE0819">
        <w:t>p</w:t>
      </w:r>
      <w:r w:rsidR="00BE0819" w:rsidRPr="0007243E">
        <w:t>lans</w:t>
      </w:r>
      <w:r w:rsidR="00BE0819">
        <w:t xml:space="preserve"> that</w:t>
      </w:r>
      <w:r w:rsidR="00BE0819" w:rsidRPr="0007243E">
        <w:t xml:space="preserve"> support growth and competitiveness </w:t>
      </w:r>
      <w:r w:rsidR="00BE0819">
        <w:t>by</w:t>
      </w:r>
      <w:r w:rsidR="00BE0819" w:rsidRPr="0007243E">
        <w:t xml:space="preserve"> identify</w:t>
      </w:r>
      <w:r w:rsidR="00BE0819">
        <w:t>ing</w:t>
      </w:r>
      <w:r w:rsidR="00BE0819" w:rsidRPr="0007243E">
        <w:t xml:space="preserve"> high-level investment opportunities in each of the NRF priority areas</w:t>
      </w:r>
      <w:r w:rsidR="0007243E" w:rsidRPr="0007243E">
        <w:t>.</w:t>
      </w:r>
    </w:p>
    <w:bookmarkEnd w:id="75"/>
    <w:p w14:paraId="3EB62BC5" w14:textId="40801DDF" w:rsidR="00C000CA" w:rsidRDefault="00CF527D" w:rsidP="00C32931">
      <w:r>
        <w:rPr>
          <w:rStyle w:val="ui-provider"/>
        </w:rPr>
        <w:t xml:space="preserve">We are establishing the Industry Growth Program, which will </w:t>
      </w:r>
      <w:r w:rsidR="00DD1130">
        <w:rPr>
          <w:rStyle w:val="ui-provider"/>
        </w:rPr>
        <w:t xml:space="preserve">further </w:t>
      </w:r>
      <w:r>
        <w:rPr>
          <w:rStyle w:val="ui-provider"/>
        </w:rPr>
        <w:t xml:space="preserve">support the </w:t>
      </w:r>
      <w:r w:rsidRPr="00D13BD5">
        <w:rPr>
          <w:rStyle w:val="ui-provider"/>
        </w:rPr>
        <w:t>government’s</w:t>
      </w:r>
      <w:r>
        <w:rPr>
          <w:rStyle w:val="ui-provider"/>
        </w:rPr>
        <w:t xml:space="preserve"> commitment to rebuilding Australia’s industrial capability. The program will support </w:t>
      </w:r>
      <w:r w:rsidR="00BE0819" w:rsidRPr="00BE0819">
        <w:rPr>
          <w:rStyle w:val="ui-provider"/>
        </w:rPr>
        <w:t>small-to-medium</w:t>
      </w:r>
      <w:r w:rsidR="00BE0819">
        <w:rPr>
          <w:rStyle w:val="ui-provider"/>
        </w:rPr>
        <w:t xml:space="preserve"> </w:t>
      </w:r>
      <w:r w:rsidR="00C32931">
        <w:rPr>
          <w:rStyle w:val="ui-provider"/>
        </w:rPr>
        <w:t xml:space="preserve">enterprises </w:t>
      </w:r>
      <w:r>
        <w:rPr>
          <w:rStyle w:val="ui-provider"/>
        </w:rPr>
        <w:t xml:space="preserve">in NRF priority areas through their most challenging development phase to </w:t>
      </w:r>
      <w:r w:rsidR="00F7199D">
        <w:rPr>
          <w:rStyle w:val="ui-provider"/>
        </w:rPr>
        <w:t xml:space="preserve">commercialise </w:t>
      </w:r>
      <w:r>
        <w:rPr>
          <w:rStyle w:val="ui-provider"/>
        </w:rPr>
        <w:t>their innovative ideas and grow their businesses.</w:t>
      </w:r>
      <w:bookmarkStart w:id="76" w:name="_Hlk140281738"/>
      <w:r w:rsidR="002D6EA5" w:rsidRPr="00F7199D">
        <w:t xml:space="preserve"> </w:t>
      </w:r>
      <w:r w:rsidR="002D6EA5">
        <w:t>The Industry Growth Program complements other initiatives to help</w:t>
      </w:r>
      <w:r w:rsidR="002D6EA5" w:rsidRPr="00244B3B">
        <w:t xml:space="preserve"> translat</w:t>
      </w:r>
      <w:r w:rsidR="002D6EA5">
        <w:t>e</w:t>
      </w:r>
      <w:r w:rsidR="002D6EA5" w:rsidRPr="00244B3B">
        <w:t xml:space="preserve"> Australia’s business research and ideas into new, high</w:t>
      </w:r>
      <w:r w:rsidR="002D6EA5">
        <w:t>-</w:t>
      </w:r>
      <w:r w:rsidR="002D6EA5" w:rsidRPr="00244B3B">
        <w:t>value</w:t>
      </w:r>
      <w:r w:rsidR="002D6EA5">
        <w:t xml:space="preserve">, </w:t>
      </w:r>
      <w:r w:rsidR="002D6EA5" w:rsidRPr="00244B3B">
        <w:t>in-demand products and services.</w:t>
      </w:r>
      <w:bookmarkEnd w:id="76"/>
    </w:p>
    <w:p w14:paraId="567B44E1" w14:textId="77777777" w:rsidR="007C73FF" w:rsidRDefault="007C73FF" w:rsidP="007C73FF">
      <w:pPr>
        <w:rPr>
          <w:rFonts w:eastAsia="Times New Roman"/>
          <w:lang w:eastAsia="en-AU"/>
        </w:rPr>
      </w:pPr>
      <w:r w:rsidRPr="003A56C1">
        <w:rPr>
          <w:rFonts w:eastAsia="Arial"/>
          <w:color w:val="000000" w:themeColor="text1"/>
          <w:lang w:val="en-US"/>
        </w:rPr>
        <w:t xml:space="preserve">We are </w:t>
      </w:r>
      <w:r>
        <w:rPr>
          <w:rFonts w:eastAsia="Arial"/>
          <w:color w:val="000000" w:themeColor="text1"/>
          <w:lang w:val="en-US"/>
        </w:rPr>
        <w:t>building on the government’s</w:t>
      </w:r>
      <w:r w:rsidRPr="003A56C1">
        <w:rPr>
          <w:rFonts w:eastAsia="Arial"/>
          <w:color w:val="000000" w:themeColor="text1"/>
          <w:lang w:val="en-US"/>
        </w:rPr>
        <w:t xml:space="preserve"> decarbonisation and transformation objectives to deliver strong outcomes for the Australian economy</w:t>
      </w:r>
      <w:r>
        <w:rPr>
          <w:rFonts w:eastAsia="Arial"/>
          <w:color w:val="000000" w:themeColor="text1"/>
          <w:lang w:val="en-US"/>
        </w:rPr>
        <w:t>. This includes</w:t>
      </w:r>
      <w:r w:rsidRPr="003A56C1">
        <w:rPr>
          <w:rFonts w:eastAsia="Arial"/>
          <w:color w:val="000000" w:themeColor="text1"/>
          <w:lang w:val="en-US"/>
        </w:rPr>
        <w:t xml:space="preserve"> helping position industry sectors to meet the </w:t>
      </w:r>
      <w:r w:rsidRPr="00D13BD5">
        <w:rPr>
          <w:rFonts w:eastAsia="Arial"/>
          <w:color w:val="000000" w:themeColor="text1"/>
          <w:lang w:val="en-US"/>
        </w:rPr>
        <w:t>government’s</w:t>
      </w:r>
      <w:r w:rsidRPr="003A56C1">
        <w:rPr>
          <w:rFonts w:eastAsia="Arial"/>
          <w:color w:val="000000" w:themeColor="text1"/>
          <w:lang w:val="en-US"/>
        </w:rPr>
        <w:t xml:space="preserve"> net zero ambitions.</w:t>
      </w:r>
    </w:p>
    <w:p w14:paraId="70DA12EE" w14:textId="0F33479F" w:rsidR="007512DB" w:rsidRDefault="007512DB" w:rsidP="00D07DB2">
      <w:r w:rsidRPr="007512DB">
        <w:t>We are working with government, industry, business, researchers and communities to deliver the Industrial and Built Environment Sector Plans. These plans will map out decarbonisation pathways by 2050 for key industries. Domestic manufacturing supports our sovereign capability and provides key inputs to the energy transition. These plans will identify avenues to reduce emissions while boosting growth and competitiveness.</w:t>
      </w:r>
    </w:p>
    <w:p w14:paraId="762C7705" w14:textId="55D53EE1" w:rsidR="00D07DB2" w:rsidRPr="00244B3B" w:rsidRDefault="00D07DB2" w:rsidP="00D07DB2">
      <w:r w:rsidRPr="00244B3B">
        <w:t xml:space="preserve">We will drive the delivery of the Australian Made Battery Plan, including publishing Australia’s first National Battery Strategy, supporting the creation of a </w:t>
      </w:r>
      <w:r>
        <w:t>B</w:t>
      </w:r>
      <w:r w:rsidRPr="00244B3B">
        <w:t xml:space="preserve">attery Manufacturing Precinct, and implementing </w:t>
      </w:r>
      <w:r w:rsidR="008712B2">
        <w:t>the</w:t>
      </w:r>
      <w:r w:rsidRPr="00244B3B">
        <w:t xml:space="preserve"> Powering Australia Industry Growth Centre</w:t>
      </w:r>
      <w:bookmarkStart w:id="77" w:name="_Hlk138860207"/>
      <w:r w:rsidR="0039287E">
        <w:t>,</w:t>
      </w:r>
      <w:r w:rsidR="00FC4662">
        <w:t xml:space="preserve"> </w:t>
      </w:r>
      <w:r w:rsidR="00FC4662" w:rsidRPr="00FC4662">
        <w:t>which will support Australian businesses develop and adop</w:t>
      </w:r>
      <w:r w:rsidR="008712B2">
        <w:t>t</w:t>
      </w:r>
      <w:r w:rsidR="00FC4662" w:rsidRPr="00FC4662">
        <w:t xml:space="preserve"> new renewable technologies, including batteries</w:t>
      </w:r>
      <w:bookmarkEnd w:id="77"/>
      <w:r w:rsidR="00FC4662" w:rsidRPr="00FC4662">
        <w:t>.</w:t>
      </w:r>
    </w:p>
    <w:p w14:paraId="22DEF759" w14:textId="44958C7D" w:rsidR="00D07DB2" w:rsidRPr="00244B3B" w:rsidRDefault="00D07DB2" w:rsidP="00D07DB2">
      <w:r w:rsidRPr="00244B3B">
        <w:t xml:space="preserve">The Australian Made Battery Plan complements other government priorities </w:t>
      </w:r>
      <w:r>
        <w:t>such as</w:t>
      </w:r>
      <w:r w:rsidRPr="00244B3B">
        <w:t xml:space="preserve"> the NRF, </w:t>
      </w:r>
      <w:r w:rsidRPr="00252D62">
        <w:t>Powering Australia</w:t>
      </w:r>
      <w:r w:rsidRPr="00244B3B">
        <w:t xml:space="preserve"> (including the </w:t>
      </w:r>
      <w:r w:rsidR="0045036F" w:rsidRPr="00DA748E">
        <w:t>National Electric Vehicle Strategy</w:t>
      </w:r>
      <w:r w:rsidRPr="00244B3B">
        <w:t xml:space="preserve"> and Australia’s emissions reduction target), </w:t>
      </w:r>
      <w:r w:rsidRPr="00252D62">
        <w:t>Rewiring the Nation</w:t>
      </w:r>
      <w:r w:rsidRPr="00244B3B">
        <w:t>, the Critical Minerals Strategy and the Buy Australia</w:t>
      </w:r>
      <w:r w:rsidR="006B1043">
        <w:t>n</w:t>
      </w:r>
      <w:r w:rsidRPr="00244B3B">
        <w:t xml:space="preserve"> Plan.</w:t>
      </w:r>
    </w:p>
    <w:p w14:paraId="12181AED" w14:textId="77777777" w:rsidR="007C73FF" w:rsidRPr="00244B3B" w:rsidRDefault="007C73FF" w:rsidP="007C73FF">
      <w:r>
        <w:t>Through the Buy Australian Plan, we are working with industry and government to l</w:t>
      </w:r>
      <w:r w:rsidRPr="000401D6">
        <w:t xml:space="preserve">everage </w:t>
      </w:r>
      <w:r>
        <w:t>government purchasing power and improve procurement processes</w:t>
      </w:r>
      <w:r w:rsidRPr="000401D6">
        <w:t xml:space="preserve"> to </w:t>
      </w:r>
      <w:r>
        <w:t xml:space="preserve">help </w:t>
      </w:r>
      <w:r w:rsidRPr="000401D6">
        <w:t>build industry capability and strengthen domestic supply chains</w:t>
      </w:r>
      <w:r>
        <w:t>.</w:t>
      </w:r>
    </w:p>
    <w:p w14:paraId="0CFBD172" w14:textId="201D09DA" w:rsidR="00637811" w:rsidRDefault="008779DB" w:rsidP="008779DB">
      <w:r w:rsidRPr="00244B3B">
        <w:t xml:space="preserve">The importance of secure and resilient supply chains has been demonstrated over recent years. Our </w:t>
      </w:r>
      <w:r w:rsidR="0045036F" w:rsidRPr="00DA748E">
        <w:t>Office of Supply Chain Resilience</w:t>
      </w:r>
      <w:r w:rsidRPr="00244B3B">
        <w:t xml:space="preserve"> will </w:t>
      </w:r>
      <w:r w:rsidR="00DD1130">
        <w:t xml:space="preserve">continue </w:t>
      </w:r>
      <w:r w:rsidRPr="00244B3B">
        <w:t>support</w:t>
      </w:r>
      <w:r w:rsidR="00637811">
        <w:t>ing</w:t>
      </w:r>
      <w:r w:rsidRPr="00244B3B">
        <w:t xml:space="preserve"> the </w:t>
      </w:r>
      <w:r w:rsidR="00637811" w:rsidRPr="00343577">
        <w:t>government</w:t>
      </w:r>
      <w:r w:rsidR="00637811">
        <w:t xml:space="preserve">’s supply chain </w:t>
      </w:r>
      <w:r w:rsidR="00637811" w:rsidRPr="00244B3B">
        <w:t>work with domestic and international partners</w:t>
      </w:r>
      <w:r w:rsidR="00637811">
        <w:t xml:space="preserve">. This includes </w:t>
      </w:r>
      <w:r w:rsidR="00637811" w:rsidRPr="00244B3B">
        <w:t>identify</w:t>
      </w:r>
      <w:r w:rsidR="00637811">
        <w:t>ing</w:t>
      </w:r>
      <w:r w:rsidR="00637811" w:rsidRPr="00244B3B">
        <w:t xml:space="preserve"> and monitor</w:t>
      </w:r>
      <w:r w:rsidR="00637811">
        <w:t>ing</w:t>
      </w:r>
      <w:r w:rsidR="00637811" w:rsidRPr="00244B3B">
        <w:t xml:space="preserve"> vulnerabilities </w:t>
      </w:r>
      <w:r w:rsidR="00637811">
        <w:t xml:space="preserve">in supply chains </w:t>
      </w:r>
      <w:r w:rsidR="00637811" w:rsidRPr="00244B3B">
        <w:t>and improv</w:t>
      </w:r>
      <w:r w:rsidR="00637811">
        <w:t>ing their</w:t>
      </w:r>
      <w:r w:rsidR="00637811" w:rsidRPr="00244B3B">
        <w:t xml:space="preserve"> resilience to facilitate ongoing access to critical goods and services</w:t>
      </w:r>
      <w:r w:rsidRPr="00244B3B">
        <w:t>.</w:t>
      </w:r>
    </w:p>
    <w:p w14:paraId="423DBF15" w14:textId="77777777" w:rsidR="007C73FF" w:rsidRDefault="007C73FF" w:rsidP="007C73FF">
      <w:r w:rsidRPr="00244B3B">
        <w:t xml:space="preserve">We will ensure a responsible regulatory framework for space activities </w:t>
      </w:r>
      <w:r>
        <w:t>so</w:t>
      </w:r>
      <w:r w:rsidRPr="00244B3B">
        <w:t xml:space="preserve"> that space services, capability and investment support Australia’s transition to a high-tech future, including underpinning our manufacturing industries.</w:t>
      </w:r>
    </w:p>
    <w:p w14:paraId="7B86525D" w14:textId="4F516623" w:rsidR="00826956" w:rsidRDefault="008779DB" w:rsidP="00826956">
      <w:r>
        <w:t xml:space="preserve">Energy security </w:t>
      </w:r>
      <w:r w:rsidR="00301212">
        <w:t>is a co</w:t>
      </w:r>
      <w:r w:rsidR="00BD79F4">
        <w:t>n</w:t>
      </w:r>
      <w:r w:rsidR="00301212">
        <w:t>tinuing</w:t>
      </w:r>
      <w:r>
        <w:t xml:space="preserve"> challenge</w:t>
      </w:r>
      <w:r w:rsidRPr="00244B3B">
        <w:t xml:space="preserve"> </w:t>
      </w:r>
      <w:r>
        <w:t>alongside the</w:t>
      </w:r>
      <w:r w:rsidRPr="00244B3B" w:rsidDel="005575CF">
        <w:t xml:space="preserve"> </w:t>
      </w:r>
      <w:r w:rsidR="00920620" w:rsidRPr="00244B3B">
        <w:t>longer-term</w:t>
      </w:r>
      <w:r w:rsidRPr="00244B3B">
        <w:t xml:space="preserve"> transition to lower emission energy sources, both of which have significant implications for </w:t>
      </w:r>
      <w:r w:rsidR="000870E7">
        <w:t>people</w:t>
      </w:r>
      <w:r w:rsidRPr="00244B3B">
        <w:t xml:space="preserve"> and businesses. We </w:t>
      </w:r>
      <w:r w:rsidR="00DD1130">
        <w:t>are</w:t>
      </w:r>
      <w:r w:rsidR="00DD1130" w:rsidRPr="00244B3B">
        <w:t xml:space="preserve"> </w:t>
      </w:r>
      <w:r w:rsidRPr="00244B3B">
        <w:t>support</w:t>
      </w:r>
      <w:r w:rsidR="00DD1130">
        <w:t>ing</w:t>
      </w:r>
      <w:r w:rsidRPr="00244B3B">
        <w:t xml:space="preserve"> the </w:t>
      </w:r>
      <w:r w:rsidRPr="000F3D2A">
        <w:t>government’s</w:t>
      </w:r>
      <w:r w:rsidRPr="00244B3B">
        <w:t xml:space="preserve"> energy market reform agenda to ensure Australian</w:t>
      </w:r>
      <w:r>
        <w:t xml:space="preserve"> industry </w:t>
      </w:r>
      <w:r w:rsidR="000870E7">
        <w:t>can</w:t>
      </w:r>
      <w:r>
        <w:t xml:space="preserve"> access secure and affordable</w:t>
      </w:r>
      <w:r w:rsidRPr="7F44020B">
        <w:t xml:space="preserve"> </w:t>
      </w:r>
      <w:r>
        <w:t xml:space="preserve">energy as </w:t>
      </w:r>
      <w:r w:rsidR="00A45F4D">
        <w:t xml:space="preserve">it </w:t>
      </w:r>
      <w:r>
        <w:t>transition</w:t>
      </w:r>
      <w:r w:rsidR="00A45F4D">
        <w:t>s</w:t>
      </w:r>
      <w:r>
        <w:t xml:space="preserve"> to lower emission energy sources.</w:t>
      </w:r>
    </w:p>
    <w:p w14:paraId="1C3BC201" w14:textId="5277DE64" w:rsidR="004439AD" w:rsidRDefault="004439AD" w:rsidP="002C1C3F">
      <w:pPr>
        <w:pStyle w:val="Heading2"/>
      </w:pPr>
      <w:bookmarkStart w:id="78" w:name="_Hlk144122714"/>
      <w:r>
        <w:t>Rapid scientific and technological advancemen</w:t>
      </w:r>
      <w:bookmarkEnd w:id="78"/>
      <w:r>
        <w:t>t</w:t>
      </w:r>
      <w:bookmarkEnd w:id="73"/>
    </w:p>
    <w:p w14:paraId="63E679CA" w14:textId="12E9FF05" w:rsidR="00AF3691" w:rsidRPr="00244B3B" w:rsidRDefault="00AF3691" w:rsidP="00AF3691">
      <w:bookmarkStart w:id="79" w:name="_Hlk122694629"/>
      <w:bookmarkEnd w:id="71"/>
      <w:bookmarkEnd w:id="72"/>
      <w:bookmarkEnd w:id="74"/>
      <w:r w:rsidRPr="00244B3B">
        <w:t xml:space="preserve">Science and technology are </w:t>
      </w:r>
      <w:r w:rsidR="008B1D0E">
        <w:t>essential</w:t>
      </w:r>
      <w:r w:rsidRPr="00244B3B">
        <w:t xml:space="preserve"> to addressing national challenges. They underpin the development of new jobs, businesses and industries, and enable existing industries and business to innovate and grow. We will </w:t>
      </w:r>
      <w:r w:rsidR="008B1D0E">
        <w:t>help</w:t>
      </w:r>
      <w:r w:rsidRPr="00244B3B">
        <w:t xml:space="preserve"> the government create an environment that </w:t>
      </w:r>
      <w:r w:rsidR="00D07DB2">
        <w:t>develops</w:t>
      </w:r>
      <w:r w:rsidRPr="00244B3B">
        <w:t xml:space="preserve"> Australian know-how and harnesses investments in science and technology to improve the lives of Australians.</w:t>
      </w:r>
    </w:p>
    <w:p w14:paraId="1BDB290E" w14:textId="1E29033A" w:rsidR="00AF3691" w:rsidRDefault="00AF3691" w:rsidP="00AF3691">
      <w:r w:rsidRPr="001A0362">
        <w:t>We are re</w:t>
      </w:r>
      <w:r>
        <w:t xml:space="preserve">vitalising the </w:t>
      </w:r>
      <w:bookmarkStart w:id="80" w:name="_Hlk139288036"/>
      <w:r>
        <w:t xml:space="preserve">National Science and Research Priorities and renewing the National Science Statement </w:t>
      </w:r>
      <w:bookmarkEnd w:id="80"/>
      <w:r>
        <w:t xml:space="preserve">to provide a long-term vision for </w:t>
      </w:r>
      <w:r w:rsidRPr="00244B3B">
        <w:t>Australian science</w:t>
      </w:r>
      <w:r w:rsidR="00EF4576">
        <w:t xml:space="preserve">, </w:t>
      </w:r>
      <w:r w:rsidR="00EF4576" w:rsidRPr="00EF4576">
        <w:t xml:space="preserve">weave First Nations </w:t>
      </w:r>
      <w:r w:rsidR="005330DD">
        <w:t xml:space="preserve">Peoples’ </w:t>
      </w:r>
      <w:r w:rsidR="00EF4576" w:rsidRPr="00EF4576">
        <w:t>knowledg</w:t>
      </w:r>
      <w:r w:rsidR="005330DD">
        <w:t>e</w:t>
      </w:r>
      <w:r w:rsidR="00EF4576" w:rsidRPr="00EF4576">
        <w:t xml:space="preserve"> together with </w:t>
      </w:r>
      <w:r w:rsidR="00EF3633">
        <w:t>our broader</w:t>
      </w:r>
      <w:r w:rsidR="00EF4576" w:rsidRPr="00EF4576">
        <w:t xml:space="preserve"> science systems,</w:t>
      </w:r>
      <w:r w:rsidRPr="00244B3B">
        <w:t xml:space="preserve"> and </w:t>
      </w:r>
      <w:r w:rsidR="008B1D0E">
        <w:t>better</w:t>
      </w:r>
      <w:r w:rsidRPr="00244B3B">
        <w:t xml:space="preserve"> align effort and</w:t>
      </w:r>
      <w:r>
        <w:t xml:space="preserve"> investment to deliver greater benefits for all Australians.</w:t>
      </w:r>
    </w:p>
    <w:p w14:paraId="5581530B" w14:textId="489BA439" w:rsidR="007214BE" w:rsidRPr="00244B3B" w:rsidRDefault="007214BE" w:rsidP="007214BE">
      <w:r w:rsidRPr="00244B3B">
        <w:t>We are providing targeted support to critical and emerging technologies that make the most of Australia’s potential and deliver solutions to real-world problems for commercial and societal gain. This includes support for next</w:t>
      </w:r>
      <w:r>
        <w:noBreakHyphen/>
      </w:r>
      <w:r w:rsidRPr="00244B3B">
        <w:t>generation technologies such as quantum, robotics and artificial intelligence.</w:t>
      </w:r>
    </w:p>
    <w:p w14:paraId="41C2BC6D" w14:textId="3EEAEE07" w:rsidR="00AF3691" w:rsidRDefault="00AF3691" w:rsidP="00AF3691">
      <w:r>
        <w:t xml:space="preserve">We are </w:t>
      </w:r>
      <w:r w:rsidR="00FA503F">
        <w:t xml:space="preserve">building international partnerships to showcase </w:t>
      </w:r>
      <w:r>
        <w:t xml:space="preserve">Australian knowledge and ensure access to </w:t>
      </w:r>
      <w:r w:rsidR="00C32931">
        <w:t xml:space="preserve">international science and technology developments. </w:t>
      </w:r>
      <w:r>
        <w:t xml:space="preserve">We work with </w:t>
      </w:r>
      <w:r w:rsidR="00FA503F">
        <w:t>Australian</w:t>
      </w:r>
      <w:r>
        <w:t xml:space="preserve"> and international organisations to establish trusted technology frameworks and shape </w:t>
      </w:r>
      <w:r w:rsidR="00FA503F">
        <w:t xml:space="preserve">the </w:t>
      </w:r>
      <w:r>
        <w:t>global standards and ethics that will guide the development of safe and trusted technologies.</w:t>
      </w:r>
    </w:p>
    <w:p w14:paraId="15106EB9" w14:textId="61BF416C" w:rsidR="00FA503F" w:rsidRDefault="00AF3691" w:rsidP="002C1C3F">
      <w:r w:rsidRPr="001043DC">
        <w:t>We ensur</w:t>
      </w:r>
      <w:r>
        <w:t>e</w:t>
      </w:r>
      <w:r w:rsidRPr="001043DC">
        <w:t xml:space="preserve"> </w:t>
      </w:r>
      <w:r w:rsidRPr="002C1C3F">
        <w:t>Australians</w:t>
      </w:r>
      <w:r w:rsidRPr="001043DC">
        <w:t xml:space="preserve"> receive the maximum benefits from </w:t>
      </w:r>
      <w:r w:rsidRPr="002C1C3F">
        <w:t>rapidly</w:t>
      </w:r>
      <w:r w:rsidRPr="001043DC">
        <w:t xml:space="preserve"> advancing digital technologies</w:t>
      </w:r>
      <w:r>
        <w:t>.</w:t>
      </w:r>
      <w:r w:rsidR="00FA503F">
        <w:t xml:space="preserve"> This includes:</w:t>
      </w:r>
    </w:p>
    <w:p w14:paraId="32746E73" w14:textId="090652B4" w:rsidR="00FA503F" w:rsidRPr="002C1C3F" w:rsidRDefault="00FA503F" w:rsidP="002C1C3F">
      <w:pPr>
        <w:pStyle w:val="ListParagraph"/>
        <w:spacing w:after="120" w:line="240" w:lineRule="auto"/>
        <w:ind w:left="714" w:hanging="357"/>
        <w:contextualSpacing w:val="0"/>
      </w:pPr>
      <w:r w:rsidRPr="002C1C3F">
        <w:t>encouraging small and medium businesses to adopt digital technologies</w:t>
      </w:r>
    </w:p>
    <w:p w14:paraId="37BDF0F1" w14:textId="5DA0F457" w:rsidR="00FA503F" w:rsidRPr="002C1C3F" w:rsidRDefault="00FA503F" w:rsidP="002C1C3F">
      <w:pPr>
        <w:pStyle w:val="ListParagraph"/>
        <w:spacing w:after="120" w:line="240" w:lineRule="auto"/>
        <w:ind w:left="714" w:hanging="357"/>
        <w:contextualSpacing w:val="0"/>
      </w:pPr>
      <w:bookmarkStart w:id="81" w:name="_Hlk144122737"/>
      <w:r w:rsidRPr="002C1C3F">
        <w:t xml:space="preserve">helping Australians </w:t>
      </w:r>
      <w:r w:rsidR="002B4AE6" w:rsidRPr="002C1C3F">
        <w:t>to develop</w:t>
      </w:r>
      <w:r w:rsidRPr="002C1C3F">
        <w:t xml:space="preserve"> digital skills to participate in the modern workforce</w:t>
      </w:r>
    </w:p>
    <w:bookmarkEnd w:id="81"/>
    <w:p w14:paraId="0CD12C1D" w14:textId="636F2653" w:rsidR="00FA503F" w:rsidRPr="002C1C3F" w:rsidRDefault="00FA503F" w:rsidP="002C1C3F">
      <w:pPr>
        <w:pStyle w:val="ListParagraph"/>
        <w:spacing w:after="120" w:line="240" w:lineRule="auto"/>
        <w:ind w:left="714" w:hanging="357"/>
        <w:contextualSpacing w:val="0"/>
      </w:pPr>
      <w:r w:rsidRPr="002C1C3F">
        <w:t>contributing to regulations to guide those developing or using new technologies</w:t>
      </w:r>
    </w:p>
    <w:p w14:paraId="66C3803B" w14:textId="1A128FA3" w:rsidR="00AF3691" w:rsidRPr="002C1C3F" w:rsidRDefault="00FA503F" w:rsidP="002C1C3F">
      <w:pPr>
        <w:pStyle w:val="ListParagraph"/>
      </w:pPr>
      <w:r w:rsidRPr="002C1C3F">
        <w:t>monitoring and coordinating digital technology policies across government so they are cohesive and consistent.</w:t>
      </w:r>
    </w:p>
    <w:p w14:paraId="751B4114" w14:textId="2ADA3CC0" w:rsidR="00AF3691" w:rsidRDefault="00AF3691" w:rsidP="00AF3691">
      <w:bookmarkStart w:id="82" w:name="_Hlk123655294"/>
      <w:bookmarkStart w:id="83" w:name="_Hlk123655099"/>
      <w:bookmarkStart w:id="84" w:name="_Hlk122694805"/>
      <w:r>
        <w:rPr>
          <w:rFonts w:eastAsia="Times New Roman"/>
          <w:lang w:eastAsia="en-AU"/>
        </w:rPr>
        <w:t xml:space="preserve">We will continue encouraging greater diversity and </w:t>
      </w:r>
      <w:r w:rsidR="00FA503F">
        <w:rPr>
          <w:rFonts w:eastAsia="Times New Roman"/>
          <w:lang w:eastAsia="en-AU"/>
        </w:rPr>
        <w:t xml:space="preserve">the </w:t>
      </w:r>
      <w:r>
        <w:rPr>
          <w:rFonts w:eastAsia="Times New Roman"/>
          <w:lang w:eastAsia="en-AU"/>
        </w:rPr>
        <w:t>inclusion of women and under-represented groups in STEM. The</w:t>
      </w:r>
      <w:r w:rsidR="00E87C92">
        <w:rPr>
          <w:rFonts w:eastAsia="Times New Roman"/>
          <w:lang w:eastAsia="en-AU"/>
        </w:rPr>
        <w:t xml:space="preserve"> </w:t>
      </w:r>
      <w:r>
        <w:rPr>
          <w:rFonts w:eastAsia="Times New Roman"/>
          <w:lang w:eastAsia="en-AU"/>
        </w:rPr>
        <w:t>government has commissioned a</w:t>
      </w:r>
      <w:r w:rsidRPr="007B3DBD">
        <w:rPr>
          <w:rFonts w:eastAsia="Times New Roman"/>
          <w:lang w:eastAsia="en-AU"/>
        </w:rPr>
        <w:t xml:space="preserve">n independent review of the effectiveness of existing government programs </w:t>
      </w:r>
      <w:r>
        <w:rPr>
          <w:rFonts w:eastAsia="Times New Roman"/>
          <w:lang w:eastAsia="en-AU"/>
        </w:rPr>
        <w:t>in these areas</w:t>
      </w:r>
      <w:r w:rsidRPr="007B3DBD">
        <w:rPr>
          <w:rFonts w:eastAsia="Times New Roman"/>
          <w:lang w:eastAsia="en-AU"/>
        </w:rPr>
        <w:t xml:space="preserve"> </w:t>
      </w:r>
      <w:r>
        <w:rPr>
          <w:rFonts w:eastAsia="Times New Roman"/>
          <w:lang w:eastAsia="en-AU"/>
        </w:rPr>
        <w:t>and the cultural and structural barriers to participation and retention. The results of the review</w:t>
      </w:r>
      <w:r w:rsidRPr="007B3DBD">
        <w:rPr>
          <w:rFonts w:eastAsia="Times New Roman"/>
          <w:lang w:eastAsia="en-AU"/>
        </w:rPr>
        <w:t xml:space="preserve"> will </w:t>
      </w:r>
      <w:r>
        <w:rPr>
          <w:rFonts w:eastAsia="Times New Roman"/>
          <w:lang w:eastAsia="en-AU"/>
        </w:rPr>
        <w:t>help us identify and use</w:t>
      </w:r>
      <w:r w:rsidRPr="007B3DBD">
        <w:rPr>
          <w:rFonts w:eastAsia="Times New Roman"/>
          <w:lang w:eastAsia="en-AU"/>
        </w:rPr>
        <w:t xml:space="preserve"> approaches</w:t>
      </w:r>
      <w:r>
        <w:t xml:space="preserve"> that improve diversity and inclusion.</w:t>
      </w:r>
      <w:bookmarkEnd w:id="82"/>
    </w:p>
    <w:p w14:paraId="127E4397" w14:textId="77777777" w:rsidR="00FA503F" w:rsidRDefault="00F83281" w:rsidP="00F83281">
      <w:r w:rsidRPr="00F83281">
        <w:t xml:space="preserve">We </w:t>
      </w:r>
      <w:r>
        <w:t>p</w:t>
      </w:r>
      <w:r w:rsidRPr="00F83281">
        <w:t xml:space="preserve">rovide independent science advice to government through the Office of the Chief Scientist </w:t>
      </w:r>
      <w:r>
        <w:t>and</w:t>
      </w:r>
      <w:r w:rsidR="00AF3691">
        <w:t xml:space="preserve"> will continue working with the science and</w:t>
      </w:r>
      <w:r>
        <w:t xml:space="preserve"> </w:t>
      </w:r>
      <w:r w:rsidR="00AF3691">
        <w:t xml:space="preserve">research community to promote, enable and harness </w:t>
      </w:r>
      <w:r w:rsidR="00AF3691" w:rsidRPr="005330DD">
        <w:t>Australia’s world</w:t>
      </w:r>
      <w:r w:rsidR="00804941" w:rsidRPr="005330DD">
        <w:t>-</w:t>
      </w:r>
      <w:r w:rsidR="00AF3691" w:rsidRPr="005330DD">
        <w:t>leading scientific</w:t>
      </w:r>
      <w:r w:rsidR="00AF3691">
        <w:t xml:space="preserve"> research.</w:t>
      </w:r>
    </w:p>
    <w:p w14:paraId="3F77A1D5" w14:textId="0E290F59" w:rsidR="00DD3DAE" w:rsidRDefault="00BD0213" w:rsidP="002C1C3F">
      <w:bookmarkStart w:id="85" w:name="_Hlk144122763"/>
      <w:r>
        <w:t>We will continue to work with o</w:t>
      </w:r>
      <w:r w:rsidR="00AF3691">
        <w:t xml:space="preserve">ur public research institutions </w:t>
      </w:r>
      <w:r>
        <w:t xml:space="preserve">to </w:t>
      </w:r>
      <w:r w:rsidR="00DD3DAE">
        <w:t xml:space="preserve">ensure Australia has </w:t>
      </w:r>
      <w:r>
        <w:t xml:space="preserve">access to </w:t>
      </w:r>
      <w:r w:rsidR="00DD3DAE">
        <w:t xml:space="preserve">cutting-edge research infrastructure and expertise. These institutions </w:t>
      </w:r>
      <w:r w:rsidR="00DD3DAE" w:rsidRPr="002C1C3F">
        <w:t>include</w:t>
      </w:r>
      <w:r w:rsidR="00DD3DAE">
        <w:t>:</w:t>
      </w:r>
    </w:p>
    <w:bookmarkEnd w:id="85"/>
    <w:p w14:paraId="6B884C08" w14:textId="0FD78783" w:rsidR="00DD3DAE" w:rsidRDefault="00547A73" w:rsidP="002C1C3F">
      <w:pPr>
        <w:pStyle w:val="ListParagraph"/>
        <w:numPr>
          <w:ilvl w:val="0"/>
          <w:numId w:val="32"/>
        </w:numPr>
        <w:spacing w:after="120" w:line="240" w:lineRule="auto"/>
        <w:ind w:left="714" w:hanging="357"/>
        <w:contextualSpacing w:val="0"/>
      </w:pPr>
      <w:r>
        <w:fldChar w:fldCharType="begin"/>
      </w:r>
      <w:r>
        <w:instrText>HYPERLINK "https://www.csiro.au/en/"</w:instrText>
      </w:r>
      <w:r>
        <w:fldChar w:fldCharType="separate"/>
      </w:r>
      <w:r w:rsidR="00DD3DAE" w:rsidRPr="008A3214">
        <w:rPr>
          <w:rStyle w:val="Hyperlink"/>
        </w:rPr>
        <w:t>Commonwealth Scientific and Industrial Research Organisation</w:t>
      </w:r>
      <w:r>
        <w:rPr>
          <w:rStyle w:val="Hyperlink"/>
        </w:rPr>
        <w:fldChar w:fldCharType="end"/>
      </w:r>
      <w:r w:rsidR="00DD3DAE" w:rsidRPr="00D43645">
        <w:t xml:space="preserve"> (</w:t>
      </w:r>
      <w:r w:rsidR="00DD3DAE">
        <w:t>CSIRO</w:t>
      </w:r>
      <w:r w:rsidR="00DD3DAE" w:rsidRPr="00D43645">
        <w:t>)</w:t>
      </w:r>
    </w:p>
    <w:p w14:paraId="66D9BF12" w14:textId="5A76575F" w:rsidR="00DD3DAE" w:rsidRDefault="00C4356D" w:rsidP="002C1C3F">
      <w:pPr>
        <w:pStyle w:val="ListParagraph"/>
        <w:numPr>
          <w:ilvl w:val="0"/>
          <w:numId w:val="32"/>
        </w:numPr>
        <w:spacing w:after="120" w:line="240" w:lineRule="auto"/>
        <w:ind w:left="714" w:hanging="357"/>
        <w:contextualSpacing w:val="0"/>
      </w:pPr>
      <w:hyperlink r:id="rId11" w:history="1">
        <w:r w:rsidR="00DD3DAE" w:rsidRPr="008A3214">
          <w:rPr>
            <w:rStyle w:val="Hyperlink"/>
          </w:rPr>
          <w:t>Australian Nuclear Science and Technology Organisation</w:t>
        </w:r>
      </w:hyperlink>
      <w:r w:rsidR="00DD3DAE">
        <w:t xml:space="preserve"> (ANSTO)</w:t>
      </w:r>
    </w:p>
    <w:p w14:paraId="319CA0D1" w14:textId="4D2BC1A3" w:rsidR="00AF3691" w:rsidRDefault="00C4356D" w:rsidP="00F83281">
      <w:pPr>
        <w:pStyle w:val="ListParagraph"/>
        <w:numPr>
          <w:ilvl w:val="0"/>
          <w:numId w:val="32"/>
        </w:numPr>
      </w:pPr>
      <w:hyperlink r:id="rId12" w:history="1">
        <w:r w:rsidR="00DD3DAE" w:rsidRPr="008A3214">
          <w:rPr>
            <w:rStyle w:val="Hyperlink"/>
          </w:rPr>
          <w:t>Geoscience Australia</w:t>
        </w:r>
      </w:hyperlink>
      <w:r w:rsidR="00DD3DAE">
        <w:t>.</w:t>
      </w:r>
    </w:p>
    <w:p w14:paraId="60D231D7" w14:textId="3D726C69" w:rsidR="00AF3691" w:rsidRPr="00C221E4" w:rsidRDefault="003D5781" w:rsidP="00AF3691">
      <w:r>
        <w:t xml:space="preserve">Construction has started on the </w:t>
      </w:r>
      <w:r w:rsidR="0045036F" w:rsidRPr="00DA748E">
        <w:t>Square Kilometre Array</w:t>
      </w:r>
      <w:r>
        <w:t>, an innovative global project that will expand our understanding of the universe</w:t>
      </w:r>
      <w:r w:rsidR="00AF3691">
        <w:t xml:space="preserve"> </w:t>
      </w:r>
      <w:r w:rsidR="00AF3691" w:rsidRPr="008263D2">
        <w:t>and support</w:t>
      </w:r>
      <w:r>
        <w:t>s</w:t>
      </w:r>
      <w:r w:rsidR="00AF3691" w:rsidRPr="008263D2">
        <w:t xml:space="preserve"> jobs and</w:t>
      </w:r>
      <w:r w:rsidR="00AF3691">
        <w:t xml:space="preserve"> </w:t>
      </w:r>
      <w:r w:rsidR="00AF3691" w:rsidRPr="00C221E4">
        <w:t>growth in regional Australia.</w:t>
      </w:r>
    </w:p>
    <w:p w14:paraId="11CD2D39" w14:textId="4D6B725B" w:rsidR="008D0B80" w:rsidRPr="00C221E4" w:rsidRDefault="00320A30" w:rsidP="00AF3691">
      <w:r w:rsidRPr="00C221E4">
        <w:t>Questacon continues to play a</w:t>
      </w:r>
      <w:r w:rsidR="00F94D53" w:rsidRPr="00C221E4">
        <w:t xml:space="preserve"> vital </w:t>
      </w:r>
      <w:r w:rsidRPr="00C221E4">
        <w:t xml:space="preserve">role in improving the visibility, diversity and accessibility of STEM education and career pathways for young Australians. </w:t>
      </w:r>
      <w:r w:rsidR="008D0B80" w:rsidRPr="00C221E4">
        <w:t>The</w:t>
      </w:r>
      <w:r w:rsidR="008D0B80" w:rsidRPr="00C221E4" w:rsidDel="00EE5C70">
        <w:t xml:space="preserve"> </w:t>
      </w:r>
      <w:r w:rsidR="00EE5C70">
        <w:t>g</w:t>
      </w:r>
      <w:r w:rsidR="00EE5C70" w:rsidRPr="00C221E4">
        <w:t>overnment</w:t>
      </w:r>
      <w:r w:rsidR="003D5781">
        <w:t>’s recent</w:t>
      </w:r>
      <w:r w:rsidR="00EE5C70" w:rsidRPr="00C221E4">
        <w:t xml:space="preserve"> </w:t>
      </w:r>
      <w:r w:rsidR="008D0B80" w:rsidRPr="00C221E4">
        <w:t xml:space="preserve">boost to Questacon’s funding </w:t>
      </w:r>
      <w:r w:rsidR="00F94D53" w:rsidRPr="00C221E4">
        <w:t>will support</w:t>
      </w:r>
      <w:r w:rsidR="008D0B80" w:rsidRPr="00C221E4">
        <w:t xml:space="preserve"> critical property upgrades to maintain visitor safety</w:t>
      </w:r>
      <w:r w:rsidR="003D5781">
        <w:t>. O</w:t>
      </w:r>
      <w:r w:rsidR="00F94D53" w:rsidRPr="00C221E4">
        <w:t>ngoing funding will ensure inspiring</w:t>
      </w:r>
      <w:r w:rsidR="008D0B80" w:rsidRPr="00C221E4">
        <w:t xml:space="preserve"> and interactive experiences for visitors </w:t>
      </w:r>
      <w:r w:rsidR="003D5781">
        <w:t xml:space="preserve">as well as </w:t>
      </w:r>
      <w:r w:rsidR="003D5781" w:rsidRPr="00C221E4">
        <w:t xml:space="preserve">national STEM programs </w:t>
      </w:r>
      <w:r w:rsidR="003D5781">
        <w:t>that</w:t>
      </w:r>
      <w:r w:rsidR="003D5781" w:rsidRPr="00C221E4">
        <w:t xml:space="preserve"> bring science and technology to </w:t>
      </w:r>
      <w:r w:rsidR="003D5781">
        <w:t>people</w:t>
      </w:r>
      <w:r w:rsidR="003D5781" w:rsidRPr="00C221E4">
        <w:t xml:space="preserve"> across </w:t>
      </w:r>
      <w:r w:rsidR="003D5781">
        <w:t>Australia</w:t>
      </w:r>
      <w:r w:rsidR="008D0B80" w:rsidRPr="00C221E4">
        <w:t>.</w:t>
      </w:r>
    </w:p>
    <w:p w14:paraId="6CF29F98" w14:textId="47E08BBE" w:rsidR="00AF3691" w:rsidRPr="00244B3B" w:rsidRDefault="007214BE" w:rsidP="00AF3691">
      <w:r>
        <w:t xml:space="preserve">The National Measurement Institute </w:t>
      </w:r>
      <w:r w:rsidR="00AF3691" w:rsidRPr="00C221E4">
        <w:t>continues delivering independent, specialised measurement services and regulation that strengthen the</w:t>
      </w:r>
      <w:r w:rsidR="00EE5C70">
        <w:t xml:space="preserve"> </w:t>
      </w:r>
      <w:r w:rsidR="00AF3691" w:rsidRPr="00C221E4">
        <w:t>international competitiveness of Australian businesses and</w:t>
      </w:r>
      <w:r w:rsidR="00EE5C70">
        <w:t xml:space="preserve"> </w:t>
      </w:r>
      <w:r w:rsidR="00AF3691" w:rsidRPr="00C221E4">
        <w:t xml:space="preserve">underpin </w:t>
      </w:r>
      <w:r w:rsidR="003D5781" w:rsidRPr="00C221E4">
        <w:t>Australians</w:t>
      </w:r>
      <w:r w:rsidR="003D5781">
        <w:t>’</w:t>
      </w:r>
      <w:r w:rsidR="003D5781" w:rsidRPr="00C221E4">
        <w:t xml:space="preserve"> </w:t>
      </w:r>
      <w:r w:rsidR="00AF3691" w:rsidRPr="00C221E4">
        <w:t>confidence in products and services.</w:t>
      </w:r>
      <w:r w:rsidR="00AF3691" w:rsidRPr="00244B3B">
        <w:t xml:space="preserve"> </w:t>
      </w:r>
    </w:p>
    <w:p w14:paraId="32E17059" w14:textId="1559E525" w:rsidR="00AF3691" w:rsidRPr="008139CF" w:rsidRDefault="00B12465" w:rsidP="00AF3691">
      <w:r w:rsidRPr="00244B3B">
        <w:t xml:space="preserve">All of </w:t>
      </w:r>
      <w:r>
        <w:t>these initiatives</w:t>
      </w:r>
      <w:r w:rsidRPr="00244B3B">
        <w:t xml:space="preserve"> contribute to creating a resilient economy </w:t>
      </w:r>
      <w:r>
        <w:t>with</w:t>
      </w:r>
      <w:r w:rsidRPr="00244B3B">
        <w:t xml:space="preserve"> </w:t>
      </w:r>
      <w:r>
        <w:t xml:space="preserve">more </w:t>
      </w:r>
      <w:r w:rsidRPr="00244B3B">
        <w:t xml:space="preserve">high-value jobs </w:t>
      </w:r>
      <w:r>
        <w:t xml:space="preserve">being </w:t>
      </w:r>
      <w:r w:rsidRPr="00244B3B">
        <w:t>retained in Australia</w:t>
      </w:r>
      <w:r>
        <w:t>. This is</w:t>
      </w:r>
      <w:r w:rsidRPr="00244B3B">
        <w:t xml:space="preserve"> consistent with the government’s objective of growing technology-related jobs to 1.2 million by 2030.</w:t>
      </w:r>
    </w:p>
    <w:bookmarkEnd w:id="83"/>
    <w:bookmarkEnd w:id="84"/>
    <w:p w14:paraId="06A7233D" w14:textId="5229E688" w:rsidR="00216861" w:rsidRPr="009E7B9C" w:rsidRDefault="0AB45692" w:rsidP="002C1C3F">
      <w:pPr>
        <w:pStyle w:val="Heading2"/>
      </w:pPr>
      <w:r>
        <w:t>Supporting a strong resources sector</w:t>
      </w:r>
    </w:p>
    <w:p w14:paraId="06473AE7" w14:textId="60A94768" w:rsidR="00AF3691" w:rsidRPr="00244B3B" w:rsidRDefault="00AF3691" w:rsidP="00AF3691">
      <w:bookmarkStart w:id="86" w:name="_Hlk124259835"/>
      <w:bookmarkStart w:id="87" w:name="_Hlk124401283"/>
      <w:bookmarkEnd w:id="24"/>
      <w:bookmarkEnd w:id="79"/>
      <w:r>
        <w:rPr>
          <w:rFonts w:eastAsia="Times New Roman"/>
          <w:lang w:eastAsia="en-AU"/>
        </w:rPr>
        <w:t xml:space="preserve">A strong, competitive and sustainable </w:t>
      </w:r>
      <w:r w:rsidRPr="0AB45692">
        <w:rPr>
          <w:rFonts w:eastAsia="Times New Roman"/>
          <w:lang w:eastAsia="en-AU"/>
        </w:rPr>
        <w:t xml:space="preserve">resources </w:t>
      </w:r>
      <w:r w:rsidRPr="00244B3B">
        <w:rPr>
          <w:rFonts w:eastAsia="Times New Roman"/>
          <w:lang w:eastAsia="en-AU"/>
        </w:rPr>
        <w:t>sector is crucial to a thriving Australian economy. Our resources sector will provide export and employment opportunities</w:t>
      </w:r>
      <w:r w:rsidR="00B94266" w:rsidRPr="00B94266">
        <w:rPr>
          <w:rFonts w:eastAsia="Times New Roman"/>
          <w:lang w:eastAsia="en-AU"/>
        </w:rPr>
        <w:t xml:space="preserve"> </w:t>
      </w:r>
      <w:r w:rsidR="00B94266" w:rsidRPr="00244B3B">
        <w:rPr>
          <w:rFonts w:eastAsia="Times New Roman"/>
          <w:lang w:eastAsia="en-AU"/>
        </w:rPr>
        <w:t>well into the future</w:t>
      </w:r>
      <w:r w:rsidRPr="00244B3B">
        <w:rPr>
          <w:rFonts w:eastAsia="Times New Roman"/>
          <w:lang w:eastAsia="en-AU"/>
        </w:rPr>
        <w:t>, particularly in regional Australia</w:t>
      </w:r>
      <w:r w:rsidRPr="00244B3B">
        <w:t xml:space="preserve">. </w:t>
      </w:r>
    </w:p>
    <w:p w14:paraId="6FD8A1F1" w14:textId="0DAFD971" w:rsidR="00B94266" w:rsidRDefault="00B94266" w:rsidP="00AF3691">
      <w:r>
        <w:t>Our</w:t>
      </w:r>
      <w:r w:rsidR="00AF3691" w:rsidRPr="00244B3B">
        <w:t xml:space="preserve"> resources sector has an important role </w:t>
      </w:r>
      <w:r>
        <w:t xml:space="preserve">as Australia and the world </w:t>
      </w:r>
      <w:r w:rsidR="00AF3691" w:rsidRPr="00244B3B">
        <w:t xml:space="preserve">transition to net zero emissions. </w:t>
      </w:r>
      <w:r w:rsidR="004C32CA">
        <w:t>T</w:t>
      </w:r>
      <w:r w:rsidR="00AE3535">
        <w:t>he production of raw and processed critical minerals will need to scale up significantly, noting the I</w:t>
      </w:r>
      <w:r w:rsidR="0095659F">
        <w:t xml:space="preserve">nternational </w:t>
      </w:r>
      <w:r w:rsidR="00AE3535">
        <w:t>E</w:t>
      </w:r>
      <w:r w:rsidR="0095659F">
        <w:t xml:space="preserve">nergy </w:t>
      </w:r>
      <w:r w:rsidR="00AE3535">
        <w:t>A</w:t>
      </w:r>
      <w:r w:rsidR="0095659F">
        <w:t>gency</w:t>
      </w:r>
      <w:r w:rsidR="00AE3535">
        <w:t xml:space="preserve"> forecasts that global </w:t>
      </w:r>
      <w:r w:rsidR="00AE3535" w:rsidRPr="00AE3535">
        <w:t xml:space="preserve">demand for minerals necessary for the development of clean energy technologies </w:t>
      </w:r>
      <w:r w:rsidR="00AE3535">
        <w:t xml:space="preserve">could </w:t>
      </w:r>
      <w:r w:rsidR="00AE3535" w:rsidRPr="00AE3535">
        <w:t>double or even quadruple by 2040</w:t>
      </w:r>
      <w:r w:rsidR="00AE3535">
        <w:t xml:space="preserve">. </w:t>
      </w:r>
    </w:p>
    <w:p w14:paraId="4471121E" w14:textId="4E962F54" w:rsidR="00A60AA3" w:rsidRDefault="00AE5AFC" w:rsidP="00AF3691">
      <w:r w:rsidRPr="00244B3B">
        <w:t xml:space="preserve">We </w:t>
      </w:r>
      <w:r>
        <w:t xml:space="preserve">are </w:t>
      </w:r>
      <w:r w:rsidRPr="00244B3B">
        <w:t>prioritis</w:t>
      </w:r>
      <w:r>
        <w:t>ing</w:t>
      </w:r>
      <w:r w:rsidRPr="00244B3B">
        <w:t xml:space="preserve"> </w:t>
      </w:r>
      <w:r w:rsidR="002D27C5">
        <w:t>implementation of</w:t>
      </w:r>
      <w:r w:rsidR="00AF3691" w:rsidRPr="00244B3B">
        <w:t xml:space="preserve"> the </w:t>
      </w:r>
      <w:r w:rsidR="00CE04C5">
        <w:t xml:space="preserve">new </w:t>
      </w:r>
      <w:r w:rsidR="00AF3691" w:rsidRPr="00244B3B">
        <w:t xml:space="preserve">Critical Minerals Strategy </w:t>
      </w:r>
      <w:r w:rsidR="004C2A17">
        <w:t xml:space="preserve">so </w:t>
      </w:r>
      <w:r w:rsidR="00B94266">
        <w:t xml:space="preserve">Australia can contribute to global emissions reduction goals while </w:t>
      </w:r>
      <w:r w:rsidR="00B94266" w:rsidRPr="008263D2">
        <w:t>seiz</w:t>
      </w:r>
      <w:r w:rsidR="00B94266">
        <w:t>ing the</w:t>
      </w:r>
      <w:r w:rsidR="00B94266" w:rsidRPr="008263D2">
        <w:t xml:space="preserve"> opportunities </w:t>
      </w:r>
      <w:r w:rsidR="00B94266">
        <w:t>of</w:t>
      </w:r>
      <w:r w:rsidR="00B94266" w:rsidRPr="008263D2">
        <w:t xml:space="preserve"> th</w:t>
      </w:r>
      <w:r w:rsidR="00B94266">
        <w:t>e energy</w:t>
      </w:r>
      <w:r w:rsidR="00B94266" w:rsidRPr="008263D2">
        <w:t xml:space="preserve"> transition</w:t>
      </w:r>
      <w:r w:rsidR="00AF3691" w:rsidRPr="008263D2">
        <w:t xml:space="preserve">. This includes supporting the deployment of emissions abatement technologies across the </w:t>
      </w:r>
      <w:r w:rsidR="000F6558">
        <w:t xml:space="preserve">resources </w:t>
      </w:r>
      <w:r w:rsidR="00AF3691" w:rsidRPr="008263D2">
        <w:t xml:space="preserve">sector and </w:t>
      </w:r>
      <w:r w:rsidR="004C32CA">
        <w:t xml:space="preserve">providing targeted and proportionate support to </w:t>
      </w:r>
      <w:r w:rsidR="00AF3691" w:rsidRPr="008263D2">
        <w:t>grow our critical minerals sector</w:t>
      </w:r>
      <w:r w:rsidR="004C32CA">
        <w:t xml:space="preserve">, </w:t>
      </w:r>
      <w:r w:rsidR="00B94266">
        <w:t>including</w:t>
      </w:r>
      <w:r w:rsidR="00B94266" w:rsidRPr="008263D2">
        <w:t xml:space="preserve"> </w:t>
      </w:r>
      <w:r w:rsidR="00B94266">
        <w:t>through grants programs and investing in research and development</w:t>
      </w:r>
      <w:r w:rsidR="00AF3691" w:rsidRPr="006D449A" w:rsidDel="00F669CE">
        <w:t>.</w:t>
      </w:r>
    </w:p>
    <w:p w14:paraId="04695867" w14:textId="01F95A46" w:rsidR="00B51D77" w:rsidDel="00F669CE" w:rsidRDefault="00B51D77" w:rsidP="00B51D77">
      <w:r>
        <w:t xml:space="preserve">The Critical Minerals Strategy recognises that the Australian Government cannot deliver these objectives on its own. We need to work closely with industry, </w:t>
      </w:r>
      <w:r w:rsidR="00080789">
        <w:rPr>
          <w:lang w:val="en-US"/>
        </w:rPr>
        <w:t>First Nations communities,</w:t>
      </w:r>
      <w:r w:rsidR="00080789">
        <w:t xml:space="preserve"> </w:t>
      </w:r>
      <w:r>
        <w:t xml:space="preserve">the research community, state and territory governments, and our international partners. </w:t>
      </w:r>
      <w:r w:rsidDel="00F669CE">
        <w:t>We</w:t>
      </w:r>
      <w:r w:rsidRPr="006D449A" w:rsidDel="00F669CE">
        <w:t xml:space="preserve"> will support collaboration to attract international investment and </w:t>
      </w:r>
      <w:r>
        <w:t>help</w:t>
      </w:r>
      <w:r w:rsidRPr="006D449A" w:rsidDel="00F669CE">
        <w:t xml:space="preserve"> </w:t>
      </w:r>
      <w:r>
        <w:t>Australia’s</w:t>
      </w:r>
      <w:r w:rsidRPr="006D449A" w:rsidDel="00F669CE">
        <w:t xml:space="preserve"> </w:t>
      </w:r>
      <w:r>
        <w:t xml:space="preserve">critical minerals </w:t>
      </w:r>
      <w:r w:rsidRPr="006D449A" w:rsidDel="00F669CE">
        <w:t>sector build</w:t>
      </w:r>
      <w:r w:rsidDel="00F669CE">
        <w:t>,</w:t>
      </w:r>
      <w:r w:rsidRPr="006D449A" w:rsidDel="00F669CE">
        <w:t xml:space="preserve"> scale and grow its downstream processing capabilities. </w:t>
      </w:r>
      <w:r>
        <w:t xml:space="preserve">These policy actions and collaborations will help build more </w:t>
      </w:r>
      <w:r w:rsidRPr="004E4223">
        <w:t>secure</w:t>
      </w:r>
      <w:r>
        <w:t>, resilient</w:t>
      </w:r>
      <w:r w:rsidRPr="004E4223">
        <w:t xml:space="preserve"> and diversified </w:t>
      </w:r>
      <w:r>
        <w:t xml:space="preserve">critical minerals </w:t>
      </w:r>
      <w:r w:rsidRPr="004C3CF5">
        <w:t>supply chains.</w:t>
      </w:r>
    </w:p>
    <w:p w14:paraId="46DFF043" w14:textId="40B2D738" w:rsidR="002D27C5" w:rsidRPr="006D449A" w:rsidRDefault="002D27C5" w:rsidP="002D27C5">
      <w:r w:rsidRPr="007E2706">
        <w:t xml:space="preserve">We need to carefully balance our domestic energy security with </w:t>
      </w:r>
      <w:r>
        <w:t>the needs of</w:t>
      </w:r>
      <w:r w:rsidRPr="007E2706">
        <w:t xml:space="preserve"> </w:t>
      </w:r>
      <w:r w:rsidR="00B51D77">
        <w:t xml:space="preserve">our </w:t>
      </w:r>
      <w:r w:rsidRPr="007E2706">
        <w:t xml:space="preserve">trading partners, who invest in our resources sector and rely on Australian commodities for their </w:t>
      </w:r>
      <w:r>
        <w:t xml:space="preserve">own </w:t>
      </w:r>
      <w:r w:rsidRPr="007E2706">
        <w:t>energy security.</w:t>
      </w:r>
      <w:r w:rsidRPr="006D449A">
        <w:t xml:space="preserve"> </w:t>
      </w:r>
      <w:r>
        <w:t xml:space="preserve">Reforms to </w:t>
      </w:r>
      <w:r w:rsidRPr="006D449A">
        <w:t xml:space="preserve">the </w:t>
      </w:r>
      <w:r w:rsidR="0045036F" w:rsidRPr="00DA748E">
        <w:t>Australian Domestic Gas Security Mechanism</w:t>
      </w:r>
      <w:r w:rsidRPr="006D449A">
        <w:t xml:space="preserve"> </w:t>
      </w:r>
      <w:r>
        <w:t>allow for more flexibility in responding to domestic gas supply shortfalls and demonstrate Australia’s commitment to remaining a reliable trade and investment partner</w:t>
      </w:r>
      <w:r w:rsidRPr="006D449A">
        <w:t>.</w:t>
      </w:r>
    </w:p>
    <w:p w14:paraId="7CABDCA0" w14:textId="30B37207" w:rsidR="00B51D77" w:rsidRDefault="00CB3E45" w:rsidP="00CB3E45">
      <w:bookmarkStart w:id="88" w:name="_Hlk137108443"/>
      <w:r w:rsidRPr="007E2706">
        <w:t xml:space="preserve">Australia’s </w:t>
      </w:r>
      <w:r w:rsidR="001E35BF">
        <w:t>energy</w:t>
      </w:r>
      <w:r w:rsidR="001E35BF" w:rsidRPr="007E2706">
        <w:t xml:space="preserve"> </w:t>
      </w:r>
      <w:r w:rsidRPr="007E2706">
        <w:t>exports will support our trading partners as they implement decarbonisation initiatives to achieve net zero.</w:t>
      </w:r>
      <w:r w:rsidRPr="006D449A">
        <w:t xml:space="preserve"> </w:t>
      </w:r>
      <w:r>
        <w:t>G</w:t>
      </w:r>
      <w:r w:rsidRPr="006D449A">
        <w:t xml:space="preserve">as will continue to </w:t>
      </w:r>
      <w:r>
        <w:t>have</w:t>
      </w:r>
      <w:r w:rsidRPr="006D449A">
        <w:t xml:space="preserve"> a role in </w:t>
      </w:r>
      <w:r>
        <w:t xml:space="preserve">Australia, </w:t>
      </w:r>
      <w:r w:rsidRPr="006D449A">
        <w:t xml:space="preserve">ensuring energy security while </w:t>
      </w:r>
      <w:r>
        <w:t xml:space="preserve">we increase </w:t>
      </w:r>
      <w:r w:rsidRPr="006D449A">
        <w:t>renewable energy generation.</w:t>
      </w:r>
      <w:r>
        <w:t xml:space="preserve"> Ensuring energy security will rely on Australia’s ability to secure gas supply into the 2030s.</w:t>
      </w:r>
    </w:p>
    <w:p w14:paraId="0E49D7AC" w14:textId="47F2175F" w:rsidR="00CB3E45" w:rsidRPr="006D449A" w:rsidRDefault="00B51D77" w:rsidP="00CB3E45">
      <w:r>
        <w:t xml:space="preserve">The </w:t>
      </w:r>
      <w:r w:rsidR="00CB3E45">
        <w:t xml:space="preserve">Future Gas Strategy will seek to address supply issues to </w:t>
      </w:r>
      <w:r w:rsidR="00CB3E45" w:rsidRPr="00A87DE0">
        <w:t>support Australia</w:t>
      </w:r>
      <w:r w:rsidR="00CB3E45">
        <w:t>’</w:t>
      </w:r>
      <w:r w:rsidR="00CB3E45" w:rsidRPr="00A87DE0">
        <w:t>s energy system to reach 82</w:t>
      </w:r>
      <w:r w:rsidR="00BD0213">
        <w:t xml:space="preserve"> per cent</w:t>
      </w:r>
      <w:r w:rsidR="00CB3E45" w:rsidRPr="00A87DE0">
        <w:t xml:space="preserve"> renewables by 2030 and become cleaner, cheaper and more reliable, while maintaining our international reputation as a trusted energy supplier.</w:t>
      </w:r>
    </w:p>
    <w:p w14:paraId="30BDBAAC" w14:textId="26712C12" w:rsidR="00AF3691" w:rsidRDefault="00AF3691" w:rsidP="00AF3691">
      <w:r w:rsidRPr="006D449A">
        <w:t>We will ensure a</w:t>
      </w:r>
      <w:r w:rsidR="002F2CE4">
        <w:t xml:space="preserve">n environmentally </w:t>
      </w:r>
      <w:r w:rsidRPr="006D449A">
        <w:t>responsible approach to</w:t>
      </w:r>
      <w:r w:rsidRPr="6D10187C">
        <w:t xml:space="preserve"> </w:t>
      </w:r>
      <w:r w:rsidRPr="006D449A">
        <w:t>management</w:t>
      </w:r>
      <w:r w:rsidRPr="6D10187C">
        <w:t xml:space="preserve"> </w:t>
      </w:r>
      <w:r w:rsidR="002F2CE4">
        <w:t>in</w:t>
      </w:r>
      <w:r w:rsidRPr="006D449A">
        <w:t xml:space="preserve"> offshore oil and gas activities</w:t>
      </w:r>
      <w:r w:rsidR="00AA2637" w:rsidRPr="6D10187C">
        <w:t xml:space="preserve">, </w:t>
      </w:r>
      <w:r w:rsidRPr="006D449A">
        <w:t>radioactive waste</w:t>
      </w:r>
      <w:r w:rsidR="00AA2637">
        <w:t>, and mine rehabilitation.</w:t>
      </w:r>
      <w:r w:rsidRPr="6D10187C">
        <w:t xml:space="preserve"> </w:t>
      </w:r>
      <w:r w:rsidR="00AA2637">
        <w:t>W</w:t>
      </w:r>
      <w:r w:rsidRPr="006D449A">
        <w:t>e will continue work</w:t>
      </w:r>
      <w:r w:rsidR="00B51D77">
        <w:t>ing</w:t>
      </w:r>
      <w:r w:rsidRPr="006D449A">
        <w:t xml:space="preserve"> with the offshore petroleum industry and regulators to encourage early and proactive planning for decommissioning and to ensure titleholders meet all costs and liabilities over the life of the project, including for decommissioning activities. </w:t>
      </w:r>
      <w:r w:rsidR="002F311C">
        <w:t xml:space="preserve">We </w:t>
      </w:r>
      <w:r w:rsidR="002F311C" w:rsidRPr="00376051">
        <w:t xml:space="preserve">will develop a </w:t>
      </w:r>
      <w:r w:rsidR="00B51D77" w:rsidRPr="00376051">
        <w:t>r</w:t>
      </w:r>
      <w:r w:rsidR="002F311C" w:rsidRPr="00376051">
        <w:t xml:space="preserve">oadmap for </w:t>
      </w:r>
      <w:r w:rsidR="00B51D77" w:rsidRPr="00376051">
        <w:t>e</w:t>
      </w:r>
      <w:r w:rsidR="002F311C" w:rsidRPr="00376051">
        <w:t xml:space="preserve">stablishing a </w:t>
      </w:r>
      <w:r w:rsidR="00B51D77" w:rsidRPr="00376051">
        <w:t>d</w:t>
      </w:r>
      <w:r w:rsidR="002F311C" w:rsidRPr="00376051">
        <w:t xml:space="preserve">ecommissioning </w:t>
      </w:r>
      <w:r w:rsidR="00B51D77" w:rsidRPr="00376051">
        <w:t>i</w:t>
      </w:r>
      <w:r w:rsidR="002F311C" w:rsidRPr="00376051">
        <w:t>ndustry in Australia</w:t>
      </w:r>
      <w:r w:rsidR="00711287" w:rsidRPr="00376051">
        <w:t xml:space="preserve"> and continue decommissioning the </w:t>
      </w:r>
      <w:r w:rsidR="0045036F" w:rsidRPr="00DA748E">
        <w:t>Northern Endeavour facility</w:t>
      </w:r>
      <w:r w:rsidR="00376051">
        <w:t>.</w:t>
      </w:r>
      <w:r w:rsidR="00331F75" w:rsidRPr="00376051">
        <w:t xml:space="preserve"> We</w:t>
      </w:r>
      <w:r w:rsidR="00331F75">
        <w:t xml:space="preserve"> will also </w:t>
      </w:r>
      <w:r w:rsidR="00AA2637">
        <w:t xml:space="preserve">oversee the effective rehabilitation of </w:t>
      </w:r>
      <w:r>
        <w:t>the Ranger and Rum Jungle</w:t>
      </w:r>
      <w:r w:rsidRPr="6D10187C">
        <w:t xml:space="preserve"> </w:t>
      </w:r>
      <w:r w:rsidR="00AA2637">
        <w:t>uranium mine</w:t>
      </w:r>
      <w:r>
        <w:t xml:space="preserve"> sites in the Northern Territory.</w:t>
      </w:r>
    </w:p>
    <w:p w14:paraId="406F6783" w14:textId="6D5495F1" w:rsidR="00D87DDA" w:rsidRPr="00D87DDA" w:rsidRDefault="001E35BF" w:rsidP="00F669CE">
      <w:pPr>
        <w:rPr>
          <w:rFonts w:eastAsia="PMingLiU"/>
          <w:lang w:val="en-US"/>
        </w:rPr>
      </w:pPr>
      <w:bookmarkStart w:id="89" w:name="_Hlk140507374"/>
      <w:r w:rsidRPr="00B903D5">
        <w:rPr>
          <w:spacing w:val="-4"/>
          <w:lang w:val="en-US"/>
        </w:rPr>
        <w:t xml:space="preserve">Australian Radioactive Waste Agency </w:t>
      </w:r>
      <w:r>
        <w:rPr>
          <w:spacing w:val="-4"/>
          <w:lang w:val="en-US"/>
        </w:rPr>
        <w:t>(ARWA)</w:t>
      </w:r>
      <w:r w:rsidRPr="00B903D5">
        <w:rPr>
          <w:spacing w:val="-4"/>
          <w:lang w:val="en-US"/>
        </w:rPr>
        <w:t xml:space="preserve"> </w:t>
      </w:r>
      <w:r w:rsidR="007A0F5B" w:rsidRPr="00D87DDA">
        <w:rPr>
          <w:rFonts w:eastAsia="PMingLiU"/>
          <w:lang w:val="en-US"/>
        </w:rPr>
        <w:t xml:space="preserve">leads the government’s approach </w:t>
      </w:r>
      <w:r w:rsidR="003A0A02" w:rsidRPr="00D87DDA">
        <w:rPr>
          <w:rFonts w:eastAsia="PMingLiU"/>
          <w:lang w:val="en-US"/>
        </w:rPr>
        <w:t xml:space="preserve">to </w:t>
      </w:r>
      <w:r w:rsidR="00D87DDA" w:rsidRPr="00D87DDA">
        <w:rPr>
          <w:rFonts w:eastAsia="PMingLiU"/>
          <w:lang w:val="en-US"/>
        </w:rPr>
        <w:t>safe</w:t>
      </w:r>
      <w:r w:rsidR="007D5FAF" w:rsidRPr="00D87DDA">
        <w:rPr>
          <w:rFonts w:eastAsia="PMingLiU"/>
          <w:lang w:val="en-US"/>
        </w:rPr>
        <w:t xml:space="preserve"> and secure</w:t>
      </w:r>
      <w:r w:rsidR="007A0F5B" w:rsidRPr="00D87DDA">
        <w:rPr>
          <w:rFonts w:eastAsia="PMingLiU"/>
          <w:lang w:val="en-US"/>
        </w:rPr>
        <w:t xml:space="preserve"> </w:t>
      </w:r>
      <w:r w:rsidR="00101BA9" w:rsidRPr="00D87DDA">
        <w:rPr>
          <w:rFonts w:eastAsia="PMingLiU"/>
          <w:lang w:val="en-US"/>
        </w:rPr>
        <w:t>long-term management and disposal of Australia’s</w:t>
      </w:r>
      <w:r w:rsidR="003A0A02" w:rsidRPr="00D87DDA">
        <w:rPr>
          <w:rFonts w:eastAsia="PMingLiU"/>
          <w:lang w:val="en-US"/>
        </w:rPr>
        <w:t xml:space="preserve"> radioactive waste</w:t>
      </w:r>
      <w:r w:rsidR="007D5FAF" w:rsidRPr="00D87DDA">
        <w:rPr>
          <w:rFonts w:eastAsia="PMingLiU"/>
          <w:lang w:val="en-US"/>
        </w:rPr>
        <w:t xml:space="preserve"> to protect people and the environment for generations to come</w:t>
      </w:r>
      <w:r w:rsidR="007A0F5B" w:rsidRPr="00D87DDA">
        <w:rPr>
          <w:rFonts w:eastAsia="PMingLiU"/>
          <w:lang w:val="en-US"/>
        </w:rPr>
        <w:t>. This</w:t>
      </w:r>
      <w:r w:rsidR="00D87DDA" w:rsidRPr="00D87DDA">
        <w:rPr>
          <w:rFonts w:eastAsia="PMingLiU"/>
          <w:lang w:val="en-US"/>
        </w:rPr>
        <w:t xml:space="preserve"> </w:t>
      </w:r>
      <w:r w:rsidR="007A0F5B" w:rsidRPr="00D87DDA">
        <w:rPr>
          <w:rFonts w:eastAsia="PMingLiU"/>
          <w:lang w:val="en-US"/>
        </w:rPr>
        <w:t xml:space="preserve">work includes </w:t>
      </w:r>
      <w:r w:rsidR="007D5FAF" w:rsidRPr="00D87DDA">
        <w:rPr>
          <w:rFonts w:eastAsia="PMingLiU"/>
          <w:lang w:val="en-US"/>
        </w:rPr>
        <w:t xml:space="preserve">the </w:t>
      </w:r>
      <w:r w:rsidR="007A0F5B" w:rsidRPr="00D87DDA">
        <w:rPr>
          <w:rFonts w:eastAsia="PMingLiU"/>
          <w:lang w:val="en-US"/>
        </w:rPr>
        <w:t>development of pathways for disposal of low and intermediate level waste</w:t>
      </w:r>
      <w:r w:rsidR="004F3CE3" w:rsidRPr="00D87DDA">
        <w:rPr>
          <w:rFonts w:eastAsia="PMingLiU"/>
          <w:lang w:val="en-US"/>
        </w:rPr>
        <w:t>. ARWA is also</w:t>
      </w:r>
      <w:r w:rsidR="007D5FAF" w:rsidRPr="00D87DDA" w:rsidDel="004F3CE3">
        <w:rPr>
          <w:rFonts w:eastAsia="PMingLiU"/>
          <w:lang w:val="en-US"/>
        </w:rPr>
        <w:t xml:space="preserve"> </w:t>
      </w:r>
      <w:r w:rsidR="007D5FAF" w:rsidRPr="00D87DDA">
        <w:rPr>
          <w:rFonts w:eastAsia="PMingLiU"/>
          <w:lang w:val="en-US"/>
        </w:rPr>
        <w:t>providing expert advice to government</w:t>
      </w:r>
      <w:r w:rsidR="00D87DDA" w:rsidRPr="00D87DDA">
        <w:rPr>
          <w:rFonts w:eastAsia="PMingLiU"/>
          <w:lang w:val="en-US"/>
        </w:rPr>
        <w:t xml:space="preserve"> to support the Department of </w:t>
      </w:r>
      <w:r w:rsidR="00F669CE" w:rsidRPr="00D87DDA">
        <w:rPr>
          <w:rFonts w:eastAsia="PMingLiU"/>
          <w:lang w:val="en-US"/>
        </w:rPr>
        <w:t>Defence</w:t>
      </w:r>
      <w:r w:rsidR="007A0F5B" w:rsidRPr="00D87DDA">
        <w:rPr>
          <w:rFonts w:eastAsia="PMingLiU"/>
          <w:lang w:val="en-US"/>
        </w:rPr>
        <w:t>’s</w:t>
      </w:r>
      <w:r w:rsidR="00F669CE" w:rsidRPr="00D87DDA">
        <w:rPr>
          <w:rFonts w:eastAsia="PMingLiU"/>
          <w:lang w:val="en-US"/>
        </w:rPr>
        <w:t xml:space="preserve"> </w:t>
      </w:r>
      <w:r w:rsidR="007A0F5B" w:rsidRPr="00D87DDA">
        <w:rPr>
          <w:rFonts w:eastAsia="PMingLiU"/>
          <w:lang w:val="en-US"/>
        </w:rPr>
        <w:t>consideration of radioactive waste management</w:t>
      </w:r>
      <w:r w:rsidR="007A0F5B" w:rsidRPr="00D87DDA" w:rsidDel="007D5FAF">
        <w:rPr>
          <w:rFonts w:eastAsia="PMingLiU"/>
          <w:lang w:val="en-US"/>
        </w:rPr>
        <w:t xml:space="preserve"> </w:t>
      </w:r>
      <w:r w:rsidR="007A0F5B" w:rsidRPr="00D87DDA">
        <w:rPr>
          <w:rFonts w:eastAsia="PMingLiU"/>
          <w:lang w:val="en-US"/>
        </w:rPr>
        <w:t>in relation</w:t>
      </w:r>
      <w:r w:rsidR="00F669CE" w:rsidRPr="00D87DDA">
        <w:rPr>
          <w:rFonts w:eastAsia="PMingLiU"/>
          <w:lang w:val="en-US"/>
        </w:rPr>
        <w:t xml:space="preserve"> </w:t>
      </w:r>
      <w:r w:rsidR="000815A1" w:rsidRPr="00D87DDA">
        <w:rPr>
          <w:rFonts w:eastAsia="PMingLiU"/>
          <w:lang w:val="en-US"/>
        </w:rPr>
        <w:t xml:space="preserve">to </w:t>
      </w:r>
      <w:r w:rsidR="00D87DDA" w:rsidRPr="00D87DDA">
        <w:rPr>
          <w:rFonts w:eastAsia="PMingLiU"/>
          <w:lang w:val="en-US"/>
        </w:rPr>
        <w:t>the Nuclear-Powered Submarine Program.</w:t>
      </w:r>
    </w:p>
    <w:bookmarkEnd w:id="88"/>
    <w:bookmarkEnd w:id="89"/>
    <w:p w14:paraId="2C79A0E7" w14:textId="01F4D1FE" w:rsidR="00AF3691" w:rsidRDefault="00AF3691" w:rsidP="00AF3691">
      <w:r>
        <w:t>In supporting a strong resources sector, we will</w:t>
      </w:r>
      <w:r w:rsidDel="00E93BB7">
        <w:t xml:space="preserve"> </w:t>
      </w:r>
      <w:r>
        <w:t>reinforce whole-of-government priorities</w:t>
      </w:r>
      <w:r w:rsidR="000C3957">
        <w:t>,</w:t>
      </w:r>
      <w:r>
        <w:t xml:space="preserve"> including improving engagement</w:t>
      </w:r>
      <w:r w:rsidR="00C12B58">
        <w:t xml:space="preserve"> with </w:t>
      </w:r>
      <w:r w:rsidR="00C12B58" w:rsidRPr="00C45F10">
        <w:t xml:space="preserve">First Nations </w:t>
      </w:r>
      <w:r w:rsidR="00B205CB" w:rsidRPr="00C45F10">
        <w:t>P</w:t>
      </w:r>
      <w:r w:rsidR="00C12B58" w:rsidRPr="00C45F10">
        <w:t>eople</w:t>
      </w:r>
      <w:r w:rsidR="00B205CB" w:rsidRPr="00C45F10">
        <w:t>s</w:t>
      </w:r>
      <w:r>
        <w:t xml:space="preserve"> </w:t>
      </w:r>
      <w:r w:rsidR="000815A1">
        <w:t xml:space="preserve">and </w:t>
      </w:r>
      <w:r>
        <w:t>promoting gender equality and onsite safety</w:t>
      </w:r>
      <w:r w:rsidR="000C3957">
        <w:t>,</w:t>
      </w:r>
      <w:r>
        <w:t xml:space="preserve"> to ensure the development of Australia’s resources is done safely and benefits all Australians.</w:t>
      </w:r>
    </w:p>
    <w:bookmarkEnd w:id="86"/>
    <w:p w14:paraId="1BFE4D3D" w14:textId="77777777" w:rsidR="007A5719" w:rsidRDefault="007A5719">
      <w:pPr>
        <w:rPr>
          <w:rFonts w:asciiTheme="majorHAnsi" w:eastAsiaTheme="majorEastAsia" w:hAnsiTheme="majorHAnsi" w:cstheme="majorBidi"/>
          <w:color w:val="005677" w:themeColor="text2"/>
          <w:sz w:val="44"/>
          <w:szCs w:val="44"/>
        </w:rPr>
      </w:pPr>
      <w:r>
        <w:rPr>
          <w:sz w:val="44"/>
          <w:szCs w:val="44"/>
        </w:rPr>
        <w:br w:type="page"/>
      </w:r>
      <w:bookmarkStart w:id="90" w:name="_Hlk135308247"/>
    </w:p>
    <w:p w14:paraId="0B65461A" w14:textId="03482A90" w:rsidR="00636CB1" w:rsidRPr="009E7B9C" w:rsidRDefault="00636CB1" w:rsidP="00891DBB">
      <w:pPr>
        <w:pStyle w:val="Heading1"/>
        <w:rPr>
          <w:sz w:val="28"/>
          <w:szCs w:val="28"/>
        </w:rPr>
      </w:pPr>
      <w:r w:rsidRPr="0AB45692">
        <w:rPr>
          <w:sz w:val="44"/>
          <w:szCs w:val="44"/>
        </w:rPr>
        <w:t xml:space="preserve">Our </w:t>
      </w:r>
      <w:r>
        <w:rPr>
          <w:sz w:val="44"/>
          <w:szCs w:val="44"/>
        </w:rPr>
        <w:t>capability</w:t>
      </w:r>
    </w:p>
    <w:p w14:paraId="473F0DAA" w14:textId="033314EB" w:rsidR="00636CB1" w:rsidRPr="00C607FC" w:rsidRDefault="00B97755" w:rsidP="002013EE">
      <w:pPr>
        <w:rPr>
          <w:lang w:val="en-US"/>
        </w:rPr>
      </w:pPr>
      <w:r>
        <w:t>O</w:t>
      </w:r>
      <w:r w:rsidR="00C607FC" w:rsidRPr="00D45C94">
        <w:t xml:space="preserve">ur </w:t>
      </w:r>
      <w:r w:rsidR="00065996">
        <w:t>department</w:t>
      </w:r>
      <w:r w:rsidR="00065996" w:rsidRPr="00D45C94">
        <w:t xml:space="preserve"> </w:t>
      </w:r>
      <w:r>
        <w:t>is structured</w:t>
      </w:r>
      <w:r w:rsidR="00065996" w:rsidRPr="00D45C94">
        <w:t xml:space="preserve"> </w:t>
      </w:r>
      <w:r w:rsidR="00C607FC">
        <w:rPr>
          <w:rFonts w:eastAsia="Times New Roman"/>
          <w:lang w:eastAsia="en-AU"/>
        </w:rPr>
        <w:t xml:space="preserve">to align our functions with government priorities and </w:t>
      </w:r>
      <w:r w:rsidR="00C607FC">
        <w:t>build policy and corporate</w:t>
      </w:r>
      <w:r w:rsidR="00C607FC">
        <w:rPr>
          <w:rFonts w:eastAsia="Times New Roman"/>
          <w:lang w:eastAsia="en-AU"/>
        </w:rPr>
        <w:t xml:space="preserve"> centres of excellence that support our key activities. The department maintains cross-cutting policy and corporate capabilities</w:t>
      </w:r>
      <w:r w:rsidR="00C607FC" w:rsidRPr="002C157D">
        <w:rPr>
          <w:lang w:val="en-US"/>
        </w:rPr>
        <w:t xml:space="preserve"> </w:t>
      </w:r>
      <w:r w:rsidR="00C607FC" w:rsidRPr="00FE0F3D">
        <w:rPr>
          <w:lang w:val="en-US"/>
        </w:rPr>
        <w:t>t</w:t>
      </w:r>
      <w:r w:rsidR="00C607FC">
        <w:rPr>
          <w:lang w:val="en-US"/>
        </w:rPr>
        <w:t xml:space="preserve">hat service the whole department. </w:t>
      </w:r>
      <w:r w:rsidR="00C607FC">
        <w:rPr>
          <w:rFonts w:eastAsia="Times New Roman"/>
          <w:lang w:eastAsia="en-AU"/>
        </w:rPr>
        <w:t>These include</w:t>
      </w:r>
      <w:r w:rsidR="00C607FC">
        <w:rPr>
          <w:lang w:val="en-US"/>
        </w:rPr>
        <w:t xml:space="preserve"> international and economic and data analytics capabilities, as well as corporate enabling capabilities.</w:t>
      </w:r>
    </w:p>
    <w:p w14:paraId="541B8902" w14:textId="614CE7F2" w:rsidR="001525A3" w:rsidRPr="005E0A2E" w:rsidRDefault="001525A3" w:rsidP="001525A3">
      <w:pPr>
        <w:pStyle w:val="Heading2"/>
        <w:rPr>
          <w:rFonts w:eastAsia="Times New Roman"/>
          <w:lang w:eastAsia="en-AU"/>
        </w:rPr>
      </w:pPr>
      <w:bookmarkStart w:id="91" w:name="_Hlk136530501"/>
      <w:bookmarkStart w:id="92" w:name="_Hlk135806417"/>
      <w:r>
        <w:rPr>
          <w:rFonts w:eastAsia="Times New Roman"/>
          <w:lang w:eastAsia="en-AU"/>
        </w:rPr>
        <w:t>P</w:t>
      </w:r>
      <w:r w:rsidRPr="00154185">
        <w:rPr>
          <w:rFonts w:eastAsia="Times New Roman"/>
          <w:lang w:eastAsia="en-AU"/>
        </w:rPr>
        <w:t>eople</w:t>
      </w:r>
    </w:p>
    <w:p w14:paraId="3F63E62C" w14:textId="65DF5152" w:rsidR="001525A3" w:rsidRDefault="001525A3" w:rsidP="001525A3">
      <w:pPr>
        <w:rPr>
          <w:rFonts w:eastAsia="Times New Roman"/>
          <w:lang w:eastAsia="en-AU"/>
        </w:rPr>
      </w:pPr>
      <w:r>
        <w:t xml:space="preserve">Our </w:t>
      </w:r>
      <w:r w:rsidR="00B332AA">
        <w:t xml:space="preserve">people </w:t>
      </w:r>
      <w:r>
        <w:t>are our greatest asset, and we will continue to invest in their capability to deliver the department’s outcomes.</w:t>
      </w:r>
      <w:r w:rsidRPr="00814C93">
        <w:t xml:space="preserve"> </w:t>
      </w:r>
      <w:r>
        <w:t xml:space="preserve">We will maintain and develop a diverse, capable, inclusive and professional workforce with enhanced tools and processes to </w:t>
      </w:r>
      <w:r w:rsidR="00A60AA3">
        <w:t xml:space="preserve">help them </w:t>
      </w:r>
      <w:r>
        <w:t>do their jobs</w:t>
      </w:r>
      <w:r w:rsidR="00A60AA3">
        <w:t xml:space="preserve"> well</w:t>
      </w:r>
      <w:r>
        <w:t>.</w:t>
      </w:r>
    </w:p>
    <w:p w14:paraId="7681F4A8" w14:textId="29A268E8" w:rsidR="001525A3" w:rsidRDefault="001525A3" w:rsidP="002C1C3F">
      <w:r>
        <w:t xml:space="preserve">Our </w:t>
      </w:r>
      <w:r w:rsidR="00307889" w:rsidRPr="0062555A">
        <w:t>People Strategy</w:t>
      </w:r>
      <w:r w:rsidR="00307889">
        <w:t xml:space="preserve"> </w:t>
      </w:r>
      <w:r>
        <w:t>outlines our priorities and promotes modern ways of working across our national footprint</w:t>
      </w:r>
      <w:r w:rsidR="002F3F90">
        <w:t xml:space="preserve">. </w:t>
      </w:r>
      <w:r>
        <w:t xml:space="preserve">It will drive our approach to attracting and retaining talent and includes </w:t>
      </w:r>
      <w:r w:rsidRPr="002C1C3F">
        <w:t>implementing</w:t>
      </w:r>
      <w:r>
        <w:t xml:space="preserve"> </w:t>
      </w:r>
      <w:r w:rsidR="00376051">
        <w:t xml:space="preserve">Australian Public Service </w:t>
      </w:r>
      <w:r>
        <w:t>reform programs for our workforce.</w:t>
      </w:r>
    </w:p>
    <w:p w14:paraId="2ADD6552" w14:textId="73EC1997" w:rsidR="0060521D" w:rsidRDefault="001525A3" w:rsidP="002C1C3F">
      <w:pPr>
        <w:rPr>
          <w:rFonts w:cstheme="minorHAnsi"/>
        </w:rPr>
      </w:pPr>
      <w:r>
        <w:t>In 2023</w:t>
      </w:r>
      <w:r w:rsidR="00D60D64">
        <w:t>–</w:t>
      </w:r>
      <w:r>
        <w:t>24</w:t>
      </w:r>
      <w:r w:rsidR="00375E6A">
        <w:t xml:space="preserve">, </w:t>
      </w:r>
      <w:r>
        <w:t xml:space="preserve">we will develop and implement a </w:t>
      </w:r>
      <w:r w:rsidR="00304B6E">
        <w:t>Property Strategy</w:t>
      </w:r>
      <w:r>
        <w:t xml:space="preserve"> that is aligned to our workforce needs. </w:t>
      </w:r>
      <w:r w:rsidR="003C2034">
        <w:rPr>
          <w:rFonts w:cstheme="minorHAnsi"/>
          <w:szCs w:val="24"/>
        </w:rPr>
        <w:t xml:space="preserve">Our property portfolio will bring </w:t>
      </w:r>
      <w:r w:rsidR="003C2034" w:rsidRPr="002C1C3F">
        <w:t>together</w:t>
      </w:r>
      <w:r w:rsidR="003C2034">
        <w:rPr>
          <w:rFonts w:cstheme="minorHAnsi"/>
          <w:szCs w:val="24"/>
        </w:rPr>
        <w:t xml:space="preserve"> people, </w:t>
      </w:r>
      <w:r w:rsidR="003C2034" w:rsidRPr="002C1C3F">
        <w:t>property</w:t>
      </w:r>
      <w:r w:rsidR="003C2034">
        <w:rPr>
          <w:rFonts w:cstheme="minorHAnsi"/>
          <w:szCs w:val="24"/>
        </w:rPr>
        <w:t>, technology and security to create flexible and effective workspaces, appropriate for the functions undertaken at each site.</w:t>
      </w:r>
      <w:r w:rsidR="003C2034">
        <w:rPr>
          <w:rFonts w:cstheme="minorHAnsi"/>
        </w:rPr>
        <w:t xml:space="preserve"> </w:t>
      </w:r>
    </w:p>
    <w:p w14:paraId="521774CD" w14:textId="2B79B953" w:rsidR="003C2034" w:rsidRPr="0060521D" w:rsidRDefault="003C2034" w:rsidP="002C1C3F">
      <w:pPr>
        <w:rPr>
          <w:rFonts w:cstheme="minorHAnsi"/>
          <w:szCs w:val="24"/>
        </w:rPr>
      </w:pPr>
      <w:r>
        <w:rPr>
          <w:rFonts w:cstheme="minorHAnsi"/>
        </w:rPr>
        <w:t xml:space="preserve">Our properties </w:t>
      </w:r>
      <w:r w:rsidR="00307889">
        <w:rPr>
          <w:rFonts w:cstheme="minorHAnsi"/>
        </w:rPr>
        <w:t xml:space="preserve">and facilities </w:t>
      </w:r>
      <w:r>
        <w:rPr>
          <w:rFonts w:cstheme="minorHAnsi"/>
        </w:rPr>
        <w:t xml:space="preserve">will provide a positive </w:t>
      </w:r>
      <w:r w:rsidR="00935633">
        <w:rPr>
          <w:rFonts w:cstheme="minorHAnsi"/>
        </w:rPr>
        <w:t xml:space="preserve">work </w:t>
      </w:r>
      <w:r>
        <w:rPr>
          <w:rFonts w:cstheme="minorHAnsi"/>
        </w:rPr>
        <w:t>experience for our staff</w:t>
      </w:r>
      <w:r w:rsidRPr="0060521D">
        <w:rPr>
          <w:rFonts w:cstheme="minorHAnsi"/>
          <w:szCs w:val="24"/>
        </w:rPr>
        <w:t xml:space="preserve">, increasing our ability to collaborate, connect and communicate with each other both physically and virtually. </w:t>
      </w:r>
      <w:r w:rsidRPr="00B803F5">
        <w:rPr>
          <w:rFonts w:cstheme="minorHAnsi"/>
          <w:szCs w:val="24"/>
        </w:rPr>
        <w:t xml:space="preserve">Our </w:t>
      </w:r>
      <w:r w:rsidR="008549FD">
        <w:rPr>
          <w:rFonts w:cstheme="minorHAnsi"/>
          <w:szCs w:val="24"/>
        </w:rPr>
        <w:t xml:space="preserve">facilities will promote inclusion, accessibility, </w:t>
      </w:r>
      <w:r w:rsidRPr="0060521D">
        <w:rPr>
          <w:rFonts w:cstheme="minorHAnsi"/>
          <w:szCs w:val="24"/>
        </w:rPr>
        <w:t>wellbeing</w:t>
      </w:r>
      <w:r w:rsidR="008549FD" w:rsidRPr="0060521D">
        <w:rPr>
          <w:rFonts w:cstheme="minorHAnsi"/>
          <w:szCs w:val="24"/>
        </w:rPr>
        <w:t xml:space="preserve"> and </w:t>
      </w:r>
      <w:r w:rsidR="008549FD" w:rsidRPr="002C1C3F">
        <w:t>environmental</w:t>
      </w:r>
      <w:r w:rsidR="008549FD" w:rsidRPr="0060521D">
        <w:rPr>
          <w:rFonts w:cstheme="minorHAnsi"/>
          <w:szCs w:val="24"/>
        </w:rPr>
        <w:t xml:space="preserve"> sustainability</w:t>
      </w:r>
      <w:r w:rsidRPr="0060521D">
        <w:rPr>
          <w:rFonts w:cstheme="minorHAnsi"/>
          <w:szCs w:val="24"/>
        </w:rPr>
        <w:t xml:space="preserve"> while protecting our people, information and assets. </w:t>
      </w:r>
      <w:r w:rsidR="00B064A6" w:rsidRPr="0060521D">
        <w:rPr>
          <w:rFonts w:cstheme="minorHAnsi"/>
          <w:szCs w:val="24"/>
        </w:rPr>
        <w:t xml:space="preserve">We will leverage opportunities to </w:t>
      </w:r>
      <w:r w:rsidR="009605D6" w:rsidRPr="0060521D">
        <w:rPr>
          <w:rFonts w:cstheme="minorHAnsi"/>
          <w:szCs w:val="24"/>
        </w:rPr>
        <w:t>locate</w:t>
      </w:r>
      <w:r w:rsidR="00307889">
        <w:rPr>
          <w:rFonts w:cstheme="minorHAnsi"/>
          <w:szCs w:val="24"/>
        </w:rPr>
        <w:t xml:space="preserve"> ourselves</w:t>
      </w:r>
      <w:r w:rsidR="009605D6" w:rsidRPr="0060521D">
        <w:rPr>
          <w:rFonts w:cstheme="minorHAnsi"/>
          <w:szCs w:val="24"/>
        </w:rPr>
        <w:t>, or co</w:t>
      </w:r>
      <w:r w:rsidR="00307889">
        <w:rPr>
          <w:rFonts w:cstheme="minorHAnsi"/>
          <w:szCs w:val="24"/>
        </w:rPr>
        <w:t>-</w:t>
      </w:r>
      <w:r w:rsidR="009605D6" w:rsidRPr="0060521D">
        <w:rPr>
          <w:rFonts w:cstheme="minorHAnsi"/>
          <w:szCs w:val="24"/>
        </w:rPr>
        <w:t>locate with other entities, in regional and metropolitan areas across Australia to target broader talent markets and attract and support employees nationally.</w:t>
      </w:r>
    </w:p>
    <w:p w14:paraId="0A154475" w14:textId="5194D2E1" w:rsidR="001525A3" w:rsidRPr="003321A3" w:rsidRDefault="001525A3" w:rsidP="003321A3">
      <w:r w:rsidRPr="003321A3">
        <w:t>We continue to create an environment that celebrates diversity, where employees are safe and feel the</w:t>
      </w:r>
      <w:r w:rsidR="00CC7DE3" w:rsidRPr="003321A3">
        <w:t>y</w:t>
      </w:r>
      <w:r w:rsidRPr="003321A3">
        <w:t xml:space="preserve"> belong through our:</w:t>
      </w:r>
    </w:p>
    <w:p w14:paraId="6CEFFEBD" w14:textId="39FFCD67" w:rsidR="001525A3" w:rsidRPr="003321A3" w:rsidDel="00A656FB" w:rsidRDefault="001525A3" w:rsidP="002C1C3F">
      <w:pPr>
        <w:pStyle w:val="ListParagraph"/>
        <w:numPr>
          <w:ilvl w:val="0"/>
          <w:numId w:val="41"/>
        </w:numPr>
        <w:spacing w:after="120" w:line="240" w:lineRule="auto"/>
        <w:ind w:left="1071" w:hanging="357"/>
        <w:contextualSpacing w:val="0"/>
      </w:pPr>
      <w:r w:rsidRPr="003321A3">
        <w:t>Accessibility Action Plan 2020–25</w:t>
      </w:r>
    </w:p>
    <w:p w14:paraId="51D8C47C" w14:textId="7466A4FB" w:rsidR="001525A3" w:rsidRPr="002C1C3F" w:rsidRDefault="00C4356D" w:rsidP="002C1C3F">
      <w:pPr>
        <w:pStyle w:val="ListParagraph"/>
        <w:numPr>
          <w:ilvl w:val="0"/>
          <w:numId w:val="41"/>
        </w:numPr>
        <w:spacing w:after="120" w:line="240" w:lineRule="auto"/>
        <w:ind w:left="1071" w:hanging="357"/>
        <w:contextualSpacing w:val="0"/>
        <w:rPr>
          <w:rStyle w:val="Hyperlink"/>
          <w:color w:val="auto"/>
          <w:u w:val="none"/>
        </w:rPr>
      </w:pPr>
      <w:hyperlink r:id="rId13" w:history="1">
        <w:r w:rsidR="001525A3" w:rsidRPr="00812934" w:rsidDel="00A656FB">
          <w:rPr>
            <w:rStyle w:val="Hyperlink"/>
          </w:rPr>
          <w:t>Inclusion Strategy 2021–23</w:t>
        </w:r>
      </w:hyperlink>
    </w:p>
    <w:p w14:paraId="42282A06" w14:textId="1D7625CA" w:rsidR="004B02C7" w:rsidRDefault="00C4356D" w:rsidP="002C1C3F">
      <w:pPr>
        <w:pStyle w:val="ListParagraph"/>
        <w:numPr>
          <w:ilvl w:val="0"/>
          <w:numId w:val="41"/>
        </w:numPr>
        <w:spacing w:after="120" w:line="240" w:lineRule="auto"/>
        <w:ind w:left="1071" w:hanging="357"/>
        <w:contextualSpacing w:val="0"/>
      </w:pPr>
      <w:hyperlink r:id="rId14" w:history="1">
        <w:r w:rsidR="004B02C7" w:rsidRPr="004B02C7">
          <w:rPr>
            <w:rStyle w:val="Hyperlink"/>
            <w:lang w:eastAsia="en-AU"/>
          </w:rPr>
          <w:t>Safety, Health and Wellbeing Strategy 2020-23</w:t>
        </w:r>
      </w:hyperlink>
    </w:p>
    <w:p w14:paraId="03F69B52" w14:textId="15ADA88F" w:rsidR="001525A3" w:rsidRPr="00D53DCC" w:rsidRDefault="001525A3" w:rsidP="002C1C3F">
      <w:pPr>
        <w:pStyle w:val="ListParagraph"/>
        <w:numPr>
          <w:ilvl w:val="0"/>
          <w:numId w:val="41"/>
        </w:numPr>
      </w:pPr>
      <w:r w:rsidRPr="00D53DCC">
        <w:t>Stretch Reconciliation Action Plan 2023-2026</w:t>
      </w:r>
      <w:r w:rsidR="00CC7DE3" w:rsidRPr="00D53DCC">
        <w:t>.</w:t>
      </w:r>
    </w:p>
    <w:p w14:paraId="2824D6B5" w14:textId="661F7F92" w:rsidR="00B11185" w:rsidRPr="005E0A2E" w:rsidRDefault="00B11185" w:rsidP="00B11185">
      <w:pPr>
        <w:pStyle w:val="Heading2"/>
      </w:pPr>
      <w:bookmarkStart w:id="93" w:name="_Hlk139375120"/>
      <w:bookmarkStart w:id="94" w:name="_Hlk139374839"/>
      <w:bookmarkStart w:id="95" w:name="_Hlk135808455"/>
      <w:bookmarkEnd w:id="91"/>
      <w:bookmarkEnd w:id="92"/>
      <w:r>
        <w:t xml:space="preserve">Cross government </w:t>
      </w:r>
      <w:bookmarkEnd w:id="93"/>
      <w:r>
        <w:t>services</w:t>
      </w:r>
    </w:p>
    <w:p w14:paraId="576C1937" w14:textId="2EF43002" w:rsidR="00307889" w:rsidRDefault="00307889" w:rsidP="002C1C3F">
      <w:bookmarkStart w:id="96" w:name="_Hlk139375096"/>
      <w:r>
        <w:t xml:space="preserve">Our footprint covers Australia so our people can work directly with stakeholders. Our workforce of over 3000 people </w:t>
      </w:r>
      <w:r w:rsidR="009458C1">
        <w:t>is</w:t>
      </w:r>
      <w:r w:rsidR="002A0D3A">
        <w:t xml:space="preserve"> situated in </w:t>
      </w:r>
      <w:r>
        <w:t xml:space="preserve">more than 60 locations in Australia and </w:t>
      </w:r>
      <w:r w:rsidRPr="002C1C3F">
        <w:t>overseas</w:t>
      </w:r>
      <w:r>
        <w:t>.</w:t>
      </w:r>
    </w:p>
    <w:p w14:paraId="6E75E354" w14:textId="0899BFC3" w:rsidR="00D60D64" w:rsidRPr="0060521D" w:rsidRDefault="00B11185" w:rsidP="002C1C3F">
      <w:r>
        <w:rPr>
          <w:lang w:val="en-US"/>
        </w:rPr>
        <w:t xml:space="preserve">Our </w:t>
      </w:r>
      <w:r w:rsidR="0045036F" w:rsidRPr="00DA748E">
        <w:t>Business Grants Hub</w:t>
      </w:r>
      <w:r w:rsidR="00D66DF7">
        <w:rPr>
          <w:lang w:val="en-US"/>
        </w:rPr>
        <w:t xml:space="preserve"> </w:t>
      </w:r>
      <w:r>
        <w:rPr>
          <w:lang w:val="en-US"/>
        </w:rPr>
        <w:t>works</w:t>
      </w:r>
      <w:r w:rsidRPr="00FE0F3D">
        <w:rPr>
          <w:lang w:val="en-US"/>
        </w:rPr>
        <w:t xml:space="preserve"> closely with </w:t>
      </w:r>
      <w:r w:rsidRPr="002C1C3F">
        <w:t>policy</w:t>
      </w:r>
      <w:r w:rsidRPr="00FE0F3D">
        <w:rPr>
          <w:lang w:val="en-US"/>
        </w:rPr>
        <w:t xml:space="preserve"> partners </w:t>
      </w:r>
      <w:r>
        <w:rPr>
          <w:lang w:val="en-US"/>
        </w:rPr>
        <w:t>to deliver grant administration services</w:t>
      </w:r>
      <w:r w:rsidRPr="00FE0F3D">
        <w:rPr>
          <w:lang w:val="en-US"/>
        </w:rPr>
        <w:t xml:space="preserve"> </w:t>
      </w:r>
      <w:r>
        <w:rPr>
          <w:lang w:val="en-US"/>
        </w:rPr>
        <w:t xml:space="preserve">in </w:t>
      </w:r>
      <w:r w:rsidRPr="00372DA4">
        <w:rPr>
          <w:lang w:val="en-US"/>
        </w:rPr>
        <w:t>11 different Australian Government agencies</w:t>
      </w:r>
      <w:r>
        <w:rPr>
          <w:lang w:val="en-US"/>
        </w:rPr>
        <w:t xml:space="preserve">. We also </w:t>
      </w:r>
      <w:r>
        <w:t>provide</w:t>
      </w:r>
      <w:r w:rsidRPr="00372DA4">
        <w:t xml:space="preserve"> payroll and financial </w:t>
      </w:r>
      <w:r w:rsidRPr="002C1C3F">
        <w:t>management</w:t>
      </w:r>
      <w:r w:rsidRPr="00372DA4">
        <w:t xml:space="preserve"> systems </w:t>
      </w:r>
      <w:r>
        <w:t>to</w:t>
      </w:r>
      <w:r w:rsidRPr="00372DA4">
        <w:t xml:space="preserve"> 12 </w:t>
      </w:r>
      <w:r w:rsidRPr="00372DA4">
        <w:rPr>
          <w:lang w:val="en-US"/>
        </w:rPr>
        <w:t xml:space="preserve">Australian Government </w:t>
      </w:r>
      <w:r w:rsidRPr="00372DA4">
        <w:t>agencies</w:t>
      </w:r>
      <w:r w:rsidR="00D60D64">
        <w:t>, including our own</w:t>
      </w:r>
      <w:r>
        <w:t xml:space="preserve"> </w:t>
      </w:r>
      <w:r w:rsidR="000F3D2A">
        <w:t>d</w:t>
      </w:r>
      <w:r>
        <w:t>epartment</w:t>
      </w:r>
      <w:r w:rsidRPr="00372DA4">
        <w:t>.</w:t>
      </w:r>
      <w:r>
        <w:t xml:space="preserve"> In 2023–24</w:t>
      </w:r>
      <w:r w:rsidR="003321A3">
        <w:t>,</w:t>
      </w:r>
      <w:r>
        <w:t xml:space="preserve"> we </w:t>
      </w:r>
      <w:r w:rsidRPr="0060521D">
        <w:t>will strengthen our service provision, introduce new ways to measure customer satisfaction and focus on continuous improvement to deliver financially sustainable and cost-effective services.</w:t>
      </w:r>
      <w:bookmarkEnd w:id="96"/>
    </w:p>
    <w:p w14:paraId="573062AA" w14:textId="6F745C5A" w:rsidR="00D66DF7" w:rsidRDefault="006A620B" w:rsidP="002C1C3F">
      <w:pPr>
        <w:rPr>
          <w:rFonts w:eastAsia="Times New Roman"/>
        </w:rPr>
      </w:pPr>
      <w:bookmarkStart w:id="97" w:name="_Hlk139440727"/>
      <w:bookmarkEnd w:id="94"/>
      <w:r>
        <w:t>Through our Single Business Service (</w:t>
      </w:r>
      <w:hyperlink r:id="rId15" w:history="1">
        <w:r w:rsidRPr="00812934">
          <w:rPr>
            <w:rStyle w:val="Hyperlink"/>
          </w:rPr>
          <w:t>business.gov.au</w:t>
        </w:r>
      </w:hyperlink>
      <w:r>
        <w:t xml:space="preserve"> and business contact centre) we provide </w:t>
      </w:r>
      <w:r w:rsidRPr="00404ABB">
        <w:rPr>
          <w:rFonts w:ascii="Calibri" w:eastAsia="Times New Roman" w:hAnsi="Calibri" w:cs="Calibri"/>
          <w:lang w:eastAsia="en-AU"/>
        </w:rPr>
        <w:t>a continuum of support, connecting businesses with information from across all levels of government, depending on what they need and when they need it.</w:t>
      </w:r>
      <w:r>
        <w:rPr>
          <w:rFonts w:ascii="Calibri" w:eastAsia="Times New Roman" w:hAnsi="Calibri" w:cs="Calibri"/>
          <w:lang w:eastAsia="en-AU"/>
        </w:rPr>
        <w:t xml:space="preserve"> In addition, we </w:t>
      </w:r>
      <w:r w:rsidRPr="006A620B">
        <w:rPr>
          <w:rFonts w:ascii="Calibri" w:eastAsia="Times New Roman" w:hAnsi="Calibri" w:cs="Calibri"/>
          <w:lang w:eastAsia="en-AU"/>
        </w:rPr>
        <w:t xml:space="preserve">operate a network of </w:t>
      </w:r>
      <w:r w:rsidR="007C3B7C">
        <w:rPr>
          <w:rFonts w:ascii="Calibri" w:eastAsia="Times New Roman" w:hAnsi="Calibri" w:cs="Calibri"/>
          <w:lang w:eastAsia="en-AU"/>
        </w:rPr>
        <w:t>r</w:t>
      </w:r>
      <w:r w:rsidRPr="006A620B">
        <w:rPr>
          <w:rFonts w:ascii="Calibri" w:eastAsia="Times New Roman" w:hAnsi="Calibri" w:cs="Calibri"/>
          <w:lang w:eastAsia="en-AU"/>
        </w:rPr>
        <w:t xml:space="preserve">egional </w:t>
      </w:r>
      <w:r w:rsidR="007C3B7C">
        <w:rPr>
          <w:rFonts w:ascii="Calibri" w:eastAsia="Times New Roman" w:hAnsi="Calibri" w:cs="Calibri"/>
          <w:lang w:eastAsia="en-AU"/>
        </w:rPr>
        <w:t>m</w:t>
      </w:r>
      <w:r w:rsidRPr="006A620B">
        <w:rPr>
          <w:rFonts w:ascii="Calibri" w:eastAsia="Times New Roman" w:hAnsi="Calibri" w:cs="Calibri"/>
          <w:lang w:eastAsia="en-AU"/>
        </w:rPr>
        <w:t>anagers across the country who are connected to regions, communities and industries and provide a local business connection.</w:t>
      </w:r>
      <w:r>
        <w:rPr>
          <w:rFonts w:ascii="Calibri" w:eastAsia="Times New Roman" w:hAnsi="Calibri" w:cs="Calibri"/>
          <w:lang w:eastAsia="en-AU"/>
        </w:rPr>
        <w:t xml:space="preserve"> </w:t>
      </w:r>
      <w:r>
        <w:rPr>
          <w:rFonts w:eastAsia="Times New Roman"/>
        </w:rPr>
        <w:t xml:space="preserve">AusIndustry </w:t>
      </w:r>
      <w:r w:rsidR="007C3B7C" w:rsidRPr="002C1C3F">
        <w:t>r</w:t>
      </w:r>
      <w:r w:rsidRPr="002C1C3F">
        <w:t>egional</w:t>
      </w:r>
      <w:r>
        <w:rPr>
          <w:rFonts w:eastAsia="Times New Roman"/>
        </w:rPr>
        <w:t xml:space="preserve"> </w:t>
      </w:r>
      <w:r w:rsidR="007C3B7C">
        <w:rPr>
          <w:rFonts w:eastAsia="Times New Roman"/>
        </w:rPr>
        <w:t>m</w:t>
      </w:r>
      <w:r>
        <w:rPr>
          <w:rFonts w:eastAsia="Times New Roman"/>
        </w:rPr>
        <w:t xml:space="preserve">anagers </w:t>
      </w:r>
      <w:r w:rsidRPr="00B20E8F">
        <w:rPr>
          <w:rFonts w:eastAsia="Times New Roman"/>
        </w:rPr>
        <w:t>nurture partnerships and networks, provide connections, and help businesses navigate local, state and federal</w:t>
      </w:r>
      <w:r>
        <w:rPr>
          <w:rFonts w:eastAsia="Times New Roman"/>
        </w:rPr>
        <w:t xml:space="preserve"> government</w:t>
      </w:r>
      <w:r w:rsidRPr="00B20E8F">
        <w:rPr>
          <w:rFonts w:eastAsia="Times New Roman"/>
        </w:rPr>
        <w:t>.</w:t>
      </w:r>
      <w:r>
        <w:rPr>
          <w:rFonts w:eastAsia="Times New Roman"/>
        </w:rPr>
        <w:t xml:space="preserve"> More than 80</w:t>
      </w:r>
      <w:r w:rsidR="00761640">
        <w:rPr>
          <w:rFonts w:eastAsia="Times New Roman"/>
        </w:rPr>
        <w:t xml:space="preserve"> per cent</w:t>
      </w:r>
      <w:r>
        <w:rPr>
          <w:rFonts w:eastAsia="Times New Roman"/>
        </w:rPr>
        <w:t xml:space="preserve"> of all businesses in Australia </w:t>
      </w:r>
      <w:r w:rsidRPr="00F7010C">
        <w:rPr>
          <w:rFonts w:eastAsia="Times New Roman"/>
        </w:rPr>
        <w:t xml:space="preserve">are within 60km of an AusIndustry </w:t>
      </w:r>
      <w:r w:rsidR="007C3B7C">
        <w:rPr>
          <w:rFonts w:eastAsia="Times New Roman"/>
        </w:rPr>
        <w:t>r</w:t>
      </w:r>
      <w:r w:rsidRPr="00F7010C">
        <w:rPr>
          <w:rFonts w:eastAsia="Times New Roman"/>
        </w:rPr>
        <w:t xml:space="preserve">egional </w:t>
      </w:r>
      <w:r w:rsidR="007C3B7C">
        <w:rPr>
          <w:rFonts w:eastAsia="Times New Roman"/>
        </w:rPr>
        <w:t>m</w:t>
      </w:r>
      <w:r w:rsidRPr="00F7010C">
        <w:rPr>
          <w:rFonts w:eastAsia="Times New Roman"/>
        </w:rPr>
        <w:t>anager.</w:t>
      </w:r>
      <w:r>
        <w:rPr>
          <w:rFonts w:eastAsia="Times New Roman"/>
        </w:rPr>
        <w:t xml:space="preserve"> </w:t>
      </w:r>
    </w:p>
    <w:p w14:paraId="7600B4C5" w14:textId="22C26672" w:rsidR="006A620B" w:rsidRPr="00133E0E" w:rsidRDefault="006A620B" w:rsidP="00B35079">
      <w:pPr>
        <w:rPr>
          <w:rFonts w:eastAsia="Times New Roman"/>
        </w:rPr>
      </w:pPr>
      <w:r>
        <w:rPr>
          <w:rFonts w:eastAsia="Times New Roman"/>
        </w:rPr>
        <w:t>In</w:t>
      </w:r>
      <w:r w:rsidR="00E87C92">
        <w:rPr>
          <w:rFonts w:eastAsia="Times New Roman"/>
        </w:rPr>
        <w:t xml:space="preserve"> </w:t>
      </w:r>
      <w:r>
        <w:rPr>
          <w:rFonts w:eastAsia="Times New Roman"/>
        </w:rPr>
        <w:t>2023-24</w:t>
      </w:r>
      <w:r w:rsidR="001D1055">
        <w:rPr>
          <w:rFonts w:eastAsia="Times New Roman"/>
        </w:rPr>
        <w:t>,</w:t>
      </w:r>
      <w:r>
        <w:rPr>
          <w:rFonts w:eastAsia="Times New Roman"/>
        </w:rPr>
        <w:t xml:space="preserve"> we will review the Single Business Service to </w:t>
      </w:r>
      <w:r w:rsidRPr="006A620B">
        <w:rPr>
          <w:rFonts w:eastAsia="Times New Roman"/>
        </w:rPr>
        <w:t xml:space="preserve">ensure </w:t>
      </w:r>
      <w:r>
        <w:rPr>
          <w:rFonts w:eastAsia="Times New Roman"/>
        </w:rPr>
        <w:t xml:space="preserve">continuous improvement </w:t>
      </w:r>
      <w:r w:rsidRPr="006A620B">
        <w:rPr>
          <w:rFonts w:eastAsia="Times New Roman"/>
        </w:rPr>
        <w:t>and align</w:t>
      </w:r>
      <w:r>
        <w:rPr>
          <w:rFonts w:eastAsia="Times New Roman"/>
        </w:rPr>
        <w:t>ment</w:t>
      </w:r>
      <w:r w:rsidRPr="006A620B">
        <w:rPr>
          <w:rFonts w:eastAsia="Times New Roman"/>
        </w:rPr>
        <w:t xml:space="preserve"> with whole-of-government service delivery models</w:t>
      </w:r>
      <w:r w:rsidR="007C3B7C">
        <w:rPr>
          <w:rFonts w:eastAsia="Times New Roman"/>
        </w:rPr>
        <w:t xml:space="preserve">, and </w:t>
      </w:r>
      <w:r w:rsidR="009D3D03">
        <w:rPr>
          <w:rFonts w:eastAsia="Times New Roman"/>
        </w:rPr>
        <w:t xml:space="preserve">the </w:t>
      </w:r>
      <w:r w:rsidR="007C3B7C">
        <w:rPr>
          <w:rFonts w:eastAsia="Times New Roman"/>
        </w:rPr>
        <w:t>r</w:t>
      </w:r>
      <w:r w:rsidR="009D3D03">
        <w:rPr>
          <w:rFonts w:eastAsia="Times New Roman"/>
        </w:rPr>
        <w:t xml:space="preserve">egional </w:t>
      </w:r>
      <w:r w:rsidR="007C3B7C">
        <w:rPr>
          <w:rFonts w:eastAsia="Times New Roman"/>
        </w:rPr>
        <w:t>m</w:t>
      </w:r>
      <w:r w:rsidR="009D3D03">
        <w:rPr>
          <w:rFonts w:eastAsia="Times New Roman"/>
        </w:rPr>
        <w:t xml:space="preserve">anagers network will include two First Nations </w:t>
      </w:r>
      <w:r w:rsidR="007C3B7C">
        <w:rPr>
          <w:rFonts w:eastAsia="Times New Roman"/>
        </w:rPr>
        <w:t>r</w:t>
      </w:r>
      <w:r w:rsidR="009D3D03">
        <w:rPr>
          <w:rFonts w:eastAsia="Times New Roman"/>
        </w:rPr>
        <w:t xml:space="preserve">egional </w:t>
      </w:r>
      <w:r w:rsidR="007C3B7C">
        <w:rPr>
          <w:rFonts w:eastAsia="Times New Roman"/>
        </w:rPr>
        <w:t>m</w:t>
      </w:r>
      <w:r w:rsidR="009D3D03">
        <w:rPr>
          <w:rFonts w:eastAsia="Times New Roman"/>
        </w:rPr>
        <w:t>anagers dedicated to supporting First Nations businesses.</w:t>
      </w:r>
      <w:bookmarkEnd w:id="97"/>
    </w:p>
    <w:p w14:paraId="70C465CD" w14:textId="05B43E10" w:rsidR="007A08DF" w:rsidRPr="007A08DF" w:rsidRDefault="007A08DF" w:rsidP="007A08DF">
      <w:pPr>
        <w:rPr>
          <w:rFonts w:eastAsia="Times New Roman"/>
        </w:rPr>
      </w:pPr>
      <w:r w:rsidRPr="007A08DF">
        <w:rPr>
          <w:rFonts w:eastAsia="Times New Roman"/>
        </w:rPr>
        <w:t xml:space="preserve">We have been working across government to understand the impacts of Artificial Intelligence (AI) technologies. We recently partnered with the </w:t>
      </w:r>
      <w:r w:rsidR="0045036F" w:rsidRPr="00584A45">
        <w:t>Digital Transformation Agency (DTA)</w:t>
      </w:r>
      <w:r w:rsidRPr="007A08DF">
        <w:rPr>
          <w:rFonts w:eastAsia="Times New Roman"/>
        </w:rPr>
        <w:t xml:space="preserve"> to release </w:t>
      </w:r>
      <w:r w:rsidR="001F0E08">
        <w:rPr>
          <w:rFonts w:eastAsia="Times New Roman"/>
        </w:rPr>
        <w:t xml:space="preserve">interim guidance on the use of generative AI platforms </w:t>
      </w:r>
      <w:r w:rsidRPr="007A08DF">
        <w:rPr>
          <w:rFonts w:eastAsia="Times New Roman"/>
        </w:rPr>
        <w:t xml:space="preserve">to all Australian Government agencies as an initial step in the responsible and safe use of these technologies, ensuring we are able to explore the opportunities while managing the risks. During 2023-24 we will continue this important work jointly with </w:t>
      </w:r>
      <w:r w:rsidR="000546A8">
        <w:rPr>
          <w:rFonts w:eastAsia="Times New Roman"/>
        </w:rPr>
        <w:t xml:space="preserve">the </w:t>
      </w:r>
      <w:r w:rsidRPr="007A08DF">
        <w:rPr>
          <w:rFonts w:eastAsia="Times New Roman"/>
        </w:rPr>
        <w:t>DTA</w:t>
      </w:r>
      <w:r w:rsidR="00AE3118">
        <w:rPr>
          <w:rFonts w:eastAsia="Times New Roman"/>
        </w:rPr>
        <w:t xml:space="preserve"> and</w:t>
      </w:r>
      <w:r w:rsidRPr="007A08DF">
        <w:rPr>
          <w:rFonts w:eastAsia="Times New Roman"/>
        </w:rPr>
        <w:t xml:space="preserve"> a cross-agency taskforce.</w:t>
      </w:r>
    </w:p>
    <w:p w14:paraId="0F29F35B" w14:textId="6C0730E7" w:rsidR="00B11185" w:rsidRPr="00217D6C" w:rsidRDefault="00B11185" w:rsidP="00B11185">
      <w:pPr>
        <w:pStyle w:val="Heading2"/>
      </w:pPr>
      <w:r>
        <w:t>Technology and data</w:t>
      </w:r>
    </w:p>
    <w:p w14:paraId="69A26E6A" w14:textId="1D0CDF3A" w:rsidR="00FF6B8A" w:rsidRDefault="00FF6B8A" w:rsidP="218580CA">
      <w:r>
        <w:t>Data and digital capabilities are key to all elements of our policy and program responsibilities. We will continue to leverage and build our data and digital capabilities to inform policy development and program delivery</w:t>
      </w:r>
      <w:r w:rsidR="007470E0">
        <w:t>,</w:t>
      </w:r>
      <w:r>
        <w:t xml:space="preserve"> </w:t>
      </w:r>
      <w:r w:rsidR="00C96E88">
        <w:t xml:space="preserve">and </w:t>
      </w:r>
      <w:r>
        <w:t xml:space="preserve">achieve better outcomes. Through the </w:t>
      </w:r>
      <w:hyperlink r:id="rId16" w:history="1">
        <w:r w:rsidRPr="00D66DF7">
          <w:rPr>
            <w:rStyle w:val="Hyperlink"/>
          </w:rPr>
          <w:t>Data and Digital Government Strategy</w:t>
        </w:r>
      </w:hyperlink>
      <w:r>
        <w:t xml:space="preserve">, the </w:t>
      </w:r>
      <w:r w:rsidR="00B35079" w:rsidRPr="00EA5706">
        <w:t>g</w:t>
      </w:r>
      <w:r w:rsidRPr="00EA5706">
        <w:t>overnment</w:t>
      </w:r>
      <w:r>
        <w:t xml:space="preserve"> has </w:t>
      </w:r>
      <w:r w:rsidR="00B35079">
        <w:t>provided</w:t>
      </w:r>
      <w:r>
        <w:t xml:space="preserve"> a vision that simple, secure and connected public services will be delivered for all people and business </w:t>
      </w:r>
      <w:r w:rsidRPr="004E4223">
        <w:t>through world</w:t>
      </w:r>
      <w:r w:rsidR="00B35079" w:rsidRPr="004E4223">
        <w:t>-</w:t>
      </w:r>
      <w:r w:rsidRPr="004E4223">
        <w:t>class data a</w:t>
      </w:r>
      <w:r>
        <w:t>nd digital capabilities by 2030.</w:t>
      </w:r>
    </w:p>
    <w:p w14:paraId="0A883A0A" w14:textId="08C6C097" w:rsidR="00B11185" w:rsidRDefault="00B11185" w:rsidP="218580CA">
      <w:r w:rsidRPr="19452A86">
        <w:rPr>
          <w:color w:val="000000" w:themeColor="text1"/>
        </w:rPr>
        <w:t>In 2023–24</w:t>
      </w:r>
      <w:r w:rsidR="00134DAF">
        <w:rPr>
          <w:color w:val="000000" w:themeColor="text1"/>
        </w:rPr>
        <w:t>,</w:t>
      </w:r>
      <w:r w:rsidRPr="19452A86">
        <w:rPr>
          <w:color w:val="000000" w:themeColor="text1"/>
        </w:rPr>
        <w:t xml:space="preserve"> we will focus on delivering </w:t>
      </w:r>
      <w:r w:rsidR="00624A23">
        <w:rPr>
          <w:color w:val="000000" w:themeColor="text1"/>
        </w:rPr>
        <w:t xml:space="preserve">secure </w:t>
      </w:r>
      <w:r w:rsidRPr="19452A86">
        <w:rPr>
          <w:color w:val="000000" w:themeColor="text1"/>
        </w:rPr>
        <w:t xml:space="preserve">technology platforms that provide effective and efficient services, and make it </w:t>
      </w:r>
      <w:r w:rsidR="00C96E88">
        <w:rPr>
          <w:color w:val="000000" w:themeColor="text1"/>
        </w:rPr>
        <w:t>easier</w:t>
      </w:r>
      <w:r w:rsidR="00C96E88" w:rsidRPr="19452A86">
        <w:rPr>
          <w:color w:val="000000" w:themeColor="text1"/>
        </w:rPr>
        <w:t xml:space="preserve"> </w:t>
      </w:r>
      <w:r w:rsidRPr="19452A86">
        <w:rPr>
          <w:color w:val="000000" w:themeColor="text1"/>
        </w:rPr>
        <w:t xml:space="preserve">to innovate, collaborate and communicate. </w:t>
      </w:r>
      <w:r w:rsidR="00E057E4">
        <w:rPr>
          <w:color w:val="000000" w:themeColor="text1"/>
        </w:rPr>
        <w:t xml:space="preserve">We will </w:t>
      </w:r>
      <w:r w:rsidRPr="19452A86">
        <w:rPr>
          <w:color w:val="000000" w:themeColor="text1"/>
        </w:rPr>
        <w:t xml:space="preserve">seek to </w:t>
      </w:r>
      <w:r w:rsidR="00B35079" w:rsidRPr="19452A86">
        <w:rPr>
          <w:color w:val="000000" w:themeColor="text1"/>
        </w:rPr>
        <w:t xml:space="preserve">continuously </w:t>
      </w:r>
      <w:r w:rsidRPr="19452A86">
        <w:rPr>
          <w:color w:val="000000" w:themeColor="text1"/>
        </w:rPr>
        <w:t xml:space="preserve">improve the products and services our </w:t>
      </w:r>
      <w:r w:rsidR="002457D8" w:rsidRPr="19452A86">
        <w:rPr>
          <w:color w:val="000000" w:themeColor="text1"/>
        </w:rPr>
        <w:t>employees</w:t>
      </w:r>
      <w:r w:rsidRPr="19452A86">
        <w:rPr>
          <w:color w:val="000000" w:themeColor="text1"/>
        </w:rPr>
        <w:t xml:space="preserve"> use to do their best work while delivering innovative digital products that improve outcomes for </w:t>
      </w:r>
      <w:r w:rsidR="00F1355D">
        <w:rPr>
          <w:color w:val="000000" w:themeColor="text1"/>
        </w:rPr>
        <w:t>our customers</w:t>
      </w:r>
      <w:r w:rsidR="00E87C92">
        <w:rPr>
          <w:color w:val="000000" w:themeColor="text1"/>
        </w:rPr>
        <w:t>.</w:t>
      </w:r>
    </w:p>
    <w:p w14:paraId="27274556" w14:textId="6C9E41A0" w:rsidR="00B11185" w:rsidRPr="004E4223" w:rsidRDefault="00C96E88" w:rsidP="218580CA">
      <w:r>
        <w:t>O</w:t>
      </w:r>
      <w:r w:rsidR="00B11185">
        <w:t xml:space="preserve">ur </w:t>
      </w:r>
      <w:r w:rsidR="00B11185" w:rsidRPr="004E4223">
        <w:t xml:space="preserve">priority is to create a sustainable </w:t>
      </w:r>
      <w:r w:rsidR="00B11185" w:rsidRPr="00B4714B">
        <w:t>ICT</w:t>
      </w:r>
      <w:r w:rsidR="00B11185" w:rsidRPr="004E4223">
        <w:t xml:space="preserve"> environment that delivers </w:t>
      </w:r>
      <w:r w:rsidR="00B11185" w:rsidRPr="004E4223">
        <w:rPr>
          <w:rFonts w:eastAsia="Calibri"/>
        </w:rPr>
        <w:t>effective workplace collaboration, innovatio</w:t>
      </w:r>
      <w:r w:rsidR="00B11185" w:rsidRPr="004E4223">
        <w:t>n</w:t>
      </w:r>
      <w:r w:rsidR="00B11185" w:rsidRPr="004E4223">
        <w:rPr>
          <w:rFonts w:eastAsia="Calibri"/>
        </w:rPr>
        <w:t>, security management,</w:t>
      </w:r>
      <w:r w:rsidR="00B11185" w:rsidRPr="004E4223">
        <w:t xml:space="preserve"> and </w:t>
      </w:r>
      <w:r w:rsidR="00B11185" w:rsidRPr="004E4223">
        <w:rPr>
          <w:rFonts w:eastAsia="Calibri"/>
        </w:rPr>
        <w:t>greater staff productivity.</w:t>
      </w:r>
      <w:r w:rsidR="00B11185" w:rsidRPr="004E4223">
        <w:t xml:space="preserve"> </w:t>
      </w:r>
      <w:r w:rsidR="00624A23">
        <w:t xml:space="preserve">Underpinning this is </w:t>
      </w:r>
      <w:r w:rsidR="00B84660">
        <w:t>the need to keep our data safe</w:t>
      </w:r>
      <w:r>
        <w:t>, which</w:t>
      </w:r>
      <w:r w:rsidR="00B11185" w:rsidRPr="004E4223">
        <w:t xml:space="preserve"> will </w:t>
      </w:r>
      <w:r w:rsidR="00B11185" w:rsidRPr="004E4223">
        <w:rPr>
          <w:lang w:eastAsia="en-AU"/>
        </w:rPr>
        <w:t>build our status as a mature, data-driven organisation</w:t>
      </w:r>
      <w:r w:rsidR="00B11185" w:rsidRPr="004E4223">
        <w:t>.</w:t>
      </w:r>
    </w:p>
    <w:p w14:paraId="289BB475" w14:textId="0E488892" w:rsidR="00B11185" w:rsidRPr="009B433E" w:rsidRDefault="00B11185" w:rsidP="002C1C3F">
      <w:r w:rsidRPr="19452A86">
        <w:rPr>
          <w:color w:val="000000" w:themeColor="text1"/>
        </w:rPr>
        <w:t>Our Digital Strategy</w:t>
      </w:r>
      <w:r w:rsidR="00B35079" w:rsidRPr="19452A86">
        <w:rPr>
          <w:color w:val="000000" w:themeColor="text1"/>
        </w:rPr>
        <w:t xml:space="preserve"> </w:t>
      </w:r>
      <w:r w:rsidRPr="19452A86">
        <w:rPr>
          <w:color w:val="000000" w:themeColor="text1"/>
        </w:rPr>
        <w:t xml:space="preserve">focusses on realising our purpose, and </w:t>
      </w:r>
      <w:r w:rsidRPr="002C1C3F">
        <w:t>details</w:t>
      </w:r>
      <w:r w:rsidRPr="19452A86">
        <w:rPr>
          <w:color w:val="000000" w:themeColor="text1"/>
        </w:rPr>
        <w:t xml:space="preserve"> how we can:</w:t>
      </w:r>
    </w:p>
    <w:p w14:paraId="7866B987" w14:textId="1186D058" w:rsidR="00B11185" w:rsidRPr="009B433E" w:rsidRDefault="00CC7DE3" w:rsidP="002C1C3F">
      <w:pPr>
        <w:pStyle w:val="ListParagraph"/>
        <w:numPr>
          <w:ilvl w:val="0"/>
          <w:numId w:val="23"/>
        </w:numPr>
        <w:shd w:val="clear" w:color="auto" w:fill="FFFFFF" w:themeFill="background1"/>
        <w:spacing w:after="120" w:line="240" w:lineRule="auto"/>
        <w:ind w:left="765" w:hanging="357"/>
        <w:contextualSpacing w:val="0"/>
      </w:pPr>
      <w:r w:rsidRPr="19452A86">
        <w:rPr>
          <w:color w:val="000000" w:themeColor="text1"/>
        </w:rPr>
        <w:t>p</w:t>
      </w:r>
      <w:r w:rsidR="00B11185" w:rsidRPr="19452A86">
        <w:rPr>
          <w:color w:val="000000" w:themeColor="text1"/>
        </w:rPr>
        <w:t>rotect and value digital information</w:t>
      </w:r>
    </w:p>
    <w:p w14:paraId="17E865C2" w14:textId="7BF38CB1" w:rsidR="00B11185" w:rsidRPr="009B433E" w:rsidRDefault="00CC7DE3" w:rsidP="002C1C3F">
      <w:pPr>
        <w:pStyle w:val="ListParagraph"/>
        <w:numPr>
          <w:ilvl w:val="0"/>
          <w:numId w:val="23"/>
        </w:numPr>
        <w:shd w:val="clear" w:color="auto" w:fill="FFFFFF" w:themeFill="background1"/>
        <w:spacing w:after="120" w:line="240" w:lineRule="auto"/>
        <w:ind w:left="765" w:hanging="357"/>
        <w:contextualSpacing w:val="0"/>
      </w:pPr>
      <w:r w:rsidRPr="19452A86">
        <w:rPr>
          <w:color w:val="000000" w:themeColor="text1"/>
        </w:rPr>
        <w:t>m</w:t>
      </w:r>
      <w:r w:rsidR="00B11185" w:rsidRPr="19452A86">
        <w:rPr>
          <w:color w:val="000000" w:themeColor="text1"/>
        </w:rPr>
        <w:t>aintain and build our workforce capability</w:t>
      </w:r>
    </w:p>
    <w:p w14:paraId="499484BD" w14:textId="49696281" w:rsidR="00B11185" w:rsidRPr="009B433E" w:rsidRDefault="00CC7DE3" w:rsidP="002C1C3F">
      <w:pPr>
        <w:pStyle w:val="ListParagraph"/>
        <w:numPr>
          <w:ilvl w:val="0"/>
          <w:numId w:val="23"/>
        </w:numPr>
        <w:shd w:val="clear" w:color="auto" w:fill="FFFFFF" w:themeFill="background1"/>
        <w:spacing w:after="120" w:line="240" w:lineRule="auto"/>
        <w:ind w:left="765" w:hanging="357"/>
        <w:contextualSpacing w:val="0"/>
      </w:pPr>
      <w:r w:rsidRPr="19452A86">
        <w:rPr>
          <w:color w:val="000000" w:themeColor="text1"/>
        </w:rPr>
        <w:t>e</w:t>
      </w:r>
      <w:r w:rsidR="00B11185" w:rsidRPr="19452A86">
        <w:rPr>
          <w:color w:val="000000" w:themeColor="text1"/>
        </w:rPr>
        <w:t>stablish shared expectations of digital delivery</w:t>
      </w:r>
    </w:p>
    <w:p w14:paraId="61B52884" w14:textId="6AF4C09C" w:rsidR="00B11185" w:rsidRPr="009B433E" w:rsidRDefault="00CC7DE3" w:rsidP="002C1C3F">
      <w:pPr>
        <w:pStyle w:val="ListParagraph"/>
        <w:numPr>
          <w:ilvl w:val="0"/>
          <w:numId w:val="23"/>
        </w:numPr>
        <w:shd w:val="clear" w:color="auto" w:fill="FFFFFF" w:themeFill="background1"/>
        <w:spacing w:after="120" w:line="240" w:lineRule="auto"/>
        <w:ind w:left="765" w:hanging="357"/>
        <w:contextualSpacing w:val="0"/>
      </w:pPr>
      <w:r w:rsidRPr="19452A86">
        <w:rPr>
          <w:color w:val="000000" w:themeColor="text1"/>
        </w:rPr>
        <w:t>b</w:t>
      </w:r>
      <w:r w:rsidR="00B11185" w:rsidRPr="19452A86">
        <w:rPr>
          <w:color w:val="000000" w:themeColor="text1"/>
        </w:rPr>
        <w:t>uild financial sustainability and predictability</w:t>
      </w:r>
    </w:p>
    <w:p w14:paraId="7DE03255" w14:textId="322FEB05" w:rsidR="00B11185" w:rsidRPr="009B433E" w:rsidRDefault="00CC7DE3" w:rsidP="00EF0C08">
      <w:pPr>
        <w:pStyle w:val="ListParagraph"/>
        <w:numPr>
          <w:ilvl w:val="0"/>
          <w:numId w:val="23"/>
        </w:numPr>
        <w:shd w:val="clear" w:color="auto" w:fill="FFFFFF" w:themeFill="background1"/>
        <w:contextualSpacing w:val="0"/>
      </w:pPr>
      <w:r w:rsidRPr="19452A86">
        <w:rPr>
          <w:color w:val="000000" w:themeColor="text1"/>
        </w:rPr>
        <w:t>u</w:t>
      </w:r>
      <w:r w:rsidR="00B11185" w:rsidRPr="19452A86">
        <w:rPr>
          <w:color w:val="000000" w:themeColor="text1"/>
        </w:rPr>
        <w:t xml:space="preserve">plift </w:t>
      </w:r>
      <w:r w:rsidR="00181A5E">
        <w:rPr>
          <w:color w:val="000000" w:themeColor="text1"/>
        </w:rPr>
        <w:t xml:space="preserve">the </w:t>
      </w:r>
      <w:r w:rsidR="00B11185" w:rsidRPr="19452A86">
        <w:rPr>
          <w:color w:val="000000" w:themeColor="text1"/>
        </w:rPr>
        <w:t>digital experience for staff</w:t>
      </w:r>
      <w:r w:rsidR="00AE2A08">
        <w:rPr>
          <w:color w:val="000000" w:themeColor="text1"/>
        </w:rPr>
        <w:t>.</w:t>
      </w:r>
    </w:p>
    <w:p w14:paraId="1CF7D3AD" w14:textId="4CE0A471" w:rsidR="00B11185" w:rsidRPr="009B433E" w:rsidRDefault="002457D8" w:rsidP="002C1C3F">
      <w:r w:rsidRPr="19452A86">
        <w:rPr>
          <w:color w:val="000000" w:themeColor="text1"/>
        </w:rPr>
        <w:t xml:space="preserve">We will </w:t>
      </w:r>
      <w:r w:rsidR="00D66DF7">
        <w:rPr>
          <w:color w:val="000000" w:themeColor="text1"/>
        </w:rPr>
        <w:t>strengthen</w:t>
      </w:r>
      <w:r w:rsidRPr="19452A86">
        <w:rPr>
          <w:color w:val="000000" w:themeColor="text1"/>
        </w:rPr>
        <w:t xml:space="preserve"> our reputation as an exciting place to work b</w:t>
      </w:r>
      <w:r w:rsidR="00B11185" w:rsidRPr="19452A86">
        <w:rPr>
          <w:color w:val="000000" w:themeColor="text1"/>
        </w:rPr>
        <w:t xml:space="preserve">y focusing on the digital literacy, accessibility, and efficiency of our </w:t>
      </w:r>
      <w:r w:rsidRPr="002C1C3F">
        <w:t>employees</w:t>
      </w:r>
      <w:r w:rsidR="00B11185" w:rsidRPr="19452A86">
        <w:rPr>
          <w:color w:val="000000" w:themeColor="text1"/>
        </w:rPr>
        <w:t>, and exploring ways to leverage emerging technology</w:t>
      </w:r>
      <w:r w:rsidRPr="19452A86">
        <w:rPr>
          <w:color w:val="000000" w:themeColor="text1"/>
        </w:rPr>
        <w:t>.</w:t>
      </w:r>
    </w:p>
    <w:p w14:paraId="34672E4C" w14:textId="7F2EF83A" w:rsidR="00FF6B8A" w:rsidRPr="00721750" w:rsidRDefault="00FF6B8A" w:rsidP="002C1C3F">
      <w:bookmarkStart w:id="98" w:name="_Hlk136336866"/>
      <w:bookmarkStart w:id="99" w:name="_Hlk137021011"/>
      <w:bookmarkStart w:id="100" w:name="_Toc106271235"/>
      <w:bookmarkStart w:id="101" w:name="_Hlk135806623"/>
      <w:bookmarkEnd w:id="87"/>
      <w:bookmarkEnd w:id="95"/>
      <w:r w:rsidRPr="00721750">
        <w:t xml:space="preserve">As we continue implementing our </w:t>
      </w:r>
      <w:hyperlink r:id="rId17">
        <w:r w:rsidRPr="00882A8B">
          <w:rPr>
            <w:rStyle w:val="Hyperlink"/>
            <w:lang w:eastAsia="en-AU"/>
          </w:rPr>
          <w:t>Data Strategy 2021–24</w:t>
        </w:r>
      </w:hyperlink>
      <w:r>
        <w:rPr>
          <w:lang w:eastAsia="en-AU"/>
        </w:rPr>
        <w:t xml:space="preserve">, </w:t>
      </w:r>
      <w:r>
        <w:t>we are maximising the value of data and embedding data across our policies and program</w:t>
      </w:r>
      <w:r w:rsidRPr="00721750">
        <w:t xml:space="preserve">. </w:t>
      </w:r>
      <w:r w:rsidR="00E07139">
        <w:t>The s</w:t>
      </w:r>
      <w:r w:rsidRPr="00721750">
        <w:t xml:space="preserve">trategy </w:t>
      </w:r>
      <w:r>
        <w:t>covers</w:t>
      </w:r>
      <w:r w:rsidRPr="00721750">
        <w:t xml:space="preserve"> all facets of the </w:t>
      </w:r>
      <w:r w:rsidR="002457D8">
        <w:t>d</w:t>
      </w:r>
      <w:r w:rsidRPr="00721750">
        <w:t>epartment’s operation – from back-office functions to our core business</w:t>
      </w:r>
      <w:r w:rsidR="002457D8">
        <w:t>,</w:t>
      </w:r>
      <w:r w:rsidRPr="00721750">
        <w:t xml:space="preserve"> </w:t>
      </w:r>
      <w:r w:rsidRPr="002C1C3F">
        <w:t>which</w:t>
      </w:r>
      <w:r w:rsidRPr="00721750">
        <w:t xml:space="preserve"> includes timely and accurate reporting, evidence-based policy formulation and evaluation.</w:t>
      </w:r>
    </w:p>
    <w:p w14:paraId="7567EECD" w14:textId="3E7A8028" w:rsidR="00FF6B8A" w:rsidRPr="00FF6B8A" w:rsidRDefault="00FF6B8A" w:rsidP="002C1C3F">
      <w:pPr>
        <w:rPr>
          <w:color w:val="000000" w:themeColor="text1"/>
        </w:rPr>
      </w:pPr>
      <w:r w:rsidRPr="00721750">
        <w:t xml:space="preserve">Our </w:t>
      </w:r>
      <w:r w:rsidRPr="19452A86">
        <w:rPr>
          <w:color w:val="000000" w:themeColor="text1"/>
        </w:rPr>
        <w:t xml:space="preserve">growing </w:t>
      </w:r>
      <w:r w:rsidR="00E07139">
        <w:rPr>
          <w:color w:val="000000" w:themeColor="text1"/>
        </w:rPr>
        <w:t xml:space="preserve">data </w:t>
      </w:r>
      <w:r w:rsidRPr="19452A86">
        <w:rPr>
          <w:color w:val="000000" w:themeColor="text1"/>
        </w:rPr>
        <w:t>maturity empower</w:t>
      </w:r>
      <w:r w:rsidR="00E07139">
        <w:rPr>
          <w:color w:val="000000" w:themeColor="text1"/>
        </w:rPr>
        <w:t>s</w:t>
      </w:r>
      <w:r w:rsidRPr="19452A86">
        <w:rPr>
          <w:color w:val="000000" w:themeColor="text1"/>
        </w:rPr>
        <w:t xml:space="preserve"> our employees to use:</w:t>
      </w:r>
    </w:p>
    <w:p w14:paraId="2F411C78" w14:textId="7C935F43" w:rsidR="00FF6B8A" w:rsidRPr="002457D8" w:rsidRDefault="002457D8" w:rsidP="002C1C3F">
      <w:pPr>
        <w:pStyle w:val="ListParagraph"/>
        <w:numPr>
          <w:ilvl w:val="0"/>
          <w:numId w:val="19"/>
        </w:numPr>
        <w:spacing w:after="120" w:line="240" w:lineRule="auto"/>
        <w:ind w:left="714" w:hanging="357"/>
        <w:contextualSpacing w:val="0"/>
        <w:rPr>
          <w:color w:val="000000" w:themeColor="text1"/>
        </w:rPr>
      </w:pPr>
      <w:r w:rsidRPr="19452A86">
        <w:rPr>
          <w:color w:val="000000" w:themeColor="text1"/>
        </w:rPr>
        <w:t>i</w:t>
      </w:r>
      <w:r w:rsidR="00FF6B8A" w:rsidRPr="19452A86">
        <w:rPr>
          <w:color w:val="000000" w:themeColor="text1"/>
        </w:rPr>
        <w:t>ncreasingly sophisticated modelling and machine learning tools through a data science platform</w:t>
      </w:r>
    </w:p>
    <w:p w14:paraId="6FEDF3F1" w14:textId="3CBA7A49" w:rsidR="00FF6B8A" w:rsidRPr="002457D8" w:rsidRDefault="002457D8" w:rsidP="002C1C3F">
      <w:pPr>
        <w:pStyle w:val="ListParagraph"/>
        <w:numPr>
          <w:ilvl w:val="0"/>
          <w:numId w:val="19"/>
        </w:numPr>
        <w:spacing w:after="120" w:line="240" w:lineRule="auto"/>
        <w:ind w:left="714" w:hanging="357"/>
        <w:contextualSpacing w:val="0"/>
        <w:rPr>
          <w:color w:val="000000" w:themeColor="text1"/>
        </w:rPr>
      </w:pPr>
      <w:r w:rsidRPr="19452A86">
        <w:rPr>
          <w:color w:val="000000" w:themeColor="text1"/>
        </w:rPr>
        <w:t>l</w:t>
      </w:r>
      <w:r w:rsidR="00FF6B8A" w:rsidRPr="19452A86">
        <w:rPr>
          <w:color w:val="000000" w:themeColor="text1"/>
        </w:rPr>
        <w:t>ocation-based analysis to understand and predict the regional impacts of changing policy environments and economic conditions</w:t>
      </w:r>
    </w:p>
    <w:p w14:paraId="16B46847" w14:textId="00242B8A" w:rsidR="00FF6B8A" w:rsidRPr="002457D8" w:rsidRDefault="002457D8" w:rsidP="00EF0C08">
      <w:pPr>
        <w:pStyle w:val="ListParagraph"/>
        <w:numPr>
          <w:ilvl w:val="0"/>
          <w:numId w:val="19"/>
        </w:numPr>
        <w:contextualSpacing w:val="0"/>
        <w:rPr>
          <w:color w:val="000000" w:themeColor="text1"/>
        </w:rPr>
      </w:pPr>
      <w:r w:rsidRPr="19452A86">
        <w:rPr>
          <w:color w:val="000000" w:themeColor="text1"/>
        </w:rPr>
        <w:t>p</w:t>
      </w:r>
      <w:r w:rsidR="00FF6B8A" w:rsidRPr="19452A86">
        <w:rPr>
          <w:color w:val="000000" w:themeColor="text1"/>
        </w:rPr>
        <w:t>rogram evaluation metrics incorporated at the program design stage to allow tracking of program performance from inception to outcomes.</w:t>
      </w:r>
    </w:p>
    <w:p w14:paraId="340551E7" w14:textId="1CE3A053" w:rsidR="00C95933" w:rsidRPr="00BC015A" w:rsidRDefault="002457D8" w:rsidP="00682F91">
      <w:pPr>
        <w:rPr>
          <w:color w:val="000000" w:themeColor="text1"/>
        </w:rPr>
      </w:pPr>
      <w:r w:rsidRPr="19452A86">
        <w:rPr>
          <w:color w:val="000000" w:themeColor="text1"/>
        </w:rPr>
        <w:t>O</w:t>
      </w:r>
      <w:r w:rsidR="00FF6B8A" w:rsidRPr="19452A86">
        <w:rPr>
          <w:color w:val="000000" w:themeColor="text1"/>
        </w:rPr>
        <w:t>ur digital and data strategies will allow the department to harness the potential of new data and digital technologies</w:t>
      </w:r>
      <w:r w:rsidR="00E07139">
        <w:rPr>
          <w:color w:val="000000" w:themeColor="text1"/>
        </w:rPr>
        <w:t>, which will</w:t>
      </w:r>
      <w:r w:rsidR="00FF6B8A" w:rsidRPr="19452A86">
        <w:rPr>
          <w:color w:val="000000" w:themeColor="text1"/>
        </w:rPr>
        <w:t xml:space="preserve"> support better decision</w:t>
      </w:r>
      <w:r w:rsidR="00E07139">
        <w:rPr>
          <w:color w:val="000000" w:themeColor="text1"/>
        </w:rPr>
        <w:t>-</w:t>
      </w:r>
      <w:r w:rsidR="00FF6B8A" w:rsidRPr="19452A86">
        <w:rPr>
          <w:color w:val="000000" w:themeColor="text1"/>
        </w:rPr>
        <w:t>making and improved program design.</w:t>
      </w:r>
      <w:bookmarkEnd w:id="98"/>
      <w:bookmarkEnd w:id="99"/>
    </w:p>
    <w:p w14:paraId="0D9DADBA" w14:textId="6F9FF180" w:rsidR="00B06C56" w:rsidRDefault="00B06C56" w:rsidP="00B06C56">
      <w:pPr>
        <w:pStyle w:val="Heading1"/>
      </w:pPr>
      <w:bookmarkStart w:id="102" w:name="_Hlk136957374"/>
      <w:bookmarkStart w:id="103" w:name="_Toc46325281"/>
      <w:bookmarkStart w:id="104" w:name="_Toc51766422"/>
      <w:bookmarkStart w:id="105" w:name="_Toc81921046"/>
      <w:bookmarkStart w:id="106" w:name="_Toc103613130"/>
      <w:bookmarkStart w:id="107" w:name="_Toc104195776"/>
      <w:bookmarkStart w:id="108" w:name="_Toc106271237"/>
      <w:bookmarkEnd w:id="100"/>
      <w:bookmarkEnd w:id="101"/>
      <w:r>
        <w:t>Our portfolio entities and stakeholders</w:t>
      </w:r>
    </w:p>
    <w:p w14:paraId="18A805E0" w14:textId="77777777" w:rsidR="00B06C56" w:rsidRDefault="00B06C56" w:rsidP="00B06C56">
      <w:r>
        <w:t xml:space="preserve">We work closely with the other entities in our portfolio. We deliver services for the Australian community, whole economy and other Australian Government portfolios. </w:t>
      </w:r>
    </w:p>
    <w:p w14:paraId="7DF5C3BD" w14:textId="77777777" w:rsidR="00B06C56" w:rsidRDefault="00B06C56" w:rsidP="00B06C56">
      <w:r>
        <w:t xml:space="preserve">Beyond our portfolio, we work with a diverse range of stakeholders and partners to support the government, industry, businesses and the Australian community. </w:t>
      </w:r>
    </w:p>
    <w:p w14:paraId="70F34D6E" w14:textId="77777777" w:rsidR="00B06C56" w:rsidRDefault="00B06C56" w:rsidP="00B06C56">
      <w:r>
        <w:t xml:space="preserve">We are responsible for whole-of-government coordination and advice on cross-cutting policy issues, including critical technologies, the digital economy and supply chain resilience. We draw on our strong relationships across the Australian Public Service to deliver these responsibilities. </w:t>
      </w:r>
    </w:p>
    <w:p w14:paraId="221DAB2E" w14:textId="77777777" w:rsidR="00B06C56" w:rsidRDefault="00B06C56" w:rsidP="00B06C56">
      <w:r>
        <w:t>The department does not have any subsidiaries.</w:t>
      </w:r>
    </w:p>
    <w:p w14:paraId="12B92FFB" w14:textId="78CE2577" w:rsidR="00B06C56" w:rsidRDefault="00B06C56" w:rsidP="00B06C56">
      <w:pPr>
        <w:pStyle w:val="Heading2"/>
      </w:pPr>
      <w:r>
        <w:t>Who we are</w:t>
      </w:r>
    </w:p>
    <w:p w14:paraId="17804370" w14:textId="4C40C63E" w:rsidR="00B06C56" w:rsidRDefault="00B06C56" w:rsidP="00B06C56">
      <w:r>
        <w:t>The department and its portfolio entities use these tools to support sectors and stakeholders and achieve our purpose.</w:t>
      </w:r>
    </w:p>
    <w:p w14:paraId="6C020E04" w14:textId="5CD3C258" w:rsidR="00B06C56" w:rsidRDefault="00B06C56" w:rsidP="00B06C56">
      <w:pPr>
        <w:pStyle w:val="Heading3"/>
      </w:pPr>
      <w:r>
        <w:t>Tools</w:t>
      </w:r>
    </w:p>
    <w:p w14:paraId="265FE677" w14:textId="77777777" w:rsidR="00B06C56" w:rsidRDefault="00B06C56" w:rsidP="002C1C3F">
      <w:pPr>
        <w:pStyle w:val="ListParagraph"/>
        <w:numPr>
          <w:ilvl w:val="0"/>
          <w:numId w:val="39"/>
        </w:numPr>
        <w:spacing w:after="120" w:line="240" w:lineRule="auto"/>
        <w:ind w:left="714" w:hanging="357"/>
        <w:contextualSpacing w:val="0"/>
      </w:pPr>
      <w:r>
        <w:t xml:space="preserve">policies </w:t>
      </w:r>
    </w:p>
    <w:p w14:paraId="098281A6" w14:textId="77777777" w:rsidR="00B06C56" w:rsidRDefault="00B06C56" w:rsidP="002C1C3F">
      <w:pPr>
        <w:pStyle w:val="ListParagraph"/>
        <w:numPr>
          <w:ilvl w:val="0"/>
          <w:numId w:val="39"/>
        </w:numPr>
        <w:spacing w:after="120" w:line="240" w:lineRule="auto"/>
        <w:ind w:left="714" w:hanging="357"/>
        <w:contextualSpacing w:val="0"/>
      </w:pPr>
      <w:r>
        <w:t xml:space="preserve">programs </w:t>
      </w:r>
    </w:p>
    <w:p w14:paraId="1B1DFCEB" w14:textId="77777777" w:rsidR="00B06C56" w:rsidRDefault="00B06C56" w:rsidP="002C1C3F">
      <w:pPr>
        <w:pStyle w:val="ListParagraph"/>
        <w:numPr>
          <w:ilvl w:val="0"/>
          <w:numId w:val="39"/>
        </w:numPr>
        <w:spacing w:after="120" w:line="240" w:lineRule="auto"/>
        <w:ind w:left="714" w:hanging="357"/>
        <w:contextualSpacing w:val="0"/>
      </w:pPr>
      <w:r>
        <w:t xml:space="preserve">regulation and legislation </w:t>
      </w:r>
    </w:p>
    <w:p w14:paraId="0AB72B32" w14:textId="77777777" w:rsidR="00B06C56" w:rsidRDefault="00B06C56" w:rsidP="002C1C3F">
      <w:pPr>
        <w:pStyle w:val="ListParagraph"/>
        <w:numPr>
          <w:ilvl w:val="0"/>
          <w:numId w:val="39"/>
        </w:numPr>
        <w:spacing w:after="120" w:line="240" w:lineRule="auto"/>
        <w:ind w:left="714" w:hanging="357"/>
        <w:contextualSpacing w:val="0"/>
      </w:pPr>
      <w:r>
        <w:t xml:space="preserve">data and analysis </w:t>
      </w:r>
    </w:p>
    <w:p w14:paraId="2BC6A470" w14:textId="77777777" w:rsidR="00B06C56" w:rsidRDefault="00B06C56" w:rsidP="002C1C3F">
      <w:pPr>
        <w:pStyle w:val="ListParagraph"/>
        <w:numPr>
          <w:ilvl w:val="0"/>
          <w:numId w:val="39"/>
        </w:numPr>
        <w:spacing w:after="120" w:line="240" w:lineRule="auto"/>
        <w:ind w:left="714" w:hanging="357"/>
        <w:contextualSpacing w:val="0"/>
      </w:pPr>
      <w:r>
        <w:t xml:space="preserve">service delivery </w:t>
      </w:r>
    </w:p>
    <w:p w14:paraId="3D1E292A" w14:textId="77777777" w:rsidR="00B06C56" w:rsidRDefault="00B06C56" w:rsidP="002C1C3F">
      <w:pPr>
        <w:pStyle w:val="ListParagraph"/>
        <w:numPr>
          <w:ilvl w:val="0"/>
          <w:numId w:val="39"/>
        </w:numPr>
        <w:spacing w:after="120" w:line="240" w:lineRule="auto"/>
        <w:ind w:left="714" w:hanging="357"/>
        <w:contextualSpacing w:val="0"/>
      </w:pPr>
      <w:r>
        <w:t xml:space="preserve">communications </w:t>
      </w:r>
    </w:p>
    <w:p w14:paraId="1EC1466A" w14:textId="77777777" w:rsidR="00B06C56" w:rsidRDefault="00B06C56" w:rsidP="002C1C3F">
      <w:pPr>
        <w:pStyle w:val="ListParagraph"/>
        <w:numPr>
          <w:ilvl w:val="0"/>
          <w:numId w:val="39"/>
        </w:numPr>
        <w:spacing w:after="120" w:line="240" w:lineRule="auto"/>
        <w:ind w:left="714" w:hanging="357"/>
        <w:contextualSpacing w:val="0"/>
      </w:pPr>
      <w:r>
        <w:t xml:space="preserve">enabling services </w:t>
      </w:r>
    </w:p>
    <w:p w14:paraId="42D38C46" w14:textId="77B7101E" w:rsidR="00B06C56" w:rsidRDefault="00B06C56" w:rsidP="00B06C56">
      <w:pPr>
        <w:pStyle w:val="ListParagraph"/>
        <w:numPr>
          <w:ilvl w:val="0"/>
          <w:numId w:val="39"/>
        </w:numPr>
      </w:pPr>
      <w:r>
        <w:t>engagement</w:t>
      </w:r>
    </w:p>
    <w:p w14:paraId="44F25745" w14:textId="5C4128A8" w:rsidR="00B06C56" w:rsidRDefault="00B06C56" w:rsidP="00B06C56">
      <w:pPr>
        <w:pStyle w:val="Heading3"/>
      </w:pPr>
      <w:r>
        <w:t>Stakeholders</w:t>
      </w:r>
    </w:p>
    <w:p w14:paraId="186DE364" w14:textId="77777777" w:rsidR="00B06C56" w:rsidRDefault="00B06C56" w:rsidP="002C1C3F">
      <w:pPr>
        <w:pStyle w:val="ListParagraph"/>
        <w:numPr>
          <w:ilvl w:val="0"/>
          <w:numId w:val="40"/>
        </w:numPr>
        <w:spacing w:after="120" w:line="240" w:lineRule="auto"/>
        <w:ind w:left="714" w:hanging="357"/>
        <w:contextualSpacing w:val="0"/>
      </w:pPr>
      <w:r>
        <w:t xml:space="preserve">Federal, state and territory entities </w:t>
      </w:r>
    </w:p>
    <w:p w14:paraId="3C885935" w14:textId="77777777" w:rsidR="00B06C56" w:rsidRDefault="00B06C56" w:rsidP="002C1C3F">
      <w:pPr>
        <w:pStyle w:val="ListParagraph"/>
        <w:numPr>
          <w:ilvl w:val="0"/>
          <w:numId w:val="40"/>
        </w:numPr>
        <w:spacing w:after="120" w:line="240" w:lineRule="auto"/>
        <w:ind w:left="714" w:hanging="357"/>
        <w:contextualSpacing w:val="0"/>
      </w:pPr>
      <w:r>
        <w:t xml:space="preserve">businesses </w:t>
      </w:r>
    </w:p>
    <w:p w14:paraId="1D1EC5F1" w14:textId="77777777" w:rsidR="00B06C56" w:rsidRDefault="00B06C56" w:rsidP="002C1C3F">
      <w:pPr>
        <w:pStyle w:val="ListParagraph"/>
        <w:numPr>
          <w:ilvl w:val="0"/>
          <w:numId w:val="40"/>
        </w:numPr>
        <w:spacing w:after="120" w:line="240" w:lineRule="auto"/>
        <w:ind w:left="714" w:hanging="357"/>
        <w:contextualSpacing w:val="0"/>
      </w:pPr>
      <w:r>
        <w:t xml:space="preserve">consumer bodies </w:t>
      </w:r>
    </w:p>
    <w:p w14:paraId="49A8E0E1" w14:textId="77777777" w:rsidR="00B06C56" w:rsidRDefault="00B06C56" w:rsidP="002C1C3F">
      <w:pPr>
        <w:pStyle w:val="ListParagraph"/>
        <w:numPr>
          <w:ilvl w:val="0"/>
          <w:numId w:val="40"/>
        </w:numPr>
        <w:spacing w:after="120" w:line="240" w:lineRule="auto"/>
        <w:ind w:left="714" w:hanging="357"/>
        <w:contextualSpacing w:val="0"/>
      </w:pPr>
      <w:r>
        <w:t xml:space="preserve">international partners </w:t>
      </w:r>
    </w:p>
    <w:p w14:paraId="089CA028" w14:textId="77777777" w:rsidR="00B06C56" w:rsidRDefault="00B06C56" w:rsidP="002C1C3F">
      <w:pPr>
        <w:pStyle w:val="ListParagraph"/>
        <w:numPr>
          <w:ilvl w:val="0"/>
          <w:numId w:val="40"/>
        </w:numPr>
        <w:spacing w:after="120" w:line="240" w:lineRule="auto"/>
        <w:ind w:left="714" w:hanging="357"/>
        <w:contextualSpacing w:val="0"/>
      </w:pPr>
      <w:r>
        <w:t xml:space="preserve">not-for-profit organisations </w:t>
      </w:r>
    </w:p>
    <w:p w14:paraId="7B21369F" w14:textId="77777777" w:rsidR="00B06C56" w:rsidRDefault="00B06C56" w:rsidP="002C1C3F">
      <w:pPr>
        <w:pStyle w:val="ListParagraph"/>
        <w:numPr>
          <w:ilvl w:val="0"/>
          <w:numId w:val="40"/>
        </w:numPr>
        <w:spacing w:after="120" w:line="240" w:lineRule="auto"/>
        <w:ind w:left="714" w:hanging="357"/>
        <w:contextualSpacing w:val="0"/>
      </w:pPr>
      <w:r>
        <w:t xml:space="preserve">First Nations Peoples </w:t>
      </w:r>
    </w:p>
    <w:p w14:paraId="69B66F68" w14:textId="77777777" w:rsidR="00B06C56" w:rsidRDefault="00B06C56" w:rsidP="002C1C3F">
      <w:pPr>
        <w:pStyle w:val="ListParagraph"/>
        <w:numPr>
          <w:ilvl w:val="0"/>
          <w:numId w:val="40"/>
        </w:numPr>
        <w:spacing w:after="120" w:line="240" w:lineRule="auto"/>
        <w:ind w:left="714" w:hanging="357"/>
        <w:contextualSpacing w:val="0"/>
      </w:pPr>
      <w:r>
        <w:t xml:space="preserve">professional associations </w:t>
      </w:r>
    </w:p>
    <w:p w14:paraId="3361830A" w14:textId="77777777" w:rsidR="00B06C56" w:rsidRDefault="00B06C56" w:rsidP="002C1C3F">
      <w:pPr>
        <w:pStyle w:val="ListParagraph"/>
        <w:numPr>
          <w:ilvl w:val="0"/>
          <w:numId w:val="40"/>
        </w:numPr>
        <w:spacing w:after="120" w:line="240" w:lineRule="auto"/>
        <w:ind w:left="714" w:hanging="357"/>
        <w:contextualSpacing w:val="0"/>
      </w:pPr>
      <w:r>
        <w:t xml:space="preserve">regulators </w:t>
      </w:r>
    </w:p>
    <w:p w14:paraId="21CC8F66" w14:textId="77777777" w:rsidR="00B06C56" w:rsidRDefault="00B06C56" w:rsidP="002C1C3F">
      <w:pPr>
        <w:pStyle w:val="ListParagraph"/>
        <w:numPr>
          <w:ilvl w:val="0"/>
          <w:numId w:val="40"/>
        </w:numPr>
        <w:spacing w:after="120" w:line="240" w:lineRule="auto"/>
        <w:ind w:left="714" w:hanging="357"/>
        <w:contextualSpacing w:val="0"/>
      </w:pPr>
      <w:r>
        <w:t xml:space="preserve">unions </w:t>
      </w:r>
    </w:p>
    <w:p w14:paraId="6046F383" w14:textId="77777777" w:rsidR="00B06C56" w:rsidRDefault="00B06C56" w:rsidP="002C1C3F">
      <w:pPr>
        <w:pStyle w:val="ListParagraph"/>
        <w:numPr>
          <w:ilvl w:val="0"/>
          <w:numId w:val="40"/>
        </w:numPr>
        <w:spacing w:after="120" w:line="240" w:lineRule="auto"/>
        <w:ind w:left="714" w:hanging="357"/>
        <w:contextualSpacing w:val="0"/>
      </w:pPr>
      <w:r>
        <w:t xml:space="preserve">universities, academics and researchers </w:t>
      </w:r>
    </w:p>
    <w:p w14:paraId="0E33A88B" w14:textId="77777777" w:rsidR="00B06C56" w:rsidRDefault="00B06C56" w:rsidP="002C1C3F">
      <w:pPr>
        <w:pStyle w:val="ListParagraph"/>
        <w:numPr>
          <w:ilvl w:val="0"/>
          <w:numId w:val="40"/>
        </w:numPr>
        <w:spacing w:after="120" w:line="240" w:lineRule="auto"/>
        <w:ind w:left="714" w:hanging="357"/>
        <w:contextualSpacing w:val="0"/>
      </w:pPr>
      <w:r>
        <w:t xml:space="preserve">science organisations </w:t>
      </w:r>
    </w:p>
    <w:p w14:paraId="7A3BA0C7" w14:textId="54CACAAE" w:rsidR="002C1C3F" w:rsidRDefault="00B06C56" w:rsidP="002C1C3F">
      <w:pPr>
        <w:pStyle w:val="ListParagraph"/>
        <w:numPr>
          <w:ilvl w:val="0"/>
          <w:numId w:val="40"/>
        </w:numPr>
      </w:pPr>
      <w:r>
        <w:t>employer associations</w:t>
      </w:r>
      <w:bookmarkStart w:id="109" w:name="_Toc103613127"/>
      <w:bookmarkStart w:id="110" w:name="_Toc104195772"/>
      <w:bookmarkStart w:id="111" w:name="_Toc106271232"/>
      <w:bookmarkEnd w:id="90"/>
      <w:bookmarkEnd w:id="102"/>
    </w:p>
    <w:p w14:paraId="02CE4AB5" w14:textId="77777777" w:rsidR="002C1C3F" w:rsidRDefault="002C1C3F">
      <w:r>
        <w:br w:type="page"/>
      </w:r>
    </w:p>
    <w:p w14:paraId="3D7BFD7B" w14:textId="18511913" w:rsidR="00FF12D8" w:rsidRDefault="00FF12D8" w:rsidP="00FF12D8">
      <w:pPr>
        <w:pStyle w:val="Heading1"/>
      </w:pPr>
      <w:bookmarkStart w:id="112" w:name="_Hlk144122509"/>
      <w:r>
        <w:t>Our r</w:t>
      </w:r>
      <w:r w:rsidRPr="00A42355">
        <w:t>isk</w:t>
      </w:r>
      <w:r>
        <w:t xml:space="preserve"> management and oversight</w:t>
      </w:r>
      <w:bookmarkEnd w:id="109"/>
      <w:bookmarkEnd w:id="110"/>
      <w:bookmarkEnd w:id="111"/>
    </w:p>
    <w:p w14:paraId="68C79D29" w14:textId="1DAEEF62" w:rsidR="007C1115" w:rsidRDefault="009F011C" w:rsidP="002C1C3F">
      <w:pPr>
        <w:rPr>
          <w:rFonts w:eastAsiaTheme="minorEastAsia"/>
        </w:rPr>
      </w:pPr>
      <w:bookmarkStart w:id="113" w:name="_Hlk135044682"/>
      <w:r w:rsidRPr="00A668F4">
        <w:rPr>
          <w:rFonts w:eastAsiaTheme="minorEastAsia"/>
        </w:rPr>
        <w:t xml:space="preserve">We are committed to ensuring integrity </w:t>
      </w:r>
      <w:r w:rsidR="00226793">
        <w:rPr>
          <w:rFonts w:eastAsiaTheme="minorEastAsia"/>
        </w:rPr>
        <w:t>in</w:t>
      </w:r>
      <w:r w:rsidRPr="00A668F4">
        <w:rPr>
          <w:rFonts w:eastAsiaTheme="minorEastAsia"/>
        </w:rPr>
        <w:t xml:space="preserve"> the advice we provide, the decisions we make, the information we hold and the behaviours of our people. </w:t>
      </w:r>
    </w:p>
    <w:bookmarkEnd w:id="112"/>
    <w:p w14:paraId="109F8E7C" w14:textId="00AF8680" w:rsidR="009F011C" w:rsidRPr="00B94738" w:rsidRDefault="009F011C" w:rsidP="002C1C3F">
      <w:pPr>
        <w:rPr>
          <w:rFonts w:eastAsiaTheme="minorEastAsia"/>
        </w:rPr>
      </w:pPr>
      <w:r w:rsidRPr="00A668F4">
        <w:rPr>
          <w:rFonts w:eastAsiaTheme="minorEastAsia"/>
        </w:rPr>
        <w:t xml:space="preserve">We are developing an Integrity Strategy to build staff capability, frameworks and policy maturity, and </w:t>
      </w:r>
      <w:r>
        <w:rPr>
          <w:rFonts w:eastAsiaTheme="minorEastAsia"/>
        </w:rPr>
        <w:t xml:space="preserve">to </w:t>
      </w:r>
      <w:r w:rsidRPr="00A668F4">
        <w:rPr>
          <w:rFonts w:eastAsiaTheme="minorEastAsia"/>
        </w:rPr>
        <w:t xml:space="preserve">improve our pro-integrity culture. This will help our people </w:t>
      </w:r>
      <w:r w:rsidR="008B5A5A">
        <w:rPr>
          <w:rFonts w:eastAsiaTheme="minorEastAsia"/>
        </w:rPr>
        <w:t>better</w:t>
      </w:r>
      <w:r w:rsidRPr="00A668F4">
        <w:rPr>
          <w:rFonts w:eastAsiaTheme="minorEastAsia"/>
        </w:rPr>
        <w:t xml:space="preserve"> identify and manage risks</w:t>
      </w:r>
      <w:r>
        <w:rPr>
          <w:rFonts w:eastAsiaTheme="minorEastAsia"/>
        </w:rPr>
        <w:t xml:space="preserve"> and</w:t>
      </w:r>
      <w:r w:rsidRPr="00A668F4">
        <w:rPr>
          <w:rFonts w:eastAsiaTheme="minorEastAsia"/>
        </w:rPr>
        <w:t xml:space="preserve"> make decisions based on sound judgement</w:t>
      </w:r>
      <w:r>
        <w:rPr>
          <w:rFonts w:eastAsiaTheme="minorEastAsia"/>
        </w:rPr>
        <w:t>. It will</w:t>
      </w:r>
      <w:r w:rsidRPr="00A668F4">
        <w:rPr>
          <w:rFonts w:eastAsiaTheme="minorEastAsia"/>
        </w:rPr>
        <w:t xml:space="preserve"> guide our approach to program</w:t>
      </w:r>
      <w:r w:rsidR="008B5A5A">
        <w:rPr>
          <w:rFonts w:eastAsiaTheme="minorEastAsia"/>
        </w:rPr>
        <w:t xml:space="preserve"> </w:t>
      </w:r>
      <w:r w:rsidR="008B5A5A" w:rsidRPr="00A668F4">
        <w:rPr>
          <w:rFonts w:eastAsiaTheme="minorEastAsia"/>
        </w:rPr>
        <w:t>management</w:t>
      </w:r>
      <w:r w:rsidR="008B5A5A">
        <w:rPr>
          <w:rFonts w:eastAsiaTheme="minorEastAsia"/>
        </w:rPr>
        <w:t xml:space="preserve">, </w:t>
      </w:r>
      <w:r w:rsidRPr="00A668F4">
        <w:rPr>
          <w:rFonts w:eastAsiaTheme="minorEastAsia"/>
        </w:rPr>
        <w:t>project management and procurement.</w:t>
      </w:r>
      <w:r w:rsidRPr="00A668F4" w:rsidDel="00A668F4">
        <w:rPr>
          <w:rFonts w:eastAsiaTheme="minorEastAsia"/>
        </w:rPr>
        <w:t xml:space="preserve"> </w:t>
      </w:r>
    </w:p>
    <w:p w14:paraId="4A65FEFA" w14:textId="131790C0" w:rsidR="005D5563" w:rsidRDefault="005D5563" w:rsidP="005D5563">
      <w:pPr>
        <w:spacing w:after="120"/>
      </w:pPr>
      <w:r>
        <w:t xml:space="preserve">We have embedded a proactive risk management approach in our policies and processes, equipping staff with practical tools and techniques to make balanced and informed decisions in changing circumstances. </w:t>
      </w:r>
    </w:p>
    <w:p w14:paraId="45F39E0A" w14:textId="42990A86" w:rsidR="005D5563" w:rsidRDefault="005D5563" w:rsidP="002C1C3F">
      <w:r>
        <w:t xml:space="preserve">Our governance structure </w:t>
      </w:r>
      <w:r w:rsidR="00267892">
        <w:t xml:space="preserve">provides </w:t>
      </w:r>
      <w:r w:rsidR="00914E84">
        <w:t xml:space="preserve">strategic </w:t>
      </w:r>
      <w:r w:rsidR="00267892">
        <w:t xml:space="preserve">leadership and </w:t>
      </w:r>
      <w:r w:rsidR="00267892" w:rsidRPr="002C1C3F">
        <w:t>oversight</w:t>
      </w:r>
      <w:r w:rsidR="00267892">
        <w:t xml:space="preserve"> of </w:t>
      </w:r>
      <w:r>
        <w:t xml:space="preserve">the department’s enterprise risks and risk management framework to ensure we can respond with integrity to evolving opportunities and threats in line with our enterprise risk appetite. </w:t>
      </w:r>
    </w:p>
    <w:p w14:paraId="2E02C64B" w14:textId="5E9C0DB6" w:rsidR="005D5563" w:rsidRDefault="005D5563" w:rsidP="002C1C3F">
      <w:r>
        <w:t xml:space="preserve">By communicating openly and honestly about risk, and actively engaging </w:t>
      </w:r>
      <w:r w:rsidRPr="002C1C3F">
        <w:t>with</w:t>
      </w:r>
      <w:r>
        <w:t xml:space="preserve"> it, we:</w:t>
      </w:r>
    </w:p>
    <w:p w14:paraId="3B7DEADC" w14:textId="77777777" w:rsidR="005D5563" w:rsidRDefault="005D5563" w:rsidP="002C1C3F">
      <w:pPr>
        <w:pStyle w:val="ListParagraph"/>
        <w:numPr>
          <w:ilvl w:val="0"/>
          <w:numId w:val="43"/>
        </w:numPr>
        <w:spacing w:after="120" w:line="240" w:lineRule="auto"/>
        <w:ind w:left="1077" w:hanging="357"/>
        <w:contextualSpacing w:val="0"/>
      </w:pPr>
      <w:r>
        <w:t>respond to rapidly changing operating environments</w:t>
      </w:r>
    </w:p>
    <w:p w14:paraId="68A7DBED" w14:textId="77777777" w:rsidR="005D5563" w:rsidRDefault="005D5563" w:rsidP="002C1C3F">
      <w:pPr>
        <w:pStyle w:val="ListParagraph"/>
        <w:numPr>
          <w:ilvl w:val="0"/>
          <w:numId w:val="43"/>
        </w:numPr>
        <w:spacing w:after="120" w:line="240" w:lineRule="auto"/>
        <w:ind w:left="1077" w:hanging="357"/>
        <w:contextualSpacing w:val="0"/>
      </w:pPr>
      <w:r>
        <w:t>engage with new and emerging risks</w:t>
      </w:r>
    </w:p>
    <w:p w14:paraId="0AAD036B" w14:textId="77777777" w:rsidR="005D5563" w:rsidRPr="007C702C" w:rsidRDefault="005D5563" w:rsidP="002C1C3F">
      <w:pPr>
        <w:pStyle w:val="ListParagraph"/>
        <w:numPr>
          <w:ilvl w:val="0"/>
          <w:numId w:val="43"/>
        </w:numPr>
      </w:pPr>
      <w:r>
        <w:t>pragmatically address the risks we share across the department and with other stakeholders.</w:t>
      </w:r>
    </w:p>
    <w:p w14:paraId="17E6399E" w14:textId="767191D3" w:rsidR="005D1F1E" w:rsidRPr="00AD5C6C" w:rsidRDefault="005D5563" w:rsidP="002C1C3F">
      <w:pPr>
        <w:rPr>
          <w:rFonts w:asciiTheme="majorHAnsi" w:eastAsiaTheme="majorEastAsia" w:hAnsiTheme="majorHAnsi" w:cstheme="majorBidi"/>
          <w:color w:val="005677" w:themeColor="text2"/>
        </w:rPr>
      </w:pPr>
      <w:r>
        <w:t xml:space="preserve">Our </w:t>
      </w:r>
      <w:r w:rsidRPr="00147D25">
        <w:t>Risk Management Framework</w:t>
      </w:r>
      <w:r>
        <w:t xml:space="preserve"> is consistent with the </w:t>
      </w:r>
      <w:hyperlink r:id="rId18">
        <w:r w:rsidRPr="00147D25">
          <w:rPr>
            <w:rStyle w:val="Hyperlink"/>
          </w:rPr>
          <w:t>Commonwealth Risk Management Policy</w:t>
        </w:r>
      </w:hyperlink>
      <w:r>
        <w:t>.</w:t>
      </w:r>
      <w:r w:rsidRPr="002914BA">
        <w:rPr>
          <w:rStyle w:val="Hyperlink"/>
          <w:u w:val="none"/>
        </w:rPr>
        <w:t xml:space="preserve"> </w:t>
      </w:r>
      <w:r>
        <w:t xml:space="preserve">We </w:t>
      </w:r>
      <w:r w:rsidR="004117D1">
        <w:t xml:space="preserve">will </w:t>
      </w:r>
      <w:r>
        <w:t xml:space="preserve">continue refining </w:t>
      </w:r>
      <w:r w:rsidR="004117D1">
        <w:t>our</w:t>
      </w:r>
      <w:r>
        <w:t xml:space="preserve"> framework to reflect contemporary risk management </w:t>
      </w:r>
      <w:r w:rsidRPr="00AD5C6C">
        <w:t>practices.</w:t>
      </w:r>
    </w:p>
    <w:p w14:paraId="4C3A5A05" w14:textId="5FC38A65" w:rsidR="005D5563" w:rsidRPr="004641F1" w:rsidRDefault="005D5563" w:rsidP="002C1C3F">
      <w:r>
        <w:t xml:space="preserve">The tables below outline our enterprise risks and </w:t>
      </w:r>
      <w:r w:rsidRPr="002C1C3F">
        <w:t>how</w:t>
      </w:r>
      <w:r>
        <w:t xml:space="preserve"> we manage each one.</w:t>
      </w:r>
    </w:p>
    <w:p w14:paraId="759C5205" w14:textId="72937A7A" w:rsidR="005D5563" w:rsidRPr="004641F1" w:rsidRDefault="005D5563" w:rsidP="005D5563">
      <w:pPr>
        <w:pStyle w:val="Heading2"/>
      </w:pPr>
      <w:r>
        <w:t>Enterprise strategic risks</w:t>
      </w:r>
    </w:p>
    <w:tbl>
      <w:tblPr>
        <w:tblStyle w:val="TableGrid"/>
        <w:tblW w:w="10627" w:type="dxa"/>
        <w:tblLook w:val="04A0" w:firstRow="1" w:lastRow="0" w:firstColumn="1" w:lastColumn="0" w:noHBand="0" w:noVBand="1"/>
      </w:tblPr>
      <w:tblGrid>
        <w:gridCol w:w="3964"/>
        <w:gridCol w:w="6663"/>
      </w:tblGrid>
      <w:tr w:rsidR="005D5563" w:rsidRPr="0059342D" w14:paraId="112776FE" w14:textId="77777777" w:rsidTr="00A95A6C">
        <w:trPr>
          <w:tblHeader/>
        </w:trPr>
        <w:tc>
          <w:tcPr>
            <w:tcW w:w="3964" w:type="dxa"/>
            <w:shd w:val="clear" w:color="auto" w:fill="BEBFC1" w:themeFill="accent1" w:themeFillTint="99"/>
          </w:tcPr>
          <w:p w14:paraId="090392B7" w14:textId="77777777" w:rsidR="005D5563" w:rsidRPr="00B23C06" w:rsidRDefault="005D5563" w:rsidP="002A43E8">
            <w:r>
              <w:rPr>
                <w:b/>
                <w:bCs/>
              </w:rPr>
              <w:t>Risk</w:t>
            </w:r>
          </w:p>
        </w:tc>
        <w:tc>
          <w:tcPr>
            <w:tcW w:w="6663" w:type="dxa"/>
            <w:shd w:val="clear" w:color="auto" w:fill="BEBFC1" w:themeFill="accent1" w:themeFillTint="99"/>
          </w:tcPr>
          <w:p w14:paraId="6920248F" w14:textId="2EBABE70" w:rsidR="005D5563" w:rsidRPr="00B23C06" w:rsidRDefault="005D5563" w:rsidP="002A43E8">
            <w:r w:rsidRPr="002914BA">
              <w:rPr>
                <w:b/>
                <w:bCs/>
              </w:rPr>
              <w:t>Risk management approach</w:t>
            </w:r>
          </w:p>
        </w:tc>
      </w:tr>
      <w:tr w:rsidR="005D5563" w14:paraId="3F61201B" w14:textId="77777777" w:rsidTr="005C019C">
        <w:tc>
          <w:tcPr>
            <w:tcW w:w="3964" w:type="dxa"/>
          </w:tcPr>
          <w:p w14:paraId="320C971C" w14:textId="4ACAAD83" w:rsidR="005D5563" w:rsidRPr="004E6219" w:rsidRDefault="005D5563" w:rsidP="002A43E8">
            <w:pPr>
              <w:spacing w:after="120"/>
              <w:rPr>
                <w:b/>
                <w:bCs/>
              </w:rPr>
            </w:pPr>
            <w:r w:rsidRPr="004E6219">
              <w:rPr>
                <w:b/>
                <w:bCs/>
              </w:rPr>
              <w:t>Confidence and trust</w:t>
            </w:r>
          </w:p>
          <w:p w14:paraId="280DE6CA" w14:textId="77777777" w:rsidR="005D5563" w:rsidRPr="009E142F" w:rsidRDefault="005D5563" w:rsidP="002A43E8">
            <w:pPr>
              <w:spacing w:after="120"/>
              <w:jc w:val="both"/>
              <w:rPr>
                <w:b/>
                <w:bCs/>
              </w:rPr>
            </w:pPr>
            <w:r>
              <w:t xml:space="preserve">We maintain the </w:t>
            </w:r>
            <w:r w:rsidRPr="002914BA">
              <w:rPr>
                <w:b/>
                <w:bCs/>
              </w:rPr>
              <w:t>confidence and trust</w:t>
            </w:r>
            <w:r>
              <w:t xml:space="preserve"> of government, industry and the public.</w:t>
            </w:r>
          </w:p>
        </w:tc>
        <w:tc>
          <w:tcPr>
            <w:tcW w:w="6663" w:type="dxa"/>
            <w:vMerge w:val="restart"/>
          </w:tcPr>
          <w:p w14:paraId="385B9027" w14:textId="77777777" w:rsidR="005D5563" w:rsidRDefault="005D5563" w:rsidP="002A43E8">
            <w:r>
              <w:t>We assess our outcomes against performance measures that are monitored regularly and published in our annual report.</w:t>
            </w:r>
          </w:p>
          <w:p w14:paraId="2BB5E78F" w14:textId="77777777" w:rsidR="005D5563" w:rsidRDefault="005D5563" w:rsidP="002A43E8"/>
          <w:p w14:paraId="7C81260C" w14:textId="77777777" w:rsidR="005D5563" w:rsidRDefault="005D5563" w:rsidP="002A43E8">
            <w:r>
              <w:t>We engage, consult and collaborate with stakeholders to maintain confidence in our ability to deliver strategic initiatives and programs that support government policy.</w:t>
            </w:r>
          </w:p>
          <w:p w14:paraId="019D970B" w14:textId="77777777" w:rsidR="005D5563" w:rsidRDefault="005D5563" w:rsidP="002A43E8"/>
          <w:p w14:paraId="15B83E11" w14:textId="77777777" w:rsidR="005D5563" w:rsidRDefault="005D5563" w:rsidP="002A43E8">
            <w:r>
              <w:t>We actively manage risks, including incorporating new or emerging risk considerations into our governance.</w:t>
            </w:r>
          </w:p>
          <w:p w14:paraId="5831C713" w14:textId="77777777" w:rsidR="005D5563" w:rsidRDefault="005D5563" w:rsidP="002A43E8"/>
          <w:p w14:paraId="08AF1263" w14:textId="77777777" w:rsidR="005D5563" w:rsidRDefault="005D5563" w:rsidP="002A43E8">
            <w:r>
              <w:t>We keep the government and our ministers informed and prepared.</w:t>
            </w:r>
          </w:p>
        </w:tc>
      </w:tr>
      <w:tr w:rsidR="005D5563" w14:paraId="0C35D251" w14:textId="77777777" w:rsidTr="218580CA">
        <w:tc>
          <w:tcPr>
            <w:tcW w:w="3964" w:type="dxa"/>
            <w:shd w:val="clear" w:color="auto" w:fill="E9E9EA" w:themeFill="accent1" w:themeFillTint="33"/>
          </w:tcPr>
          <w:p w14:paraId="0C1971DF" w14:textId="22119338" w:rsidR="005D5563" w:rsidRPr="004E6219" w:rsidRDefault="005D5563" w:rsidP="002A43E8">
            <w:pPr>
              <w:spacing w:before="120"/>
              <w:jc w:val="both"/>
              <w:rPr>
                <w:b/>
                <w:bCs/>
              </w:rPr>
            </w:pPr>
            <w:r w:rsidRPr="004E6219">
              <w:rPr>
                <w:b/>
                <w:bCs/>
              </w:rPr>
              <w:t>Delivery</w:t>
            </w:r>
          </w:p>
          <w:p w14:paraId="4732251E" w14:textId="77777777" w:rsidR="005D5563" w:rsidRDefault="005D5563" w:rsidP="002A43E8">
            <w:pPr>
              <w:spacing w:before="120" w:after="120"/>
            </w:pPr>
            <w:r>
              <w:t xml:space="preserve">We </w:t>
            </w:r>
            <w:r w:rsidRPr="002914BA">
              <w:rPr>
                <w:b/>
                <w:bCs/>
              </w:rPr>
              <w:t>deliver</w:t>
            </w:r>
            <w:r w:rsidRPr="00201E34">
              <w:t xml:space="preserve"> </w:t>
            </w:r>
            <w:r>
              <w:t>key activities to achieve the department’s strategic priorities.</w:t>
            </w:r>
          </w:p>
        </w:tc>
        <w:tc>
          <w:tcPr>
            <w:tcW w:w="6663" w:type="dxa"/>
            <w:vMerge/>
          </w:tcPr>
          <w:p w14:paraId="69C6D713" w14:textId="77777777" w:rsidR="005D5563" w:rsidRDefault="005D5563" w:rsidP="002A43E8"/>
        </w:tc>
      </w:tr>
      <w:tr w:rsidR="005D5563" w14:paraId="391C0A53" w14:textId="77777777" w:rsidTr="218580CA">
        <w:tc>
          <w:tcPr>
            <w:tcW w:w="3964" w:type="dxa"/>
          </w:tcPr>
          <w:p w14:paraId="07D21BCF" w14:textId="55630565" w:rsidR="005D5563" w:rsidRPr="004E6219" w:rsidRDefault="005D5563" w:rsidP="002A43E8">
            <w:pPr>
              <w:spacing w:after="120"/>
              <w:rPr>
                <w:b/>
                <w:bCs/>
              </w:rPr>
            </w:pPr>
            <w:r w:rsidRPr="004E6219">
              <w:rPr>
                <w:b/>
                <w:bCs/>
              </w:rPr>
              <w:t>Relationship and influence</w:t>
            </w:r>
          </w:p>
          <w:p w14:paraId="22819863" w14:textId="77777777" w:rsidR="005D5563" w:rsidRDefault="005D5563" w:rsidP="002A43E8">
            <w:pPr>
              <w:spacing w:after="120"/>
            </w:pPr>
            <w:r>
              <w:t xml:space="preserve">We are </w:t>
            </w:r>
            <w:r w:rsidRPr="002914BA">
              <w:rPr>
                <w:b/>
                <w:bCs/>
              </w:rPr>
              <w:t>influential</w:t>
            </w:r>
            <w:r>
              <w:t>, including with our complex and extensive stakeholder networks.</w:t>
            </w:r>
          </w:p>
        </w:tc>
        <w:tc>
          <w:tcPr>
            <w:tcW w:w="6663" w:type="dxa"/>
            <w:vMerge/>
          </w:tcPr>
          <w:p w14:paraId="60BFCCAE" w14:textId="77777777" w:rsidR="005D5563" w:rsidRDefault="005D5563" w:rsidP="002A43E8"/>
        </w:tc>
      </w:tr>
      <w:tr w:rsidR="005D5563" w14:paraId="15965374" w14:textId="77777777" w:rsidTr="218580CA">
        <w:tc>
          <w:tcPr>
            <w:tcW w:w="3964" w:type="dxa"/>
            <w:shd w:val="clear" w:color="auto" w:fill="E9E9EA" w:themeFill="accent1" w:themeFillTint="33"/>
          </w:tcPr>
          <w:p w14:paraId="03C4E733" w14:textId="77B5FCF0" w:rsidR="005D5563" w:rsidRPr="004E6219" w:rsidRDefault="005D5563" w:rsidP="002A43E8">
            <w:pPr>
              <w:spacing w:after="120"/>
              <w:rPr>
                <w:b/>
                <w:bCs/>
              </w:rPr>
            </w:pPr>
            <w:r w:rsidRPr="004E6219">
              <w:rPr>
                <w:b/>
                <w:bCs/>
              </w:rPr>
              <w:t>Staff capability</w:t>
            </w:r>
          </w:p>
          <w:p w14:paraId="33E64939" w14:textId="77777777" w:rsidR="005D5563" w:rsidRDefault="005D5563" w:rsidP="002A43E8">
            <w:r>
              <w:t xml:space="preserve">We attract, develop and retain the </w:t>
            </w:r>
            <w:r w:rsidRPr="002914BA">
              <w:rPr>
                <w:b/>
                <w:bCs/>
              </w:rPr>
              <w:t>people capability</w:t>
            </w:r>
            <w:r>
              <w:t xml:space="preserve"> we need.</w:t>
            </w:r>
          </w:p>
        </w:tc>
        <w:tc>
          <w:tcPr>
            <w:tcW w:w="6663" w:type="dxa"/>
            <w:shd w:val="clear" w:color="auto" w:fill="E9E9EA" w:themeFill="accent1" w:themeFillTint="33"/>
          </w:tcPr>
          <w:p w14:paraId="2493E44E" w14:textId="3FEF1672" w:rsidR="005D5563" w:rsidRDefault="005D5563" w:rsidP="002A43E8">
            <w:pPr>
              <w:spacing w:after="120"/>
            </w:pPr>
            <w:r>
              <w:t xml:space="preserve">We use agile </w:t>
            </w:r>
            <w:r w:rsidR="00F10AD9" w:rsidRPr="00700B0D">
              <w:rPr>
                <w:rStyle w:val="ui-provider"/>
              </w:rPr>
              <w:t>approaches to attract, recruit and retain staff</w:t>
            </w:r>
            <w:r w:rsidR="00F10AD9">
              <w:t xml:space="preserve"> </w:t>
            </w:r>
            <w:r>
              <w:t xml:space="preserve">to maximise outcomes and opportunities for </w:t>
            </w:r>
            <w:r w:rsidR="004117D1">
              <w:t>our people</w:t>
            </w:r>
            <w:r>
              <w:t>.</w:t>
            </w:r>
          </w:p>
          <w:p w14:paraId="58AA3A95" w14:textId="30323DB0" w:rsidR="005D5563" w:rsidRDefault="005D5563" w:rsidP="002A43E8">
            <w:pPr>
              <w:spacing w:after="120"/>
            </w:pPr>
            <w:r>
              <w:t>We continue to mature</w:t>
            </w:r>
            <w:r w:rsidR="00A812E7">
              <w:t xml:space="preserve"> our</w:t>
            </w:r>
            <w:r>
              <w:t xml:space="preserve"> diversity and inclusion strategies and provide all staff with leadership development opportunities in a supportive environment.</w:t>
            </w:r>
          </w:p>
        </w:tc>
      </w:tr>
    </w:tbl>
    <w:p w14:paraId="430C3D24" w14:textId="77777777" w:rsidR="005D5563" w:rsidRDefault="005D5563" w:rsidP="005D5563"/>
    <w:p w14:paraId="73618B01" w14:textId="77777777" w:rsidR="00BE3164" w:rsidRDefault="00BE3164">
      <w:pPr>
        <w:rPr>
          <w:rFonts w:asciiTheme="majorHAnsi" w:eastAsiaTheme="majorEastAsia" w:hAnsiTheme="majorHAnsi" w:cstheme="majorBidi"/>
          <w:color w:val="005677" w:themeColor="text2"/>
          <w:sz w:val="40"/>
          <w:szCs w:val="48"/>
        </w:rPr>
      </w:pPr>
      <w:r>
        <w:br w:type="page"/>
      </w:r>
    </w:p>
    <w:p w14:paraId="47926A2A" w14:textId="37487FF4" w:rsidR="005D5563" w:rsidRDefault="005D5563" w:rsidP="005D5563">
      <w:pPr>
        <w:pStyle w:val="Heading2"/>
      </w:pPr>
      <w:r>
        <w:t>Enterprise operational risks</w:t>
      </w:r>
    </w:p>
    <w:tbl>
      <w:tblPr>
        <w:tblStyle w:val="TableGrid"/>
        <w:tblW w:w="10627" w:type="dxa"/>
        <w:tblLook w:val="04A0" w:firstRow="1" w:lastRow="0" w:firstColumn="1" w:lastColumn="0" w:noHBand="0" w:noVBand="1"/>
      </w:tblPr>
      <w:tblGrid>
        <w:gridCol w:w="3964"/>
        <w:gridCol w:w="6663"/>
      </w:tblGrid>
      <w:tr w:rsidR="005D5563" w:rsidRPr="0059342D" w14:paraId="2ADB4146" w14:textId="77777777" w:rsidTr="00A95A6C">
        <w:trPr>
          <w:tblHeader/>
        </w:trPr>
        <w:tc>
          <w:tcPr>
            <w:tcW w:w="3964" w:type="dxa"/>
            <w:shd w:val="clear" w:color="auto" w:fill="BEBFC1" w:themeFill="accent1" w:themeFillTint="99"/>
          </w:tcPr>
          <w:p w14:paraId="56FFB029" w14:textId="77777777" w:rsidR="005D5563" w:rsidRPr="002914BA" w:rsidDel="006E6DEC" w:rsidRDefault="005D5563" w:rsidP="002A43E8">
            <w:pPr>
              <w:rPr>
                <w:b/>
                <w:bCs/>
              </w:rPr>
            </w:pPr>
            <w:r>
              <w:rPr>
                <w:b/>
                <w:bCs/>
              </w:rPr>
              <w:t>Risk</w:t>
            </w:r>
          </w:p>
        </w:tc>
        <w:tc>
          <w:tcPr>
            <w:tcW w:w="6663" w:type="dxa"/>
            <w:shd w:val="clear" w:color="auto" w:fill="BEBFC1" w:themeFill="accent1" w:themeFillTint="99"/>
          </w:tcPr>
          <w:p w14:paraId="2A160C1B" w14:textId="77777777" w:rsidR="005D5563" w:rsidRPr="00B23C06" w:rsidRDefault="005D5563" w:rsidP="002A43E8">
            <w:pPr>
              <w:rPr>
                <w:b/>
                <w:bCs/>
              </w:rPr>
            </w:pPr>
            <w:r w:rsidRPr="002914BA">
              <w:rPr>
                <w:b/>
                <w:bCs/>
              </w:rPr>
              <w:t>Risk management approach</w:t>
            </w:r>
          </w:p>
        </w:tc>
      </w:tr>
      <w:tr w:rsidR="005D5563" w14:paraId="69653505" w14:textId="77777777" w:rsidTr="00E82221">
        <w:tc>
          <w:tcPr>
            <w:tcW w:w="3964" w:type="dxa"/>
          </w:tcPr>
          <w:p w14:paraId="3863EFA0" w14:textId="6EA94921" w:rsidR="005D5563" w:rsidRPr="004E6219" w:rsidRDefault="005D5563" w:rsidP="002A43E8">
            <w:pPr>
              <w:spacing w:after="120"/>
              <w:rPr>
                <w:b/>
                <w:bCs/>
              </w:rPr>
            </w:pPr>
            <w:r w:rsidRPr="004E6219">
              <w:rPr>
                <w:b/>
                <w:bCs/>
              </w:rPr>
              <w:t>Information and system security</w:t>
            </w:r>
          </w:p>
          <w:p w14:paraId="6CEC94C1" w14:textId="77777777" w:rsidR="005D5563" w:rsidRDefault="005D5563" w:rsidP="002A43E8">
            <w:r>
              <w:t>We</w:t>
            </w:r>
            <w:r w:rsidRPr="00201E34">
              <w:t xml:space="preserve"> protect </w:t>
            </w:r>
            <w:r>
              <w:t xml:space="preserve">our </w:t>
            </w:r>
            <w:r w:rsidRPr="002914BA">
              <w:rPr>
                <w:b/>
                <w:bCs/>
              </w:rPr>
              <w:t>information</w:t>
            </w:r>
            <w:r w:rsidRPr="00201E34">
              <w:t xml:space="preserve"> and information systems</w:t>
            </w:r>
            <w:r>
              <w:t>.</w:t>
            </w:r>
          </w:p>
        </w:tc>
        <w:tc>
          <w:tcPr>
            <w:tcW w:w="6663" w:type="dxa"/>
          </w:tcPr>
          <w:p w14:paraId="4B13A2D4" w14:textId="70D1804E" w:rsidR="005D5563" w:rsidRDefault="005D5563" w:rsidP="002A43E8">
            <w:pPr>
              <w:spacing w:after="120"/>
            </w:pPr>
            <w:r w:rsidRPr="00700B0D">
              <w:t>We continue to evolve our roadmap for optimising information and communication technology opportunities</w:t>
            </w:r>
            <w:r w:rsidRPr="00734049">
              <w:t xml:space="preserve"> in response to security challenges. </w:t>
            </w:r>
          </w:p>
          <w:p w14:paraId="4B5A7C73" w14:textId="77777777" w:rsidR="005D5563" w:rsidRDefault="005D5563" w:rsidP="002A43E8">
            <w:pPr>
              <w:spacing w:after="120"/>
            </w:pPr>
            <w:r w:rsidRPr="00734049">
              <w:t xml:space="preserve">We strive to ensure our protective security </w:t>
            </w:r>
            <w:r>
              <w:t xml:space="preserve">is effective, </w:t>
            </w:r>
            <w:r w:rsidRPr="00734049">
              <w:t>meets the highest standards and aligns with government frameworks.</w:t>
            </w:r>
          </w:p>
        </w:tc>
      </w:tr>
      <w:tr w:rsidR="005D5563" w14:paraId="63E53755" w14:textId="77777777" w:rsidTr="00E82221">
        <w:tc>
          <w:tcPr>
            <w:tcW w:w="3964" w:type="dxa"/>
            <w:shd w:val="clear" w:color="auto" w:fill="E9E9EA" w:themeFill="accent1" w:themeFillTint="33"/>
          </w:tcPr>
          <w:p w14:paraId="6AAFFA93" w14:textId="7AD86B1C" w:rsidR="005D5563" w:rsidRPr="004E6219" w:rsidRDefault="005D5563" w:rsidP="002A43E8">
            <w:pPr>
              <w:spacing w:after="120"/>
              <w:rPr>
                <w:b/>
                <w:bCs/>
              </w:rPr>
            </w:pPr>
            <w:r w:rsidRPr="004E6219">
              <w:rPr>
                <w:b/>
                <w:bCs/>
              </w:rPr>
              <w:t>Safe work environment</w:t>
            </w:r>
          </w:p>
          <w:p w14:paraId="7C2CB99B" w14:textId="77777777" w:rsidR="005D5563" w:rsidRDefault="005D5563" w:rsidP="002A43E8">
            <w:r>
              <w:t xml:space="preserve">We </w:t>
            </w:r>
            <w:r w:rsidRPr="00201E34">
              <w:t xml:space="preserve">maintain a work environment that is </w:t>
            </w:r>
            <w:r w:rsidRPr="002914BA">
              <w:rPr>
                <w:b/>
                <w:bCs/>
              </w:rPr>
              <w:t>safe</w:t>
            </w:r>
            <w:r w:rsidRPr="00201E34">
              <w:t xml:space="preserve"> and promotes </w:t>
            </w:r>
            <w:r w:rsidRPr="002914BA">
              <w:rPr>
                <w:b/>
                <w:bCs/>
              </w:rPr>
              <w:t>wellbeing</w:t>
            </w:r>
            <w:r>
              <w:rPr>
                <w:b/>
                <w:bCs/>
              </w:rPr>
              <w:t>.</w:t>
            </w:r>
          </w:p>
        </w:tc>
        <w:tc>
          <w:tcPr>
            <w:tcW w:w="6663" w:type="dxa"/>
            <w:shd w:val="clear" w:color="auto" w:fill="E9E9EA" w:themeFill="accent1" w:themeFillTint="33"/>
          </w:tcPr>
          <w:p w14:paraId="5AD97834" w14:textId="2E08F496" w:rsidR="005D5563" w:rsidRDefault="005D5563" w:rsidP="002A43E8">
            <w:pPr>
              <w:spacing w:after="120"/>
            </w:pPr>
            <w:r>
              <w:t>We create a safe working environment for all</w:t>
            </w:r>
            <w:r w:rsidR="004117D1">
              <w:t xml:space="preserve">, which </w:t>
            </w:r>
            <w:r>
              <w:t>is free from physical or psychological harm</w:t>
            </w:r>
            <w:r w:rsidR="004117D1">
              <w:t xml:space="preserve">. We do this </w:t>
            </w:r>
            <w:r>
              <w:t>through governance of work health and safety practices and ongoing consultation with staff.</w:t>
            </w:r>
          </w:p>
        </w:tc>
      </w:tr>
      <w:tr w:rsidR="005D5563" w14:paraId="635D36DC" w14:textId="77777777" w:rsidTr="00E82221">
        <w:tc>
          <w:tcPr>
            <w:tcW w:w="3964" w:type="dxa"/>
          </w:tcPr>
          <w:p w14:paraId="6B88ACEA" w14:textId="446D7DA9" w:rsidR="005D5563" w:rsidRPr="004E6219" w:rsidRDefault="005D5563" w:rsidP="002A43E8">
            <w:pPr>
              <w:spacing w:after="120"/>
              <w:rPr>
                <w:b/>
                <w:bCs/>
              </w:rPr>
            </w:pPr>
            <w:r w:rsidRPr="004E6219">
              <w:rPr>
                <w:b/>
                <w:bCs/>
              </w:rPr>
              <w:t>Integrity</w:t>
            </w:r>
          </w:p>
          <w:p w14:paraId="755E8291" w14:textId="77777777" w:rsidR="005D5563" w:rsidRDefault="005D5563" w:rsidP="002A43E8">
            <w:r>
              <w:t xml:space="preserve">We </w:t>
            </w:r>
            <w:r w:rsidRPr="00734049">
              <w:t xml:space="preserve">maintain </w:t>
            </w:r>
            <w:r w:rsidRPr="002914BA">
              <w:rPr>
                <w:b/>
                <w:bCs/>
              </w:rPr>
              <w:t>good</w:t>
            </w:r>
            <w:r w:rsidRPr="00734049">
              <w:t xml:space="preserve"> </w:t>
            </w:r>
            <w:r w:rsidRPr="002914BA">
              <w:rPr>
                <w:b/>
                <w:bCs/>
              </w:rPr>
              <w:t>governance</w:t>
            </w:r>
            <w:r w:rsidRPr="00734049">
              <w:t xml:space="preserve"> and </w:t>
            </w:r>
            <w:r w:rsidRPr="002914BA">
              <w:rPr>
                <w:b/>
                <w:bCs/>
              </w:rPr>
              <w:t>ethical</w:t>
            </w:r>
            <w:r w:rsidRPr="00734049">
              <w:t xml:space="preserve"> </w:t>
            </w:r>
            <w:r w:rsidRPr="002914BA">
              <w:rPr>
                <w:b/>
                <w:bCs/>
              </w:rPr>
              <w:t>standards</w:t>
            </w:r>
            <w:r w:rsidRPr="00734049">
              <w:t xml:space="preserve"> and adhere to </w:t>
            </w:r>
            <w:r>
              <w:t xml:space="preserve">our </w:t>
            </w:r>
            <w:r w:rsidRPr="002914BA">
              <w:rPr>
                <w:b/>
                <w:bCs/>
              </w:rPr>
              <w:t>legal</w:t>
            </w:r>
            <w:r w:rsidRPr="00734049">
              <w:t xml:space="preserve"> </w:t>
            </w:r>
            <w:r w:rsidRPr="002914BA">
              <w:rPr>
                <w:b/>
                <w:bCs/>
              </w:rPr>
              <w:t>obligations</w:t>
            </w:r>
            <w:r>
              <w:rPr>
                <w:b/>
                <w:bCs/>
              </w:rPr>
              <w:t>.</w:t>
            </w:r>
          </w:p>
        </w:tc>
        <w:tc>
          <w:tcPr>
            <w:tcW w:w="6663" w:type="dxa"/>
          </w:tcPr>
          <w:p w14:paraId="45C3F4BA" w14:textId="77777777" w:rsidR="005D5563" w:rsidRDefault="005D5563" w:rsidP="002A43E8">
            <w:r>
              <w:t xml:space="preserve">Our governance approach supports transparency in decision-making, accountability and integrity. </w:t>
            </w:r>
          </w:p>
          <w:p w14:paraId="09906DBF" w14:textId="77777777" w:rsidR="005D5563" w:rsidRDefault="005D5563" w:rsidP="002A43E8"/>
          <w:p w14:paraId="04CEFAA1" w14:textId="77777777" w:rsidR="005D5563" w:rsidRDefault="005D5563" w:rsidP="002A43E8">
            <w:r>
              <w:t xml:space="preserve">Our Executive Board and its sub-committees manage enterprise risk oversight. This ensures risks are managed appropriately and we can respond to evolving opportunities and threats in line with the enterprise risk appetite. </w:t>
            </w:r>
          </w:p>
          <w:p w14:paraId="1371957C" w14:textId="77777777" w:rsidR="005D5563" w:rsidRDefault="005D5563" w:rsidP="002A43E8"/>
          <w:p w14:paraId="078062DC" w14:textId="77777777" w:rsidR="005D5563" w:rsidRDefault="005D5563" w:rsidP="002A43E8">
            <w:r>
              <w:t>We implement government priorities in line with legislation, frameworks and guidance.</w:t>
            </w:r>
          </w:p>
        </w:tc>
      </w:tr>
      <w:tr w:rsidR="005D5563" w14:paraId="3042CB63" w14:textId="77777777" w:rsidTr="00E82221">
        <w:tc>
          <w:tcPr>
            <w:tcW w:w="3964" w:type="dxa"/>
            <w:shd w:val="clear" w:color="auto" w:fill="E9E9EA" w:themeFill="accent1" w:themeFillTint="33"/>
          </w:tcPr>
          <w:p w14:paraId="0A0E84D2" w14:textId="43D1A66F" w:rsidR="005D5563" w:rsidRPr="004E6219" w:rsidRDefault="005D5563" w:rsidP="002A43E8">
            <w:pPr>
              <w:spacing w:after="120"/>
              <w:rPr>
                <w:b/>
                <w:bCs/>
              </w:rPr>
            </w:pPr>
            <w:r w:rsidRPr="004E6219">
              <w:rPr>
                <w:b/>
                <w:bCs/>
              </w:rPr>
              <w:t>Financial</w:t>
            </w:r>
          </w:p>
          <w:p w14:paraId="6A0A192B" w14:textId="77777777" w:rsidR="005D5563" w:rsidRPr="00734049" w:rsidRDefault="005D5563" w:rsidP="002A43E8">
            <w:r>
              <w:t xml:space="preserve">We </w:t>
            </w:r>
            <w:r w:rsidRPr="00734049">
              <w:t xml:space="preserve">maintain </w:t>
            </w:r>
            <w:r>
              <w:t xml:space="preserve">our </w:t>
            </w:r>
            <w:r w:rsidRPr="002914BA">
              <w:rPr>
                <w:b/>
                <w:bCs/>
              </w:rPr>
              <w:t>financial sustainability</w:t>
            </w:r>
            <w:r>
              <w:rPr>
                <w:b/>
                <w:bCs/>
              </w:rPr>
              <w:t>.</w:t>
            </w:r>
          </w:p>
        </w:tc>
        <w:tc>
          <w:tcPr>
            <w:tcW w:w="6663" w:type="dxa"/>
            <w:shd w:val="clear" w:color="auto" w:fill="E9E9EA" w:themeFill="accent1" w:themeFillTint="33"/>
          </w:tcPr>
          <w:p w14:paraId="20747F42" w14:textId="7477061E" w:rsidR="005D5563" w:rsidRDefault="005D5563" w:rsidP="002A43E8">
            <w:pPr>
              <w:spacing w:after="120"/>
            </w:pPr>
            <w:r>
              <w:t>We implement f</w:t>
            </w:r>
            <w:r w:rsidRPr="00734049">
              <w:t xml:space="preserve">inancial governance mechanisms </w:t>
            </w:r>
            <w:r>
              <w:t>to</w:t>
            </w:r>
            <w:r w:rsidRPr="00734049">
              <w:t xml:space="preserve"> ensure efficient, effective and transparent expenditure of public monies. We </w:t>
            </w:r>
            <w:r>
              <w:t>have</w:t>
            </w:r>
            <w:r w:rsidRPr="00734049">
              <w:t xml:space="preserve"> open discussions </w:t>
            </w:r>
            <w:r>
              <w:t>to</w:t>
            </w:r>
            <w:r w:rsidRPr="00734049">
              <w:t xml:space="preserve"> reallocat</w:t>
            </w:r>
            <w:r>
              <w:t>e</w:t>
            </w:r>
            <w:r w:rsidRPr="00734049">
              <w:t xml:space="preserve"> funding where required</w:t>
            </w:r>
            <w:r>
              <w:t xml:space="preserve">. We </w:t>
            </w:r>
            <w:r w:rsidRPr="00734049">
              <w:t>follow polic</w:t>
            </w:r>
            <w:r w:rsidR="00BF2BCC">
              <w:t>ies</w:t>
            </w:r>
            <w:r w:rsidRPr="00734049">
              <w:t xml:space="preserve"> and legal requirements for necessary checks and qualifications before </w:t>
            </w:r>
            <w:r>
              <w:t xml:space="preserve">allocating </w:t>
            </w:r>
            <w:r w:rsidRPr="00734049">
              <w:t>any funding, grants or subsidies.</w:t>
            </w:r>
          </w:p>
        </w:tc>
      </w:tr>
    </w:tbl>
    <w:p w14:paraId="3191CB22" w14:textId="77777777" w:rsidR="00BE3164" w:rsidRPr="00A95A6C" w:rsidRDefault="00BE3164" w:rsidP="00A95A6C"/>
    <w:p w14:paraId="1B500238" w14:textId="77777777" w:rsidR="00BE3164" w:rsidRDefault="00BE3164">
      <w:pPr>
        <w:rPr>
          <w:rFonts w:asciiTheme="majorHAnsi" w:eastAsiaTheme="majorEastAsia" w:hAnsiTheme="majorHAnsi" w:cstheme="majorBidi"/>
          <w:color w:val="005677" w:themeColor="text2"/>
          <w:sz w:val="48"/>
          <w:szCs w:val="32"/>
        </w:rPr>
      </w:pPr>
      <w:r>
        <w:br w:type="page"/>
      </w:r>
    </w:p>
    <w:p w14:paraId="209528C2" w14:textId="412AA02F" w:rsidR="00350419" w:rsidRPr="008B410F" w:rsidRDefault="0AB45692" w:rsidP="00350419">
      <w:pPr>
        <w:pStyle w:val="Heading1"/>
      </w:pPr>
      <w:r>
        <w:t>Our governance</w:t>
      </w:r>
    </w:p>
    <w:p w14:paraId="22F50FCA" w14:textId="76B9CC5F" w:rsidR="00ED6A94" w:rsidRPr="002C1C3F" w:rsidRDefault="00ED6A94" w:rsidP="002C1C3F">
      <w:r w:rsidRPr="00A13E2F">
        <w:t>Our strong governance arrangements help us to deliver our purpose and strategic priorities, and compl</w:t>
      </w:r>
      <w:r w:rsidR="00BF2BCC" w:rsidRPr="00A13E2F">
        <w:t>y</w:t>
      </w:r>
      <w:r w:rsidRPr="00A13E2F">
        <w:t xml:space="preserve"> with our </w:t>
      </w:r>
      <w:r w:rsidRPr="002C1C3F">
        <w:t>legislative, regulatory, financial and other obligations.</w:t>
      </w:r>
    </w:p>
    <w:p w14:paraId="51F7BA0A" w14:textId="77777777" w:rsidR="00827414" w:rsidRPr="002C1C3F" w:rsidRDefault="00CD1E31" w:rsidP="002C1C3F">
      <w:r w:rsidRPr="002C1C3F">
        <w:t>Our</w:t>
      </w:r>
      <w:r w:rsidR="0003598D" w:rsidRPr="002C1C3F">
        <w:t xml:space="preserve"> </w:t>
      </w:r>
      <w:r w:rsidRPr="002C1C3F">
        <w:t xml:space="preserve">governance committee structure </w:t>
      </w:r>
      <w:r w:rsidR="000C6DFD" w:rsidRPr="002C1C3F">
        <w:t xml:space="preserve">includes the Executive Board and its sub-committees. </w:t>
      </w:r>
    </w:p>
    <w:p w14:paraId="526ECB64" w14:textId="0570C30F" w:rsidR="00BE3164" w:rsidRPr="002C1C3F" w:rsidRDefault="000C6DFD" w:rsidP="002C1C3F">
      <w:r w:rsidRPr="002C1C3F">
        <w:t>Sub-committees cover</w:t>
      </w:r>
      <w:r w:rsidR="00BE3164" w:rsidRPr="002C1C3F">
        <w:t>:</w:t>
      </w:r>
    </w:p>
    <w:p w14:paraId="7BABCE36" w14:textId="77777777" w:rsidR="00BE3164" w:rsidRDefault="000C6DFD" w:rsidP="002C1C3F">
      <w:pPr>
        <w:pStyle w:val="ListParagraph"/>
        <w:numPr>
          <w:ilvl w:val="0"/>
          <w:numId w:val="44"/>
        </w:numPr>
        <w:spacing w:after="120" w:line="240" w:lineRule="auto"/>
        <w:ind w:left="1071" w:hanging="357"/>
        <w:contextualSpacing w:val="0"/>
      </w:pPr>
      <w:r>
        <w:t>people</w:t>
      </w:r>
      <w:r w:rsidR="00AF772A">
        <w:t>, safety</w:t>
      </w:r>
      <w:r>
        <w:t xml:space="preserve"> and culture</w:t>
      </w:r>
    </w:p>
    <w:p w14:paraId="3840F8CF" w14:textId="77777777" w:rsidR="00BE3164" w:rsidRDefault="00AF772A" w:rsidP="002C1C3F">
      <w:pPr>
        <w:pStyle w:val="ListParagraph"/>
        <w:numPr>
          <w:ilvl w:val="0"/>
          <w:numId w:val="44"/>
        </w:numPr>
        <w:spacing w:after="120" w:line="240" w:lineRule="auto"/>
        <w:ind w:left="1071" w:hanging="357"/>
        <w:contextualSpacing w:val="0"/>
      </w:pPr>
      <w:r>
        <w:t>performance and risk</w:t>
      </w:r>
    </w:p>
    <w:p w14:paraId="21996DE0" w14:textId="5E34CEFE" w:rsidR="000C6DFD" w:rsidRDefault="00AF772A" w:rsidP="002C1C3F">
      <w:pPr>
        <w:pStyle w:val="ListParagraph"/>
        <w:numPr>
          <w:ilvl w:val="0"/>
          <w:numId w:val="44"/>
        </w:numPr>
      </w:pPr>
      <w:r>
        <w:t xml:space="preserve">operations (enterprise information, </w:t>
      </w:r>
      <w:r w:rsidR="00854FBF">
        <w:t xml:space="preserve">protective and cyber security, </w:t>
      </w:r>
      <w:r>
        <w:t xml:space="preserve">and </w:t>
      </w:r>
      <w:r w:rsidR="000C6DFD">
        <w:t xml:space="preserve">financial </w:t>
      </w:r>
      <w:r>
        <w:t xml:space="preserve">and property </w:t>
      </w:r>
      <w:r w:rsidR="000C6DFD">
        <w:t>management</w:t>
      </w:r>
      <w:r>
        <w:t>)</w:t>
      </w:r>
      <w:r w:rsidR="007D0E74">
        <w:t>.</w:t>
      </w:r>
    </w:p>
    <w:p w14:paraId="750116D6" w14:textId="6962FA8B" w:rsidR="001A664D" w:rsidRPr="002C61BC" w:rsidRDefault="00E90510" w:rsidP="002C1C3F">
      <w:pPr>
        <w:rPr>
          <w:rStyle w:val="ui-provider"/>
        </w:rPr>
      </w:pPr>
      <w:r>
        <w:t xml:space="preserve">Our committee structure </w:t>
      </w:r>
      <w:r w:rsidR="00CD1E31">
        <w:t xml:space="preserve">provides </w:t>
      </w:r>
      <w:r w:rsidR="00CD1E31" w:rsidRPr="002C1C3F">
        <w:t>assurance</w:t>
      </w:r>
      <w:r w:rsidR="00CD1E31">
        <w:t xml:space="preserve"> and oversight of our management responsibilities </w:t>
      </w:r>
      <w:r w:rsidR="003D3375">
        <w:t>and supports</w:t>
      </w:r>
      <w:r>
        <w:t xml:space="preserve"> </w:t>
      </w:r>
      <w:r w:rsidR="003D3375">
        <w:t>compliance with legislative, regulatory, financial and other obligations</w:t>
      </w:r>
      <w:r w:rsidR="00CD1E31">
        <w:t>.</w:t>
      </w:r>
      <w:r w:rsidR="0008154D">
        <w:t xml:space="preserve"> </w:t>
      </w:r>
      <w:r w:rsidR="000C6DFD">
        <w:t>This helps</w:t>
      </w:r>
      <w:r w:rsidR="0008154D">
        <w:t xml:space="preserve"> the Secretary discharg</w:t>
      </w:r>
      <w:r w:rsidR="00BE3164">
        <w:t>e</w:t>
      </w:r>
      <w:r w:rsidR="0008154D">
        <w:t xml:space="preserve"> </w:t>
      </w:r>
      <w:r w:rsidR="00076B72">
        <w:t xml:space="preserve">her </w:t>
      </w:r>
      <w:r w:rsidR="0008154D">
        <w:t>oversight and governance obligations</w:t>
      </w:r>
      <w:r w:rsidR="00843868">
        <w:t xml:space="preserve"> </w:t>
      </w:r>
      <w:r w:rsidR="00843868" w:rsidRPr="00BE001F">
        <w:t xml:space="preserve">under the </w:t>
      </w:r>
      <w:r w:rsidR="00843868" w:rsidRPr="218580CA">
        <w:rPr>
          <w:i/>
          <w:iCs/>
        </w:rPr>
        <w:t>Public Governance, Performance and Accountability Act 2013 (PGPA</w:t>
      </w:r>
      <w:r w:rsidR="00076B72">
        <w:rPr>
          <w:i/>
          <w:iCs/>
        </w:rPr>
        <w:t> </w:t>
      </w:r>
      <w:r w:rsidR="00843868" w:rsidRPr="218580CA">
        <w:rPr>
          <w:i/>
          <w:iCs/>
        </w:rPr>
        <w:t>Act)</w:t>
      </w:r>
      <w:r w:rsidR="00843868" w:rsidRPr="00BE001F">
        <w:t xml:space="preserve"> and </w:t>
      </w:r>
      <w:r w:rsidR="00843868" w:rsidRPr="218580CA">
        <w:rPr>
          <w:i/>
          <w:iCs/>
        </w:rPr>
        <w:t>s57 of the Public Service Act 1999</w:t>
      </w:r>
      <w:r w:rsidR="0008154D">
        <w:t>.</w:t>
      </w:r>
    </w:p>
    <w:p w14:paraId="2FFF69F2" w14:textId="1E0F782D" w:rsidR="00DD1C06" w:rsidRDefault="00891F2D" w:rsidP="00C37071">
      <w:r w:rsidRPr="00891F2D">
        <w:rPr>
          <w:noProof/>
        </w:rPr>
        <w:drawing>
          <wp:inline distT="0" distB="0" distL="0" distR="0" wp14:anchorId="52820D1F" wp14:editId="49DCDADB">
            <wp:extent cx="6768465" cy="5896610"/>
            <wp:effectExtent l="0" t="0" r="0" b="8890"/>
            <wp:docPr id="13" name="Picture 13" descr="Accountable Authority: Secretary, Meghan Quinn PSM.&#10;Key Governance Committees: Executive Board. People Safety and Culture Committee. Operations Committee. Performance and Risk Committee. Audit and Risk Committee. Financial Statements Sub-committee. People, Safety and Culture Committee reports to Executive Board. Operations Committee reports to Executive Board. Performance and Risk Committee reports to Executive Board. Audit and Risk committee report to Secretary. Financial statements sub-committee reports to Audit and Risk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ccountable Authority: Secretary, Meghan Quinn PSM.&#10;Key Governance Committees: Executive Board. People Safety and Culture Committee. Operations Committee. Performance and Risk Committee. Audit and Risk Committee. Financial Statements Sub-committee. People, Safety and Culture Committee reports to Executive Board. Operations Committee reports to Executive Board. Performance and Risk Committee reports to Executive Board. Audit and Risk committee report to Secretary. Financial statements sub-committee reports to Audit and Risk Committee."/>
                    <pic:cNvPicPr/>
                  </pic:nvPicPr>
                  <pic:blipFill>
                    <a:blip r:embed="rId19"/>
                    <a:stretch>
                      <a:fillRect/>
                    </a:stretch>
                  </pic:blipFill>
                  <pic:spPr>
                    <a:xfrm>
                      <a:off x="0" y="0"/>
                      <a:ext cx="6768465" cy="5896610"/>
                    </a:xfrm>
                    <a:prstGeom prst="rect">
                      <a:avLst/>
                    </a:prstGeom>
                  </pic:spPr>
                </pic:pic>
              </a:graphicData>
            </a:graphic>
          </wp:inline>
        </w:drawing>
      </w:r>
    </w:p>
    <w:p w14:paraId="03819629" w14:textId="70F3813A" w:rsidR="00216861" w:rsidRPr="001851F0" w:rsidRDefault="00216861" w:rsidP="001851F0">
      <w:pPr>
        <w:pStyle w:val="Heading1"/>
      </w:pPr>
      <w:bookmarkStart w:id="114" w:name="_Hlk139280878"/>
      <w:bookmarkEnd w:id="113"/>
      <w:r w:rsidRPr="00217D6C">
        <w:t>Our performance</w:t>
      </w:r>
      <w:bookmarkStart w:id="115" w:name="_Toc17881245"/>
      <w:bookmarkEnd w:id="103"/>
      <w:bookmarkEnd w:id="104"/>
      <w:bookmarkEnd w:id="105"/>
      <w:bookmarkEnd w:id="106"/>
      <w:bookmarkEnd w:id="107"/>
      <w:bookmarkEnd w:id="108"/>
      <w:bookmarkEnd w:id="115"/>
    </w:p>
    <w:p w14:paraId="50912896" w14:textId="61340B49" w:rsidR="00192973" w:rsidRDefault="00803B21" w:rsidP="00A13E2F">
      <w:bookmarkStart w:id="116" w:name="_Hlk138158170"/>
      <w:bookmarkStart w:id="117" w:name="_Hlk138157563"/>
      <w:r>
        <w:t xml:space="preserve">We measure and report on our performance to track progress against our purpose and key activities. This demonstrates accountability to our </w:t>
      </w:r>
      <w:r w:rsidRPr="005E3BCD">
        <w:t>ministers</w:t>
      </w:r>
      <w:r>
        <w:t xml:space="preserve">, the </w:t>
      </w:r>
      <w:r w:rsidRPr="005E3BCD">
        <w:t>government</w:t>
      </w:r>
      <w:r>
        <w:t xml:space="preserve">, the </w:t>
      </w:r>
      <w:r w:rsidRPr="005E3BCD">
        <w:t>parliament</w:t>
      </w:r>
      <w:r>
        <w:t xml:space="preserve"> and the Australian public.</w:t>
      </w:r>
    </w:p>
    <w:p w14:paraId="788D811E" w14:textId="2E25919F" w:rsidR="00803B21" w:rsidRPr="006C6AC8" w:rsidRDefault="002D1A5B" w:rsidP="00A13E2F">
      <w:r>
        <w:t>We report o</w:t>
      </w:r>
      <w:r w:rsidR="00803B21">
        <w:t>ur performance in our annual report. Across the breadth of the department’s activities, we measure outputs, efficiency, and effectiveness. Some of our strategic priorities relate to activities and programs that are too early in their development for meaningful output or outcome</w:t>
      </w:r>
      <w:r>
        <w:t>-</w:t>
      </w:r>
      <w:r w:rsidR="00803B21">
        <w:t xml:space="preserve">focused performance measures. </w:t>
      </w:r>
      <w:r>
        <w:t>We will consider establishing additional performance measures as these activities and programs progress</w:t>
      </w:r>
      <w:r w:rsidR="00803B21">
        <w:t xml:space="preserve">. </w:t>
      </w:r>
    </w:p>
    <w:p w14:paraId="4467B529" w14:textId="610DD60C" w:rsidR="00B62240" w:rsidRPr="000F7843" w:rsidRDefault="0080405C" w:rsidP="002C1C3F">
      <w:pPr>
        <w:pStyle w:val="Heading2"/>
      </w:pPr>
      <w:r w:rsidRPr="000F7843">
        <w:t>Regulator performance</w:t>
      </w:r>
    </w:p>
    <w:bookmarkEnd w:id="116"/>
    <w:p w14:paraId="31F9048F" w14:textId="063FFCFD" w:rsidR="005C31FD" w:rsidRDefault="005C31FD" w:rsidP="002C1C3F">
      <w:r w:rsidRPr="0080405C">
        <w:t xml:space="preserve">We deliver regulatory </w:t>
      </w:r>
      <w:r w:rsidRPr="002C1C3F">
        <w:t>functions</w:t>
      </w:r>
      <w:r w:rsidRPr="0080405C">
        <w:t xml:space="preserve"> to support</w:t>
      </w:r>
      <w:r w:rsidR="00ED6A94" w:rsidRPr="0080405C">
        <w:t xml:space="preserve"> </w:t>
      </w:r>
      <w:r w:rsidRPr="0080405C">
        <w:t>and enhance businesses and the Australian community</w:t>
      </w:r>
      <w:r>
        <w:t xml:space="preserve">. </w:t>
      </w:r>
      <w:r w:rsidR="002D1A5B">
        <w:t>These</w:t>
      </w:r>
      <w:r>
        <w:t xml:space="preserve"> functions are set out in the </w:t>
      </w:r>
      <w:hyperlink r:id="rId20" w:history="1">
        <w:r w:rsidRPr="001563AA">
          <w:rPr>
            <w:rStyle w:val="Hyperlink"/>
          </w:rPr>
          <w:t>Australian Government regulator stocktake</w:t>
        </w:r>
      </w:hyperlink>
      <w:r w:rsidR="001563AA">
        <w:t>.</w:t>
      </w:r>
    </w:p>
    <w:p w14:paraId="3930A4F0" w14:textId="383A19D3" w:rsidR="005C31FD" w:rsidRPr="0080405C" w:rsidRDefault="005C31FD" w:rsidP="002C1C3F">
      <w:r>
        <w:t xml:space="preserve">The </w:t>
      </w:r>
      <w:r w:rsidRPr="002C1C3F">
        <w:t>performance</w:t>
      </w:r>
      <w:r>
        <w:t xml:space="preserve"> of o</w:t>
      </w:r>
      <w:r w:rsidRPr="0080405C">
        <w:t xml:space="preserve">ur </w:t>
      </w:r>
      <w:r>
        <w:t>regulatory functions consider</w:t>
      </w:r>
      <w:r w:rsidR="00FC71EA">
        <w:t>s</w:t>
      </w:r>
      <w:r w:rsidRPr="0080405C">
        <w:t xml:space="preserve"> </w:t>
      </w:r>
      <w:r w:rsidR="00EC3CB2">
        <w:t>3</w:t>
      </w:r>
      <w:r w:rsidRPr="0080405C">
        <w:t xml:space="preserve"> </w:t>
      </w:r>
      <w:r>
        <w:t>best</w:t>
      </w:r>
      <w:r w:rsidR="00EC3CB2">
        <w:t>-</w:t>
      </w:r>
      <w:r>
        <w:t>practice</w:t>
      </w:r>
      <w:r w:rsidRPr="0080405C">
        <w:t xml:space="preserve"> principles:</w:t>
      </w:r>
    </w:p>
    <w:p w14:paraId="1A344D80" w14:textId="42F3A5EC" w:rsidR="005C31FD" w:rsidRPr="0080405C" w:rsidRDefault="00EC3CB2" w:rsidP="002C1C3F">
      <w:pPr>
        <w:pStyle w:val="ListParagraph"/>
        <w:numPr>
          <w:ilvl w:val="0"/>
          <w:numId w:val="27"/>
        </w:numPr>
        <w:spacing w:after="120" w:line="240" w:lineRule="auto"/>
        <w:ind w:left="714" w:hanging="357"/>
        <w:contextualSpacing w:val="0"/>
      </w:pPr>
      <w:r w:rsidRPr="0041689D">
        <w:rPr>
          <w:b/>
          <w:bCs/>
        </w:rPr>
        <w:t>C</w:t>
      </w:r>
      <w:r w:rsidR="005C31FD" w:rsidRPr="0041689D">
        <w:rPr>
          <w:b/>
          <w:bCs/>
        </w:rPr>
        <w:t>ontinuous improvement and building trust:</w:t>
      </w:r>
      <w:r w:rsidR="005C31FD">
        <w:t xml:space="preserve"> </w:t>
      </w:r>
      <w:r w:rsidR="005C31FD" w:rsidRPr="00EC167D">
        <w:t>regulators adopt a whole-of-system perspective, continuously improving their performance, capability and culture to build trust and confidence in Australia’s regulatory settings.</w:t>
      </w:r>
    </w:p>
    <w:p w14:paraId="638DF7D2" w14:textId="30BFD878" w:rsidR="005C31FD" w:rsidRPr="0080405C" w:rsidRDefault="00EC3CB2" w:rsidP="002C1C3F">
      <w:pPr>
        <w:pStyle w:val="ListParagraph"/>
        <w:numPr>
          <w:ilvl w:val="0"/>
          <w:numId w:val="27"/>
        </w:numPr>
        <w:spacing w:after="120" w:line="240" w:lineRule="auto"/>
        <w:ind w:left="714" w:hanging="357"/>
        <w:contextualSpacing w:val="0"/>
      </w:pPr>
      <w:r w:rsidRPr="0041689D">
        <w:rPr>
          <w:b/>
          <w:bCs/>
        </w:rPr>
        <w:t>R</w:t>
      </w:r>
      <w:r w:rsidR="005C31FD" w:rsidRPr="0041689D">
        <w:rPr>
          <w:b/>
          <w:bCs/>
        </w:rPr>
        <w:t>isk</w:t>
      </w:r>
      <w:r w:rsidRPr="0041689D">
        <w:rPr>
          <w:b/>
          <w:bCs/>
        </w:rPr>
        <w:t>-</w:t>
      </w:r>
      <w:r w:rsidR="005C31FD" w:rsidRPr="0041689D">
        <w:rPr>
          <w:b/>
          <w:bCs/>
        </w:rPr>
        <w:t>based and data</w:t>
      </w:r>
      <w:r w:rsidRPr="0041689D">
        <w:rPr>
          <w:b/>
          <w:bCs/>
        </w:rPr>
        <w:t>-</w:t>
      </w:r>
      <w:r w:rsidR="005C31FD" w:rsidRPr="0041689D">
        <w:rPr>
          <w:b/>
          <w:bCs/>
        </w:rPr>
        <w:t>driven:</w:t>
      </w:r>
      <w:r w:rsidR="005C31FD">
        <w:t xml:space="preserve"> </w:t>
      </w:r>
      <w:r w:rsidR="005C31FD" w:rsidRPr="00C17C63">
        <w:t>regulators manage risks proportionately and maintain essential safeguards while minimising regulatory burden</w:t>
      </w:r>
      <w:r>
        <w:t xml:space="preserve">. They </w:t>
      </w:r>
      <w:r w:rsidR="005C31FD" w:rsidRPr="00C17C63">
        <w:t>leverag</w:t>
      </w:r>
      <w:r>
        <w:t>e</w:t>
      </w:r>
      <w:r w:rsidR="005C31FD" w:rsidRPr="00C17C63">
        <w:t xml:space="preserve"> data and digital technology to support those they regulate to comply and grow.</w:t>
      </w:r>
    </w:p>
    <w:p w14:paraId="586928B3" w14:textId="09F2FE16" w:rsidR="005C31FD" w:rsidRPr="0080405C" w:rsidRDefault="00EC3CB2" w:rsidP="005C31FD">
      <w:pPr>
        <w:pStyle w:val="ListParagraph"/>
        <w:numPr>
          <w:ilvl w:val="0"/>
          <w:numId w:val="27"/>
        </w:numPr>
      </w:pPr>
      <w:r w:rsidRPr="0041689D">
        <w:rPr>
          <w:b/>
          <w:bCs/>
        </w:rPr>
        <w:t>C</w:t>
      </w:r>
      <w:r w:rsidR="005C31FD" w:rsidRPr="0041689D">
        <w:rPr>
          <w:b/>
          <w:bCs/>
        </w:rPr>
        <w:t>ollaboration and engagement:</w:t>
      </w:r>
      <w:r w:rsidR="005C31FD">
        <w:t xml:space="preserve"> </w:t>
      </w:r>
      <w:r w:rsidR="005C31FD" w:rsidRPr="00C17C63">
        <w:t>regulators are transparent and responsive communicators, implementing regulations in a modern and collaborative way.</w:t>
      </w:r>
    </w:p>
    <w:p w14:paraId="2CF32B08" w14:textId="17215772" w:rsidR="00EF0C08" w:rsidRPr="0080405C" w:rsidRDefault="00EC3CB2" w:rsidP="002C1C3F">
      <w:r>
        <w:t>R</w:t>
      </w:r>
      <w:r w:rsidR="005C31FD">
        <w:t xml:space="preserve">egulatory functions </w:t>
      </w:r>
      <w:r w:rsidR="00183BDA">
        <w:t>relat</w:t>
      </w:r>
      <w:r>
        <w:t>ing</w:t>
      </w:r>
      <w:r w:rsidR="005C31FD">
        <w:t xml:space="preserve"> to a material component of the </w:t>
      </w:r>
      <w:r w:rsidR="005C31FD" w:rsidRPr="005E3BCD">
        <w:t>department’s</w:t>
      </w:r>
      <w:r w:rsidR="005C31FD">
        <w:t xml:space="preserve"> delivery of key activities</w:t>
      </w:r>
      <w:r>
        <w:t xml:space="preserve"> </w:t>
      </w:r>
      <w:r w:rsidR="005C31FD">
        <w:t>are reflected in our performance measures.</w:t>
      </w:r>
      <w:r w:rsidR="00FC71EA">
        <w:t xml:space="preserve"> </w:t>
      </w:r>
      <w:r w:rsidR="00DF3A1E">
        <w:t>In 2023</w:t>
      </w:r>
      <w:r w:rsidR="00BB269E">
        <w:t>–</w:t>
      </w:r>
      <w:r w:rsidR="00DF3A1E">
        <w:t>24, w</w:t>
      </w:r>
      <w:r w:rsidR="00AE0390">
        <w:t>e will continue review</w:t>
      </w:r>
      <w:r w:rsidR="00BB269E">
        <w:t>ing</w:t>
      </w:r>
      <w:r w:rsidR="00AE0390">
        <w:t xml:space="preserve"> our approach to regulator performance and performance measures</w:t>
      </w:r>
      <w:r w:rsidR="00A13E2F">
        <w:t xml:space="preserve">, </w:t>
      </w:r>
      <w:r w:rsidR="00B540F1">
        <w:t xml:space="preserve">with </w:t>
      </w:r>
      <w:r w:rsidR="00B540F1" w:rsidRPr="002C1C3F">
        <w:t>reference</w:t>
      </w:r>
      <w:r w:rsidR="00B540F1">
        <w:t xml:space="preserve"> to the 3 best-practice principles, </w:t>
      </w:r>
      <w:r w:rsidR="00A13E2F">
        <w:t>for reporting</w:t>
      </w:r>
      <w:r w:rsidR="00BB269E">
        <w:t xml:space="preserve"> in our next annual report</w:t>
      </w:r>
      <w:r w:rsidR="00AE0390">
        <w:t>.</w:t>
      </w:r>
    </w:p>
    <w:p w14:paraId="4B59F795" w14:textId="1B9153A0" w:rsidR="0080405C" w:rsidRDefault="0080405C" w:rsidP="002C1C3F">
      <w:pPr>
        <w:pStyle w:val="Heading2"/>
      </w:pPr>
      <w:bookmarkStart w:id="118" w:name="_Hlk138158141"/>
      <w:bookmarkEnd w:id="117"/>
      <w:r>
        <w:t>Performance measures</w:t>
      </w:r>
    </w:p>
    <w:p w14:paraId="0356B99B" w14:textId="4E0F316D" w:rsidR="009B350A" w:rsidRPr="006C6AC8" w:rsidRDefault="0AB45692" w:rsidP="1A4FCB24">
      <w:bookmarkStart w:id="119" w:name="_Hlk137021592"/>
      <w:bookmarkEnd w:id="118"/>
      <w:r>
        <w:t>Our performance measures relate directly to our purpose and key activities</w:t>
      </w:r>
      <w:r w:rsidR="00272F8F">
        <w:t>.</w:t>
      </w:r>
      <w:r w:rsidR="00C148B1">
        <w:t xml:space="preserve"> </w:t>
      </w:r>
      <w:r w:rsidR="00CB2D62">
        <w:t>P</w:t>
      </w:r>
      <w:r w:rsidR="00272F8F">
        <w:t xml:space="preserve">erformance </w:t>
      </w:r>
      <w:r w:rsidR="00E90510">
        <w:t>measures are both</w:t>
      </w:r>
      <w:r>
        <w:t xml:space="preserve"> qualitative and quantitative </w:t>
      </w:r>
      <w:r w:rsidR="00350EA2">
        <w:t>to</w:t>
      </w:r>
      <w:r>
        <w:t xml:space="preserve"> assess our outputs, efficiency and effectiveness over time.</w:t>
      </w:r>
      <w:r w:rsidR="00D92565">
        <w:t xml:space="preserve"> </w:t>
      </w:r>
    </w:p>
    <w:p w14:paraId="10F0E9AC" w14:textId="77777777" w:rsidR="006C6AC8" w:rsidRDefault="0AB45692" w:rsidP="00F153D0">
      <w:pPr>
        <w:spacing w:after="120"/>
      </w:pPr>
      <w:r>
        <w:t>Performance information for each key activity is set out as follows:</w:t>
      </w:r>
    </w:p>
    <w:p w14:paraId="12172633" w14:textId="08BB2011" w:rsidR="00820E5C" w:rsidRDefault="00CA3657" w:rsidP="002C1C3F">
      <w:pPr>
        <w:pStyle w:val="ListParagraph"/>
        <w:numPr>
          <w:ilvl w:val="0"/>
          <w:numId w:val="45"/>
        </w:numPr>
        <w:spacing w:after="120" w:line="240" w:lineRule="auto"/>
        <w:ind w:left="714" w:hanging="357"/>
        <w:contextualSpacing w:val="0"/>
      </w:pPr>
      <w:r w:rsidRPr="002C1C3F">
        <w:rPr>
          <w:b/>
          <w:bCs/>
        </w:rPr>
        <w:t>P</w:t>
      </w:r>
      <w:r w:rsidR="0AB45692" w:rsidRPr="002C1C3F">
        <w:rPr>
          <w:b/>
          <w:bCs/>
        </w:rPr>
        <w:t>erformance measure</w:t>
      </w:r>
      <w:r w:rsidR="00FD03F5" w:rsidRPr="002C1C3F">
        <w:rPr>
          <w:b/>
          <w:bCs/>
        </w:rPr>
        <w:t>:</w:t>
      </w:r>
      <w:r w:rsidR="00FD03F5">
        <w:t xml:space="preserve"> </w:t>
      </w:r>
      <w:r w:rsidR="0AB45692">
        <w:t>used to track progress toward an intended result</w:t>
      </w:r>
      <w:r w:rsidR="00A127CB">
        <w:t>.</w:t>
      </w:r>
    </w:p>
    <w:p w14:paraId="3354849B" w14:textId="2DCCD8AB" w:rsidR="004D6C65" w:rsidRDefault="00CA3657" w:rsidP="002C1C3F">
      <w:pPr>
        <w:pStyle w:val="ListParagraph"/>
        <w:numPr>
          <w:ilvl w:val="0"/>
          <w:numId w:val="45"/>
        </w:numPr>
        <w:spacing w:after="120" w:line="240" w:lineRule="auto"/>
        <w:ind w:left="714" w:hanging="357"/>
        <w:contextualSpacing w:val="0"/>
      </w:pPr>
      <w:r w:rsidRPr="002C1C3F">
        <w:rPr>
          <w:b/>
          <w:bCs/>
        </w:rPr>
        <w:t>T</w:t>
      </w:r>
      <w:r w:rsidR="004D6C65" w:rsidRPr="002C1C3F">
        <w:rPr>
          <w:b/>
          <w:bCs/>
        </w:rPr>
        <w:t>ype of measure:</w:t>
      </w:r>
      <w:r w:rsidR="004D6C65">
        <w:t xml:space="preserve"> output, efficiency or effectiveness</w:t>
      </w:r>
      <w:r w:rsidR="00A127CB">
        <w:t>.</w:t>
      </w:r>
    </w:p>
    <w:p w14:paraId="4786C3B3" w14:textId="19DC77F9" w:rsidR="00135C69" w:rsidRDefault="00CA3657" w:rsidP="002C1C3F">
      <w:pPr>
        <w:pStyle w:val="ListParagraph"/>
        <w:numPr>
          <w:ilvl w:val="0"/>
          <w:numId w:val="45"/>
        </w:numPr>
        <w:spacing w:after="120" w:line="240" w:lineRule="auto"/>
        <w:ind w:left="714" w:hanging="357"/>
        <w:contextualSpacing w:val="0"/>
      </w:pPr>
      <w:r w:rsidRPr="002C1C3F">
        <w:rPr>
          <w:b/>
          <w:bCs/>
        </w:rPr>
        <w:t>T</w:t>
      </w:r>
      <w:r w:rsidR="00135C69" w:rsidRPr="002C1C3F">
        <w:rPr>
          <w:b/>
          <w:bCs/>
        </w:rPr>
        <w:t>argets:</w:t>
      </w:r>
      <w:r w:rsidR="00135C69">
        <w:t xml:space="preserve"> what success will look like</w:t>
      </w:r>
      <w:r w:rsidR="00A127CB">
        <w:t>.</w:t>
      </w:r>
    </w:p>
    <w:p w14:paraId="05413165" w14:textId="7BFC32BE" w:rsidR="006C6AC8" w:rsidRDefault="00CA3657" w:rsidP="002C1C3F">
      <w:pPr>
        <w:pStyle w:val="ListParagraph"/>
        <w:numPr>
          <w:ilvl w:val="0"/>
          <w:numId w:val="45"/>
        </w:numPr>
        <w:spacing w:after="120" w:line="240" w:lineRule="auto"/>
        <w:ind w:left="714" w:hanging="357"/>
        <w:contextualSpacing w:val="0"/>
      </w:pPr>
      <w:r w:rsidRPr="002C1C3F">
        <w:rPr>
          <w:b/>
          <w:bCs/>
        </w:rPr>
        <w:t>W</w:t>
      </w:r>
      <w:r w:rsidR="0AB45692" w:rsidRPr="002C1C3F">
        <w:rPr>
          <w:b/>
          <w:bCs/>
        </w:rPr>
        <w:t>hy this matters</w:t>
      </w:r>
      <w:r w:rsidR="00FD03F5" w:rsidRPr="002C1C3F">
        <w:rPr>
          <w:b/>
          <w:bCs/>
        </w:rPr>
        <w:t>:</w:t>
      </w:r>
      <w:r w:rsidR="00FD03F5">
        <w:t xml:space="preserve"> </w:t>
      </w:r>
      <w:r w:rsidR="0AB45692">
        <w:t xml:space="preserve">the </w:t>
      </w:r>
      <w:r w:rsidR="00272F8F">
        <w:t>effect</w:t>
      </w:r>
      <w:r w:rsidR="0AB45692">
        <w:t xml:space="preserve">, difference or result we want to achieve </w:t>
      </w:r>
      <w:r w:rsidR="00FD03F5">
        <w:t xml:space="preserve">to </w:t>
      </w:r>
      <w:r w:rsidR="0AB45692">
        <w:t xml:space="preserve">support </w:t>
      </w:r>
      <w:r w:rsidR="00272F8F">
        <w:t>our</w:t>
      </w:r>
      <w:r w:rsidR="0AB45692">
        <w:t xml:space="preserve"> key activities and purpose</w:t>
      </w:r>
      <w:r w:rsidR="00A127CB">
        <w:t>.</w:t>
      </w:r>
    </w:p>
    <w:p w14:paraId="08BA184A" w14:textId="3135DA59" w:rsidR="00216861" w:rsidRDefault="00CA3657" w:rsidP="002C1C3F">
      <w:pPr>
        <w:pStyle w:val="ListParagraph"/>
        <w:numPr>
          <w:ilvl w:val="0"/>
          <w:numId w:val="45"/>
        </w:numPr>
        <w:spacing w:after="120" w:line="240" w:lineRule="auto"/>
        <w:ind w:left="714" w:hanging="357"/>
        <w:contextualSpacing w:val="0"/>
      </w:pPr>
      <w:r w:rsidRPr="002C1C3F">
        <w:rPr>
          <w:b/>
          <w:bCs/>
        </w:rPr>
        <w:t>D</w:t>
      </w:r>
      <w:r w:rsidR="0AB45692" w:rsidRPr="002C1C3F">
        <w:rPr>
          <w:b/>
          <w:bCs/>
        </w:rPr>
        <w:t>ata sources</w:t>
      </w:r>
      <w:r w:rsidR="00FD03F5" w:rsidRPr="002C1C3F">
        <w:rPr>
          <w:b/>
          <w:bCs/>
        </w:rPr>
        <w:t>:</w:t>
      </w:r>
      <w:r w:rsidR="00FD03F5">
        <w:t xml:space="preserve"> </w:t>
      </w:r>
      <w:r w:rsidR="0AB45692">
        <w:t xml:space="preserve">the information we will </w:t>
      </w:r>
      <w:r w:rsidR="00FD03F5">
        <w:t>use</w:t>
      </w:r>
      <w:r w:rsidR="0AB45692">
        <w:t xml:space="preserve"> </w:t>
      </w:r>
      <w:r w:rsidR="00FD03F5">
        <w:t>to measure</w:t>
      </w:r>
      <w:r w:rsidR="0AB45692">
        <w:t xml:space="preserve"> performance against the target</w:t>
      </w:r>
      <w:r w:rsidR="00A127CB">
        <w:t>.</w:t>
      </w:r>
    </w:p>
    <w:p w14:paraId="15167DA4" w14:textId="7F7CDCBC" w:rsidR="00135C69" w:rsidRDefault="00CA3657" w:rsidP="002C1C3F">
      <w:pPr>
        <w:pStyle w:val="ListParagraph"/>
        <w:numPr>
          <w:ilvl w:val="0"/>
          <w:numId w:val="45"/>
        </w:numPr>
        <w:spacing w:after="120" w:line="240" w:lineRule="auto"/>
        <w:ind w:left="714" w:hanging="357"/>
        <w:contextualSpacing w:val="0"/>
      </w:pPr>
      <w:r w:rsidRPr="002C1C3F">
        <w:rPr>
          <w:b/>
          <w:bCs/>
        </w:rPr>
        <w:t>M</w:t>
      </w:r>
      <w:r w:rsidR="00135C69" w:rsidRPr="002C1C3F">
        <w:rPr>
          <w:b/>
          <w:bCs/>
        </w:rPr>
        <w:t>ethodology:</w:t>
      </w:r>
      <w:r w:rsidR="00135C69">
        <w:t xml:space="preserve"> how the result is calculated</w:t>
      </w:r>
      <w:r w:rsidR="00A127CB">
        <w:t>.</w:t>
      </w:r>
    </w:p>
    <w:p w14:paraId="41064EBC" w14:textId="48194287" w:rsidR="00773EEE" w:rsidRDefault="00CA3657" w:rsidP="002C1C3F">
      <w:pPr>
        <w:pStyle w:val="ListParagraph"/>
        <w:numPr>
          <w:ilvl w:val="0"/>
          <w:numId w:val="45"/>
        </w:numPr>
        <w:spacing w:after="120" w:line="240" w:lineRule="auto"/>
        <w:ind w:left="714" w:hanging="357"/>
        <w:contextualSpacing w:val="0"/>
      </w:pPr>
      <w:r w:rsidRPr="002C1C3F">
        <w:rPr>
          <w:b/>
          <w:bCs/>
        </w:rPr>
        <w:t>C</w:t>
      </w:r>
      <w:r w:rsidR="0AB45692" w:rsidRPr="002C1C3F">
        <w:rPr>
          <w:b/>
          <w:bCs/>
        </w:rPr>
        <w:t>hanges from previous year</w:t>
      </w:r>
      <w:r w:rsidR="00FD03F5" w:rsidRPr="002C1C3F">
        <w:rPr>
          <w:b/>
          <w:bCs/>
        </w:rPr>
        <w:t>:</w:t>
      </w:r>
      <w:r w:rsidR="00FD03F5">
        <w:t xml:space="preserve"> </w:t>
      </w:r>
      <w:r w:rsidR="0AB45692">
        <w:t xml:space="preserve">this </w:t>
      </w:r>
      <w:r w:rsidR="00FD03F5">
        <w:t xml:space="preserve">field </w:t>
      </w:r>
      <w:r w:rsidR="0AB45692">
        <w:t xml:space="preserve">is included for the first time </w:t>
      </w:r>
      <w:r w:rsidR="003C6CDE">
        <w:t>in this corporate plan</w:t>
      </w:r>
      <w:r w:rsidR="005C019C">
        <w:t xml:space="preserve"> and </w:t>
      </w:r>
      <w:r w:rsidR="00032A98">
        <w:t>allow</w:t>
      </w:r>
      <w:r w:rsidR="00FD03F5">
        <w:t>s</w:t>
      </w:r>
      <w:r w:rsidR="00032A98">
        <w:t xml:space="preserve"> comparisons </w:t>
      </w:r>
      <w:r w:rsidR="00FD03F5">
        <w:t>between</w:t>
      </w:r>
      <w:r w:rsidR="00032A98">
        <w:t xml:space="preserve"> reporting periods</w:t>
      </w:r>
      <w:r w:rsidR="00A127CB">
        <w:t>.</w:t>
      </w:r>
    </w:p>
    <w:p w14:paraId="39891037" w14:textId="76F58B53" w:rsidR="0080405C" w:rsidRDefault="00CA3657" w:rsidP="002C1C3F">
      <w:pPr>
        <w:pStyle w:val="ListParagraph"/>
        <w:numPr>
          <w:ilvl w:val="0"/>
          <w:numId w:val="45"/>
        </w:numPr>
        <w:spacing w:after="120"/>
      </w:pPr>
      <w:r w:rsidRPr="002C1C3F">
        <w:rPr>
          <w:rStyle w:val="ui-provider"/>
          <w:b/>
          <w:bCs/>
        </w:rPr>
        <w:t>D</w:t>
      </w:r>
      <w:r w:rsidR="00264322" w:rsidRPr="002C1C3F">
        <w:rPr>
          <w:rStyle w:val="ui-provider"/>
          <w:b/>
          <w:bCs/>
        </w:rPr>
        <w:t xml:space="preserve">epartment’s regulatory </w:t>
      </w:r>
      <w:r w:rsidR="00272F8F" w:rsidRPr="002C1C3F">
        <w:rPr>
          <w:b/>
          <w:bCs/>
        </w:rPr>
        <w:t>function</w:t>
      </w:r>
      <w:r w:rsidR="00264322" w:rsidRPr="002C1C3F">
        <w:rPr>
          <w:b/>
          <w:bCs/>
        </w:rPr>
        <w:t>s</w:t>
      </w:r>
      <w:r w:rsidR="00272F8F" w:rsidRPr="002C1C3F">
        <w:rPr>
          <w:b/>
          <w:bCs/>
        </w:rPr>
        <w:t>:</w:t>
      </w:r>
      <w:r w:rsidR="00272F8F">
        <w:t xml:space="preserve"> </w:t>
      </w:r>
      <w:r w:rsidR="00F335CA">
        <w:t xml:space="preserve">any regulatory functions </w:t>
      </w:r>
      <w:r w:rsidR="00B540F1">
        <w:t>of relevance to</w:t>
      </w:r>
      <w:r w:rsidR="00F335CA">
        <w:t xml:space="preserve"> the performance measure</w:t>
      </w:r>
      <w:r w:rsidR="0080405C">
        <w:t>.</w:t>
      </w:r>
    </w:p>
    <w:p w14:paraId="21E01EE8" w14:textId="77777777" w:rsidR="00F36943" w:rsidRDefault="00F36943">
      <w:pPr>
        <w:rPr>
          <w:rFonts w:asciiTheme="majorHAnsi" w:eastAsiaTheme="majorEastAsia" w:hAnsiTheme="majorHAnsi" w:cstheme="majorBidi"/>
          <w:iCs/>
          <w:color w:val="005677" w:themeColor="text2"/>
          <w:sz w:val="28"/>
          <w:szCs w:val="28"/>
        </w:rPr>
      </w:pPr>
      <w:bookmarkStart w:id="120" w:name="_Hlk136432590"/>
      <w:bookmarkEnd w:id="114"/>
      <w:bookmarkEnd w:id="119"/>
      <w:r>
        <w:br w:type="page"/>
      </w:r>
    </w:p>
    <w:p w14:paraId="3AC8441A" w14:textId="627AF399" w:rsidR="00F55BBB" w:rsidRDefault="00F55BBB" w:rsidP="005C1F69">
      <w:pPr>
        <w:pStyle w:val="Heading2"/>
      </w:pPr>
      <w:r w:rsidRPr="00E90510">
        <w:t>Our portfolio budget statement (PBS) outcome statement</w:t>
      </w:r>
    </w:p>
    <w:p w14:paraId="67F62FD9" w14:textId="59E330FE" w:rsidR="00F55BBB" w:rsidRPr="00D24040" w:rsidRDefault="00F55BBB">
      <w:r w:rsidRPr="218580CA">
        <w:rPr>
          <w:rFonts w:asciiTheme="majorHAnsi" w:hAnsiTheme="majorHAnsi" w:cstheme="majorBidi"/>
        </w:rPr>
        <w:t>Support economic growth, productivity and job creation for all Australians by investing in science, technology and commercialisation</w:t>
      </w:r>
      <w:r w:rsidR="001D431B" w:rsidRPr="218580CA">
        <w:rPr>
          <w:rFonts w:asciiTheme="majorHAnsi" w:hAnsiTheme="majorHAnsi" w:cstheme="majorBidi"/>
        </w:rPr>
        <w:t>,</w:t>
      </w:r>
      <w:r w:rsidRPr="218580CA">
        <w:rPr>
          <w:rFonts w:asciiTheme="majorHAnsi" w:hAnsiTheme="majorHAnsi" w:cstheme="majorBidi"/>
        </w:rPr>
        <w:t xml:space="preserve"> growing innovative and competitive businesses, industries and regions</w:t>
      </w:r>
      <w:r w:rsidR="007650CD" w:rsidRPr="218580CA">
        <w:rPr>
          <w:rFonts w:asciiTheme="majorHAnsi" w:hAnsiTheme="majorHAnsi" w:cstheme="majorBidi"/>
        </w:rPr>
        <w:t>,</w:t>
      </w:r>
      <w:r w:rsidRPr="218580CA">
        <w:rPr>
          <w:rFonts w:asciiTheme="majorHAnsi" w:hAnsiTheme="majorHAnsi" w:cstheme="majorBidi"/>
        </w:rPr>
        <w:t xml:space="preserve"> and supporting resources.</w:t>
      </w:r>
    </w:p>
    <w:p w14:paraId="2B4E25BB" w14:textId="7AED1C25" w:rsidR="00F55BBB" w:rsidRPr="00E90510" w:rsidRDefault="00F55BBB" w:rsidP="005C1F69">
      <w:pPr>
        <w:pStyle w:val="Heading3"/>
      </w:pPr>
      <w:bookmarkStart w:id="121" w:name="_Hlk139445959"/>
      <w:r w:rsidRPr="00897759">
        <w:t xml:space="preserve">Activity 1.1: </w:t>
      </w:r>
      <w:r w:rsidR="00E90510">
        <w:t>g</w:t>
      </w:r>
      <w:r w:rsidRPr="00897759">
        <w:t>rowing innovative and competitive businesses, industries and regions</w:t>
      </w:r>
    </w:p>
    <w:p w14:paraId="3AB92AEC" w14:textId="459D0461" w:rsidR="002D070A" w:rsidRPr="00551AEB" w:rsidRDefault="00F55BBB" w:rsidP="00551AEB">
      <w:r w:rsidRPr="00684FED">
        <w:rPr>
          <w:rFonts w:asciiTheme="majorHAnsi" w:hAnsiTheme="majorHAnsi" w:cstheme="majorBidi"/>
        </w:rPr>
        <w:t xml:space="preserve">This activity aims to support the growth of innovative and competitive businesses, industries and regions, and build a diversified, flexible, resilient and dynamic economic base that can identify and adapt to new markets and emerging opportunities. </w:t>
      </w:r>
      <w:bookmarkStart w:id="122" w:name="_Hlk126733396"/>
      <w:r w:rsidRPr="00684FED">
        <w:rPr>
          <w:rFonts w:asciiTheme="majorHAnsi" w:hAnsiTheme="majorHAnsi" w:cstheme="majorBidi"/>
        </w:rPr>
        <w:t>It relates to PBS</w:t>
      </w:r>
      <w:r w:rsidR="0065468D" w:rsidRPr="00684FED">
        <w:rPr>
          <w:rFonts w:asciiTheme="majorHAnsi" w:hAnsiTheme="majorHAnsi" w:cstheme="majorBidi"/>
        </w:rPr>
        <w:t> </w:t>
      </w:r>
      <w:r w:rsidRPr="00684FED">
        <w:rPr>
          <w:rFonts w:asciiTheme="majorHAnsi" w:hAnsiTheme="majorHAnsi" w:cstheme="majorBidi"/>
        </w:rPr>
        <w:t>202</w:t>
      </w:r>
      <w:r w:rsidR="0065468D" w:rsidRPr="00684FED">
        <w:rPr>
          <w:rFonts w:asciiTheme="majorHAnsi" w:hAnsiTheme="majorHAnsi" w:cstheme="majorBidi"/>
        </w:rPr>
        <w:t>3</w:t>
      </w:r>
      <w:r w:rsidRPr="00684FED">
        <w:rPr>
          <w:rFonts w:asciiTheme="majorHAnsi" w:hAnsiTheme="majorHAnsi" w:cstheme="majorBidi"/>
        </w:rPr>
        <w:t>–2</w:t>
      </w:r>
      <w:r w:rsidR="0065468D" w:rsidRPr="00684FED">
        <w:rPr>
          <w:rFonts w:asciiTheme="majorHAnsi" w:hAnsiTheme="majorHAnsi" w:cstheme="majorBidi"/>
        </w:rPr>
        <w:t>4</w:t>
      </w:r>
      <w:r w:rsidRPr="00684FED">
        <w:rPr>
          <w:rFonts w:asciiTheme="majorHAnsi" w:hAnsiTheme="majorHAnsi" w:cstheme="majorBidi"/>
        </w:rPr>
        <w:t xml:space="preserve"> Outcome 1, Program 1.</w:t>
      </w:r>
      <w:r w:rsidR="007650CD" w:rsidRPr="00684FED">
        <w:rPr>
          <w:rFonts w:asciiTheme="majorHAnsi" w:hAnsiTheme="majorHAnsi" w:cstheme="majorBidi"/>
        </w:rPr>
        <w:t>1</w:t>
      </w:r>
      <w:r w:rsidR="0093124C">
        <w:rPr>
          <w:rFonts w:asciiTheme="majorHAnsi" w:hAnsiTheme="majorHAnsi" w:cstheme="majorBidi"/>
        </w:rPr>
        <w:t xml:space="preserve"> and investment in commercialisation under Program 1.2</w:t>
      </w:r>
      <w:r w:rsidRPr="00684FED">
        <w:rPr>
          <w:rFonts w:asciiTheme="majorHAnsi" w:hAnsiTheme="majorHAnsi" w:cstheme="majorBidi"/>
        </w:rPr>
        <w:t>.</w:t>
      </w:r>
      <w:bookmarkEnd w:id="122"/>
    </w:p>
    <w:tbl>
      <w:tblPr>
        <w:tblStyle w:val="TableGrid"/>
        <w:tblW w:w="5000" w:type="pct"/>
        <w:tblLook w:val="04A0" w:firstRow="1" w:lastRow="0" w:firstColumn="1" w:lastColumn="0" w:noHBand="0" w:noVBand="1"/>
      </w:tblPr>
      <w:tblGrid>
        <w:gridCol w:w="5324"/>
        <w:gridCol w:w="5325"/>
      </w:tblGrid>
      <w:tr w:rsidR="00D80A11" w:rsidRPr="00684FED" w14:paraId="3C4D4821" w14:textId="77777777" w:rsidTr="0C04CEE7">
        <w:tc>
          <w:tcPr>
            <w:tcW w:w="2500" w:type="pct"/>
          </w:tcPr>
          <w:p w14:paraId="6CB08470" w14:textId="77777777" w:rsidR="002D070A" w:rsidRPr="00684FED" w:rsidRDefault="002D070A" w:rsidP="002A43E8">
            <w:pPr>
              <w:rPr>
                <w:b/>
                <w:bCs/>
                <w:sz w:val="24"/>
                <w:szCs w:val="24"/>
              </w:rPr>
            </w:pPr>
            <w:r w:rsidRPr="00684FED">
              <w:rPr>
                <w:b/>
                <w:bCs/>
                <w:sz w:val="24"/>
                <w:szCs w:val="24"/>
              </w:rPr>
              <w:t>Performance measure</w:t>
            </w:r>
          </w:p>
        </w:tc>
        <w:tc>
          <w:tcPr>
            <w:tcW w:w="2500" w:type="pct"/>
          </w:tcPr>
          <w:p w14:paraId="4AD59B52" w14:textId="5BB6B72E" w:rsidR="002D070A" w:rsidRPr="00684FED" w:rsidRDefault="002D070A">
            <w:r w:rsidRPr="00684FED">
              <w:rPr>
                <w:b/>
                <w:bCs/>
                <w:sz w:val="24"/>
                <w:szCs w:val="24"/>
              </w:rPr>
              <w:t>Target 2023</w:t>
            </w:r>
            <w:r w:rsidR="00F335CA">
              <w:rPr>
                <w:b/>
                <w:bCs/>
                <w:sz w:val="24"/>
                <w:szCs w:val="24"/>
              </w:rPr>
              <w:t>–</w:t>
            </w:r>
            <w:r w:rsidRPr="00684FED">
              <w:rPr>
                <w:b/>
                <w:bCs/>
                <w:sz w:val="24"/>
                <w:szCs w:val="24"/>
              </w:rPr>
              <w:t>24 to 2026</w:t>
            </w:r>
            <w:r w:rsidR="00F335CA">
              <w:rPr>
                <w:b/>
                <w:bCs/>
                <w:sz w:val="24"/>
                <w:szCs w:val="24"/>
              </w:rPr>
              <w:t>–</w:t>
            </w:r>
            <w:r w:rsidRPr="00684FED">
              <w:rPr>
                <w:b/>
                <w:bCs/>
                <w:sz w:val="24"/>
                <w:szCs w:val="24"/>
              </w:rPr>
              <w:t>27</w:t>
            </w:r>
          </w:p>
        </w:tc>
      </w:tr>
      <w:tr w:rsidR="00D80A11" w:rsidRPr="00684FED" w14:paraId="37F5D856" w14:textId="77777777" w:rsidTr="0C04CEE7">
        <w:tc>
          <w:tcPr>
            <w:tcW w:w="2500" w:type="pct"/>
          </w:tcPr>
          <w:p w14:paraId="4AFFC0BE" w14:textId="77777777" w:rsidR="002D070A" w:rsidRPr="00684FED" w:rsidRDefault="002D070A">
            <w:r w:rsidRPr="00684FED">
              <w:rPr>
                <w:b/>
                <w:bCs/>
                <w:sz w:val="24"/>
                <w:szCs w:val="24"/>
              </w:rPr>
              <w:t>1. Business co-investment through portfolio initiative funding</w:t>
            </w:r>
          </w:p>
          <w:p w14:paraId="50921B41" w14:textId="77777777" w:rsidR="002D070A" w:rsidRPr="00684FED" w:rsidRDefault="002D070A" w:rsidP="002A43E8">
            <w:pPr>
              <w:rPr>
                <w:sz w:val="24"/>
                <w:szCs w:val="24"/>
              </w:rPr>
            </w:pPr>
          </w:p>
          <w:p w14:paraId="102C6B7A" w14:textId="77777777" w:rsidR="002D070A" w:rsidRPr="00684FED" w:rsidRDefault="002D070A">
            <w:r w:rsidRPr="00684FED">
              <w:rPr>
                <w:i/>
                <w:iCs/>
                <w:sz w:val="24"/>
                <w:szCs w:val="24"/>
              </w:rPr>
              <w:t>Effectiveness</w:t>
            </w:r>
          </w:p>
        </w:tc>
        <w:tc>
          <w:tcPr>
            <w:tcW w:w="2500" w:type="pct"/>
          </w:tcPr>
          <w:p w14:paraId="1323D927" w14:textId="2CF67258" w:rsidR="002D070A" w:rsidRPr="00684FED" w:rsidRDefault="002D070A" w:rsidP="002A43E8">
            <w:pPr>
              <w:rPr>
                <w:b/>
                <w:bCs/>
                <w:sz w:val="24"/>
                <w:szCs w:val="24"/>
              </w:rPr>
            </w:pPr>
            <w:r w:rsidRPr="00684FED">
              <w:rPr>
                <w:b/>
                <w:bCs/>
                <w:sz w:val="24"/>
                <w:szCs w:val="24"/>
              </w:rPr>
              <w:t>Maintain an average of at least $1.20 of business co-investment for every $1 of grant funding for portfolio programs that require business co-investment</w:t>
            </w:r>
          </w:p>
        </w:tc>
      </w:tr>
      <w:tr w:rsidR="00B467A7" w:rsidRPr="00684FED" w14:paraId="14ABF74D" w14:textId="77777777" w:rsidTr="005C019C">
        <w:tc>
          <w:tcPr>
            <w:tcW w:w="5000" w:type="pct"/>
            <w:gridSpan w:val="2"/>
          </w:tcPr>
          <w:p w14:paraId="0D4C52A4" w14:textId="3AD67F9E" w:rsidR="003720C4" w:rsidRDefault="002D070A" w:rsidP="0C04CEE7">
            <w:r w:rsidRPr="00684FED">
              <w:rPr>
                <w:b/>
                <w:bCs/>
              </w:rPr>
              <w:t>Why this matters</w:t>
            </w:r>
          </w:p>
          <w:p w14:paraId="15AAD974" w14:textId="440B219D" w:rsidR="002D070A" w:rsidRPr="00684FED" w:rsidRDefault="003720C4" w:rsidP="0C04CEE7">
            <w:r>
              <w:t>I</w:t>
            </w:r>
            <w:r w:rsidR="002D070A" w:rsidRPr="00684FED">
              <w:t>nvestment in key sectors, including manufacturing and commercialisation, will have many flow</w:t>
            </w:r>
            <w:r w:rsidR="00B41F00">
              <w:t>-</w:t>
            </w:r>
            <w:r w:rsidR="002D070A" w:rsidRPr="00684FED">
              <w:t xml:space="preserve">on benefits to the broader economy. </w:t>
            </w:r>
          </w:p>
        </w:tc>
      </w:tr>
      <w:tr w:rsidR="00B467A7" w:rsidRPr="00684FED" w14:paraId="03D8F6C8" w14:textId="77777777" w:rsidTr="005C019C">
        <w:tc>
          <w:tcPr>
            <w:tcW w:w="5000" w:type="pct"/>
            <w:gridSpan w:val="2"/>
          </w:tcPr>
          <w:p w14:paraId="5F22BDD5" w14:textId="3AC5160F" w:rsidR="003720C4" w:rsidRDefault="002D070A">
            <w:pPr>
              <w:rPr>
                <w:b/>
                <w:bCs/>
              </w:rPr>
            </w:pPr>
            <w:r w:rsidRPr="00684FED">
              <w:rPr>
                <w:b/>
                <w:bCs/>
              </w:rPr>
              <w:t>Data source</w:t>
            </w:r>
          </w:p>
          <w:p w14:paraId="341993EC" w14:textId="64DC1864" w:rsidR="002D070A" w:rsidRPr="00684FED" w:rsidRDefault="003720C4">
            <w:r w:rsidRPr="008B7076">
              <w:rPr>
                <w:rFonts w:asciiTheme="majorHAnsi" w:hAnsiTheme="majorHAnsi" w:cstheme="majorBidi"/>
              </w:rPr>
              <w:t>T</w:t>
            </w:r>
            <w:r w:rsidR="0093124C">
              <w:rPr>
                <w:rFonts w:asciiTheme="majorHAnsi" w:hAnsiTheme="majorHAnsi" w:cstheme="majorBidi"/>
              </w:rPr>
              <w:t xml:space="preserve">he </w:t>
            </w:r>
            <w:r w:rsidR="00F45004" w:rsidRPr="000F7843">
              <w:rPr>
                <w:rFonts w:asciiTheme="majorHAnsi" w:hAnsiTheme="majorHAnsi" w:cstheme="majorBidi"/>
              </w:rPr>
              <w:t>department’s internal</w:t>
            </w:r>
            <w:r w:rsidR="0093124C">
              <w:rPr>
                <w:rFonts w:asciiTheme="majorHAnsi" w:hAnsiTheme="majorHAnsi" w:cstheme="majorBidi"/>
              </w:rPr>
              <w:t>ly maintained</w:t>
            </w:r>
            <w:r w:rsidR="00F45004" w:rsidRPr="000F7843">
              <w:rPr>
                <w:rFonts w:asciiTheme="majorHAnsi" w:hAnsiTheme="majorHAnsi" w:cstheme="majorBidi"/>
              </w:rPr>
              <w:t xml:space="preserve"> </w:t>
            </w:r>
            <w:r w:rsidR="002D070A" w:rsidRPr="000F7843">
              <w:rPr>
                <w:rFonts w:asciiTheme="majorHAnsi" w:hAnsiTheme="majorHAnsi" w:cstheme="majorBidi"/>
              </w:rPr>
              <w:t xml:space="preserve">Business Grants Management System and </w:t>
            </w:r>
            <w:r w:rsidR="00F45004" w:rsidRPr="000F7843">
              <w:rPr>
                <w:rFonts w:asciiTheme="majorHAnsi" w:hAnsiTheme="majorHAnsi" w:cstheme="majorBidi"/>
              </w:rPr>
              <w:t xml:space="preserve">other records held </w:t>
            </w:r>
            <w:r w:rsidR="002D070A" w:rsidRPr="000F7843">
              <w:rPr>
                <w:rFonts w:asciiTheme="majorHAnsi" w:hAnsiTheme="majorHAnsi" w:cstheme="majorBidi"/>
              </w:rPr>
              <w:t xml:space="preserve">by the </w:t>
            </w:r>
            <w:r w:rsidR="00F45004" w:rsidRPr="000F7843">
              <w:rPr>
                <w:rFonts w:asciiTheme="majorHAnsi" w:hAnsiTheme="majorHAnsi" w:cstheme="majorBidi"/>
              </w:rPr>
              <w:t>department.</w:t>
            </w:r>
            <w:r w:rsidR="002D070A" w:rsidRPr="00684FED">
              <w:t xml:space="preserve"> </w:t>
            </w:r>
          </w:p>
        </w:tc>
      </w:tr>
      <w:tr w:rsidR="00B467A7" w:rsidRPr="00684FED" w14:paraId="0E44F2AE" w14:textId="77777777" w:rsidTr="005C019C">
        <w:tc>
          <w:tcPr>
            <w:tcW w:w="5000" w:type="pct"/>
            <w:gridSpan w:val="2"/>
          </w:tcPr>
          <w:p w14:paraId="77E5DC4C" w14:textId="03D1E895" w:rsidR="003720C4" w:rsidRDefault="002D070A" w:rsidP="218580CA">
            <w:pPr>
              <w:rPr>
                <w:b/>
                <w:bCs/>
              </w:rPr>
            </w:pPr>
            <w:r w:rsidRPr="00684FED">
              <w:rPr>
                <w:b/>
                <w:bCs/>
              </w:rPr>
              <w:t>Methodology</w:t>
            </w:r>
          </w:p>
          <w:p w14:paraId="1B0D37D6" w14:textId="4841355D" w:rsidR="002D070A" w:rsidRPr="00684FED" w:rsidRDefault="003720C4" w:rsidP="218580CA">
            <w:r w:rsidRPr="008B7076">
              <w:t>T</w:t>
            </w:r>
            <w:r w:rsidR="002D070A" w:rsidRPr="00684FED">
              <w:t xml:space="preserve">he result is calculated </w:t>
            </w:r>
            <w:r w:rsidR="00B41F00">
              <w:t xml:space="preserve">by </w:t>
            </w:r>
            <w:r w:rsidR="002D070A" w:rsidRPr="00684FED">
              <w:t xml:space="preserve">taking the sum of business co-investment or co-contribution across the department’s grants programs and dividing by the grant funding delivered by the department. </w:t>
            </w:r>
          </w:p>
        </w:tc>
      </w:tr>
      <w:tr w:rsidR="00B467A7" w:rsidRPr="00684FED" w14:paraId="620B6601" w14:textId="77777777" w:rsidTr="005C019C">
        <w:tc>
          <w:tcPr>
            <w:tcW w:w="5000" w:type="pct"/>
            <w:gridSpan w:val="2"/>
          </w:tcPr>
          <w:p w14:paraId="53C93982" w14:textId="60AE0F88" w:rsidR="003720C4" w:rsidRDefault="002D070A" w:rsidP="218580CA">
            <w:r w:rsidRPr="00684FED">
              <w:rPr>
                <w:b/>
                <w:bCs/>
              </w:rPr>
              <w:t>Changes from previous year</w:t>
            </w:r>
          </w:p>
          <w:p w14:paraId="2769B7D4" w14:textId="69B00F9C" w:rsidR="002D070A" w:rsidRPr="00684FED" w:rsidRDefault="003720C4" w:rsidP="218580CA">
            <w:r>
              <w:t>N</w:t>
            </w:r>
            <w:r w:rsidR="002D070A" w:rsidRPr="00684FED">
              <w:t>o changes from 2022-23</w:t>
            </w:r>
            <w:r w:rsidR="00024448">
              <w:t>.</w:t>
            </w:r>
          </w:p>
        </w:tc>
      </w:tr>
    </w:tbl>
    <w:p w14:paraId="5A73CB8D" w14:textId="63EA9E60" w:rsidR="002D070A" w:rsidRPr="00684FED" w:rsidRDefault="002D070A" w:rsidP="00517B4C">
      <w:pPr>
        <w:spacing w:after="0"/>
      </w:pPr>
    </w:p>
    <w:tbl>
      <w:tblPr>
        <w:tblStyle w:val="TableGrid"/>
        <w:tblW w:w="5000" w:type="pct"/>
        <w:tblLook w:val="04A0" w:firstRow="1" w:lastRow="0" w:firstColumn="1" w:lastColumn="0" w:noHBand="0" w:noVBand="1"/>
      </w:tblPr>
      <w:tblGrid>
        <w:gridCol w:w="5324"/>
        <w:gridCol w:w="5325"/>
      </w:tblGrid>
      <w:tr w:rsidR="00423CEF" w:rsidRPr="00684FED" w14:paraId="310A0724" w14:textId="77777777" w:rsidTr="391C1060">
        <w:tc>
          <w:tcPr>
            <w:tcW w:w="2500" w:type="pct"/>
          </w:tcPr>
          <w:p w14:paraId="2754C514" w14:textId="77777777" w:rsidR="002D070A" w:rsidRPr="00684FED" w:rsidRDefault="002D070A" w:rsidP="002A43E8">
            <w:pPr>
              <w:rPr>
                <w:b/>
                <w:bCs/>
                <w:sz w:val="24"/>
                <w:szCs w:val="24"/>
              </w:rPr>
            </w:pPr>
            <w:r w:rsidRPr="00684FED">
              <w:rPr>
                <w:b/>
                <w:bCs/>
                <w:sz w:val="24"/>
                <w:szCs w:val="24"/>
              </w:rPr>
              <w:t>Performance measure</w:t>
            </w:r>
          </w:p>
        </w:tc>
        <w:tc>
          <w:tcPr>
            <w:tcW w:w="2500" w:type="pct"/>
          </w:tcPr>
          <w:p w14:paraId="7A195678" w14:textId="36BF7CC2" w:rsidR="002D070A" w:rsidRPr="00684FED" w:rsidRDefault="002D070A">
            <w:r w:rsidRPr="00684FED">
              <w:rPr>
                <w:b/>
                <w:bCs/>
                <w:sz w:val="24"/>
                <w:szCs w:val="24"/>
              </w:rPr>
              <w:t>Target 2023</w:t>
            </w:r>
            <w:r w:rsidR="00F335CA">
              <w:rPr>
                <w:b/>
                <w:bCs/>
                <w:sz w:val="24"/>
                <w:szCs w:val="24"/>
              </w:rPr>
              <w:t>–</w:t>
            </w:r>
            <w:r w:rsidRPr="00684FED">
              <w:rPr>
                <w:b/>
                <w:bCs/>
                <w:sz w:val="24"/>
                <w:szCs w:val="24"/>
              </w:rPr>
              <w:t>24 to 2026</w:t>
            </w:r>
            <w:r w:rsidR="00F335CA">
              <w:rPr>
                <w:b/>
                <w:bCs/>
                <w:sz w:val="24"/>
                <w:szCs w:val="24"/>
              </w:rPr>
              <w:t>–</w:t>
            </w:r>
            <w:r w:rsidRPr="00684FED">
              <w:rPr>
                <w:b/>
                <w:bCs/>
                <w:sz w:val="24"/>
                <w:szCs w:val="24"/>
              </w:rPr>
              <w:t>27</w:t>
            </w:r>
          </w:p>
        </w:tc>
      </w:tr>
      <w:tr w:rsidR="00423CEF" w:rsidRPr="00684FED" w14:paraId="2BBB1945" w14:textId="77777777" w:rsidTr="391C1060">
        <w:tc>
          <w:tcPr>
            <w:tcW w:w="2500" w:type="pct"/>
          </w:tcPr>
          <w:p w14:paraId="4C336BB8" w14:textId="0A8CA27E" w:rsidR="002D070A" w:rsidRPr="00684FED" w:rsidRDefault="002D070A">
            <w:r w:rsidRPr="00684FED">
              <w:rPr>
                <w:b/>
                <w:bCs/>
                <w:sz w:val="24"/>
                <w:szCs w:val="24"/>
              </w:rPr>
              <w:t>2. Proportion of grants and services delivered to regional businesses</w:t>
            </w:r>
          </w:p>
          <w:p w14:paraId="6BB85100" w14:textId="77777777" w:rsidR="002D070A" w:rsidRPr="00684FED" w:rsidRDefault="002D070A" w:rsidP="002A43E8">
            <w:pPr>
              <w:rPr>
                <w:sz w:val="24"/>
                <w:szCs w:val="24"/>
              </w:rPr>
            </w:pPr>
          </w:p>
          <w:p w14:paraId="19086111" w14:textId="3A8B96D8" w:rsidR="002D070A" w:rsidRPr="00684FED" w:rsidRDefault="002D070A">
            <w:r w:rsidRPr="00684FED">
              <w:rPr>
                <w:i/>
                <w:iCs/>
                <w:sz w:val="24"/>
                <w:szCs w:val="24"/>
              </w:rPr>
              <w:t>Output</w:t>
            </w:r>
          </w:p>
        </w:tc>
        <w:tc>
          <w:tcPr>
            <w:tcW w:w="2500" w:type="pct"/>
          </w:tcPr>
          <w:p w14:paraId="71808A96" w14:textId="10EEB309" w:rsidR="002D070A" w:rsidRPr="00684FED" w:rsidRDefault="00EA2ADD" w:rsidP="002A43E8">
            <w:pPr>
              <w:rPr>
                <w:b/>
                <w:bCs/>
                <w:sz w:val="24"/>
                <w:szCs w:val="24"/>
              </w:rPr>
            </w:pPr>
            <w:r w:rsidRPr="00684FED">
              <w:rPr>
                <w:b/>
                <w:bCs/>
                <w:sz w:val="24"/>
                <w:szCs w:val="24"/>
              </w:rPr>
              <w:t xml:space="preserve">25% or more </w:t>
            </w:r>
            <w:r w:rsidR="00024448">
              <w:rPr>
                <w:b/>
                <w:bCs/>
                <w:sz w:val="24"/>
                <w:szCs w:val="24"/>
              </w:rPr>
              <w:t>of</w:t>
            </w:r>
            <w:r w:rsidRPr="00684FED">
              <w:rPr>
                <w:b/>
                <w:bCs/>
                <w:sz w:val="24"/>
                <w:szCs w:val="24"/>
              </w:rPr>
              <w:t xml:space="preserve"> total grants or services </w:t>
            </w:r>
            <w:r w:rsidR="00831F35">
              <w:rPr>
                <w:b/>
                <w:bCs/>
                <w:sz w:val="24"/>
                <w:szCs w:val="24"/>
              </w:rPr>
              <w:t xml:space="preserve">are </w:t>
            </w:r>
            <w:r w:rsidRPr="00684FED">
              <w:rPr>
                <w:b/>
                <w:bCs/>
                <w:sz w:val="24"/>
                <w:szCs w:val="24"/>
              </w:rPr>
              <w:t>delivered to regional businesses</w:t>
            </w:r>
          </w:p>
        </w:tc>
      </w:tr>
      <w:tr w:rsidR="00423CEF" w:rsidRPr="00684FED" w14:paraId="48A5AC34" w14:textId="77777777" w:rsidTr="0095770A">
        <w:tc>
          <w:tcPr>
            <w:tcW w:w="5000" w:type="pct"/>
            <w:gridSpan w:val="2"/>
          </w:tcPr>
          <w:p w14:paraId="1E9086DF" w14:textId="7BB45968" w:rsidR="003720C4" w:rsidRDefault="002D070A" w:rsidP="00831F35">
            <w:r w:rsidRPr="00684FED">
              <w:rPr>
                <w:b/>
                <w:bCs/>
              </w:rPr>
              <w:t>Why this matters</w:t>
            </w:r>
          </w:p>
          <w:p w14:paraId="0EC9077B" w14:textId="1C8639F5" w:rsidR="00831F35" w:rsidRPr="005D48C1" w:rsidRDefault="003720C4" w:rsidP="00831F35">
            <w:r>
              <w:t>O</w:t>
            </w:r>
            <w:r w:rsidR="00831F35">
              <w:t>ur regions are</w:t>
            </w:r>
            <w:r w:rsidR="00831F35" w:rsidRPr="00684FED">
              <w:t xml:space="preserve"> a significant contributor to Australia’s economy</w:t>
            </w:r>
            <w:r w:rsidR="00831F35">
              <w:t>.</w:t>
            </w:r>
            <w:r w:rsidR="00831F35" w:rsidRPr="00684FED">
              <w:t xml:space="preserve"> </w:t>
            </w:r>
            <w:r w:rsidR="00831F35">
              <w:t>H</w:t>
            </w:r>
            <w:r w:rsidR="00831F35" w:rsidRPr="00684FED">
              <w:t>elping unlock the</w:t>
            </w:r>
            <w:r w:rsidR="00831F35">
              <w:t>ir</w:t>
            </w:r>
            <w:r w:rsidR="00831F35" w:rsidRPr="00684FED">
              <w:t xml:space="preserve"> economic potential </w:t>
            </w:r>
            <w:r w:rsidR="00831F35">
              <w:t>by</w:t>
            </w:r>
            <w:r w:rsidR="00831F35" w:rsidRPr="00684FED">
              <w:t xml:space="preserve"> supporting regional businesses to </w:t>
            </w:r>
            <w:r w:rsidR="001D77AD">
              <w:t>enable job creation</w:t>
            </w:r>
            <w:r w:rsidR="00831F35" w:rsidRPr="00684FED">
              <w:t xml:space="preserve"> </w:t>
            </w:r>
            <w:r w:rsidR="00192973">
              <w:t>will</w:t>
            </w:r>
            <w:r w:rsidR="00831F35" w:rsidRPr="00684FED">
              <w:t xml:space="preserve"> help Australia’s long-term growth and sustainability.</w:t>
            </w:r>
          </w:p>
          <w:p w14:paraId="327FA6A9" w14:textId="13172C93" w:rsidR="002D070A" w:rsidRPr="00684FED" w:rsidRDefault="00831F35" w:rsidP="00831F35">
            <w:r w:rsidRPr="00684FED">
              <w:t>By measuring the proportion of grants and services being delivered in region</w:t>
            </w:r>
            <w:r>
              <w:t>al Australia</w:t>
            </w:r>
            <w:r w:rsidRPr="00684FED">
              <w:t xml:space="preserve">, the department can assess whether businesses in the regions </w:t>
            </w:r>
            <w:r>
              <w:t>can</w:t>
            </w:r>
            <w:r w:rsidRPr="00684FED">
              <w:t xml:space="preserve"> access the support they need to succeed.</w:t>
            </w:r>
            <w:r w:rsidR="002D070A" w:rsidRPr="00684FED">
              <w:t xml:space="preserve">   </w:t>
            </w:r>
          </w:p>
        </w:tc>
      </w:tr>
      <w:tr w:rsidR="00423CEF" w:rsidRPr="00684FED" w14:paraId="7D2C75A0" w14:textId="77777777" w:rsidTr="0095770A">
        <w:tc>
          <w:tcPr>
            <w:tcW w:w="5000" w:type="pct"/>
            <w:gridSpan w:val="2"/>
          </w:tcPr>
          <w:p w14:paraId="1C78F7ED" w14:textId="4714AC21" w:rsidR="003720C4" w:rsidRDefault="002D070A" w:rsidP="005D5614">
            <w:pPr>
              <w:rPr>
                <w:b/>
                <w:bCs/>
              </w:rPr>
            </w:pPr>
            <w:r w:rsidRPr="00684FED">
              <w:rPr>
                <w:b/>
                <w:bCs/>
              </w:rPr>
              <w:t>Data source</w:t>
            </w:r>
          </w:p>
          <w:p w14:paraId="75EF0619" w14:textId="67CBFF16" w:rsidR="002D070A" w:rsidRPr="00684FED" w:rsidRDefault="003720C4" w:rsidP="005D5614">
            <w:r w:rsidRPr="00965203">
              <w:t>T</w:t>
            </w:r>
            <w:r w:rsidR="00EA2ADD" w:rsidRPr="00684FED">
              <w:t>he department’s internally maintained Business Grants Management System</w:t>
            </w:r>
            <w:r w:rsidR="00EA2ADD" w:rsidRPr="00684FED" w:rsidDel="00EA2ADD">
              <w:t xml:space="preserve"> </w:t>
            </w:r>
            <w:r w:rsidR="00EA2ADD" w:rsidRPr="00684FED">
              <w:t>and d</w:t>
            </w:r>
            <w:r w:rsidR="002D070A" w:rsidRPr="00684FED">
              <w:t xml:space="preserve">ata on regional businesses sourced from </w:t>
            </w:r>
            <w:r w:rsidR="00EA2ADD" w:rsidRPr="00684FED">
              <w:t>the</w:t>
            </w:r>
            <w:r w:rsidR="002D070A" w:rsidRPr="00684FED">
              <w:t xml:space="preserve"> A</w:t>
            </w:r>
            <w:r w:rsidR="00EA2ADD" w:rsidRPr="00684FED">
              <w:t xml:space="preserve">ustralian </w:t>
            </w:r>
            <w:r w:rsidR="002D070A" w:rsidRPr="00684FED">
              <w:t>B</w:t>
            </w:r>
            <w:r w:rsidR="00EA2ADD" w:rsidRPr="00684FED">
              <w:t xml:space="preserve">ureau of </w:t>
            </w:r>
            <w:r w:rsidR="002D070A" w:rsidRPr="00684FED">
              <w:t>S</w:t>
            </w:r>
            <w:r w:rsidR="00EA2ADD" w:rsidRPr="00684FED">
              <w:t>tatistics (</w:t>
            </w:r>
            <w:r w:rsidR="002D070A" w:rsidRPr="00684FED">
              <w:t>ABS</w:t>
            </w:r>
            <w:r w:rsidR="00EA2ADD" w:rsidRPr="00684FED">
              <w:t>)</w:t>
            </w:r>
            <w:r w:rsidR="0093124C">
              <w:t>.</w:t>
            </w:r>
          </w:p>
        </w:tc>
      </w:tr>
      <w:tr w:rsidR="00423CEF" w:rsidRPr="00684FED" w14:paraId="5BBBE25D" w14:textId="77777777" w:rsidTr="0095770A">
        <w:tc>
          <w:tcPr>
            <w:tcW w:w="5000" w:type="pct"/>
            <w:gridSpan w:val="2"/>
          </w:tcPr>
          <w:p w14:paraId="2C9D2256" w14:textId="34E2B5DF" w:rsidR="003720C4" w:rsidRDefault="002D070A" w:rsidP="218580CA">
            <w:pPr>
              <w:rPr>
                <w:b/>
                <w:bCs/>
              </w:rPr>
            </w:pPr>
            <w:r w:rsidRPr="00684FED">
              <w:rPr>
                <w:b/>
                <w:bCs/>
              </w:rPr>
              <w:t>Methodology</w:t>
            </w:r>
          </w:p>
          <w:p w14:paraId="72766B2B" w14:textId="233AFC55" w:rsidR="002D070A" w:rsidRPr="00684FED" w:rsidRDefault="003720C4" w:rsidP="218580CA">
            <w:r w:rsidRPr="00965203">
              <w:t>T</w:t>
            </w:r>
            <w:r w:rsidR="002D070A" w:rsidRPr="00684FED">
              <w:t>he result is calculated by determining the proportion of grants and services delivered to business with a regional business address, within the reporting period, against all addresses of grant and services recipients.</w:t>
            </w:r>
          </w:p>
        </w:tc>
      </w:tr>
      <w:tr w:rsidR="00423CEF" w:rsidRPr="00684FED" w14:paraId="4C10B4E3" w14:textId="77777777" w:rsidTr="0095770A">
        <w:tc>
          <w:tcPr>
            <w:tcW w:w="5000" w:type="pct"/>
            <w:gridSpan w:val="2"/>
          </w:tcPr>
          <w:p w14:paraId="7A483AAA" w14:textId="57A9CD0A" w:rsidR="003720C4" w:rsidRDefault="002D070A" w:rsidP="218580CA">
            <w:r w:rsidRPr="00684FED">
              <w:rPr>
                <w:b/>
                <w:bCs/>
              </w:rPr>
              <w:t>Changes from previous year</w:t>
            </w:r>
          </w:p>
          <w:p w14:paraId="74158ABE" w14:textId="3FFF799A" w:rsidR="002D070A" w:rsidRPr="00684FED" w:rsidRDefault="003720C4" w:rsidP="218580CA">
            <w:r>
              <w:t>N</w:t>
            </w:r>
            <w:r w:rsidR="002D070A" w:rsidRPr="00684FED">
              <w:t>o changes from 2022</w:t>
            </w:r>
            <w:r w:rsidR="00F335CA">
              <w:t>–</w:t>
            </w:r>
            <w:r w:rsidR="002D070A" w:rsidRPr="00684FED">
              <w:t>23</w:t>
            </w:r>
            <w:r w:rsidR="00024448">
              <w:t>.</w:t>
            </w:r>
          </w:p>
        </w:tc>
      </w:tr>
    </w:tbl>
    <w:p w14:paraId="19589DB3" w14:textId="711BAA0E" w:rsidR="003B4BBB" w:rsidRDefault="003B4BBB" w:rsidP="00517B4C">
      <w:pPr>
        <w:spacing w:after="0"/>
      </w:pPr>
    </w:p>
    <w:p w14:paraId="4D57CC01" w14:textId="77777777" w:rsidR="003B4BBB" w:rsidRDefault="003B4BBB">
      <w:r>
        <w:br w:type="page"/>
      </w:r>
    </w:p>
    <w:tbl>
      <w:tblPr>
        <w:tblStyle w:val="TableGrid"/>
        <w:tblW w:w="5000" w:type="pct"/>
        <w:tblLook w:val="04A0" w:firstRow="1" w:lastRow="0" w:firstColumn="1" w:lastColumn="0" w:noHBand="0" w:noVBand="1"/>
      </w:tblPr>
      <w:tblGrid>
        <w:gridCol w:w="5324"/>
        <w:gridCol w:w="5325"/>
      </w:tblGrid>
      <w:tr w:rsidR="00D80A11" w:rsidRPr="00684FED" w14:paraId="52846FBA" w14:textId="77777777" w:rsidTr="218580CA">
        <w:tc>
          <w:tcPr>
            <w:tcW w:w="2500" w:type="pct"/>
          </w:tcPr>
          <w:p w14:paraId="0790E1D9" w14:textId="77777777" w:rsidR="0018358C" w:rsidRPr="00684FED" w:rsidRDefault="0018358C" w:rsidP="002A43E8">
            <w:pPr>
              <w:rPr>
                <w:b/>
                <w:bCs/>
                <w:sz w:val="24"/>
                <w:szCs w:val="24"/>
              </w:rPr>
            </w:pPr>
            <w:r w:rsidRPr="00684FED">
              <w:rPr>
                <w:b/>
                <w:bCs/>
                <w:sz w:val="24"/>
                <w:szCs w:val="24"/>
              </w:rPr>
              <w:t>Performance measure</w:t>
            </w:r>
          </w:p>
        </w:tc>
        <w:tc>
          <w:tcPr>
            <w:tcW w:w="2500" w:type="pct"/>
          </w:tcPr>
          <w:p w14:paraId="5C34FCA6" w14:textId="0F2E88E1" w:rsidR="0018358C" w:rsidRPr="00684FED" w:rsidRDefault="0018358C">
            <w:r w:rsidRPr="00684FED">
              <w:rPr>
                <w:b/>
                <w:bCs/>
                <w:sz w:val="24"/>
                <w:szCs w:val="24"/>
              </w:rPr>
              <w:t>Target 2023</w:t>
            </w:r>
            <w:r w:rsidR="00F335CA">
              <w:rPr>
                <w:b/>
                <w:bCs/>
                <w:sz w:val="24"/>
                <w:szCs w:val="24"/>
              </w:rPr>
              <w:t>–</w:t>
            </w:r>
            <w:r w:rsidRPr="00684FED">
              <w:rPr>
                <w:b/>
                <w:bCs/>
                <w:sz w:val="24"/>
                <w:szCs w:val="24"/>
              </w:rPr>
              <w:t>24 to 2026</w:t>
            </w:r>
            <w:r w:rsidR="00F335CA">
              <w:rPr>
                <w:b/>
                <w:bCs/>
                <w:sz w:val="24"/>
                <w:szCs w:val="24"/>
              </w:rPr>
              <w:t>–</w:t>
            </w:r>
            <w:r w:rsidRPr="00684FED">
              <w:rPr>
                <w:b/>
                <w:bCs/>
                <w:sz w:val="24"/>
                <w:szCs w:val="24"/>
              </w:rPr>
              <w:t>27</w:t>
            </w:r>
          </w:p>
        </w:tc>
      </w:tr>
      <w:tr w:rsidR="00D80A11" w:rsidRPr="00684FED" w14:paraId="5F7AA431" w14:textId="77777777" w:rsidTr="218580CA">
        <w:tc>
          <w:tcPr>
            <w:tcW w:w="2500" w:type="pct"/>
          </w:tcPr>
          <w:p w14:paraId="1C6A0430" w14:textId="646A3E33" w:rsidR="0018358C" w:rsidRPr="00684FED" w:rsidRDefault="0018358C">
            <w:r w:rsidRPr="00684FED">
              <w:rPr>
                <w:b/>
                <w:bCs/>
                <w:sz w:val="24"/>
                <w:szCs w:val="24"/>
              </w:rPr>
              <w:t>3. Applicant satisfaction with the experience of the grants application process through the business.gov.au portal</w:t>
            </w:r>
          </w:p>
          <w:p w14:paraId="2A2F7217" w14:textId="77777777" w:rsidR="0018358C" w:rsidRPr="00684FED" w:rsidRDefault="0018358C" w:rsidP="002A43E8">
            <w:pPr>
              <w:rPr>
                <w:sz w:val="24"/>
                <w:szCs w:val="24"/>
              </w:rPr>
            </w:pPr>
          </w:p>
          <w:p w14:paraId="7938AF39" w14:textId="5AE10E55" w:rsidR="0018358C" w:rsidRPr="00684FED" w:rsidRDefault="00792E2D">
            <w:r>
              <w:rPr>
                <w:i/>
                <w:iCs/>
                <w:sz w:val="24"/>
                <w:szCs w:val="24"/>
              </w:rPr>
              <w:t>Effectiveness</w:t>
            </w:r>
          </w:p>
        </w:tc>
        <w:tc>
          <w:tcPr>
            <w:tcW w:w="2500" w:type="pct"/>
          </w:tcPr>
          <w:p w14:paraId="0EA719DE" w14:textId="1E99EEB4" w:rsidR="0018358C" w:rsidRPr="00F4548F" w:rsidRDefault="0018358C">
            <w:pPr>
              <w:rPr>
                <w:b/>
                <w:bCs/>
                <w:sz w:val="24"/>
                <w:szCs w:val="24"/>
              </w:rPr>
            </w:pPr>
            <w:r w:rsidRPr="00684FED">
              <w:rPr>
                <w:b/>
                <w:bCs/>
                <w:sz w:val="24"/>
                <w:szCs w:val="24"/>
              </w:rPr>
              <w:t xml:space="preserve">Year on year maintenance or increase in </w:t>
            </w:r>
            <w:r w:rsidR="00831F35">
              <w:rPr>
                <w:b/>
                <w:bCs/>
                <w:sz w:val="24"/>
                <w:szCs w:val="24"/>
              </w:rPr>
              <w:t xml:space="preserve">the </w:t>
            </w:r>
            <w:r w:rsidRPr="00684FED">
              <w:rPr>
                <w:b/>
                <w:bCs/>
                <w:sz w:val="24"/>
                <w:szCs w:val="24"/>
              </w:rPr>
              <w:t>proportion of applicants who are satisfied or very satisfied</w:t>
            </w:r>
          </w:p>
        </w:tc>
      </w:tr>
      <w:tr w:rsidR="00B467A7" w:rsidRPr="00684FED" w14:paraId="16735E73" w14:textId="77777777" w:rsidTr="005C019C">
        <w:tc>
          <w:tcPr>
            <w:tcW w:w="5000" w:type="pct"/>
            <w:gridSpan w:val="2"/>
          </w:tcPr>
          <w:p w14:paraId="19403EA0" w14:textId="5A76B7C5" w:rsidR="003720C4" w:rsidRDefault="0018358C" w:rsidP="00831F35">
            <w:r w:rsidRPr="00684FED">
              <w:rPr>
                <w:b/>
                <w:bCs/>
              </w:rPr>
              <w:t>Why this matters</w:t>
            </w:r>
          </w:p>
          <w:p w14:paraId="667C3A5C" w14:textId="2398CC0C" w:rsidR="00831F35" w:rsidRPr="005D48C1" w:rsidRDefault="003720C4" w:rsidP="00831F35">
            <w:r>
              <w:t>A</w:t>
            </w:r>
            <w:r w:rsidR="00831F35" w:rsidRPr="00684FED">
              <w:t xml:space="preserve">s part of growing innovative and competitive businesses, the department aims to ensure businesses </w:t>
            </w:r>
            <w:r w:rsidR="00831F35">
              <w:t>can</w:t>
            </w:r>
            <w:r w:rsidR="00831F35" w:rsidRPr="00684FED">
              <w:t xml:space="preserve"> easily access the assistance they need. </w:t>
            </w:r>
            <w:r w:rsidR="00831F35">
              <w:t>We</w:t>
            </w:r>
            <w:r w:rsidR="00831F35" w:rsidRPr="00684FED">
              <w:t xml:space="preserve"> do this by </w:t>
            </w:r>
            <w:r w:rsidR="004B380C">
              <w:t>focusing on</w:t>
            </w:r>
            <w:r w:rsidR="00831F35" w:rsidRPr="00684FED">
              <w:t xml:space="preserve"> streamlining the application process for grantees and continuously improving the interface that customers </w:t>
            </w:r>
            <w:r w:rsidR="004B380C">
              <w:t>interact with when they</w:t>
            </w:r>
            <w:r w:rsidR="00831F35" w:rsidRPr="00684FED">
              <w:t xml:space="preserve"> apply for a grant.</w:t>
            </w:r>
          </w:p>
          <w:p w14:paraId="7ACB5B32" w14:textId="42A3D4EB" w:rsidR="0018358C" w:rsidRPr="00684FED" w:rsidRDefault="00831F35" w:rsidP="00831F35">
            <w:r w:rsidRPr="00684FED">
              <w:t>By measuring customer satisfaction</w:t>
            </w:r>
            <w:r w:rsidR="004B380C">
              <w:t xml:space="preserve"> with the process</w:t>
            </w:r>
            <w:r w:rsidRPr="00684FED">
              <w:t xml:space="preserve">, we get a broad sense </w:t>
            </w:r>
            <w:r>
              <w:t>of</w:t>
            </w:r>
            <w:r w:rsidRPr="00684FED">
              <w:t xml:space="preserve"> whether businesses</w:t>
            </w:r>
            <w:r>
              <w:t xml:space="preserve"> </w:t>
            </w:r>
            <w:r w:rsidR="004B380C">
              <w:t>find</w:t>
            </w:r>
            <w:r w:rsidRPr="00684FED">
              <w:t xml:space="preserve"> the process of applying for assistance</w:t>
            </w:r>
            <w:r w:rsidR="004B380C">
              <w:t xml:space="preserve"> satisfactory</w:t>
            </w:r>
            <w:r w:rsidRPr="00684FED">
              <w:t>.</w:t>
            </w:r>
          </w:p>
        </w:tc>
      </w:tr>
      <w:tr w:rsidR="00B467A7" w:rsidRPr="00684FED" w14:paraId="5637471A" w14:textId="77777777" w:rsidTr="005C019C">
        <w:tc>
          <w:tcPr>
            <w:tcW w:w="5000" w:type="pct"/>
            <w:gridSpan w:val="2"/>
          </w:tcPr>
          <w:p w14:paraId="277C9902" w14:textId="1E392700" w:rsidR="003720C4" w:rsidRDefault="0018358C" w:rsidP="218580CA">
            <w:pPr>
              <w:rPr>
                <w:b/>
                <w:bCs/>
              </w:rPr>
            </w:pPr>
            <w:r w:rsidRPr="00684FED">
              <w:rPr>
                <w:b/>
                <w:bCs/>
              </w:rPr>
              <w:t>Data source</w:t>
            </w:r>
          </w:p>
          <w:p w14:paraId="485F1DBA" w14:textId="7206A29D" w:rsidR="0018358C" w:rsidRPr="00684FED" w:rsidRDefault="003720C4" w:rsidP="218580CA">
            <w:r w:rsidRPr="00965203">
              <w:t>T</w:t>
            </w:r>
            <w:r w:rsidR="0018358C" w:rsidRPr="00684FED">
              <w:t>he department’s internally maintained Business Grants Management System</w:t>
            </w:r>
            <w:r w:rsidR="007F6C29" w:rsidRPr="00684FED">
              <w:t xml:space="preserve">. </w:t>
            </w:r>
          </w:p>
        </w:tc>
      </w:tr>
      <w:tr w:rsidR="00B467A7" w:rsidRPr="00684FED" w14:paraId="686CAC44" w14:textId="77777777" w:rsidTr="005C019C">
        <w:tc>
          <w:tcPr>
            <w:tcW w:w="5000" w:type="pct"/>
            <w:gridSpan w:val="2"/>
          </w:tcPr>
          <w:p w14:paraId="0EF90B18" w14:textId="1AFEEDE2" w:rsidR="003720C4" w:rsidRDefault="0018358C" w:rsidP="218580CA">
            <w:pPr>
              <w:rPr>
                <w:b/>
                <w:bCs/>
              </w:rPr>
            </w:pPr>
            <w:r w:rsidRPr="00684FED">
              <w:rPr>
                <w:b/>
                <w:bCs/>
              </w:rPr>
              <w:t>Methodology</w:t>
            </w:r>
          </w:p>
          <w:p w14:paraId="356885CE" w14:textId="31DBED36" w:rsidR="0018358C" w:rsidRPr="00684FED" w:rsidRDefault="003720C4" w:rsidP="218580CA">
            <w:r w:rsidRPr="003720C4">
              <w:t>Th</w:t>
            </w:r>
            <w:r w:rsidR="00174509" w:rsidRPr="003720C4">
              <w:t>e</w:t>
            </w:r>
            <w:r w:rsidR="00174509" w:rsidRPr="00684FED">
              <w:t xml:space="preserve"> result is calculated by determining the proportion of survey responses </w:t>
            </w:r>
            <w:r w:rsidR="00174509">
              <w:t xml:space="preserve">that </w:t>
            </w:r>
            <w:r w:rsidR="00174509" w:rsidRPr="00684FED">
              <w:t>report being either satisfied or very satisfied with their overall experience of the grants application process</w:t>
            </w:r>
            <w:r w:rsidR="0080391F">
              <w:t>, against the total number of responses</w:t>
            </w:r>
            <w:r w:rsidR="00174509">
              <w:t>.</w:t>
            </w:r>
          </w:p>
        </w:tc>
      </w:tr>
      <w:tr w:rsidR="00B467A7" w:rsidRPr="00684FED" w14:paraId="6AF4EC89" w14:textId="77777777" w:rsidTr="005C019C">
        <w:tc>
          <w:tcPr>
            <w:tcW w:w="5000" w:type="pct"/>
            <w:gridSpan w:val="2"/>
          </w:tcPr>
          <w:p w14:paraId="7A8CE4EF" w14:textId="6BF2B844" w:rsidR="003720C4" w:rsidRDefault="0018358C" w:rsidP="218580CA">
            <w:r w:rsidRPr="00684FED">
              <w:rPr>
                <w:b/>
                <w:bCs/>
              </w:rPr>
              <w:t>Changes from previous year</w:t>
            </w:r>
          </w:p>
          <w:p w14:paraId="4A15F4FA" w14:textId="0A379EE3" w:rsidR="0018358C" w:rsidRPr="00684FED" w:rsidRDefault="003720C4" w:rsidP="218580CA">
            <w:r>
              <w:t>N</w:t>
            </w:r>
            <w:r w:rsidR="0018358C" w:rsidRPr="00684FED">
              <w:t>o changes from 2022</w:t>
            </w:r>
            <w:r w:rsidR="00F335CA">
              <w:t>–</w:t>
            </w:r>
            <w:r w:rsidR="0018358C" w:rsidRPr="00684FED">
              <w:t>23</w:t>
            </w:r>
            <w:r w:rsidR="00024448">
              <w:t>.</w:t>
            </w:r>
          </w:p>
        </w:tc>
      </w:tr>
    </w:tbl>
    <w:p w14:paraId="76FCC167" w14:textId="2DE37CE3" w:rsidR="002D070A" w:rsidRPr="00684FED" w:rsidRDefault="002D070A" w:rsidP="00517B4C">
      <w:pPr>
        <w:spacing w:after="0"/>
        <w:rPr>
          <w:rFonts w:asciiTheme="majorHAnsi" w:hAnsiTheme="majorHAnsi" w:cstheme="majorBidi"/>
        </w:rPr>
      </w:pPr>
    </w:p>
    <w:tbl>
      <w:tblPr>
        <w:tblStyle w:val="TableGrid"/>
        <w:tblW w:w="5000" w:type="pct"/>
        <w:tblLook w:val="04A0" w:firstRow="1" w:lastRow="0" w:firstColumn="1" w:lastColumn="0" w:noHBand="0" w:noVBand="1"/>
      </w:tblPr>
      <w:tblGrid>
        <w:gridCol w:w="5324"/>
        <w:gridCol w:w="5325"/>
      </w:tblGrid>
      <w:tr w:rsidR="00D80A11" w:rsidRPr="00684FED" w14:paraId="2F543334" w14:textId="77777777" w:rsidTr="218580CA">
        <w:tc>
          <w:tcPr>
            <w:tcW w:w="2500" w:type="pct"/>
          </w:tcPr>
          <w:p w14:paraId="541D53CF" w14:textId="5A90DC36" w:rsidR="00A836D6" w:rsidRPr="00684FED" w:rsidRDefault="00A836D6">
            <w:r w:rsidRPr="00684FED">
              <w:rPr>
                <w:b/>
                <w:bCs/>
                <w:sz w:val="24"/>
                <w:szCs w:val="24"/>
              </w:rPr>
              <w:t>Performance measure</w:t>
            </w:r>
          </w:p>
        </w:tc>
        <w:tc>
          <w:tcPr>
            <w:tcW w:w="2500" w:type="pct"/>
          </w:tcPr>
          <w:p w14:paraId="04250298" w14:textId="6EC6994E" w:rsidR="00A836D6" w:rsidRPr="00684FED" w:rsidRDefault="00A836D6">
            <w:r w:rsidRPr="00684FED">
              <w:rPr>
                <w:b/>
                <w:bCs/>
                <w:sz w:val="24"/>
                <w:szCs w:val="24"/>
              </w:rPr>
              <w:t>Target 2023</w:t>
            </w:r>
            <w:r w:rsidR="00F335CA">
              <w:rPr>
                <w:b/>
                <w:bCs/>
                <w:sz w:val="24"/>
                <w:szCs w:val="24"/>
              </w:rPr>
              <w:t>–</w:t>
            </w:r>
            <w:r w:rsidRPr="00684FED">
              <w:rPr>
                <w:b/>
                <w:bCs/>
                <w:sz w:val="24"/>
                <w:szCs w:val="24"/>
              </w:rPr>
              <w:t>24 to 2026</w:t>
            </w:r>
            <w:r w:rsidR="00F335CA">
              <w:rPr>
                <w:b/>
                <w:bCs/>
                <w:sz w:val="24"/>
                <w:szCs w:val="24"/>
              </w:rPr>
              <w:t>–</w:t>
            </w:r>
            <w:r w:rsidRPr="00684FED">
              <w:rPr>
                <w:b/>
                <w:bCs/>
                <w:sz w:val="24"/>
                <w:szCs w:val="24"/>
              </w:rPr>
              <w:t>27</w:t>
            </w:r>
          </w:p>
        </w:tc>
      </w:tr>
      <w:tr w:rsidR="00D80A11" w:rsidRPr="00684FED" w14:paraId="4B9F0345" w14:textId="77777777" w:rsidTr="218580CA">
        <w:tc>
          <w:tcPr>
            <w:tcW w:w="2500" w:type="pct"/>
          </w:tcPr>
          <w:p w14:paraId="59533256" w14:textId="57A0AEC3" w:rsidR="00A836D6" w:rsidRPr="002E4597" w:rsidRDefault="00A836D6" w:rsidP="00A836D6">
            <w:pPr>
              <w:rPr>
                <w:b/>
                <w:bCs/>
                <w:sz w:val="24"/>
                <w:szCs w:val="24"/>
              </w:rPr>
            </w:pPr>
            <w:r w:rsidRPr="00684FED">
              <w:rPr>
                <w:b/>
                <w:bCs/>
                <w:sz w:val="24"/>
                <w:szCs w:val="24"/>
              </w:rPr>
              <w:t>4. Effective regulation to assure the safety and security of space activities</w:t>
            </w:r>
          </w:p>
          <w:p w14:paraId="67BEEDD3" w14:textId="77777777" w:rsidR="00A836D6" w:rsidRPr="00684FED" w:rsidRDefault="00A836D6" w:rsidP="00A836D6">
            <w:pPr>
              <w:rPr>
                <w:sz w:val="24"/>
                <w:szCs w:val="24"/>
              </w:rPr>
            </w:pPr>
          </w:p>
          <w:p w14:paraId="22B696AA" w14:textId="2F0E5F4A" w:rsidR="00A836D6" w:rsidRPr="00684FED" w:rsidRDefault="00A836D6">
            <w:r w:rsidRPr="00684FED">
              <w:rPr>
                <w:i/>
                <w:iCs/>
                <w:sz w:val="24"/>
                <w:szCs w:val="24"/>
              </w:rPr>
              <w:t>Effectiveness</w:t>
            </w:r>
          </w:p>
        </w:tc>
        <w:tc>
          <w:tcPr>
            <w:tcW w:w="2500" w:type="pct"/>
          </w:tcPr>
          <w:p w14:paraId="51BEB785" w14:textId="5E83D4CE" w:rsidR="00A836D6" w:rsidRPr="00684FED" w:rsidRDefault="00A836D6">
            <w:r w:rsidRPr="00684FED">
              <w:rPr>
                <w:b/>
                <w:bCs/>
                <w:sz w:val="24"/>
                <w:szCs w:val="24"/>
              </w:rPr>
              <w:t>Zero fatalities, serious injuries or damage to other property as a result of authorised Australian space activities</w:t>
            </w:r>
          </w:p>
        </w:tc>
      </w:tr>
      <w:tr w:rsidR="00D80A11" w:rsidRPr="00684FED" w14:paraId="31F364B3" w14:textId="77777777" w:rsidTr="0021312E">
        <w:tc>
          <w:tcPr>
            <w:tcW w:w="5000" w:type="pct"/>
            <w:gridSpan w:val="2"/>
          </w:tcPr>
          <w:p w14:paraId="0FFB04C2" w14:textId="33E9D070" w:rsidR="003720C4" w:rsidRDefault="00A836D6" w:rsidP="00A836D6">
            <w:r w:rsidRPr="00684FED">
              <w:rPr>
                <w:b/>
                <w:bCs/>
              </w:rPr>
              <w:t>Why this matters</w:t>
            </w:r>
          </w:p>
          <w:p w14:paraId="0B14C4C8" w14:textId="2BF23A67" w:rsidR="00A836D6" w:rsidRPr="005D48C1" w:rsidRDefault="003720C4" w:rsidP="00A836D6">
            <w:r>
              <w:t>E</w:t>
            </w:r>
            <w:r w:rsidR="00A836D6" w:rsidRPr="00684FED">
              <w:t xml:space="preserve">ffective regulation, as set out in </w:t>
            </w:r>
            <w:r w:rsidR="00A836D6" w:rsidRPr="00684FED">
              <w:rPr>
                <w:i/>
                <w:iCs/>
              </w:rPr>
              <w:t>Space (Launches and Returns) Act 2018</w:t>
            </w:r>
            <w:r w:rsidR="00A836D6" w:rsidRPr="00684FED">
              <w:t>, aims for a reasonable balance between the removal of barriers to participation in space activities and the encouragement of innovation and entrepreneurship in the space industry; and the safety of space activities and the risk of damage to persons or property.</w:t>
            </w:r>
          </w:p>
          <w:p w14:paraId="786D3732" w14:textId="274E7242" w:rsidR="00A836D6" w:rsidRPr="00684FED" w:rsidRDefault="00A836D6" w:rsidP="00A836D6"/>
        </w:tc>
      </w:tr>
      <w:tr w:rsidR="00D80A11" w:rsidRPr="00684FED" w14:paraId="6BA6F73C" w14:textId="77777777" w:rsidTr="0021312E">
        <w:tc>
          <w:tcPr>
            <w:tcW w:w="5000" w:type="pct"/>
            <w:gridSpan w:val="2"/>
          </w:tcPr>
          <w:p w14:paraId="3714DE95" w14:textId="4DCA992F" w:rsidR="003720C4" w:rsidRDefault="00A836D6" w:rsidP="00A836D6">
            <w:pPr>
              <w:rPr>
                <w:b/>
                <w:bCs/>
              </w:rPr>
            </w:pPr>
            <w:r w:rsidRPr="00684FED">
              <w:rPr>
                <w:b/>
                <w:bCs/>
              </w:rPr>
              <w:t>Data source</w:t>
            </w:r>
          </w:p>
          <w:p w14:paraId="2FF9A64B" w14:textId="36ABD71E" w:rsidR="00A836D6" w:rsidRPr="00684FED" w:rsidRDefault="003720C4" w:rsidP="00A836D6">
            <w:pPr>
              <w:rPr>
                <w:bCs/>
              </w:rPr>
            </w:pPr>
            <w:r w:rsidRPr="00AE3118">
              <w:t>D</w:t>
            </w:r>
            <w:r w:rsidR="00A836D6" w:rsidRPr="00684FED">
              <w:t xml:space="preserve">ata for this measure is sourced from the </w:t>
            </w:r>
            <w:r w:rsidR="00EC13B0" w:rsidRPr="00684FED">
              <w:t>department’s records</w:t>
            </w:r>
            <w:r w:rsidR="00A836D6" w:rsidRPr="00684FED">
              <w:t xml:space="preserve"> of authorised space activities under the </w:t>
            </w:r>
            <w:r w:rsidR="00A836D6" w:rsidRPr="00684FED">
              <w:rPr>
                <w:i/>
                <w:iCs/>
              </w:rPr>
              <w:t>Space (Launches and Returns) Act 2018</w:t>
            </w:r>
            <w:r w:rsidR="00A836D6" w:rsidRPr="00684FED">
              <w:t xml:space="preserve"> and any relevant accident or incident investigation reports during the reporting period.</w:t>
            </w:r>
          </w:p>
          <w:p w14:paraId="320C7A62" w14:textId="4E463076" w:rsidR="00A836D6" w:rsidRPr="00684FED" w:rsidRDefault="00A836D6" w:rsidP="218580CA">
            <w:r w:rsidRPr="00684FED">
              <w:t xml:space="preserve">Post activity reports generated by the ministerially appointed </w:t>
            </w:r>
            <w:r w:rsidR="003467B9">
              <w:t>l</w:t>
            </w:r>
            <w:r w:rsidRPr="00684FED">
              <w:t xml:space="preserve">aunch </w:t>
            </w:r>
            <w:r w:rsidR="003467B9">
              <w:t>s</w:t>
            </w:r>
            <w:r w:rsidRPr="00684FED">
              <w:t xml:space="preserve">afety </w:t>
            </w:r>
            <w:r w:rsidR="003467B9">
              <w:t>o</w:t>
            </w:r>
            <w:r w:rsidRPr="00684FED">
              <w:t xml:space="preserve">fficer or launch proponent will be used to verify </w:t>
            </w:r>
            <w:r w:rsidR="007417AB">
              <w:t>the number of</w:t>
            </w:r>
            <w:r w:rsidRPr="00684FED">
              <w:t xml:space="preserve"> occurrences of fatalities, serious injury or damage to other property.</w:t>
            </w:r>
          </w:p>
        </w:tc>
      </w:tr>
      <w:tr w:rsidR="00D80A11" w:rsidRPr="00684FED" w14:paraId="3A7A8105" w14:textId="77777777" w:rsidTr="0021312E">
        <w:tc>
          <w:tcPr>
            <w:tcW w:w="5000" w:type="pct"/>
            <w:gridSpan w:val="2"/>
          </w:tcPr>
          <w:p w14:paraId="050F480A" w14:textId="18F122DF" w:rsidR="003720C4" w:rsidRDefault="00A836D6" w:rsidP="218580CA">
            <w:pPr>
              <w:rPr>
                <w:b/>
                <w:bCs/>
              </w:rPr>
            </w:pPr>
            <w:r w:rsidRPr="00684FED">
              <w:rPr>
                <w:b/>
                <w:bCs/>
              </w:rPr>
              <w:t>Methodology</w:t>
            </w:r>
            <w:bookmarkStart w:id="123" w:name="_Hlk138883954"/>
          </w:p>
          <w:p w14:paraId="10610619" w14:textId="364B5989" w:rsidR="00A836D6" w:rsidRPr="00684FED" w:rsidRDefault="003720C4" w:rsidP="218580CA">
            <w:r w:rsidRPr="003720C4">
              <w:t>T</w:t>
            </w:r>
            <w:r w:rsidR="00A836D6" w:rsidRPr="003720C4">
              <w:t>h</w:t>
            </w:r>
            <w:r w:rsidR="00A836D6" w:rsidRPr="00684FED">
              <w:t>is measure is based on quantitative data. The measure is derived from the number of fatalities, serious injuries or damage to other property as a result of authorised Australian space activities.</w:t>
            </w:r>
            <w:bookmarkEnd w:id="123"/>
          </w:p>
        </w:tc>
      </w:tr>
      <w:tr w:rsidR="00D80A11" w:rsidRPr="00684FED" w14:paraId="0ECE55FB" w14:textId="77777777" w:rsidTr="0021312E">
        <w:tc>
          <w:tcPr>
            <w:tcW w:w="5000" w:type="pct"/>
            <w:gridSpan w:val="2"/>
          </w:tcPr>
          <w:p w14:paraId="67A54EE3" w14:textId="48A28A22" w:rsidR="003720C4" w:rsidRDefault="00A836D6" w:rsidP="00517B4C">
            <w:pPr>
              <w:tabs>
                <w:tab w:val="left" w:pos="3685"/>
              </w:tabs>
            </w:pPr>
            <w:r w:rsidRPr="00684FED">
              <w:rPr>
                <w:b/>
                <w:bCs/>
              </w:rPr>
              <w:t>Changes from previous year</w:t>
            </w:r>
          </w:p>
          <w:p w14:paraId="5BED99BA" w14:textId="4BD049CF" w:rsidR="00A836D6" w:rsidRPr="00684FED" w:rsidRDefault="003720C4" w:rsidP="00517B4C">
            <w:pPr>
              <w:tabs>
                <w:tab w:val="left" w:pos="3685"/>
              </w:tabs>
            </w:pPr>
            <w:r>
              <w:t>T</w:t>
            </w:r>
            <w:r w:rsidR="00C86D37">
              <w:t xml:space="preserve">his measure’s target and calculation method was amended </w:t>
            </w:r>
            <w:r w:rsidR="00F01395">
              <w:t>since</w:t>
            </w:r>
            <w:r w:rsidR="00C86D37">
              <w:t xml:space="preserve"> the 2022</w:t>
            </w:r>
            <w:r w:rsidR="00F335CA">
              <w:t>–</w:t>
            </w:r>
            <w:r w:rsidR="00C86D37">
              <w:t xml:space="preserve">23 </w:t>
            </w:r>
            <w:r w:rsidR="00986713">
              <w:t>c</w:t>
            </w:r>
            <w:r w:rsidR="00C86D37">
              <w:t xml:space="preserve">orporate </w:t>
            </w:r>
            <w:r w:rsidR="00986713">
              <w:t>p</w:t>
            </w:r>
            <w:r w:rsidR="00C86D37">
              <w:t>lan to more clearly align with performance.</w:t>
            </w:r>
          </w:p>
        </w:tc>
      </w:tr>
      <w:tr w:rsidR="00D80A11" w:rsidRPr="00684FED" w14:paraId="1912850B" w14:textId="77777777" w:rsidTr="0021312E">
        <w:tc>
          <w:tcPr>
            <w:tcW w:w="5000" w:type="pct"/>
            <w:gridSpan w:val="2"/>
          </w:tcPr>
          <w:p w14:paraId="70F31B51" w14:textId="43B382A8" w:rsidR="003720C4" w:rsidRDefault="00264322" w:rsidP="00517B4C">
            <w:pPr>
              <w:rPr>
                <w:b/>
                <w:bCs/>
              </w:rPr>
            </w:pPr>
            <w:bookmarkStart w:id="124" w:name="_Hlk139449542"/>
            <w:r>
              <w:rPr>
                <w:b/>
                <w:bCs/>
              </w:rPr>
              <w:t xml:space="preserve">Department’s </w:t>
            </w:r>
            <w:r w:rsidR="00717E8B">
              <w:rPr>
                <w:b/>
                <w:bCs/>
              </w:rPr>
              <w:t>r</w:t>
            </w:r>
            <w:r w:rsidR="00F74366">
              <w:rPr>
                <w:b/>
                <w:bCs/>
              </w:rPr>
              <w:t>egulat</w:t>
            </w:r>
            <w:r>
              <w:rPr>
                <w:b/>
                <w:bCs/>
              </w:rPr>
              <w:t>ory</w:t>
            </w:r>
            <w:r w:rsidR="00F74366">
              <w:rPr>
                <w:b/>
                <w:bCs/>
              </w:rPr>
              <w:t xml:space="preserve"> function</w:t>
            </w:r>
            <w:r w:rsidR="00717E8B">
              <w:rPr>
                <w:b/>
                <w:bCs/>
              </w:rPr>
              <w:t>s</w:t>
            </w:r>
          </w:p>
          <w:p w14:paraId="5AD0D573" w14:textId="1DE82268" w:rsidR="00A836D6" w:rsidRPr="00684FED" w:rsidRDefault="003720C4" w:rsidP="00517B4C">
            <w:r w:rsidRPr="00965203">
              <w:t>T</w:t>
            </w:r>
            <w:r w:rsidR="00EB5E81">
              <w:t>his performance measure relates to the activities of the Office of the Space Regulator</w:t>
            </w:r>
            <w:bookmarkEnd w:id="124"/>
            <w:r w:rsidR="00B01BE7">
              <w:t>.</w:t>
            </w:r>
          </w:p>
        </w:tc>
      </w:tr>
    </w:tbl>
    <w:p w14:paraId="158F9153" w14:textId="1A15B7AD" w:rsidR="004409F8" w:rsidRDefault="004409F8" w:rsidP="00517B4C">
      <w:pPr>
        <w:spacing w:after="0"/>
      </w:pPr>
    </w:p>
    <w:p w14:paraId="4E341E35" w14:textId="77777777" w:rsidR="004409F8" w:rsidRDefault="004409F8">
      <w:r>
        <w:br w:type="page"/>
      </w:r>
    </w:p>
    <w:tbl>
      <w:tblPr>
        <w:tblStyle w:val="TableGrid"/>
        <w:tblW w:w="5000" w:type="pct"/>
        <w:tblLook w:val="04A0" w:firstRow="1" w:lastRow="0" w:firstColumn="1" w:lastColumn="0" w:noHBand="0" w:noVBand="1"/>
      </w:tblPr>
      <w:tblGrid>
        <w:gridCol w:w="5324"/>
        <w:gridCol w:w="5325"/>
      </w:tblGrid>
      <w:tr w:rsidR="00423CEF" w:rsidRPr="00684FED" w14:paraId="175AAA7B" w14:textId="77777777" w:rsidTr="687C3A40">
        <w:tc>
          <w:tcPr>
            <w:tcW w:w="2500" w:type="pct"/>
          </w:tcPr>
          <w:p w14:paraId="1A9F62CB" w14:textId="2C2F5F80" w:rsidR="00A836D6" w:rsidRPr="00684FED" w:rsidRDefault="00A836D6">
            <w:r w:rsidRPr="00684FED">
              <w:rPr>
                <w:b/>
                <w:bCs/>
                <w:sz w:val="24"/>
                <w:szCs w:val="24"/>
              </w:rPr>
              <w:t>Performance measure</w:t>
            </w:r>
          </w:p>
        </w:tc>
        <w:tc>
          <w:tcPr>
            <w:tcW w:w="2500" w:type="pct"/>
          </w:tcPr>
          <w:p w14:paraId="6F9DD7DD" w14:textId="1F430A28" w:rsidR="00A836D6" w:rsidRPr="00684FED" w:rsidRDefault="00A836D6">
            <w:r w:rsidRPr="00684FED">
              <w:rPr>
                <w:b/>
                <w:bCs/>
                <w:sz w:val="24"/>
                <w:szCs w:val="24"/>
              </w:rPr>
              <w:t>Target 2023</w:t>
            </w:r>
            <w:r w:rsidR="00F335CA">
              <w:rPr>
                <w:b/>
                <w:bCs/>
                <w:sz w:val="24"/>
                <w:szCs w:val="24"/>
              </w:rPr>
              <w:t>–</w:t>
            </w:r>
            <w:r w:rsidRPr="00684FED">
              <w:rPr>
                <w:b/>
                <w:bCs/>
                <w:sz w:val="24"/>
                <w:szCs w:val="24"/>
              </w:rPr>
              <w:t>24 to 2026</w:t>
            </w:r>
            <w:r w:rsidR="00F335CA">
              <w:rPr>
                <w:b/>
                <w:bCs/>
                <w:sz w:val="24"/>
                <w:szCs w:val="24"/>
              </w:rPr>
              <w:t>–</w:t>
            </w:r>
            <w:r w:rsidRPr="00684FED">
              <w:rPr>
                <w:b/>
                <w:bCs/>
                <w:sz w:val="24"/>
                <w:szCs w:val="24"/>
              </w:rPr>
              <w:t>27</w:t>
            </w:r>
          </w:p>
        </w:tc>
      </w:tr>
      <w:tr w:rsidR="00423CEF" w:rsidRPr="00684FED" w14:paraId="4585A245" w14:textId="77777777" w:rsidTr="687C3A40">
        <w:tc>
          <w:tcPr>
            <w:tcW w:w="2500" w:type="pct"/>
          </w:tcPr>
          <w:p w14:paraId="54F3E4E0" w14:textId="2DDE4A51" w:rsidR="00A836D6" w:rsidRPr="00684FED" w:rsidRDefault="00A836D6" w:rsidP="00A836D6">
            <w:pPr>
              <w:rPr>
                <w:b/>
                <w:bCs/>
                <w:sz w:val="24"/>
                <w:szCs w:val="24"/>
              </w:rPr>
            </w:pPr>
            <w:r w:rsidRPr="00684FED">
              <w:rPr>
                <w:b/>
                <w:bCs/>
                <w:sz w:val="24"/>
                <w:szCs w:val="24"/>
              </w:rPr>
              <w:t>5. Proportion of major projects that are compliant with their approved Australian Industry Participation (AIP) plans</w:t>
            </w:r>
          </w:p>
          <w:p w14:paraId="3FBCB19A" w14:textId="77777777" w:rsidR="00A836D6" w:rsidRPr="00684FED" w:rsidRDefault="00A836D6" w:rsidP="00A836D6">
            <w:pPr>
              <w:rPr>
                <w:sz w:val="24"/>
                <w:szCs w:val="24"/>
              </w:rPr>
            </w:pPr>
          </w:p>
          <w:p w14:paraId="44F63205" w14:textId="77777777" w:rsidR="00A836D6" w:rsidRPr="00684FED" w:rsidRDefault="00A836D6">
            <w:r w:rsidRPr="00684FED">
              <w:rPr>
                <w:i/>
                <w:iCs/>
                <w:sz w:val="24"/>
                <w:szCs w:val="24"/>
              </w:rPr>
              <w:t>Effectiveness</w:t>
            </w:r>
          </w:p>
        </w:tc>
        <w:tc>
          <w:tcPr>
            <w:tcW w:w="2500" w:type="pct"/>
          </w:tcPr>
          <w:p w14:paraId="33E9B1D3" w14:textId="1418F809" w:rsidR="00A836D6" w:rsidRPr="00684FED" w:rsidRDefault="00A836D6" w:rsidP="00A836D6">
            <w:pPr>
              <w:rPr>
                <w:b/>
                <w:bCs/>
                <w:sz w:val="24"/>
                <w:szCs w:val="24"/>
              </w:rPr>
            </w:pPr>
            <w:r w:rsidRPr="00684FED">
              <w:rPr>
                <w:b/>
                <w:bCs/>
                <w:sz w:val="24"/>
                <w:szCs w:val="24"/>
              </w:rPr>
              <w:t>100%</w:t>
            </w:r>
            <w:r w:rsidR="00D03346" w:rsidRPr="00684FED">
              <w:rPr>
                <w:b/>
                <w:bCs/>
                <w:sz w:val="24"/>
                <w:szCs w:val="24"/>
              </w:rPr>
              <w:t xml:space="preserve"> of compliance reports without a breach requiring the use of legislative sanctions</w:t>
            </w:r>
          </w:p>
        </w:tc>
      </w:tr>
      <w:tr w:rsidR="0039461A" w:rsidRPr="00684FED" w14:paraId="24CB5A68" w14:textId="77777777" w:rsidTr="005C019C">
        <w:tc>
          <w:tcPr>
            <w:tcW w:w="5000" w:type="pct"/>
            <w:gridSpan w:val="2"/>
          </w:tcPr>
          <w:p w14:paraId="6AB3C1CD" w14:textId="2AB82CA0" w:rsidR="00A836D6" w:rsidRPr="00684FED" w:rsidRDefault="00A836D6" w:rsidP="00A836D6">
            <w:r w:rsidRPr="00684FED">
              <w:rPr>
                <w:b/>
                <w:bCs/>
              </w:rPr>
              <w:t>Why this matters</w:t>
            </w:r>
          </w:p>
          <w:p w14:paraId="459CFEE4" w14:textId="6E579062" w:rsidR="00A836D6" w:rsidRPr="00684FED" w:rsidRDefault="00A836D6" w:rsidP="00A836D6">
            <w:r w:rsidRPr="00684FED">
              <w:t>By ensuring compliance with AIP plans, the A</w:t>
            </w:r>
            <w:r w:rsidR="00EB5E81">
              <w:t xml:space="preserve">ustralian </w:t>
            </w:r>
            <w:r w:rsidRPr="00684FED">
              <w:t>I</w:t>
            </w:r>
            <w:r w:rsidR="00EB5E81">
              <w:t xml:space="preserve">ndustry </w:t>
            </w:r>
            <w:r w:rsidRPr="00684FED">
              <w:t>P</w:t>
            </w:r>
            <w:r w:rsidR="00EB5E81">
              <w:t>articipation</w:t>
            </w:r>
            <w:r w:rsidRPr="00684FED">
              <w:t xml:space="preserve"> Authority helps ensure that Australian entities are provided full, fair and reasonable opportunity to supply key goods and services to major Australian projects</w:t>
            </w:r>
            <w:r w:rsidR="009E3676" w:rsidRPr="00684FED">
              <w:t>.</w:t>
            </w:r>
          </w:p>
        </w:tc>
      </w:tr>
      <w:tr w:rsidR="0039461A" w:rsidRPr="00684FED" w14:paraId="56E0D003" w14:textId="77777777" w:rsidTr="005C019C">
        <w:tc>
          <w:tcPr>
            <w:tcW w:w="5000" w:type="pct"/>
            <w:gridSpan w:val="2"/>
          </w:tcPr>
          <w:p w14:paraId="618C937B" w14:textId="69B0479C" w:rsidR="00A836D6" w:rsidRPr="00684FED" w:rsidRDefault="00A836D6" w:rsidP="0C04CEE7">
            <w:r w:rsidRPr="00684FED">
              <w:rPr>
                <w:b/>
                <w:bCs/>
              </w:rPr>
              <w:t>Data source</w:t>
            </w:r>
            <w:r w:rsidRPr="00684FED">
              <w:br/>
            </w:r>
            <w:r w:rsidR="009A0B75" w:rsidRPr="000F7843">
              <w:rPr>
                <w:rFonts w:asciiTheme="majorHAnsi" w:hAnsiTheme="majorHAnsi" w:cstheme="majorBidi"/>
                <w:i/>
              </w:rPr>
              <w:t xml:space="preserve">Australian </w:t>
            </w:r>
            <w:r w:rsidRPr="000F7843">
              <w:rPr>
                <w:rFonts w:asciiTheme="majorHAnsi" w:hAnsiTheme="majorHAnsi" w:cstheme="majorBidi"/>
                <w:i/>
              </w:rPr>
              <w:t xml:space="preserve">Jobs Act </w:t>
            </w:r>
            <w:r w:rsidR="009A0B75" w:rsidRPr="000F7843">
              <w:rPr>
                <w:rFonts w:asciiTheme="majorHAnsi" w:hAnsiTheme="majorHAnsi" w:cstheme="majorBidi"/>
                <w:i/>
              </w:rPr>
              <w:t>2013</w:t>
            </w:r>
            <w:r w:rsidR="009A0B75" w:rsidRPr="000F7843">
              <w:rPr>
                <w:rFonts w:asciiTheme="majorHAnsi" w:hAnsiTheme="majorHAnsi" w:cstheme="majorBidi"/>
              </w:rPr>
              <w:t xml:space="preserve"> </w:t>
            </w:r>
            <w:r w:rsidRPr="000F7843">
              <w:rPr>
                <w:rFonts w:asciiTheme="majorHAnsi" w:hAnsiTheme="majorHAnsi" w:cstheme="majorBidi"/>
              </w:rPr>
              <w:t>compliance reports and associated evidence provided by the proponent, as well as data derived from compliance reports</w:t>
            </w:r>
          </w:p>
        </w:tc>
      </w:tr>
      <w:tr w:rsidR="0039461A" w:rsidRPr="00684FED" w14:paraId="393664C3" w14:textId="77777777" w:rsidTr="005C019C">
        <w:tc>
          <w:tcPr>
            <w:tcW w:w="5000" w:type="pct"/>
            <w:gridSpan w:val="2"/>
          </w:tcPr>
          <w:p w14:paraId="64DDF749" w14:textId="5DB0FB94" w:rsidR="00A836D6" w:rsidRPr="00684FED" w:rsidRDefault="00A836D6" w:rsidP="00A836D6">
            <w:pPr>
              <w:rPr>
                <w:b/>
                <w:bCs/>
              </w:rPr>
            </w:pPr>
            <w:r w:rsidRPr="00684FED">
              <w:rPr>
                <w:b/>
                <w:bCs/>
              </w:rPr>
              <w:t>Methodology</w:t>
            </w:r>
          </w:p>
          <w:p w14:paraId="2C054073" w14:textId="2E5EFB7F" w:rsidR="00A836D6" w:rsidRPr="00684FED" w:rsidRDefault="0C04CEE7" w:rsidP="022243FE">
            <w:pPr>
              <w:rPr>
                <w:bCs/>
              </w:rPr>
            </w:pPr>
            <w:r w:rsidRPr="00684FED">
              <w:t>Percent</w:t>
            </w:r>
            <w:r w:rsidR="004A456F">
              <w:t>age</w:t>
            </w:r>
            <w:r w:rsidR="00A836D6" w:rsidRPr="00684FED">
              <w:t xml:space="preserve"> of current projects with a</w:t>
            </w:r>
            <w:r w:rsidR="67ECD545" w:rsidRPr="00684FED">
              <w:t xml:space="preserve"> compliance breach of the a</w:t>
            </w:r>
            <w:r w:rsidR="00A836D6" w:rsidRPr="00684FED">
              <w:t>pproved AIP plan</w:t>
            </w:r>
            <w:r w:rsidR="67ECD545" w:rsidRPr="00684FED">
              <w:t>s</w:t>
            </w:r>
            <w:r w:rsidR="00A836D6" w:rsidRPr="00684FED">
              <w:t xml:space="preserve"> </w:t>
            </w:r>
            <w:r w:rsidR="67ECD545" w:rsidRPr="00684FED">
              <w:t xml:space="preserve">that required the </w:t>
            </w:r>
            <w:r w:rsidR="4B5E3A4A" w:rsidRPr="00684FED">
              <w:t>use of legislative sanctions</w:t>
            </w:r>
            <w:r w:rsidR="67ECD545" w:rsidRPr="00684FED">
              <w:t xml:space="preserve"> </w:t>
            </w:r>
            <w:r w:rsidR="00A836D6" w:rsidRPr="00684FED">
              <w:t xml:space="preserve">compared to number of current projects with accepted compliance reports and no </w:t>
            </w:r>
            <w:r w:rsidR="022243FE" w:rsidRPr="00684FED">
              <w:t>use of legislative sanctions</w:t>
            </w:r>
            <w:r w:rsidR="00A836D6" w:rsidRPr="00684FED">
              <w:t xml:space="preserve"> (i.e. number of non-compliant compliance reports divided by total number of compliance reports multiplied by one hundred).</w:t>
            </w:r>
          </w:p>
        </w:tc>
      </w:tr>
      <w:tr w:rsidR="0039461A" w:rsidRPr="00684FED" w14:paraId="67D7B08E" w14:textId="77777777" w:rsidTr="005C019C">
        <w:tc>
          <w:tcPr>
            <w:tcW w:w="5000" w:type="pct"/>
            <w:gridSpan w:val="2"/>
          </w:tcPr>
          <w:p w14:paraId="1126592A" w14:textId="0D5DAC8B" w:rsidR="003720C4" w:rsidRDefault="00A836D6" w:rsidP="218580CA">
            <w:r w:rsidRPr="00684FED">
              <w:rPr>
                <w:b/>
                <w:bCs/>
              </w:rPr>
              <w:t>Changes from previous year</w:t>
            </w:r>
          </w:p>
          <w:p w14:paraId="1AF73270" w14:textId="07376D96" w:rsidR="00A836D6" w:rsidRPr="00684FED" w:rsidRDefault="003720C4" w:rsidP="218580CA">
            <w:r>
              <w:t>N</w:t>
            </w:r>
            <w:r w:rsidR="00A836D6" w:rsidRPr="00684FED">
              <w:t>o changes from 2022</w:t>
            </w:r>
            <w:r w:rsidR="00F335CA">
              <w:t>–</w:t>
            </w:r>
            <w:r w:rsidR="00A836D6" w:rsidRPr="00684FED">
              <w:t>23</w:t>
            </w:r>
            <w:r>
              <w:t>.</w:t>
            </w:r>
          </w:p>
        </w:tc>
      </w:tr>
      <w:tr w:rsidR="0039461A" w:rsidRPr="00684FED" w14:paraId="1C0B8069" w14:textId="77777777" w:rsidTr="005C019C">
        <w:tc>
          <w:tcPr>
            <w:tcW w:w="5000" w:type="pct"/>
            <w:gridSpan w:val="2"/>
          </w:tcPr>
          <w:p w14:paraId="0CE52E79" w14:textId="1EFD7237" w:rsidR="00A836D6" w:rsidRPr="00684FED" w:rsidRDefault="00541211" w:rsidP="218580CA">
            <w:r>
              <w:rPr>
                <w:b/>
                <w:bCs/>
              </w:rPr>
              <w:t>Department’s r</w:t>
            </w:r>
            <w:r w:rsidR="000924C0">
              <w:rPr>
                <w:b/>
                <w:bCs/>
              </w:rPr>
              <w:t>egulat</w:t>
            </w:r>
            <w:r>
              <w:rPr>
                <w:b/>
                <w:bCs/>
              </w:rPr>
              <w:t xml:space="preserve">ory </w:t>
            </w:r>
            <w:r w:rsidR="00A836D6" w:rsidRPr="00684FED">
              <w:rPr>
                <w:b/>
                <w:bCs/>
              </w:rPr>
              <w:t>function</w:t>
            </w:r>
            <w:r>
              <w:rPr>
                <w:b/>
                <w:bCs/>
              </w:rPr>
              <w:t>s</w:t>
            </w:r>
          </w:p>
          <w:p w14:paraId="1FFB504B" w14:textId="47403F9E" w:rsidR="00A836D6" w:rsidRPr="00684FED" w:rsidRDefault="00EB5E81">
            <w:r>
              <w:t>This performance measure relates to the activities of the Australian Industry Participation Authority</w:t>
            </w:r>
            <w:r w:rsidR="00541211">
              <w:t xml:space="preserve">. </w:t>
            </w:r>
          </w:p>
        </w:tc>
      </w:tr>
    </w:tbl>
    <w:p w14:paraId="746F7EE2" w14:textId="77777777" w:rsidR="0011367A" w:rsidRPr="00684FED" w:rsidRDefault="0011367A" w:rsidP="00F55BBB">
      <w:pPr>
        <w:rPr>
          <w:rFonts w:asciiTheme="majorHAnsi" w:hAnsiTheme="majorHAnsi" w:cstheme="majorBidi"/>
        </w:rPr>
      </w:pPr>
    </w:p>
    <w:tbl>
      <w:tblPr>
        <w:tblStyle w:val="TableGrid"/>
        <w:tblW w:w="5000" w:type="pct"/>
        <w:tblLook w:val="04A0" w:firstRow="1" w:lastRow="0" w:firstColumn="1" w:lastColumn="0" w:noHBand="0" w:noVBand="1"/>
      </w:tblPr>
      <w:tblGrid>
        <w:gridCol w:w="5324"/>
        <w:gridCol w:w="5325"/>
      </w:tblGrid>
      <w:tr w:rsidR="00423CEF" w:rsidRPr="00684FED" w14:paraId="32DA016F" w14:textId="77777777" w:rsidTr="218580CA">
        <w:tc>
          <w:tcPr>
            <w:tcW w:w="2500" w:type="pct"/>
          </w:tcPr>
          <w:p w14:paraId="4E4633E5" w14:textId="77777777" w:rsidR="00A836D6" w:rsidRPr="00684FED" w:rsidRDefault="00A836D6">
            <w:pPr>
              <w:rPr>
                <w:b/>
                <w:bCs/>
                <w:sz w:val="24"/>
                <w:szCs w:val="24"/>
              </w:rPr>
            </w:pPr>
            <w:bookmarkStart w:id="125" w:name="_Hlk142311286"/>
            <w:r w:rsidRPr="00684FED">
              <w:rPr>
                <w:b/>
                <w:bCs/>
                <w:sz w:val="24"/>
                <w:szCs w:val="24"/>
              </w:rPr>
              <w:t>Performance measure</w:t>
            </w:r>
          </w:p>
        </w:tc>
        <w:tc>
          <w:tcPr>
            <w:tcW w:w="2500" w:type="pct"/>
          </w:tcPr>
          <w:p w14:paraId="7641C9C8" w14:textId="4B9F2925" w:rsidR="00A836D6" w:rsidRPr="00684FED" w:rsidRDefault="00A836D6">
            <w:pPr>
              <w:rPr>
                <w:b/>
                <w:bCs/>
              </w:rPr>
            </w:pPr>
            <w:r w:rsidRPr="00684FED">
              <w:rPr>
                <w:b/>
                <w:bCs/>
                <w:sz w:val="24"/>
                <w:szCs w:val="24"/>
              </w:rPr>
              <w:t>Target 2023</w:t>
            </w:r>
            <w:r w:rsidR="00F335CA">
              <w:rPr>
                <w:b/>
                <w:bCs/>
                <w:sz w:val="24"/>
                <w:szCs w:val="24"/>
              </w:rPr>
              <w:t>–</w:t>
            </w:r>
            <w:r w:rsidRPr="00684FED">
              <w:rPr>
                <w:b/>
                <w:bCs/>
                <w:sz w:val="24"/>
                <w:szCs w:val="24"/>
              </w:rPr>
              <w:t>24 to 2026</w:t>
            </w:r>
            <w:r w:rsidR="00F335CA">
              <w:rPr>
                <w:b/>
                <w:bCs/>
                <w:sz w:val="24"/>
                <w:szCs w:val="24"/>
              </w:rPr>
              <w:t>–</w:t>
            </w:r>
            <w:r w:rsidRPr="00684FED">
              <w:rPr>
                <w:b/>
                <w:bCs/>
                <w:sz w:val="24"/>
                <w:szCs w:val="24"/>
              </w:rPr>
              <w:t>27</w:t>
            </w:r>
          </w:p>
        </w:tc>
      </w:tr>
      <w:tr w:rsidR="00423CEF" w:rsidRPr="00684FED" w14:paraId="24536400" w14:textId="77777777" w:rsidTr="218580CA">
        <w:tc>
          <w:tcPr>
            <w:tcW w:w="2500" w:type="pct"/>
          </w:tcPr>
          <w:p w14:paraId="69EA0B25" w14:textId="665FF149" w:rsidR="00B3137D" w:rsidRPr="00B3137D" w:rsidRDefault="00A836D6" w:rsidP="00B3137D">
            <w:pPr>
              <w:rPr>
                <w:b/>
                <w:bCs/>
                <w:sz w:val="24"/>
                <w:szCs w:val="24"/>
              </w:rPr>
            </w:pPr>
            <w:r w:rsidRPr="00684FED">
              <w:rPr>
                <w:b/>
                <w:bCs/>
                <w:sz w:val="24"/>
                <w:szCs w:val="24"/>
              </w:rPr>
              <w:t>6. Anti-Dumping Commission compliance with legislat</w:t>
            </w:r>
            <w:r w:rsidR="00B3137D">
              <w:rPr>
                <w:b/>
                <w:bCs/>
                <w:sz w:val="24"/>
                <w:szCs w:val="24"/>
              </w:rPr>
              <w:t>ed</w:t>
            </w:r>
            <w:r w:rsidRPr="00684FED">
              <w:rPr>
                <w:b/>
                <w:bCs/>
                <w:sz w:val="24"/>
                <w:szCs w:val="24"/>
              </w:rPr>
              <w:t xml:space="preserve"> and </w:t>
            </w:r>
            <w:r w:rsidR="00B3137D" w:rsidRPr="00B3137D">
              <w:rPr>
                <w:b/>
                <w:bCs/>
                <w:sz w:val="24"/>
                <w:szCs w:val="24"/>
              </w:rPr>
              <w:t>World Trade Organi</w:t>
            </w:r>
            <w:r w:rsidR="00A812E7">
              <w:rPr>
                <w:b/>
                <w:bCs/>
                <w:sz w:val="24"/>
                <w:szCs w:val="24"/>
              </w:rPr>
              <w:t>z</w:t>
            </w:r>
            <w:r w:rsidR="00B3137D" w:rsidRPr="00B3137D">
              <w:rPr>
                <w:b/>
                <w:bCs/>
                <w:sz w:val="24"/>
                <w:szCs w:val="24"/>
              </w:rPr>
              <w:t xml:space="preserve">ation timeframes is maintained or improved. </w:t>
            </w:r>
          </w:p>
          <w:p w14:paraId="4308F917" w14:textId="77777777" w:rsidR="00A836D6" w:rsidRPr="00684FED" w:rsidRDefault="00A836D6" w:rsidP="002A43E8">
            <w:pPr>
              <w:rPr>
                <w:sz w:val="24"/>
                <w:szCs w:val="24"/>
              </w:rPr>
            </w:pPr>
          </w:p>
          <w:p w14:paraId="4A48CFF4" w14:textId="10A69DBD" w:rsidR="00A836D6" w:rsidRPr="00684FED" w:rsidRDefault="00E33E28">
            <w:r>
              <w:rPr>
                <w:i/>
                <w:iCs/>
                <w:sz w:val="24"/>
                <w:szCs w:val="24"/>
              </w:rPr>
              <w:t>Efficiency</w:t>
            </w:r>
          </w:p>
        </w:tc>
        <w:tc>
          <w:tcPr>
            <w:tcW w:w="2500" w:type="pct"/>
          </w:tcPr>
          <w:p w14:paraId="665EB35B" w14:textId="18AF7F50" w:rsidR="00A836D6" w:rsidRPr="00684FED" w:rsidRDefault="00A836D6" w:rsidP="002A43E8">
            <w:pPr>
              <w:rPr>
                <w:b/>
                <w:bCs/>
                <w:sz w:val="24"/>
                <w:szCs w:val="24"/>
              </w:rPr>
            </w:pPr>
            <w:r w:rsidRPr="00684FED">
              <w:rPr>
                <w:b/>
                <w:bCs/>
                <w:sz w:val="24"/>
                <w:szCs w:val="24"/>
              </w:rPr>
              <w:t>Timeframes for the completion of all case types are maintained or improved</w:t>
            </w:r>
          </w:p>
        </w:tc>
      </w:tr>
      <w:bookmarkEnd w:id="125"/>
      <w:tr w:rsidR="0039461A" w:rsidRPr="00684FED" w14:paraId="7FB3DA48" w14:textId="77777777" w:rsidTr="0021312E">
        <w:tc>
          <w:tcPr>
            <w:tcW w:w="5000" w:type="pct"/>
            <w:gridSpan w:val="2"/>
          </w:tcPr>
          <w:p w14:paraId="7978D460" w14:textId="58E9D94E" w:rsidR="003720C4" w:rsidRDefault="00A836D6" w:rsidP="001F01CD">
            <w:r w:rsidRPr="00684FED">
              <w:rPr>
                <w:b/>
                <w:bCs/>
              </w:rPr>
              <w:t>Why this matters</w:t>
            </w:r>
          </w:p>
          <w:p w14:paraId="494504DD" w14:textId="2B784D3B" w:rsidR="00A836D6" w:rsidRPr="00551AEB" w:rsidRDefault="003720C4" w:rsidP="001F01CD">
            <w:r>
              <w:t>I</w:t>
            </w:r>
            <w:r w:rsidR="00A836D6" w:rsidRPr="00684FED">
              <w:t xml:space="preserve">n administering an anti-dumping system the department seeks to support Australian industry and the economy by remedying proven instances of unfair international trade. </w:t>
            </w:r>
          </w:p>
        </w:tc>
      </w:tr>
      <w:tr w:rsidR="0039461A" w:rsidRPr="00684FED" w14:paraId="4ADCC95F" w14:textId="77777777" w:rsidTr="0021312E">
        <w:tc>
          <w:tcPr>
            <w:tcW w:w="5000" w:type="pct"/>
            <w:gridSpan w:val="2"/>
          </w:tcPr>
          <w:p w14:paraId="4396865C" w14:textId="74BA0277" w:rsidR="009445A4" w:rsidRPr="000F7843" w:rsidRDefault="00A836D6" w:rsidP="001F01CD">
            <w:pPr>
              <w:spacing w:before="60" w:after="60"/>
              <w:rPr>
                <w:rFonts w:asciiTheme="majorHAnsi" w:hAnsiTheme="majorHAnsi" w:cstheme="majorBidi"/>
              </w:rPr>
            </w:pPr>
            <w:r w:rsidRPr="00684FED">
              <w:rPr>
                <w:b/>
                <w:bCs/>
              </w:rPr>
              <w:t>Data source</w:t>
            </w:r>
            <w:r w:rsidR="009A0B75" w:rsidRPr="00684FED">
              <w:rPr>
                <w:b/>
                <w:bCs/>
              </w:rPr>
              <w:t>s</w:t>
            </w:r>
            <w:r w:rsidR="00E240B5">
              <w:rPr>
                <w:b/>
                <w:bCs/>
              </w:rPr>
              <w:t xml:space="preserve"> </w:t>
            </w:r>
            <w:r w:rsidR="003B4BBB">
              <w:rPr>
                <w:b/>
                <w:bCs/>
              </w:rPr>
              <w:br/>
            </w:r>
            <w:r w:rsidR="001D2192" w:rsidRPr="001D2192">
              <w:rPr>
                <w:rFonts w:asciiTheme="majorHAnsi" w:hAnsiTheme="majorHAnsi" w:cstheme="majorBidi"/>
              </w:rPr>
              <w:t xml:space="preserve">Anti-Dumping Commission’s </w:t>
            </w:r>
            <w:r w:rsidR="00B46F57" w:rsidRPr="001D2192">
              <w:rPr>
                <w:rFonts w:asciiTheme="majorHAnsi" w:hAnsiTheme="majorHAnsi" w:cstheme="majorBidi"/>
              </w:rPr>
              <w:t>c</w:t>
            </w:r>
            <w:r w:rsidR="00A05627" w:rsidRPr="001D2192">
              <w:rPr>
                <w:rFonts w:asciiTheme="majorHAnsi" w:hAnsiTheme="majorHAnsi" w:cstheme="majorBidi"/>
              </w:rPr>
              <w:t xml:space="preserve">ase </w:t>
            </w:r>
            <w:r w:rsidR="00B46F57" w:rsidRPr="001D2192">
              <w:rPr>
                <w:rFonts w:asciiTheme="majorHAnsi" w:hAnsiTheme="majorHAnsi" w:cstheme="majorBidi"/>
              </w:rPr>
              <w:t>m</w:t>
            </w:r>
            <w:r w:rsidR="00A05627" w:rsidRPr="001D2192">
              <w:rPr>
                <w:rFonts w:asciiTheme="majorHAnsi" w:hAnsiTheme="majorHAnsi" w:cstheme="majorBidi"/>
              </w:rPr>
              <w:t xml:space="preserve">anagement </w:t>
            </w:r>
            <w:r w:rsidR="00B46F57" w:rsidRPr="001D2192">
              <w:rPr>
                <w:rFonts w:asciiTheme="majorHAnsi" w:hAnsiTheme="majorHAnsi" w:cstheme="majorBidi"/>
              </w:rPr>
              <w:t>s</w:t>
            </w:r>
            <w:r w:rsidR="00A05627" w:rsidRPr="001D2192">
              <w:rPr>
                <w:rFonts w:asciiTheme="majorHAnsi" w:hAnsiTheme="majorHAnsi" w:cstheme="majorBidi"/>
              </w:rPr>
              <w:t>ystem</w:t>
            </w:r>
            <w:r w:rsidR="001D2192">
              <w:rPr>
                <w:rFonts w:asciiTheme="majorHAnsi" w:hAnsiTheme="majorHAnsi" w:cstheme="majorBidi"/>
              </w:rPr>
              <w:t>.</w:t>
            </w:r>
          </w:p>
        </w:tc>
      </w:tr>
      <w:tr w:rsidR="002A4B64" w:rsidRPr="00684FED" w14:paraId="543F50F3" w14:textId="77777777" w:rsidTr="0021312E">
        <w:tc>
          <w:tcPr>
            <w:tcW w:w="5000" w:type="pct"/>
            <w:gridSpan w:val="2"/>
          </w:tcPr>
          <w:p w14:paraId="17107673" w14:textId="6454E22A" w:rsidR="00CC516F" w:rsidRDefault="002A4B64" w:rsidP="00DD7FF8">
            <w:r w:rsidRPr="00684FED">
              <w:rPr>
                <w:b/>
                <w:bCs/>
              </w:rPr>
              <w:t>Methodology</w:t>
            </w:r>
          </w:p>
          <w:p w14:paraId="7056E672" w14:textId="18573006" w:rsidR="002A4B64" w:rsidRPr="00551AEB" w:rsidRDefault="00CC516F" w:rsidP="00DD7FF8">
            <w:pPr>
              <w:rPr>
                <w:b/>
                <w:bCs/>
              </w:rPr>
            </w:pPr>
            <w:r>
              <w:t>T</w:t>
            </w:r>
            <w:r w:rsidR="002A4B64" w:rsidRPr="00F04D03">
              <w:t xml:space="preserve">he number of cases and case types, case timeframes, and outcomes of cases are recorded in the </w:t>
            </w:r>
            <w:r w:rsidR="001D2192" w:rsidRPr="001D2192">
              <w:rPr>
                <w:rFonts w:asciiTheme="majorHAnsi" w:hAnsiTheme="majorHAnsi" w:cstheme="majorBidi"/>
              </w:rPr>
              <w:t>Anti-Dumping Commission’s case management system</w:t>
            </w:r>
            <w:r w:rsidR="002A4B64" w:rsidRPr="00F04D03">
              <w:t xml:space="preserve">. Data is manually </w:t>
            </w:r>
            <w:r w:rsidR="00D41904">
              <w:t>entered</w:t>
            </w:r>
            <w:r w:rsidR="00D41904" w:rsidRPr="00F04D03">
              <w:t xml:space="preserve"> </w:t>
            </w:r>
            <w:r w:rsidR="002A4B64" w:rsidRPr="00F04D03">
              <w:t>at case commencement and legislative timeframes are pre-populated with internal system validation. Permitted extensions are recorded in the system and dates are amended to reflect permitted changes.</w:t>
            </w:r>
          </w:p>
        </w:tc>
      </w:tr>
      <w:tr w:rsidR="002A4B64" w:rsidRPr="00684FED" w14:paraId="5E4B0649" w14:textId="77777777" w:rsidTr="0021312E">
        <w:tc>
          <w:tcPr>
            <w:tcW w:w="5000" w:type="pct"/>
            <w:gridSpan w:val="2"/>
          </w:tcPr>
          <w:p w14:paraId="3CBC6506" w14:textId="08612A3F" w:rsidR="00CC516F" w:rsidRDefault="002A4B64" w:rsidP="002A4B64">
            <w:r w:rsidRPr="00684FED">
              <w:rPr>
                <w:b/>
                <w:bCs/>
              </w:rPr>
              <w:t>Changes from previous year</w:t>
            </w:r>
          </w:p>
          <w:p w14:paraId="5D99DB53" w14:textId="227C62EF" w:rsidR="002A4B64" w:rsidRPr="00684FED" w:rsidRDefault="00CC516F" w:rsidP="002A4B64">
            <w:r>
              <w:t>T</w:t>
            </w:r>
            <w:r w:rsidR="002A4B64" w:rsidRPr="00684FED">
              <w:t xml:space="preserve">his </w:t>
            </w:r>
            <w:r w:rsidR="00DD241B">
              <w:t xml:space="preserve">is a new </w:t>
            </w:r>
            <w:r w:rsidR="002A4B64" w:rsidRPr="00684FED">
              <w:t xml:space="preserve">performance measure </w:t>
            </w:r>
            <w:r w:rsidR="00FE3E24">
              <w:t xml:space="preserve">established after publication of the </w:t>
            </w:r>
            <w:r w:rsidR="00174509">
              <w:t xml:space="preserve">2022–23 </w:t>
            </w:r>
            <w:r w:rsidR="00DD241B">
              <w:t>c</w:t>
            </w:r>
            <w:r w:rsidR="00FE3E24">
              <w:t xml:space="preserve">orporate </w:t>
            </w:r>
            <w:r w:rsidR="00DD241B">
              <w:t>p</w:t>
            </w:r>
            <w:r w:rsidR="00FE3E24">
              <w:t>lan.</w:t>
            </w:r>
            <w:r w:rsidR="002A4B64" w:rsidRPr="00684FED">
              <w:t xml:space="preserve"> </w:t>
            </w:r>
          </w:p>
        </w:tc>
      </w:tr>
      <w:tr w:rsidR="002A4B64" w:rsidRPr="00684FED" w14:paraId="1ED9EE78" w14:textId="77777777" w:rsidTr="0021312E">
        <w:tc>
          <w:tcPr>
            <w:tcW w:w="5000" w:type="pct"/>
            <w:gridSpan w:val="2"/>
          </w:tcPr>
          <w:p w14:paraId="31FB7294" w14:textId="2B705921" w:rsidR="00CC516F" w:rsidRDefault="002A4B64" w:rsidP="00DD7FF8">
            <w:r>
              <w:rPr>
                <w:b/>
                <w:bCs/>
              </w:rPr>
              <w:t>Department’s r</w:t>
            </w:r>
            <w:r w:rsidRPr="00684FED">
              <w:rPr>
                <w:b/>
                <w:bCs/>
              </w:rPr>
              <w:t>egulat</w:t>
            </w:r>
            <w:r>
              <w:rPr>
                <w:b/>
                <w:bCs/>
              </w:rPr>
              <w:t>ory</w:t>
            </w:r>
            <w:r w:rsidRPr="00684FED">
              <w:rPr>
                <w:b/>
                <w:bCs/>
              </w:rPr>
              <w:t xml:space="preserve"> function</w:t>
            </w:r>
            <w:r>
              <w:rPr>
                <w:b/>
                <w:bCs/>
              </w:rPr>
              <w:t>s</w:t>
            </w:r>
          </w:p>
          <w:p w14:paraId="70CD6C86" w14:textId="5260AE69" w:rsidR="002A4B64" w:rsidRPr="00684FED" w:rsidRDefault="00CC516F" w:rsidP="00DD7FF8">
            <w:r>
              <w:t>T</w:t>
            </w:r>
            <w:r w:rsidR="002A4B64">
              <w:t xml:space="preserve">his performance measure relates to the activities of the </w:t>
            </w:r>
            <w:r w:rsidR="001D2192" w:rsidRPr="001D2192">
              <w:rPr>
                <w:rFonts w:asciiTheme="majorHAnsi" w:hAnsiTheme="majorHAnsi" w:cstheme="majorBidi"/>
              </w:rPr>
              <w:t>Anti-Dumping Commission</w:t>
            </w:r>
            <w:r w:rsidR="002A4B64">
              <w:t xml:space="preserve">. </w:t>
            </w:r>
          </w:p>
        </w:tc>
      </w:tr>
    </w:tbl>
    <w:p w14:paraId="04F7E11F" w14:textId="69A5F1D4" w:rsidR="00433D14" w:rsidRDefault="00433D14" w:rsidP="003D24A9">
      <w:pPr>
        <w:spacing w:after="0"/>
        <w:rPr>
          <w:rFonts w:asciiTheme="majorHAnsi" w:hAnsiTheme="majorHAnsi" w:cstheme="majorBidi"/>
        </w:rPr>
      </w:pPr>
    </w:p>
    <w:p w14:paraId="1E3B37C5" w14:textId="77777777" w:rsidR="00433D14" w:rsidRDefault="00433D14">
      <w:pPr>
        <w:rPr>
          <w:rFonts w:asciiTheme="majorHAnsi" w:hAnsiTheme="majorHAnsi" w:cstheme="majorBidi"/>
        </w:rPr>
      </w:pPr>
      <w:r>
        <w:rPr>
          <w:rFonts w:asciiTheme="majorHAnsi" w:hAnsiTheme="majorHAnsi" w:cstheme="majorBidi"/>
        </w:rPr>
        <w:br w:type="page"/>
      </w:r>
    </w:p>
    <w:tbl>
      <w:tblPr>
        <w:tblStyle w:val="TableGrid"/>
        <w:tblW w:w="5000" w:type="pct"/>
        <w:tblLook w:val="04A0" w:firstRow="1" w:lastRow="0" w:firstColumn="1" w:lastColumn="0" w:noHBand="0" w:noVBand="1"/>
      </w:tblPr>
      <w:tblGrid>
        <w:gridCol w:w="5324"/>
        <w:gridCol w:w="5325"/>
      </w:tblGrid>
      <w:tr w:rsidR="006C518F" w:rsidRPr="00684FED" w14:paraId="112E0B52" w14:textId="77777777" w:rsidTr="002A43E8">
        <w:tc>
          <w:tcPr>
            <w:tcW w:w="2500" w:type="pct"/>
          </w:tcPr>
          <w:p w14:paraId="4EC168FC" w14:textId="77777777" w:rsidR="00FE3E24" w:rsidRPr="00684FED" w:rsidRDefault="00FE3E24" w:rsidP="002A43E8">
            <w:r w:rsidRPr="00684FED">
              <w:rPr>
                <w:b/>
                <w:bCs/>
                <w:sz w:val="24"/>
                <w:szCs w:val="24"/>
              </w:rPr>
              <w:t>Performance measure</w:t>
            </w:r>
          </w:p>
        </w:tc>
        <w:tc>
          <w:tcPr>
            <w:tcW w:w="2500" w:type="pct"/>
          </w:tcPr>
          <w:p w14:paraId="6CE56E9A" w14:textId="62C2D68C" w:rsidR="00FE3E24" w:rsidRPr="00684FED" w:rsidRDefault="00FE3E24" w:rsidP="002A43E8">
            <w:r w:rsidRPr="00684FED">
              <w:rPr>
                <w:b/>
                <w:bCs/>
                <w:sz w:val="24"/>
                <w:szCs w:val="24"/>
              </w:rPr>
              <w:t>Target 2023</w:t>
            </w:r>
            <w:r w:rsidR="00F335CA">
              <w:rPr>
                <w:b/>
                <w:bCs/>
                <w:sz w:val="24"/>
                <w:szCs w:val="24"/>
              </w:rPr>
              <w:t>–</w:t>
            </w:r>
            <w:r w:rsidRPr="00684FED">
              <w:rPr>
                <w:b/>
                <w:bCs/>
                <w:sz w:val="24"/>
                <w:szCs w:val="24"/>
              </w:rPr>
              <w:t>24 to 2026</w:t>
            </w:r>
            <w:r w:rsidR="00F335CA">
              <w:rPr>
                <w:b/>
                <w:bCs/>
                <w:sz w:val="24"/>
                <w:szCs w:val="24"/>
              </w:rPr>
              <w:t>–</w:t>
            </w:r>
            <w:r w:rsidRPr="00684FED">
              <w:rPr>
                <w:b/>
                <w:bCs/>
                <w:sz w:val="24"/>
                <w:szCs w:val="24"/>
              </w:rPr>
              <w:t>27</w:t>
            </w:r>
          </w:p>
        </w:tc>
      </w:tr>
      <w:tr w:rsidR="006C518F" w:rsidRPr="00684FED" w14:paraId="0794C30F" w14:textId="77777777" w:rsidTr="002A43E8">
        <w:tc>
          <w:tcPr>
            <w:tcW w:w="2500" w:type="pct"/>
          </w:tcPr>
          <w:p w14:paraId="417D1F3B" w14:textId="4BB0B0E3" w:rsidR="00FE3E24" w:rsidRPr="00684FED" w:rsidRDefault="00FE3E24" w:rsidP="002A43E8">
            <w:r>
              <w:rPr>
                <w:b/>
                <w:bCs/>
                <w:sz w:val="24"/>
                <w:szCs w:val="24"/>
              </w:rPr>
              <w:t>7</w:t>
            </w:r>
            <w:r w:rsidRPr="00684FED">
              <w:rPr>
                <w:b/>
                <w:bCs/>
                <w:sz w:val="24"/>
                <w:szCs w:val="24"/>
              </w:rPr>
              <w:t>. Application</w:t>
            </w:r>
            <w:r w:rsidR="00635E57">
              <w:rPr>
                <w:b/>
                <w:bCs/>
                <w:sz w:val="24"/>
                <w:szCs w:val="24"/>
              </w:rPr>
              <w:t>s</w:t>
            </w:r>
            <w:r w:rsidRPr="00684FED">
              <w:rPr>
                <w:b/>
                <w:bCs/>
                <w:sz w:val="24"/>
                <w:szCs w:val="24"/>
              </w:rPr>
              <w:t xml:space="preserve"> for registration of research and development activities through the Research and Development Tax Incentive (R&amp;DTI) are processed within: </w:t>
            </w:r>
          </w:p>
          <w:p w14:paraId="7823F757" w14:textId="33AC865D" w:rsidR="00FE3E24" w:rsidRPr="00684FED" w:rsidRDefault="00FE3E24" w:rsidP="002A43E8">
            <w:pPr>
              <w:numPr>
                <w:ilvl w:val="0"/>
                <w:numId w:val="16"/>
              </w:numPr>
            </w:pPr>
            <w:r w:rsidRPr="00684FED">
              <w:rPr>
                <w:b/>
                <w:bCs/>
                <w:sz w:val="24"/>
                <w:szCs w:val="24"/>
              </w:rPr>
              <w:t>40 business days for first</w:t>
            </w:r>
            <w:r w:rsidR="00F24939">
              <w:rPr>
                <w:b/>
                <w:bCs/>
                <w:sz w:val="24"/>
                <w:szCs w:val="24"/>
              </w:rPr>
              <w:t>-</w:t>
            </w:r>
            <w:r w:rsidRPr="00684FED">
              <w:rPr>
                <w:b/>
                <w:bCs/>
                <w:sz w:val="24"/>
                <w:szCs w:val="24"/>
              </w:rPr>
              <w:t>time registrants</w:t>
            </w:r>
          </w:p>
          <w:p w14:paraId="24E307A0" w14:textId="7D425DA2" w:rsidR="00936340" w:rsidRPr="00684FED" w:rsidRDefault="00FE3E24" w:rsidP="002A43E8">
            <w:pPr>
              <w:numPr>
                <w:ilvl w:val="0"/>
                <w:numId w:val="16"/>
              </w:numPr>
            </w:pPr>
            <w:r w:rsidRPr="00684FED">
              <w:rPr>
                <w:b/>
                <w:bCs/>
                <w:sz w:val="24"/>
                <w:szCs w:val="24"/>
              </w:rPr>
              <w:t>20 business days for registrants that have applied within 6 months after the end of the income period</w:t>
            </w:r>
          </w:p>
          <w:p w14:paraId="7CE7FB6C" w14:textId="760F0975" w:rsidR="00FE3E24" w:rsidRPr="00684FED" w:rsidRDefault="00FE3E24" w:rsidP="00A84997">
            <w:pPr>
              <w:numPr>
                <w:ilvl w:val="0"/>
                <w:numId w:val="16"/>
              </w:numPr>
              <w:rPr>
                <w:b/>
                <w:bCs/>
                <w:sz w:val="24"/>
                <w:szCs w:val="24"/>
              </w:rPr>
            </w:pPr>
            <w:r w:rsidRPr="00684FED">
              <w:rPr>
                <w:b/>
                <w:bCs/>
                <w:sz w:val="24"/>
                <w:szCs w:val="24"/>
              </w:rPr>
              <w:t>80 business days for registrations submitted from 6 to 10 months after the end of the income period</w:t>
            </w:r>
            <w:r w:rsidR="00417A5A">
              <w:rPr>
                <w:b/>
                <w:bCs/>
                <w:sz w:val="24"/>
                <w:szCs w:val="24"/>
              </w:rPr>
              <w:t>.</w:t>
            </w:r>
          </w:p>
          <w:p w14:paraId="6AA56926" w14:textId="77777777" w:rsidR="00FE3E24" w:rsidRPr="00684FED" w:rsidRDefault="00FE3E24" w:rsidP="002A43E8">
            <w:pPr>
              <w:rPr>
                <w:sz w:val="24"/>
                <w:szCs w:val="24"/>
              </w:rPr>
            </w:pPr>
          </w:p>
          <w:p w14:paraId="66BFCE03" w14:textId="0DF6EC11" w:rsidR="00FE3E24" w:rsidRPr="00684FED" w:rsidRDefault="00FE3E24" w:rsidP="002A43E8">
            <w:r w:rsidRPr="00684FED">
              <w:rPr>
                <w:i/>
                <w:iCs/>
                <w:sz w:val="24"/>
                <w:szCs w:val="24"/>
              </w:rPr>
              <w:t>Efficiency</w:t>
            </w:r>
          </w:p>
        </w:tc>
        <w:tc>
          <w:tcPr>
            <w:tcW w:w="2500" w:type="pct"/>
          </w:tcPr>
          <w:p w14:paraId="674F48EA" w14:textId="77777777" w:rsidR="00FE3E24" w:rsidRPr="00684FED" w:rsidRDefault="00FE3E24" w:rsidP="002A43E8">
            <w:pPr>
              <w:rPr>
                <w:b/>
                <w:bCs/>
                <w:sz w:val="24"/>
                <w:szCs w:val="24"/>
              </w:rPr>
            </w:pPr>
            <w:r w:rsidRPr="00684FED">
              <w:rPr>
                <w:b/>
                <w:bCs/>
                <w:sz w:val="24"/>
                <w:szCs w:val="24"/>
              </w:rPr>
              <w:t>95% of companies processed within the allotted timeframes (for each criterion)</w:t>
            </w:r>
          </w:p>
        </w:tc>
      </w:tr>
      <w:tr w:rsidR="006C518F" w:rsidRPr="00684FED" w14:paraId="27E31E67" w14:textId="77777777" w:rsidTr="002A43E8">
        <w:tc>
          <w:tcPr>
            <w:tcW w:w="5000" w:type="pct"/>
            <w:gridSpan w:val="2"/>
          </w:tcPr>
          <w:p w14:paraId="45030046" w14:textId="20E7CC67" w:rsidR="00CC516F" w:rsidRDefault="00FE3E24" w:rsidP="003D24A9">
            <w:r w:rsidRPr="00684FED">
              <w:rPr>
                <w:b/>
                <w:bCs/>
              </w:rPr>
              <w:t>Why this matters</w:t>
            </w:r>
          </w:p>
          <w:p w14:paraId="284FB10E" w14:textId="1F2E4E94" w:rsidR="00FE3E24" w:rsidRPr="00684FED" w:rsidRDefault="00CC516F" w:rsidP="003D24A9">
            <w:r>
              <w:t>T</w:t>
            </w:r>
            <w:r w:rsidR="00FE3E24" w:rsidRPr="000F7843">
              <w:t xml:space="preserve">he measure outlines how quickly the department </w:t>
            </w:r>
            <w:r w:rsidR="00E55C9B">
              <w:t>processes</w:t>
            </w:r>
            <w:r w:rsidR="00E55C9B" w:rsidRPr="000F7843">
              <w:t xml:space="preserve"> </w:t>
            </w:r>
            <w:r w:rsidR="00FE3E24" w:rsidRPr="000F7843">
              <w:t>R&amp;D</w:t>
            </w:r>
            <w:r w:rsidR="00D01D64">
              <w:t xml:space="preserve">TI </w:t>
            </w:r>
            <w:r w:rsidR="00FE3E24" w:rsidRPr="000F7843">
              <w:t xml:space="preserve">applications, of which around 12,000 per year are lodged. An efficient registration process ensures companies receive certainty early and they can file their </w:t>
            </w:r>
            <w:r w:rsidR="005A531F">
              <w:t>i</w:t>
            </w:r>
            <w:r w:rsidR="00FE3E24" w:rsidRPr="000F7843">
              <w:t xml:space="preserve">ncome </w:t>
            </w:r>
            <w:r w:rsidR="005A531F">
              <w:t>t</w:t>
            </w:r>
            <w:r w:rsidR="00FE3E24" w:rsidRPr="000F7843">
              <w:t xml:space="preserve">ax </w:t>
            </w:r>
            <w:r w:rsidR="005A531F">
              <w:t>r</w:t>
            </w:r>
            <w:r w:rsidR="00FE3E24" w:rsidRPr="000F7843">
              <w:t>eturns with the ATO to receive the benefit of the program in a timely manner.</w:t>
            </w:r>
          </w:p>
        </w:tc>
      </w:tr>
      <w:tr w:rsidR="006C518F" w:rsidRPr="00684FED" w14:paraId="07B74823" w14:textId="77777777" w:rsidTr="002A43E8">
        <w:tc>
          <w:tcPr>
            <w:tcW w:w="5000" w:type="pct"/>
            <w:gridSpan w:val="2"/>
          </w:tcPr>
          <w:p w14:paraId="053807BD" w14:textId="77777777" w:rsidR="00CC516F" w:rsidRDefault="00FE3E24" w:rsidP="002A43E8">
            <w:pPr>
              <w:rPr>
                <w:b/>
                <w:bCs/>
              </w:rPr>
            </w:pPr>
            <w:r w:rsidRPr="00684FED">
              <w:rPr>
                <w:b/>
                <w:bCs/>
              </w:rPr>
              <w:t>Data source:</w:t>
            </w:r>
            <w:r w:rsidR="003D24A9">
              <w:rPr>
                <w:b/>
                <w:bCs/>
              </w:rPr>
              <w:t xml:space="preserve"> </w:t>
            </w:r>
          </w:p>
          <w:p w14:paraId="2D9374C7" w14:textId="4E8952BD" w:rsidR="00FE3E24" w:rsidRPr="00684FED" w:rsidRDefault="00FE3E24" w:rsidP="002A43E8">
            <w:r w:rsidRPr="00684FED">
              <w:t>R&amp;DTI program data, held by the department.</w:t>
            </w:r>
          </w:p>
        </w:tc>
      </w:tr>
      <w:tr w:rsidR="006C518F" w:rsidRPr="004F67B7" w14:paraId="3C9C464F" w14:textId="77777777" w:rsidTr="002A43E8">
        <w:tc>
          <w:tcPr>
            <w:tcW w:w="5000" w:type="pct"/>
            <w:gridSpan w:val="2"/>
          </w:tcPr>
          <w:p w14:paraId="4AE91ABC" w14:textId="4E51F00B" w:rsidR="00CC516F" w:rsidRDefault="00FE3E24" w:rsidP="002A43E8">
            <w:pPr>
              <w:rPr>
                <w:b/>
                <w:bCs/>
              </w:rPr>
            </w:pPr>
            <w:r w:rsidRPr="00684FED">
              <w:rPr>
                <w:b/>
                <w:bCs/>
              </w:rPr>
              <w:t>Methodology</w:t>
            </w:r>
          </w:p>
          <w:p w14:paraId="69A27EF8" w14:textId="6BB38C11" w:rsidR="00FE3E24" w:rsidRPr="00684FED" w:rsidRDefault="00CC516F" w:rsidP="002A43E8">
            <w:r w:rsidRPr="002C509E">
              <w:rPr>
                <w:bCs/>
              </w:rPr>
              <w:t>T</w:t>
            </w:r>
            <w:r w:rsidR="00FE3E24" w:rsidRPr="000F7843">
              <w:t>he method for calculating the measure is to determine the difference in days between:</w:t>
            </w:r>
          </w:p>
          <w:p w14:paraId="19EDEAE7" w14:textId="77777777" w:rsidR="00FE3E24" w:rsidRPr="00684FED" w:rsidRDefault="00FE3E24" w:rsidP="002A43E8">
            <w:pPr>
              <w:pStyle w:val="ListParagraph"/>
              <w:numPr>
                <w:ilvl w:val="0"/>
                <w:numId w:val="25"/>
              </w:numPr>
              <w:jc w:val="both"/>
            </w:pPr>
            <w:r w:rsidRPr="000F7843">
              <w:t>The date the company submitted their registration application; and</w:t>
            </w:r>
          </w:p>
          <w:p w14:paraId="062492FE" w14:textId="77777777" w:rsidR="00FE3E24" w:rsidRDefault="00FE3E24" w:rsidP="002A43E8">
            <w:pPr>
              <w:pStyle w:val="ListParagraph"/>
              <w:numPr>
                <w:ilvl w:val="0"/>
                <w:numId w:val="25"/>
              </w:numPr>
              <w:jc w:val="both"/>
            </w:pPr>
            <w:r w:rsidRPr="000F7843">
              <w:t>The date the department registered the application.</w:t>
            </w:r>
          </w:p>
          <w:p w14:paraId="57596E97" w14:textId="5F84FCE3" w:rsidR="00FE3E24" w:rsidRPr="004F67B7" w:rsidRDefault="00527E79" w:rsidP="00174509">
            <w:pPr>
              <w:jc w:val="both"/>
            </w:pPr>
            <w:r>
              <w:t>From this, the proportion of companies processed within the allotted timeframes is determined</w:t>
            </w:r>
            <w:r w:rsidR="00E55C9B">
              <w:t>.</w:t>
            </w:r>
          </w:p>
        </w:tc>
      </w:tr>
      <w:tr w:rsidR="006C518F" w:rsidRPr="00684FED" w14:paraId="4DC2A3FE" w14:textId="77777777" w:rsidTr="002A43E8">
        <w:tc>
          <w:tcPr>
            <w:tcW w:w="5000" w:type="pct"/>
            <w:gridSpan w:val="2"/>
          </w:tcPr>
          <w:p w14:paraId="3CAE4238" w14:textId="1C383966" w:rsidR="00CC516F" w:rsidRDefault="00FE3E24" w:rsidP="002A43E8">
            <w:r w:rsidRPr="00684FED">
              <w:rPr>
                <w:b/>
                <w:bCs/>
              </w:rPr>
              <w:t>Changes from previous year</w:t>
            </w:r>
          </w:p>
          <w:p w14:paraId="6CBBBE7C" w14:textId="042F406E" w:rsidR="00FE3E24" w:rsidRPr="00684FED" w:rsidRDefault="00CC516F" w:rsidP="002A43E8">
            <w:r>
              <w:t>N</w:t>
            </w:r>
            <w:r w:rsidR="00FE3E24" w:rsidRPr="00684FED">
              <w:t>o changes from 2022</w:t>
            </w:r>
            <w:r w:rsidR="00F335CA">
              <w:t>–</w:t>
            </w:r>
            <w:r w:rsidR="00FE3E24" w:rsidRPr="00684FED">
              <w:t>23</w:t>
            </w:r>
            <w:r w:rsidR="00D241CF">
              <w:t>.</w:t>
            </w:r>
          </w:p>
        </w:tc>
      </w:tr>
      <w:tr w:rsidR="006C518F" w:rsidRPr="00684FED" w14:paraId="5E970BE0" w14:textId="77777777" w:rsidTr="002A43E8">
        <w:tc>
          <w:tcPr>
            <w:tcW w:w="5000" w:type="pct"/>
            <w:gridSpan w:val="2"/>
          </w:tcPr>
          <w:p w14:paraId="68F8A0A8" w14:textId="252852B9" w:rsidR="00CC516F" w:rsidRDefault="001A6E03" w:rsidP="003D24A9">
            <w:r>
              <w:rPr>
                <w:b/>
                <w:bCs/>
              </w:rPr>
              <w:t>Department’s regulatory functions</w:t>
            </w:r>
          </w:p>
          <w:p w14:paraId="2332AFB9" w14:textId="796B45D3" w:rsidR="001A6E03" w:rsidRPr="00684FED" w:rsidRDefault="00CC516F" w:rsidP="003D24A9">
            <w:r>
              <w:t>Th</w:t>
            </w:r>
            <w:r w:rsidR="001A6E03">
              <w:t xml:space="preserve">is performance measure relates to the activities of the </w:t>
            </w:r>
            <w:r w:rsidR="001A6E03" w:rsidRPr="001A6E03">
              <w:t>R&amp;DT</w:t>
            </w:r>
            <w:r w:rsidR="00FC002C">
              <w:t xml:space="preserve">I </w:t>
            </w:r>
            <w:r w:rsidR="001A6E03" w:rsidRPr="001A6E03">
              <w:t>Branch</w:t>
            </w:r>
            <w:r w:rsidR="001A6E03">
              <w:t xml:space="preserve">. </w:t>
            </w:r>
          </w:p>
        </w:tc>
      </w:tr>
    </w:tbl>
    <w:p w14:paraId="7ACA1397" w14:textId="100D955F" w:rsidR="002E4597" w:rsidRPr="002C1C3F" w:rsidRDefault="002E4597" w:rsidP="002C1C3F">
      <w:bookmarkStart w:id="126" w:name="_Hlk126912389"/>
      <w:bookmarkEnd w:id="120"/>
    </w:p>
    <w:p w14:paraId="4FEAEB59" w14:textId="77777777" w:rsidR="003D24A9" w:rsidRDefault="003D24A9">
      <w:pPr>
        <w:rPr>
          <w:rFonts w:asciiTheme="majorHAnsi" w:eastAsiaTheme="majorEastAsia" w:hAnsiTheme="majorHAnsi" w:cstheme="majorBidi"/>
          <w:color w:val="005677" w:themeColor="text2"/>
          <w:sz w:val="40"/>
          <w:szCs w:val="48"/>
        </w:rPr>
      </w:pPr>
      <w:r>
        <w:br w:type="page"/>
      </w:r>
    </w:p>
    <w:p w14:paraId="73E57EB2" w14:textId="3079E8F6" w:rsidR="00CF4407" w:rsidRPr="00684FED" w:rsidRDefault="00CF4407" w:rsidP="005C1F69">
      <w:pPr>
        <w:pStyle w:val="Heading3"/>
      </w:pPr>
      <w:r w:rsidRPr="00634870">
        <w:t xml:space="preserve">Activity 1.2: </w:t>
      </w:r>
      <w:r w:rsidR="005117D3" w:rsidRPr="00634870">
        <w:t>i</w:t>
      </w:r>
      <w:r w:rsidRPr="00634870">
        <w:t>nvesting in science</w:t>
      </w:r>
      <w:r w:rsidR="00823B55">
        <w:t xml:space="preserve"> and</w:t>
      </w:r>
      <w:r w:rsidRPr="00634870">
        <w:t xml:space="preserve"> technology</w:t>
      </w:r>
      <w:r w:rsidR="00133FD7" w:rsidRPr="00634870">
        <w:t xml:space="preserve"> </w:t>
      </w:r>
    </w:p>
    <w:p w14:paraId="1C77CAEA" w14:textId="3D98E4CE" w:rsidR="00D25DD6" w:rsidRDefault="00CF4407">
      <w:pPr>
        <w:rPr>
          <w:rFonts w:asciiTheme="majorHAnsi" w:hAnsiTheme="majorHAnsi" w:cstheme="majorBidi"/>
        </w:rPr>
      </w:pPr>
      <w:r w:rsidRPr="002E4597">
        <w:rPr>
          <w:rFonts w:asciiTheme="majorHAnsi" w:hAnsiTheme="majorHAnsi" w:cstheme="majorBidi"/>
        </w:rPr>
        <w:t>This activity aims to boost our science and technology capability to facilitate the development and uptake of new ideas and technology and build a strong base for science to be used in Australian decision-making. It relates to</w:t>
      </w:r>
      <w:r w:rsidRPr="002E4597">
        <w:rPr>
          <w:rFonts w:asciiTheme="majorHAnsi" w:hAnsiTheme="majorHAnsi" w:cstheme="majorBidi"/>
          <w:i/>
          <w:iCs/>
        </w:rPr>
        <w:t xml:space="preserve"> </w:t>
      </w:r>
      <w:r w:rsidRPr="002E4597">
        <w:rPr>
          <w:rFonts w:asciiTheme="majorHAnsi" w:hAnsiTheme="majorHAnsi" w:cstheme="majorBidi"/>
        </w:rPr>
        <w:t>PBS</w:t>
      </w:r>
      <w:r w:rsidR="0065468D" w:rsidRPr="002E4597">
        <w:rPr>
          <w:rFonts w:asciiTheme="majorHAnsi" w:hAnsiTheme="majorHAnsi" w:cstheme="majorBidi"/>
        </w:rPr>
        <w:t> </w:t>
      </w:r>
      <w:r w:rsidRPr="002E4597">
        <w:rPr>
          <w:rFonts w:asciiTheme="majorHAnsi" w:hAnsiTheme="majorHAnsi" w:cstheme="majorBidi"/>
        </w:rPr>
        <w:t>202</w:t>
      </w:r>
      <w:r w:rsidR="0065468D" w:rsidRPr="002E4597">
        <w:rPr>
          <w:rFonts w:asciiTheme="majorHAnsi" w:hAnsiTheme="majorHAnsi" w:cstheme="majorBidi"/>
        </w:rPr>
        <w:t>3</w:t>
      </w:r>
      <w:r w:rsidRPr="002E4597">
        <w:rPr>
          <w:rFonts w:asciiTheme="majorHAnsi" w:hAnsiTheme="majorHAnsi" w:cstheme="majorBidi"/>
        </w:rPr>
        <w:t>–2</w:t>
      </w:r>
      <w:r w:rsidR="0065468D" w:rsidRPr="002E4597">
        <w:rPr>
          <w:rFonts w:asciiTheme="majorHAnsi" w:hAnsiTheme="majorHAnsi" w:cstheme="majorBidi"/>
        </w:rPr>
        <w:t>4</w:t>
      </w:r>
      <w:r w:rsidRPr="002E4597">
        <w:rPr>
          <w:rFonts w:asciiTheme="majorHAnsi" w:hAnsiTheme="majorHAnsi" w:cstheme="majorBidi"/>
        </w:rPr>
        <w:t xml:space="preserve"> Outcome 1, Program 1.</w:t>
      </w:r>
      <w:r w:rsidR="0065468D" w:rsidRPr="002E4597">
        <w:rPr>
          <w:rFonts w:asciiTheme="majorHAnsi" w:hAnsiTheme="majorHAnsi" w:cstheme="majorBidi"/>
        </w:rPr>
        <w:t>2</w:t>
      </w:r>
      <w:r w:rsidR="00FE3E24">
        <w:rPr>
          <w:rFonts w:asciiTheme="majorHAnsi" w:hAnsiTheme="majorHAnsi" w:cstheme="majorBidi"/>
        </w:rPr>
        <w:t>, except where investment in commercialisation is covered by Key Activity 1.1</w:t>
      </w:r>
      <w:r>
        <w:rPr>
          <w:rFonts w:asciiTheme="majorHAnsi" w:hAnsiTheme="majorHAnsi" w:cstheme="majorBidi"/>
        </w:rPr>
        <w:t>.</w:t>
      </w:r>
    </w:p>
    <w:tbl>
      <w:tblPr>
        <w:tblStyle w:val="TableGrid"/>
        <w:tblW w:w="5000" w:type="pct"/>
        <w:tblLook w:val="04A0" w:firstRow="1" w:lastRow="0" w:firstColumn="1" w:lastColumn="0" w:noHBand="0" w:noVBand="1"/>
      </w:tblPr>
      <w:tblGrid>
        <w:gridCol w:w="5324"/>
        <w:gridCol w:w="5325"/>
      </w:tblGrid>
      <w:tr w:rsidR="004C23A0" w:rsidRPr="00684FED" w14:paraId="306D2E57" w14:textId="77777777" w:rsidTr="002A43E8">
        <w:tc>
          <w:tcPr>
            <w:tcW w:w="2500" w:type="pct"/>
          </w:tcPr>
          <w:p w14:paraId="75F6E79F" w14:textId="77777777" w:rsidR="004C23A0" w:rsidRPr="00684FED" w:rsidRDefault="004C23A0" w:rsidP="002A43E8">
            <w:bookmarkStart w:id="127" w:name="_Hlk138933690"/>
            <w:bookmarkEnd w:id="126"/>
            <w:r w:rsidRPr="00684FED">
              <w:rPr>
                <w:b/>
                <w:bCs/>
                <w:sz w:val="24"/>
                <w:szCs w:val="24"/>
              </w:rPr>
              <w:t>Performance measure</w:t>
            </w:r>
          </w:p>
        </w:tc>
        <w:tc>
          <w:tcPr>
            <w:tcW w:w="2500" w:type="pct"/>
          </w:tcPr>
          <w:p w14:paraId="1C20C689" w14:textId="339CB18A" w:rsidR="004C23A0" w:rsidRPr="00684FED" w:rsidRDefault="004C23A0" w:rsidP="002A43E8">
            <w:r w:rsidRPr="00684FED">
              <w:rPr>
                <w:b/>
                <w:bCs/>
                <w:sz w:val="24"/>
                <w:szCs w:val="24"/>
              </w:rPr>
              <w:t>Target 2023</w:t>
            </w:r>
            <w:r w:rsidR="00F335CA">
              <w:rPr>
                <w:b/>
                <w:bCs/>
                <w:sz w:val="24"/>
                <w:szCs w:val="24"/>
              </w:rPr>
              <w:t>–</w:t>
            </w:r>
            <w:r w:rsidRPr="00684FED">
              <w:rPr>
                <w:b/>
                <w:bCs/>
                <w:sz w:val="24"/>
                <w:szCs w:val="24"/>
              </w:rPr>
              <w:t>24 to 2026</w:t>
            </w:r>
            <w:r w:rsidR="00F335CA">
              <w:rPr>
                <w:b/>
                <w:bCs/>
                <w:sz w:val="24"/>
                <w:szCs w:val="24"/>
              </w:rPr>
              <w:t>–</w:t>
            </w:r>
            <w:r w:rsidRPr="00684FED">
              <w:rPr>
                <w:b/>
                <w:bCs/>
                <w:sz w:val="24"/>
                <w:szCs w:val="24"/>
              </w:rPr>
              <w:t>27</w:t>
            </w:r>
          </w:p>
        </w:tc>
      </w:tr>
      <w:tr w:rsidR="004C23A0" w:rsidRPr="00684FED" w14:paraId="1FB12DF8" w14:textId="77777777" w:rsidTr="002A43E8">
        <w:tc>
          <w:tcPr>
            <w:tcW w:w="2500" w:type="pct"/>
          </w:tcPr>
          <w:p w14:paraId="67979EC3" w14:textId="77777777" w:rsidR="004C23A0" w:rsidRPr="00684FED" w:rsidRDefault="004C23A0" w:rsidP="002A43E8">
            <w:pPr>
              <w:rPr>
                <w:b/>
                <w:bCs/>
                <w:sz w:val="24"/>
                <w:szCs w:val="24"/>
              </w:rPr>
            </w:pPr>
            <w:r>
              <w:rPr>
                <w:b/>
                <w:bCs/>
                <w:sz w:val="24"/>
                <w:szCs w:val="24"/>
              </w:rPr>
              <w:t>8</w:t>
            </w:r>
            <w:r w:rsidRPr="00684FED">
              <w:rPr>
                <w:b/>
                <w:bCs/>
                <w:sz w:val="24"/>
                <w:szCs w:val="24"/>
              </w:rPr>
              <w:t>. Grow the number of technology-related jobs to 1.2 million by 2030</w:t>
            </w:r>
          </w:p>
          <w:p w14:paraId="3EB292E7" w14:textId="77777777" w:rsidR="004C23A0" w:rsidRPr="00684FED" w:rsidRDefault="004C23A0" w:rsidP="002A43E8">
            <w:pPr>
              <w:rPr>
                <w:sz w:val="24"/>
                <w:szCs w:val="24"/>
              </w:rPr>
            </w:pPr>
          </w:p>
          <w:p w14:paraId="63BA8F9E" w14:textId="77777777" w:rsidR="004C23A0" w:rsidRPr="00684FED" w:rsidRDefault="004C23A0" w:rsidP="002A43E8">
            <w:r w:rsidRPr="00684FED">
              <w:rPr>
                <w:i/>
                <w:iCs/>
                <w:sz w:val="24"/>
                <w:szCs w:val="24"/>
              </w:rPr>
              <w:t>Effectiveness</w:t>
            </w:r>
          </w:p>
        </w:tc>
        <w:tc>
          <w:tcPr>
            <w:tcW w:w="2500" w:type="pct"/>
          </w:tcPr>
          <w:p w14:paraId="0724893A" w14:textId="77777777" w:rsidR="004C23A0" w:rsidRPr="00684FED" w:rsidRDefault="004C23A0" w:rsidP="002A43E8">
            <w:r w:rsidRPr="00684FED">
              <w:rPr>
                <w:b/>
                <w:bCs/>
                <w:color w:val="000000" w:themeColor="text1"/>
                <w:sz w:val="24"/>
                <w:szCs w:val="24"/>
              </w:rPr>
              <w:t>Year-on-year increase</w:t>
            </w:r>
          </w:p>
        </w:tc>
      </w:tr>
      <w:tr w:rsidR="004C23A0" w:rsidRPr="00684FED" w14:paraId="664030C3" w14:textId="77777777" w:rsidTr="002A43E8">
        <w:tc>
          <w:tcPr>
            <w:tcW w:w="5000" w:type="pct"/>
            <w:gridSpan w:val="2"/>
          </w:tcPr>
          <w:p w14:paraId="18667FE6" w14:textId="63187F3F" w:rsidR="00CC516F" w:rsidRDefault="004C23A0" w:rsidP="002A43E8">
            <w:r w:rsidRPr="00684FED">
              <w:rPr>
                <w:b/>
                <w:bCs/>
              </w:rPr>
              <w:t>Why this matters</w:t>
            </w:r>
          </w:p>
          <w:p w14:paraId="2948EF59" w14:textId="135D1EC6" w:rsidR="004C23A0" w:rsidRPr="004F67B7" w:rsidRDefault="004C23A0" w:rsidP="002A43E8">
            <w:r w:rsidRPr="00684FED">
              <w:t>Australia’s technology and digital capability is vital in supporting Australian businesses’ competitiveness, scale and resilience. The adoption of technology plays a pivotal role in our economy and will continue to drive productivity and improve living standards.</w:t>
            </w:r>
          </w:p>
          <w:p w14:paraId="6E12E74C" w14:textId="2A66975D" w:rsidR="004C23A0" w:rsidRPr="00684FED" w:rsidRDefault="004C23A0" w:rsidP="002A43E8">
            <w:r w:rsidRPr="00684FED">
              <w:t>This</w:t>
            </w:r>
            <w:r>
              <w:t xml:space="preserve"> </w:t>
            </w:r>
            <w:r w:rsidRPr="00684FED">
              <w:t xml:space="preserve">measure enables the department to track the growth of Australia’s direct and indirect technology sectors and to monitor progress towards the </w:t>
            </w:r>
            <w:r w:rsidR="00A41D2A">
              <w:t>g</w:t>
            </w:r>
            <w:r w:rsidRPr="00684FED">
              <w:t>overnment’s target of reaching 1.2 million technology-related jobs by 2030.</w:t>
            </w:r>
          </w:p>
        </w:tc>
      </w:tr>
      <w:tr w:rsidR="004C23A0" w:rsidRPr="00684FED" w14:paraId="396BDFC6" w14:textId="77777777" w:rsidTr="002A43E8">
        <w:tc>
          <w:tcPr>
            <w:tcW w:w="5000" w:type="pct"/>
            <w:gridSpan w:val="2"/>
          </w:tcPr>
          <w:p w14:paraId="0FDB0593" w14:textId="6A35DC75" w:rsidR="00CC516F" w:rsidRDefault="004C23A0" w:rsidP="002A43E8">
            <w:pPr>
              <w:rPr>
                <w:b/>
                <w:bCs/>
              </w:rPr>
            </w:pPr>
            <w:r w:rsidRPr="00684FED">
              <w:rPr>
                <w:b/>
                <w:bCs/>
              </w:rPr>
              <w:t>Data source</w:t>
            </w:r>
          </w:p>
          <w:p w14:paraId="479BA73E" w14:textId="2F4547AA" w:rsidR="004C23A0" w:rsidRPr="004F67B7" w:rsidRDefault="004C23A0" w:rsidP="002A43E8">
            <w:pPr>
              <w:rPr>
                <w:bCs/>
              </w:rPr>
            </w:pPr>
            <w:r w:rsidRPr="00684FED">
              <w:t xml:space="preserve">ABS Labour Force, Australia, </w:t>
            </w:r>
            <w:r w:rsidR="00CF0820">
              <w:t>d</w:t>
            </w:r>
            <w:r w:rsidRPr="00684FED">
              <w:t>etailed dataset</w:t>
            </w:r>
            <w:r>
              <w:t>.</w:t>
            </w:r>
          </w:p>
        </w:tc>
      </w:tr>
      <w:tr w:rsidR="004C23A0" w:rsidRPr="00684FED" w14:paraId="47388CD3" w14:textId="77777777" w:rsidTr="002A43E8">
        <w:tc>
          <w:tcPr>
            <w:tcW w:w="5000" w:type="pct"/>
            <w:gridSpan w:val="2"/>
          </w:tcPr>
          <w:p w14:paraId="6BE6B8DD" w14:textId="5D2366FD" w:rsidR="00CC516F" w:rsidRDefault="004C23A0" w:rsidP="00862478">
            <w:pPr>
              <w:rPr>
                <w:b/>
                <w:bCs/>
              </w:rPr>
            </w:pPr>
            <w:r w:rsidRPr="00684FED">
              <w:rPr>
                <w:b/>
                <w:bCs/>
              </w:rPr>
              <w:t>Methodology</w:t>
            </w:r>
          </w:p>
          <w:p w14:paraId="61319BF2" w14:textId="1BCE215C" w:rsidR="004C23A0" w:rsidRPr="004F67B7" w:rsidRDefault="00CC516F" w:rsidP="00862478">
            <w:r w:rsidRPr="003C02B4">
              <w:rPr>
                <w:bCs/>
              </w:rPr>
              <w:t>T</w:t>
            </w:r>
            <w:r w:rsidR="004C23A0" w:rsidRPr="003C02B4">
              <w:rPr>
                <w:bCs/>
              </w:rPr>
              <w:t>he</w:t>
            </w:r>
            <w:r w:rsidR="004C23A0" w:rsidRPr="00684FED">
              <w:t xml:space="preserve"> calculation of the total number of technology-related jobs is based on the Tech sector taxonomy outlined on page</w:t>
            </w:r>
            <w:r w:rsidR="006240C2">
              <w:t>s</w:t>
            </w:r>
            <w:r w:rsidR="004C23A0" w:rsidRPr="00684FED">
              <w:t xml:space="preserve"> 17</w:t>
            </w:r>
            <w:r w:rsidR="00F335CA">
              <w:t>–</w:t>
            </w:r>
            <w:r w:rsidR="004C23A0" w:rsidRPr="00684FED">
              <w:t xml:space="preserve">18 of the Tech Council of Australia </w:t>
            </w:r>
            <w:r w:rsidR="006240C2">
              <w:t>r</w:t>
            </w:r>
            <w:r w:rsidR="004C23A0" w:rsidRPr="00684FED">
              <w:t xml:space="preserve">eport </w:t>
            </w:r>
            <w:hyperlink r:id="rId21" w:history="1">
              <w:r w:rsidR="006240C2" w:rsidRPr="006240C2">
                <w:rPr>
                  <w:rStyle w:val="Hyperlink"/>
                  <w:i/>
                  <w:iCs/>
                </w:rPr>
                <w:t xml:space="preserve">Australia’s </w:t>
              </w:r>
              <w:r w:rsidR="006240C2">
                <w:rPr>
                  <w:rStyle w:val="Hyperlink"/>
                  <w:i/>
                  <w:iCs/>
                </w:rPr>
                <w:t>t</w:t>
              </w:r>
              <w:r w:rsidR="006240C2" w:rsidRPr="006240C2">
                <w:rPr>
                  <w:rStyle w:val="Hyperlink"/>
                  <w:i/>
                  <w:iCs/>
                </w:rPr>
                <w:t xml:space="preserve">ech </w:t>
              </w:r>
              <w:r w:rsidR="006240C2">
                <w:rPr>
                  <w:rStyle w:val="Hyperlink"/>
                  <w:i/>
                  <w:iCs/>
                </w:rPr>
                <w:t>j</w:t>
              </w:r>
              <w:r w:rsidR="006240C2" w:rsidRPr="006240C2">
                <w:rPr>
                  <w:rStyle w:val="Hyperlink"/>
                  <w:i/>
                  <w:iCs/>
                </w:rPr>
                <w:t xml:space="preserve">obs </w:t>
              </w:r>
              <w:r w:rsidR="006240C2">
                <w:rPr>
                  <w:rStyle w:val="Hyperlink"/>
                  <w:i/>
                  <w:iCs/>
                </w:rPr>
                <w:t>o</w:t>
              </w:r>
              <w:r w:rsidR="006240C2" w:rsidRPr="006240C2">
                <w:rPr>
                  <w:rStyle w:val="Hyperlink"/>
                  <w:i/>
                  <w:iCs/>
                </w:rPr>
                <w:t>pportunity</w:t>
              </w:r>
            </w:hyperlink>
            <w:r w:rsidR="004C23A0">
              <w:t>.</w:t>
            </w:r>
          </w:p>
        </w:tc>
      </w:tr>
      <w:tr w:rsidR="004C23A0" w:rsidRPr="00684FED" w14:paraId="01E73A28" w14:textId="77777777" w:rsidTr="002A43E8">
        <w:tc>
          <w:tcPr>
            <w:tcW w:w="5000" w:type="pct"/>
            <w:gridSpan w:val="2"/>
          </w:tcPr>
          <w:p w14:paraId="194654F0" w14:textId="52BB074E" w:rsidR="00CC516F" w:rsidRDefault="004C23A0" w:rsidP="00862478">
            <w:r w:rsidRPr="00684FED">
              <w:rPr>
                <w:b/>
                <w:bCs/>
              </w:rPr>
              <w:t>Changes from previous year</w:t>
            </w:r>
          </w:p>
          <w:p w14:paraId="3024769D" w14:textId="3A35491D" w:rsidR="004C23A0" w:rsidRPr="00684FED" w:rsidRDefault="00CC516F" w:rsidP="00862478">
            <w:r>
              <w:t>N</w:t>
            </w:r>
            <w:r w:rsidR="004C23A0" w:rsidRPr="00684FED">
              <w:t>o changes from 2022</w:t>
            </w:r>
            <w:r w:rsidR="00F335CA">
              <w:t>–</w:t>
            </w:r>
            <w:r w:rsidR="004C23A0" w:rsidRPr="00684FED">
              <w:t>23</w:t>
            </w:r>
            <w:r w:rsidR="004C23A0">
              <w:t>.</w:t>
            </w:r>
          </w:p>
        </w:tc>
      </w:tr>
    </w:tbl>
    <w:p w14:paraId="55CF48F6" w14:textId="77777777" w:rsidR="004C23A0" w:rsidRPr="00684FED" w:rsidRDefault="004C23A0" w:rsidP="00114BB2">
      <w:pPr>
        <w:spacing w:after="0"/>
      </w:pPr>
    </w:p>
    <w:tbl>
      <w:tblPr>
        <w:tblStyle w:val="TableGrid"/>
        <w:tblW w:w="5000" w:type="pct"/>
        <w:tblLook w:val="04A0" w:firstRow="1" w:lastRow="0" w:firstColumn="1" w:lastColumn="0" w:noHBand="0" w:noVBand="1"/>
      </w:tblPr>
      <w:tblGrid>
        <w:gridCol w:w="5324"/>
        <w:gridCol w:w="5325"/>
      </w:tblGrid>
      <w:tr w:rsidR="006914B7" w:rsidRPr="00684FED" w14:paraId="3839F032" w14:textId="77777777" w:rsidTr="218580CA">
        <w:tc>
          <w:tcPr>
            <w:tcW w:w="2500" w:type="pct"/>
          </w:tcPr>
          <w:bookmarkEnd w:id="127"/>
          <w:p w14:paraId="544426D4" w14:textId="77777777" w:rsidR="007321C6" w:rsidRPr="00684FED" w:rsidRDefault="007321C6">
            <w:r w:rsidRPr="00684FED">
              <w:rPr>
                <w:b/>
                <w:bCs/>
                <w:sz w:val="24"/>
                <w:szCs w:val="24"/>
              </w:rPr>
              <w:t>Performance measure</w:t>
            </w:r>
          </w:p>
        </w:tc>
        <w:tc>
          <w:tcPr>
            <w:tcW w:w="2500" w:type="pct"/>
          </w:tcPr>
          <w:p w14:paraId="5592880D" w14:textId="1CDA7611" w:rsidR="007321C6" w:rsidRPr="00684FED" w:rsidRDefault="007321C6">
            <w:r w:rsidRPr="00684FED">
              <w:rPr>
                <w:b/>
                <w:bCs/>
                <w:sz w:val="24"/>
                <w:szCs w:val="24"/>
              </w:rPr>
              <w:t>Target 2023</w:t>
            </w:r>
            <w:r w:rsidR="00F335CA">
              <w:rPr>
                <w:b/>
                <w:bCs/>
                <w:sz w:val="24"/>
                <w:szCs w:val="24"/>
              </w:rPr>
              <w:t>–</w:t>
            </w:r>
            <w:r w:rsidRPr="00684FED">
              <w:rPr>
                <w:b/>
                <w:bCs/>
                <w:sz w:val="24"/>
                <w:szCs w:val="24"/>
              </w:rPr>
              <w:t>24 to 2026</w:t>
            </w:r>
            <w:r w:rsidR="00F335CA">
              <w:rPr>
                <w:b/>
                <w:bCs/>
                <w:sz w:val="24"/>
                <w:szCs w:val="24"/>
              </w:rPr>
              <w:t>–</w:t>
            </w:r>
            <w:r w:rsidRPr="00684FED">
              <w:rPr>
                <w:b/>
                <w:bCs/>
                <w:sz w:val="24"/>
                <w:szCs w:val="24"/>
              </w:rPr>
              <w:t>27</w:t>
            </w:r>
          </w:p>
        </w:tc>
      </w:tr>
      <w:tr w:rsidR="006914B7" w:rsidRPr="00684FED" w14:paraId="29D82343" w14:textId="77777777" w:rsidTr="218580CA">
        <w:tc>
          <w:tcPr>
            <w:tcW w:w="2500" w:type="pct"/>
          </w:tcPr>
          <w:p w14:paraId="7C66DA21" w14:textId="005A0C07" w:rsidR="007321C6" w:rsidRPr="00684FED" w:rsidRDefault="007321C6" w:rsidP="002A43E8">
            <w:pPr>
              <w:rPr>
                <w:b/>
                <w:bCs/>
                <w:sz w:val="24"/>
                <w:szCs w:val="24"/>
              </w:rPr>
            </w:pPr>
            <w:r w:rsidRPr="00684FED">
              <w:rPr>
                <w:b/>
                <w:bCs/>
                <w:sz w:val="24"/>
                <w:szCs w:val="24"/>
              </w:rPr>
              <w:t>9. Number of businesses establishing research-focused collaborations that are facilitated by portfolio programs</w:t>
            </w:r>
          </w:p>
          <w:p w14:paraId="10CB2D7C" w14:textId="77777777" w:rsidR="007321C6" w:rsidRPr="00684FED" w:rsidRDefault="007321C6" w:rsidP="002A43E8">
            <w:pPr>
              <w:rPr>
                <w:sz w:val="24"/>
                <w:szCs w:val="24"/>
              </w:rPr>
            </w:pPr>
          </w:p>
          <w:p w14:paraId="5D9CAD82" w14:textId="77777777" w:rsidR="007321C6" w:rsidRPr="00684FED" w:rsidRDefault="007321C6">
            <w:r w:rsidRPr="00684FED">
              <w:rPr>
                <w:i/>
                <w:iCs/>
                <w:sz w:val="24"/>
                <w:szCs w:val="24"/>
              </w:rPr>
              <w:t>Effectiveness</w:t>
            </w:r>
          </w:p>
        </w:tc>
        <w:tc>
          <w:tcPr>
            <w:tcW w:w="2500" w:type="pct"/>
          </w:tcPr>
          <w:p w14:paraId="5EB94EA8" w14:textId="39FE4600" w:rsidR="007321C6" w:rsidRPr="00684FED" w:rsidRDefault="007321C6">
            <w:r w:rsidRPr="00684FED">
              <w:rPr>
                <w:b/>
                <w:bCs/>
                <w:color w:val="000000" w:themeColor="text1"/>
                <w:sz w:val="24"/>
                <w:szCs w:val="24"/>
              </w:rPr>
              <w:t>Maintain the number of businesses collaborating year on year</w:t>
            </w:r>
          </w:p>
        </w:tc>
      </w:tr>
      <w:tr w:rsidR="007321C6" w:rsidRPr="00684FED" w14:paraId="0225A750" w14:textId="77777777" w:rsidTr="005C019C">
        <w:tc>
          <w:tcPr>
            <w:tcW w:w="5000" w:type="pct"/>
            <w:gridSpan w:val="2"/>
          </w:tcPr>
          <w:p w14:paraId="00048C80" w14:textId="6FBBBD9B" w:rsidR="00CC516F" w:rsidRDefault="007321C6" w:rsidP="00862478">
            <w:r w:rsidRPr="00684FED">
              <w:rPr>
                <w:b/>
                <w:bCs/>
              </w:rPr>
              <w:t>Why this matters</w:t>
            </w:r>
          </w:p>
          <w:p w14:paraId="32F1D283" w14:textId="498EC6D1" w:rsidR="007321C6" w:rsidRPr="00684FED" w:rsidRDefault="00CC516F" w:rsidP="00862478">
            <w:r>
              <w:t>B</w:t>
            </w:r>
            <w:r w:rsidR="007321C6" w:rsidRPr="00684FED">
              <w:t>ridging science and industry through business</w:t>
            </w:r>
            <w:r w:rsidR="007321C6" w:rsidRPr="00684FED">
              <w:rPr>
                <w:rFonts w:ascii="Cambria Math" w:hAnsi="Cambria Math" w:cs="Cambria Math"/>
              </w:rPr>
              <w:t>‑</w:t>
            </w:r>
            <w:r w:rsidR="007321C6" w:rsidRPr="00684FED">
              <w:t xml:space="preserve">research collaboration is essential to help Australia solve problems and bring new technologies, products and services to the market. To drive this collaborative culture, the department runs </w:t>
            </w:r>
            <w:r w:rsidR="00396D56">
              <w:t>several</w:t>
            </w:r>
            <w:r w:rsidR="007321C6" w:rsidRPr="00684FED">
              <w:t xml:space="preserve"> initiatives to support business</w:t>
            </w:r>
            <w:r w:rsidR="00396D56" w:rsidRPr="00396D56">
              <w:rPr>
                <w:rFonts w:ascii="Cambria Math" w:hAnsi="Cambria Math" w:cs="Cambria Math"/>
              </w:rPr>
              <w:t>–</w:t>
            </w:r>
            <w:r w:rsidR="007321C6" w:rsidRPr="00684FED">
              <w:t xml:space="preserve">research collaborations. This measure will drive accountability to ensure grants awarded develop </w:t>
            </w:r>
            <w:r w:rsidR="00396D56" w:rsidRPr="00684FED">
              <w:t>research</w:t>
            </w:r>
            <w:r w:rsidR="00396D56" w:rsidRPr="00396D56">
              <w:rPr>
                <w:rFonts w:ascii="Cambria Math" w:hAnsi="Cambria Math" w:cs="Cambria Math"/>
              </w:rPr>
              <w:t>–</w:t>
            </w:r>
            <w:r w:rsidR="00396D56" w:rsidRPr="00684FED">
              <w:t xml:space="preserve">focused </w:t>
            </w:r>
            <w:r w:rsidR="007321C6" w:rsidRPr="00684FED">
              <w:t>collaborations.</w:t>
            </w:r>
          </w:p>
        </w:tc>
      </w:tr>
      <w:tr w:rsidR="007321C6" w:rsidRPr="00684FED" w14:paraId="16FC2C3E" w14:textId="77777777" w:rsidTr="005C019C">
        <w:tc>
          <w:tcPr>
            <w:tcW w:w="5000" w:type="pct"/>
            <w:gridSpan w:val="2"/>
          </w:tcPr>
          <w:p w14:paraId="6E690104" w14:textId="2DA283B0" w:rsidR="003720C4" w:rsidRDefault="007321C6" w:rsidP="218580CA">
            <w:pPr>
              <w:rPr>
                <w:b/>
                <w:bCs/>
              </w:rPr>
            </w:pPr>
            <w:r w:rsidRPr="00684FED">
              <w:rPr>
                <w:b/>
                <w:bCs/>
              </w:rPr>
              <w:t>Data source</w:t>
            </w:r>
          </w:p>
          <w:p w14:paraId="30BE7E33" w14:textId="7AE959A2" w:rsidR="007321C6" w:rsidRPr="00684FED" w:rsidRDefault="003720C4" w:rsidP="218580CA">
            <w:r w:rsidRPr="006E0CA7">
              <w:rPr>
                <w:rFonts w:asciiTheme="majorHAnsi" w:hAnsiTheme="majorHAnsi" w:cstheme="majorBidi"/>
              </w:rPr>
              <w:t>T</w:t>
            </w:r>
            <w:r w:rsidR="0037212B" w:rsidRPr="005D5614">
              <w:rPr>
                <w:rFonts w:asciiTheme="majorHAnsi" w:hAnsiTheme="majorHAnsi" w:cstheme="majorBidi"/>
              </w:rPr>
              <w:t>he department’s internally maintained Business Grants Management System and other records held by the department</w:t>
            </w:r>
            <w:r w:rsidR="0037212B" w:rsidRPr="0037212B">
              <w:rPr>
                <w:rFonts w:asciiTheme="majorHAnsi" w:hAnsiTheme="majorHAnsi" w:cstheme="majorBidi"/>
                <w:i/>
                <w:iCs/>
              </w:rPr>
              <w:t>.</w:t>
            </w:r>
          </w:p>
        </w:tc>
      </w:tr>
      <w:tr w:rsidR="007321C6" w:rsidRPr="00684FED" w14:paraId="2C60203B" w14:textId="77777777" w:rsidTr="005C019C">
        <w:tc>
          <w:tcPr>
            <w:tcW w:w="5000" w:type="pct"/>
            <w:gridSpan w:val="2"/>
          </w:tcPr>
          <w:p w14:paraId="1EB1017D" w14:textId="75F62375" w:rsidR="00CC516F" w:rsidRDefault="007321C6" w:rsidP="218580CA">
            <w:pPr>
              <w:rPr>
                <w:b/>
                <w:bCs/>
              </w:rPr>
            </w:pPr>
            <w:r w:rsidRPr="00684FED">
              <w:rPr>
                <w:b/>
                <w:bCs/>
              </w:rPr>
              <w:t>Methodology</w:t>
            </w:r>
            <w:bookmarkStart w:id="128" w:name="_Hlk139445955"/>
          </w:p>
          <w:p w14:paraId="183B0CA0" w14:textId="0792C931" w:rsidR="007321C6" w:rsidRPr="00684FED" w:rsidRDefault="00CC516F" w:rsidP="218580CA">
            <w:pPr>
              <w:rPr>
                <w:bCs/>
              </w:rPr>
            </w:pPr>
            <w:r w:rsidRPr="00CC516F">
              <w:rPr>
                <w:bCs/>
              </w:rPr>
              <w:t>T</w:t>
            </w:r>
            <w:r w:rsidR="007321C6" w:rsidRPr="00CC516F">
              <w:rPr>
                <w:bCs/>
              </w:rPr>
              <w:t xml:space="preserve">he result is calculated by taking the sum of all project partners across the </w:t>
            </w:r>
            <w:r w:rsidR="0037212B" w:rsidRPr="00CC516F">
              <w:rPr>
                <w:bCs/>
              </w:rPr>
              <w:t>relevant grant funding programs delivered</w:t>
            </w:r>
            <w:r w:rsidR="0037212B" w:rsidRPr="005D5614">
              <w:t xml:space="preserve"> by the department</w:t>
            </w:r>
            <w:bookmarkEnd w:id="128"/>
            <w:r w:rsidR="0037212B" w:rsidRPr="005D5614">
              <w:t>.</w:t>
            </w:r>
          </w:p>
        </w:tc>
      </w:tr>
      <w:tr w:rsidR="007321C6" w:rsidRPr="00684FED" w14:paraId="5749B3C4" w14:textId="77777777" w:rsidTr="005C019C">
        <w:tc>
          <w:tcPr>
            <w:tcW w:w="5000" w:type="pct"/>
            <w:gridSpan w:val="2"/>
          </w:tcPr>
          <w:p w14:paraId="3413550B" w14:textId="614CF11B" w:rsidR="00CC516F" w:rsidRDefault="007321C6" w:rsidP="218580CA">
            <w:r w:rsidRPr="00684FED">
              <w:rPr>
                <w:b/>
                <w:bCs/>
              </w:rPr>
              <w:t>Changes from previous year</w:t>
            </w:r>
          </w:p>
          <w:p w14:paraId="7EC1438F" w14:textId="64B247BB" w:rsidR="007321C6" w:rsidRPr="00684FED" w:rsidRDefault="00CC516F" w:rsidP="218580CA">
            <w:r>
              <w:t>C</w:t>
            </w:r>
            <w:r w:rsidR="00167357" w:rsidRPr="00684FED">
              <w:t>hanges to the underlying programs that contribute to the performance measure.</w:t>
            </w:r>
          </w:p>
        </w:tc>
      </w:tr>
    </w:tbl>
    <w:p w14:paraId="63A6A235" w14:textId="58BF3FE5" w:rsidR="004409F8" w:rsidRDefault="004409F8" w:rsidP="00114BB2">
      <w:pPr>
        <w:spacing w:after="0"/>
        <w:rPr>
          <w:rFonts w:asciiTheme="majorHAnsi" w:hAnsiTheme="majorHAnsi" w:cstheme="majorBidi"/>
        </w:rPr>
      </w:pPr>
    </w:p>
    <w:p w14:paraId="3C03179F" w14:textId="77777777" w:rsidR="004409F8" w:rsidRDefault="004409F8">
      <w:pPr>
        <w:rPr>
          <w:rFonts w:asciiTheme="majorHAnsi" w:hAnsiTheme="majorHAnsi" w:cstheme="majorBidi"/>
        </w:rPr>
      </w:pPr>
      <w:r>
        <w:rPr>
          <w:rFonts w:asciiTheme="majorHAnsi" w:hAnsiTheme="majorHAnsi" w:cstheme="majorBidi"/>
        </w:rPr>
        <w:br w:type="page"/>
      </w:r>
    </w:p>
    <w:tbl>
      <w:tblPr>
        <w:tblStyle w:val="TableGrid"/>
        <w:tblW w:w="5000" w:type="pct"/>
        <w:tblLook w:val="04A0" w:firstRow="1" w:lastRow="0" w:firstColumn="1" w:lastColumn="0" w:noHBand="0" w:noVBand="1"/>
      </w:tblPr>
      <w:tblGrid>
        <w:gridCol w:w="5324"/>
        <w:gridCol w:w="5325"/>
      </w:tblGrid>
      <w:tr w:rsidR="00D80A11" w:rsidRPr="00684FED" w14:paraId="6C1966F4" w14:textId="77777777" w:rsidTr="218580CA">
        <w:tc>
          <w:tcPr>
            <w:tcW w:w="2500" w:type="pct"/>
          </w:tcPr>
          <w:p w14:paraId="0AA9BBCD" w14:textId="77777777" w:rsidR="0080355E" w:rsidRPr="00684FED" w:rsidRDefault="0080355E">
            <w:pPr>
              <w:rPr>
                <w:b/>
                <w:bCs/>
                <w:sz w:val="24"/>
                <w:szCs w:val="24"/>
              </w:rPr>
            </w:pPr>
            <w:r w:rsidRPr="00684FED">
              <w:rPr>
                <w:b/>
                <w:bCs/>
                <w:sz w:val="24"/>
                <w:szCs w:val="24"/>
              </w:rPr>
              <w:t>Performance measure</w:t>
            </w:r>
          </w:p>
        </w:tc>
        <w:tc>
          <w:tcPr>
            <w:tcW w:w="2500" w:type="pct"/>
          </w:tcPr>
          <w:p w14:paraId="2C965435" w14:textId="6CA0D263" w:rsidR="0080355E" w:rsidRPr="00684FED" w:rsidRDefault="0080355E">
            <w:pPr>
              <w:rPr>
                <w:b/>
                <w:bCs/>
              </w:rPr>
            </w:pPr>
            <w:r w:rsidRPr="00684FED">
              <w:rPr>
                <w:b/>
                <w:bCs/>
                <w:sz w:val="24"/>
                <w:szCs w:val="24"/>
              </w:rPr>
              <w:t>Target 2023</w:t>
            </w:r>
            <w:r w:rsidR="00F335CA">
              <w:rPr>
                <w:b/>
                <w:bCs/>
                <w:sz w:val="24"/>
                <w:szCs w:val="24"/>
              </w:rPr>
              <w:t>–</w:t>
            </w:r>
            <w:r w:rsidRPr="00684FED">
              <w:rPr>
                <w:b/>
                <w:bCs/>
                <w:sz w:val="24"/>
                <w:szCs w:val="24"/>
              </w:rPr>
              <w:t>24 to 2026</w:t>
            </w:r>
            <w:r w:rsidR="00F335CA">
              <w:rPr>
                <w:b/>
                <w:bCs/>
                <w:sz w:val="24"/>
                <w:szCs w:val="24"/>
              </w:rPr>
              <w:t>–</w:t>
            </w:r>
            <w:r w:rsidRPr="00684FED">
              <w:rPr>
                <w:b/>
                <w:bCs/>
                <w:sz w:val="24"/>
                <w:szCs w:val="24"/>
              </w:rPr>
              <w:t>27</w:t>
            </w:r>
          </w:p>
        </w:tc>
      </w:tr>
      <w:tr w:rsidR="00D80A11" w:rsidRPr="00684FED" w14:paraId="4DAC1742" w14:textId="77777777" w:rsidTr="218580CA">
        <w:tc>
          <w:tcPr>
            <w:tcW w:w="2500" w:type="pct"/>
          </w:tcPr>
          <w:p w14:paraId="2E932282" w14:textId="4BC30235" w:rsidR="0080355E" w:rsidRPr="00684FED" w:rsidRDefault="0080355E" w:rsidP="002A43E8">
            <w:pPr>
              <w:rPr>
                <w:b/>
                <w:bCs/>
                <w:sz w:val="24"/>
                <w:szCs w:val="24"/>
              </w:rPr>
            </w:pPr>
            <w:r w:rsidRPr="00684FED">
              <w:rPr>
                <w:b/>
                <w:bCs/>
                <w:sz w:val="24"/>
                <w:szCs w:val="24"/>
              </w:rPr>
              <w:t>10. Percentage of Questacon’s national STEM events reaching lower socio-economic, regional and remote communities</w:t>
            </w:r>
          </w:p>
          <w:p w14:paraId="5D9FA819" w14:textId="77777777" w:rsidR="0080355E" w:rsidRPr="00684FED" w:rsidRDefault="0080355E" w:rsidP="002A43E8">
            <w:pPr>
              <w:rPr>
                <w:sz w:val="24"/>
                <w:szCs w:val="24"/>
              </w:rPr>
            </w:pPr>
          </w:p>
          <w:p w14:paraId="51009CE0" w14:textId="156A6489" w:rsidR="0080355E" w:rsidRPr="000F7843" w:rsidRDefault="00F33548">
            <w:pPr>
              <w:rPr>
                <w:i/>
                <w:sz w:val="24"/>
                <w:szCs w:val="24"/>
              </w:rPr>
            </w:pPr>
            <w:r>
              <w:rPr>
                <w:i/>
                <w:iCs/>
                <w:sz w:val="24"/>
                <w:szCs w:val="24"/>
              </w:rPr>
              <w:t>Effectiveness</w:t>
            </w:r>
          </w:p>
        </w:tc>
        <w:tc>
          <w:tcPr>
            <w:tcW w:w="2500" w:type="pct"/>
          </w:tcPr>
          <w:p w14:paraId="48EA3F52" w14:textId="77777777" w:rsidR="00212066" w:rsidRPr="00684FED" w:rsidRDefault="0080355E">
            <w:pPr>
              <w:rPr>
                <w:b/>
                <w:bCs/>
                <w:color w:val="000000" w:themeColor="text1"/>
                <w:sz w:val="24"/>
                <w:szCs w:val="24"/>
              </w:rPr>
            </w:pPr>
            <w:r w:rsidRPr="00684FED">
              <w:rPr>
                <w:b/>
                <w:bCs/>
                <w:color w:val="000000" w:themeColor="text1"/>
                <w:sz w:val="24"/>
                <w:szCs w:val="24"/>
              </w:rPr>
              <w:t>Percentage of Questacon’s national STEM events reaching</w:t>
            </w:r>
            <w:r w:rsidR="00212066" w:rsidRPr="00684FED">
              <w:rPr>
                <w:b/>
                <w:bCs/>
                <w:color w:val="000000" w:themeColor="text1"/>
                <w:sz w:val="24"/>
                <w:szCs w:val="24"/>
              </w:rPr>
              <w:t>:</w:t>
            </w:r>
          </w:p>
          <w:p w14:paraId="1F8F1664" w14:textId="39C38EBC" w:rsidR="0080355E" w:rsidRPr="00684FED" w:rsidRDefault="0080355E">
            <w:pPr>
              <w:rPr>
                <w:b/>
                <w:bCs/>
                <w:color w:val="000000" w:themeColor="text1"/>
                <w:sz w:val="24"/>
                <w:szCs w:val="24"/>
              </w:rPr>
            </w:pPr>
            <w:r w:rsidRPr="00684FED">
              <w:rPr>
                <w:b/>
                <w:bCs/>
                <w:color w:val="000000" w:themeColor="text1"/>
                <w:sz w:val="24"/>
                <w:szCs w:val="24"/>
              </w:rPr>
              <w:t>lower socio-economic communities – Annual Target 50%</w:t>
            </w:r>
            <w:r w:rsidR="00212066" w:rsidRPr="00684FED">
              <w:rPr>
                <w:b/>
                <w:bCs/>
                <w:color w:val="000000" w:themeColor="text1"/>
                <w:sz w:val="24"/>
                <w:szCs w:val="24"/>
              </w:rPr>
              <w:t>; and</w:t>
            </w:r>
          </w:p>
          <w:p w14:paraId="4F5ACC13" w14:textId="1E479FE2" w:rsidR="0080355E" w:rsidRPr="00684FED" w:rsidRDefault="0080355E">
            <w:pPr>
              <w:rPr>
                <w:b/>
                <w:bCs/>
                <w:sz w:val="24"/>
                <w:szCs w:val="24"/>
              </w:rPr>
            </w:pPr>
            <w:r w:rsidRPr="00684FED">
              <w:rPr>
                <w:b/>
                <w:bCs/>
                <w:color w:val="000000" w:themeColor="text1"/>
                <w:sz w:val="24"/>
                <w:szCs w:val="24"/>
              </w:rPr>
              <w:t>regional and remote communities – Annual Target 60%</w:t>
            </w:r>
          </w:p>
        </w:tc>
      </w:tr>
      <w:tr w:rsidR="0080355E" w:rsidRPr="00684FED" w14:paraId="49AA9FC3" w14:textId="77777777" w:rsidTr="005C019C">
        <w:tc>
          <w:tcPr>
            <w:tcW w:w="5000" w:type="pct"/>
            <w:gridSpan w:val="2"/>
          </w:tcPr>
          <w:p w14:paraId="3843DFEB" w14:textId="0AC21BFD" w:rsidR="003720C4" w:rsidRDefault="0080355E" w:rsidP="00862478">
            <w:r w:rsidRPr="00684FED">
              <w:rPr>
                <w:b/>
                <w:bCs/>
              </w:rPr>
              <w:t>Why this matters</w:t>
            </w:r>
            <w:bookmarkStart w:id="129" w:name="_Hlk139551288"/>
          </w:p>
          <w:p w14:paraId="56FD72F8" w14:textId="64555251" w:rsidR="00F33548" w:rsidRDefault="00F33548" w:rsidP="00862478">
            <w:pPr>
              <w:rPr>
                <w:color w:val="000000"/>
              </w:rPr>
            </w:pPr>
            <w:r>
              <w:rPr>
                <w:color w:val="000000"/>
              </w:rPr>
              <w:t xml:space="preserve">Questacon, Australia’s National Science and Technology Centre, attracts up to half a million visitors each year from the public and schools to enjoy exhibits, shows and inspirational learning experiences at our </w:t>
            </w:r>
            <w:r w:rsidR="002C2057">
              <w:rPr>
                <w:color w:val="000000"/>
              </w:rPr>
              <w:t>c</w:t>
            </w:r>
            <w:r>
              <w:rPr>
                <w:color w:val="000000"/>
              </w:rPr>
              <w:t>entre in Canberra.</w:t>
            </w:r>
          </w:p>
          <w:p w14:paraId="5430829D" w14:textId="77777777" w:rsidR="00F33548" w:rsidRDefault="00F33548" w:rsidP="00F33548">
            <w:pPr>
              <w:spacing w:before="60" w:after="120"/>
              <w:ind w:left="7" w:hanging="7"/>
              <w:rPr>
                <w:color w:val="000000"/>
              </w:rPr>
            </w:pPr>
            <w:r>
              <w:rPr>
                <w:color w:val="000000"/>
              </w:rPr>
              <w:t xml:space="preserve">Questacon aims to make visible the value of science and technology to everyone’s lives, the importance of developing STEM skills, and the future STEM careers can offer. We are committed to overcoming social disadvantage and geographic isolation as a barrier to engagement with science, technology and innovation.  </w:t>
            </w:r>
          </w:p>
          <w:p w14:paraId="1D57BAEC" w14:textId="5C9AA769" w:rsidR="0080355E" w:rsidRPr="00F33548" w:rsidRDefault="00F33548" w:rsidP="00D25DD6">
            <w:pPr>
              <w:spacing w:before="60" w:after="120"/>
              <w:ind w:left="7" w:hanging="7"/>
              <w:rPr>
                <w:color w:val="000000"/>
              </w:rPr>
            </w:pPr>
            <w:r>
              <w:rPr>
                <w:color w:val="000000"/>
              </w:rPr>
              <w:t>Our national touring and virtual programs are a critical part of Questacon enabling Australians to engage with science, technology, and innovation wherever they are by reaching schools and communities that would otherwise have limited access to a Questacon experience. These programs</w:t>
            </w:r>
            <w:r w:rsidR="0080355E">
              <w:rPr>
                <w:color w:val="000000"/>
              </w:rPr>
              <w:t xml:space="preserve"> are free to schools, reducing </w:t>
            </w:r>
            <w:r>
              <w:rPr>
                <w:color w:val="000000"/>
              </w:rPr>
              <w:t xml:space="preserve">cost </w:t>
            </w:r>
            <w:r w:rsidR="0080355E">
              <w:rPr>
                <w:color w:val="000000"/>
              </w:rPr>
              <w:t>barriers to participation.</w:t>
            </w:r>
            <w:bookmarkEnd w:id="129"/>
          </w:p>
        </w:tc>
      </w:tr>
      <w:tr w:rsidR="0080355E" w:rsidRPr="00684FED" w14:paraId="4D2794CF" w14:textId="77777777" w:rsidTr="005C019C">
        <w:tc>
          <w:tcPr>
            <w:tcW w:w="5000" w:type="pct"/>
            <w:gridSpan w:val="2"/>
          </w:tcPr>
          <w:p w14:paraId="31BFE63D" w14:textId="72F213E2" w:rsidR="0080355E" w:rsidRPr="00B34FEA" w:rsidRDefault="0080355E" w:rsidP="002A43E8">
            <w:pPr>
              <w:spacing w:after="120"/>
              <w:rPr>
                <w:b/>
                <w:bCs/>
              </w:rPr>
            </w:pPr>
            <w:r w:rsidRPr="00684FED">
              <w:rPr>
                <w:b/>
                <w:bCs/>
              </w:rPr>
              <w:t>Data source</w:t>
            </w:r>
            <w:r w:rsidR="00B34FEA">
              <w:rPr>
                <w:b/>
                <w:bCs/>
              </w:rPr>
              <w:br/>
            </w:r>
            <w:r w:rsidR="00B34FEA" w:rsidRPr="00B34FEA">
              <w:t>T</w:t>
            </w:r>
            <w:r w:rsidRPr="00684FED">
              <w:t>he primary data source is attendance data recorded by Questacon in a custom database (Data Core) for national activities a</w:t>
            </w:r>
            <w:r w:rsidRPr="007F0DBC">
              <w:t xml:space="preserve">s defined </w:t>
            </w:r>
            <w:r w:rsidR="008D54DA" w:rsidRPr="007F0DBC">
              <w:t xml:space="preserve">by </w:t>
            </w:r>
            <w:r w:rsidR="00212066" w:rsidRPr="007F0DBC">
              <w:t>r</w:t>
            </w:r>
            <w:r w:rsidRPr="007F0DBC">
              <w:t xml:space="preserve">elevant </w:t>
            </w:r>
            <w:r w:rsidR="00212066" w:rsidRPr="007F0DBC">
              <w:t>d</w:t>
            </w:r>
            <w:r w:rsidRPr="007F0DBC">
              <w:t xml:space="preserve">epartmental </w:t>
            </w:r>
            <w:r w:rsidR="00212066" w:rsidRPr="007F0DBC">
              <w:t>p</w:t>
            </w:r>
            <w:r w:rsidRPr="007F0DBC">
              <w:t xml:space="preserve">rograms or </w:t>
            </w:r>
            <w:r w:rsidR="00212066" w:rsidRPr="007F0DBC">
              <w:t>i</w:t>
            </w:r>
            <w:r w:rsidRPr="007F0DBC">
              <w:t>nitiatives.</w:t>
            </w:r>
          </w:p>
          <w:p w14:paraId="0BD03255" w14:textId="7049B60E" w:rsidR="0080355E" w:rsidRPr="00684FED" w:rsidRDefault="009E1498" w:rsidP="002A43E8">
            <w:r w:rsidRPr="007F0DBC">
              <w:t>The Australian Curriculum, Assessment and Report</w:t>
            </w:r>
            <w:r w:rsidR="008D54DA" w:rsidRPr="007F0DBC">
              <w:t>ing</w:t>
            </w:r>
            <w:r w:rsidRPr="007F0DBC">
              <w:t xml:space="preserve"> Authority (</w:t>
            </w:r>
            <w:r w:rsidR="0080355E" w:rsidRPr="007F0DBC">
              <w:t>ACARA</w:t>
            </w:r>
            <w:r w:rsidRPr="007F0DBC">
              <w:t>)</w:t>
            </w:r>
            <w:r w:rsidR="0080355E" w:rsidRPr="007F0DBC">
              <w:t xml:space="preserve"> My Schools </w:t>
            </w:r>
            <w:r w:rsidR="007F0DBC" w:rsidRPr="007F0DBC">
              <w:t xml:space="preserve">and </w:t>
            </w:r>
            <w:r w:rsidR="008D54DA" w:rsidRPr="007F0DBC">
              <w:t>the Australian Bureau of Statistics (ABS)</w:t>
            </w:r>
            <w:r w:rsidR="0080355E" w:rsidRPr="007F0DBC">
              <w:t xml:space="preserve"> remoteness data </w:t>
            </w:r>
            <w:r w:rsidR="007F0DBC" w:rsidRPr="007F0DBC">
              <w:t>are</w:t>
            </w:r>
            <w:r w:rsidR="0080355E" w:rsidRPr="00684FED">
              <w:t xml:space="preserve"> linked to Data Core using the ACARA School ID </w:t>
            </w:r>
            <w:r w:rsidR="00212066" w:rsidRPr="00684FED">
              <w:t>for</w:t>
            </w:r>
            <w:r w:rsidR="0080355E" w:rsidRPr="00684FED">
              <w:t xml:space="preserve"> schools and event venue postcode in the case of community activities.</w:t>
            </w:r>
          </w:p>
        </w:tc>
      </w:tr>
      <w:tr w:rsidR="0080355E" w:rsidRPr="00684FED" w14:paraId="6B4E2006" w14:textId="77777777" w:rsidTr="005C019C">
        <w:tc>
          <w:tcPr>
            <w:tcW w:w="5000" w:type="pct"/>
            <w:gridSpan w:val="2"/>
          </w:tcPr>
          <w:p w14:paraId="0284B04E" w14:textId="7033A68C" w:rsidR="0080355E" w:rsidRPr="00684FED" w:rsidRDefault="0080355E" w:rsidP="002A43E8">
            <w:pPr>
              <w:rPr>
                <w:b/>
                <w:bCs/>
              </w:rPr>
            </w:pPr>
            <w:r w:rsidRPr="00684FED">
              <w:rPr>
                <w:b/>
                <w:bCs/>
              </w:rPr>
              <w:t>Methodology</w:t>
            </w:r>
          </w:p>
          <w:p w14:paraId="762F4290" w14:textId="0F266252" w:rsidR="00F33548" w:rsidRDefault="00F33548" w:rsidP="00F33548">
            <w:pPr>
              <w:pStyle w:val="ListParagraph"/>
              <w:numPr>
                <w:ilvl w:val="0"/>
                <w:numId w:val="30"/>
              </w:numPr>
              <w:spacing w:after="120" w:line="256" w:lineRule="auto"/>
            </w:pPr>
            <w:r>
              <w:t xml:space="preserve">Lower socio-economic communities are calculated by the percentage of schools engaged with an Index of Community Socio-Educational Advantage value of </w:t>
            </w:r>
            <w:r w:rsidR="00855FF1">
              <w:t>&lt;</w:t>
            </w:r>
            <w:r>
              <w:t>1000 and the percentage of communities engaged in postcodes with a Socio-Economic Indexes for Areas decile value of &lt;6.</w:t>
            </w:r>
          </w:p>
          <w:p w14:paraId="1811509C" w14:textId="6CE10974" w:rsidR="0080355E" w:rsidRPr="00684FED" w:rsidRDefault="00F33548" w:rsidP="00D25DD6">
            <w:pPr>
              <w:pStyle w:val="ListParagraph"/>
              <w:numPr>
                <w:ilvl w:val="0"/>
                <w:numId w:val="30"/>
              </w:numPr>
              <w:spacing w:after="120" w:line="256" w:lineRule="auto"/>
            </w:pPr>
            <w:r>
              <w:t>Regional and remote communities are calculated by the percentage of schools and communities engaged from postcodes defined as inner regional, outer regional, remote or very remote under the ABS Remoteness Structure.</w:t>
            </w:r>
          </w:p>
        </w:tc>
      </w:tr>
      <w:tr w:rsidR="0080355E" w:rsidRPr="00684FED" w14:paraId="4C183CCC" w14:textId="77777777" w:rsidTr="005C019C">
        <w:tc>
          <w:tcPr>
            <w:tcW w:w="5000" w:type="pct"/>
            <w:gridSpan w:val="2"/>
          </w:tcPr>
          <w:p w14:paraId="455C2EA6" w14:textId="03233CE3" w:rsidR="00EC0BD7" w:rsidRDefault="0080355E" w:rsidP="008E74B8">
            <w:pPr>
              <w:rPr>
                <w:b/>
                <w:bCs/>
              </w:rPr>
            </w:pPr>
            <w:r w:rsidRPr="00684FED">
              <w:rPr>
                <w:b/>
                <w:bCs/>
              </w:rPr>
              <w:t>Changes from previous year</w:t>
            </w:r>
            <w:r w:rsidR="003720C4" w:rsidRPr="008E74B8">
              <w:rPr>
                <w:b/>
                <w:bCs/>
              </w:rPr>
              <w:t xml:space="preserve"> </w:t>
            </w:r>
          </w:p>
          <w:p w14:paraId="2F2F7E97" w14:textId="79E3727B" w:rsidR="0080355E" w:rsidRPr="003720C4" w:rsidRDefault="00EC0BD7" w:rsidP="008E74B8">
            <w:pPr>
              <w:rPr>
                <w:b/>
                <w:bCs/>
              </w:rPr>
            </w:pPr>
            <w:r>
              <w:rPr>
                <w:bCs/>
              </w:rPr>
              <w:t>T</w:t>
            </w:r>
            <w:r w:rsidR="00DD241B" w:rsidRPr="008E74B8">
              <w:t>his is a new performance meas</w:t>
            </w:r>
            <w:r w:rsidR="00DD241B" w:rsidRPr="00684FED">
              <w:t xml:space="preserve">ure </w:t>
            </w:r>
            <w:r w:rsidR="00DD241B">
              <w:t>established after publication of the 2022–23 corporate plan</w:t>
            </w:r>
            <w:r w:rsidR="00E33E28">
              <w:rPr>
                <w:rFonts w:asciiTheme="majorHAnsi" w:hAnsiTheme="majorHAnsi" w:cstheme="majorBidi"/>
              </w:rPr>
              <w:t>.</w:t>
            </w:r>
          </w:p>
        </w:tc>
      </w:tr>
    </w:tbl>
    <w:p w14:paraId="48BCFED5" w14:textId="3FF291A3" w:rsidR="005031B6" w:rsidRDefault="005031B6" w:rsidP="00114BB2">
      <w:pPr>
        <w:spacing w:after="0"/>
      </w:pPr>
    </w:p>
    <w:p w14:paraId="57C9E78A" w14:textId="77777777" w:rsidR="005031B6" w:rsidRDefault="005031B6">
      <w:r>
        <w:br w:type="page"/>
      </w:r>
    </w:p>
    <w:tbl>
      <w:tblPr>
        <w:tblStyle w:val="TableGrid"/>
        <w:tblW w:w="5000" w:type="pct"/>
        <w:tblLook w:val="04A0" w:firstRow="1" w:lastRow="0" w:firstColumn="1" w:lastColumn="0" w:noHBand="0" w:noVBand="1"/>
      </w:tblPr>
      <w:tblGrid>
        <w:gridCol w:w="5324"/>
        <w:gridCol w:w="5325"/>
      </w:tblGrid>
      <w:tr w:rsidR="00D80A11" w:rsidRPr="00684FED" w14:paraId="3F984886" w14:textId="77777777" w:rsidTr="218580CA">
        <w:tc>
          <w:tcPr>
            <w:tcW w:w="2500" w:type="pct"/>
          </w:tcPr>
          <w:p w14:paraId="1588FAA9" w14:textId="77777777" w:rsidR="0080355E" w:rsidRPr="00684FED" w:rsidRDefault="0080355E">
            <w:r w:rsidRPr="00684FED">
              <w:rPr>
                <w:b/>
                <w:bCs/>
                <w:sz w:val="24"/>
                <w:szCs w:val="24"/>
              </w:rPr>
              <w:t>Performance measure</w:t>
            </w:r>
          </w:p>
        </w:tc>
        <w:tc>
          <w:tcPr>
            <w:tcW w:w="2500" w:type="pct"/>
          </w:tcPr>
          <w:p w14:paraId="4304F199" w14:textId="4CD82DA5" w:rsidR="0080355E" w:rsidRPr="00684FED" w:rsidRDefault="0080355E">
            <w:r w:rsidRPr="00684FED">
              <w:rPr>
                <w:b/>
                <w:bCs/>
                <w:sz w:val="24"/>
                <w:szCs w:val="24"/>
              </w:rPr>
              <w:t>Target 2023</w:t>
            </w:r>
            <w:r w:rsidR="00F335CA">
              <w:rPr>
                <w:b/>
                <w:bCs/>
                <w:sz w:val="24"/>
                <w:szCs w:val="24"/>
              </w:rPr>
              <w:t>–</w:t>
            </w:r>
            <w:r w:rsidRPr="00684FED">
              <w:rPr>
                <w:b/>
                <w:bCs/>
                <w:sz w:val="24"/>
                <w:szCs w:val="24"/>
              </w:rPr>
              <w:t>24 to 2026</w:t>
            </w:r>
            <w:r w:rsidR="00F335CA">
              <w:rPr>
                <w:b/>
                <w:bCs/>
                <w:sz w:val="24"/>
                <w:szCs w:val="24"/>
              </w:rPr>
              <w:t>–</w:t>
            </w:r>
            <w:r w:rsidRPr="00684FED">
              <w:rPr>
                <w:b/>
                <w:bCs/>
                <w:sz w:val="24"/>
                <w:szCs w:val="24"/>
              </w:rPr>
              <w:t>27</w:t>
            </w:r>
          </w:p>
        </w:tc>
      </w:tr>
      <w:tr w:rsidR="00D80A11" w:rsidRPr="00684FED" w14:paraId="60BEC623" w14:textId="77777777" w:rsidTr="218580CA">
        <w:tc>
          <w:tcPr>
            <w:tcW w:w="2500" w:type="pct"/>
          </w:tcPr>
          <w:p w14:paraId="58E4F6E2" w14:textId="3440D6EF" w:rsidR="0080355E" w:rsidRPr="00684FED" w:rsidRDefault="0080355E" w:rsidP="002A43E8">
            <w:pPr>
              <w:rPr>
                <w:b/>
                <w:bCs/>
                <w:sz w:val="24"/>
                <w:szCs w:val="24"/>
              </w:rPr>
            </w:pPr>
            <w:r w:rsidRPr="00684FED">
              <w:rPr>
                <w:b/>
                <w:bCs/>
                <w:sz w:val="24"/>
                <w:szCs w:val="24"/>
              </w:rPr>
              <w:t xml:space="preserve">11. </w:t>
            </w:r>
            <w:r w:rsidR="00BF2141" w:rsidRPr="00684FED">
              <w:rPr>
                <w:b/>
                <w:bCs/>
                <w:sz w:val="24"/>
                <w:szCs w:val="24"/>
              </w:rPr>
              <w:t>Raising awareness of the importance of</w:t>
            </w:r>
            <w:r w:rsidR="00BC1185" w:rsidRPr="00684FED">
              <w:rPr>
                <w:b/>
                <w:bCs/>
                <w:sz w:val="24"/>
                <w:szCs w:val="24"/>
              </w:rPr>
              <w:t xml:space="preserve"> </w:t>
            </w:r>
            <w:r w:rsidR="00BF2141" w:rsidRPr="00684FED">
              <w:rPr>
                <w:b/>
                <w:bCs/>
                <w:sz w:val="24"/>
                <w:szCs w:val="24"/>
              </w:rPr>
              <w:t>STEM through the delivery of portfolio initiative</w:t>
            </w:r>
          </w:p>
          <w:p w14:paraId="62E012DE" w14:textId="77777777" w:rsidR="0080355E" w:rsidRPr="00684FED" w:rsidRDefault="0080355E" w:rsidP="002A43E8">
            <w:pPr>
              <w:rPr>
                <w:sz w:val="24"/>
                <w:szCs w:val="24"/>
              </w:rPr>
            </w:pPr>
          </w:p>
          <w:p w14:paraId="4940B586" w14:textId="67A95F2C" w:rsidR="0080355E" w:rsidRPr="00684FED" w:rsidRDefault="00BF2141">
            <w:r w:rsidRPr="00684FED">
              <w:rPr>
                <w:i/>
                <w:iCs/>
                <w:sz w:val="24"/>
                <w:szCs w:val="24"/>
              </w:rPr>
              <w:t>Effectiveness</w:t>
            </w:r>
          </w:p>
        </w:tc>
        <w:tc>
          <w:tcPr>
            <w:tcW w:w="2500" w:type="pct"/>
          </w:tcPr>
          <w:p w14:paraId="5280BE94" w14:textId="56DA2022" w:rsidR="0080355E" w:rsidRPr="00684FED" w:rsidRDefault="00BF2141">
            <w:r w:rsidRPr="00684FED">
              <w:rPr>
                <w:b/>
                <w:bCs/>
                <w:sz w:val="24"/>
                <w:szCs w:val="24"/>
              </w:rPr>
              <w:t>Proportion of Australians (parents, educators and young Australians) who consider STEM skills important when considering employment: &gt;87%</w:t>
            </w:r>
          </w:p>
        </w:tc>
      </w:tr>
      <w:tr w:rsidR="0080355E" w:rsidRPr="00684FED" w14:paraId="216B3673" w14:textId="77777777" w:rsidTr="005C019C">
        <w:tc>
          <w:tcPr>
            <w:tcW w:w="5000" w:type="pct"/>
            <w:gridSpan w:val="2"/>
          </w:tcPr>
          <w:p w14:paraId="40F7B153" w14:textId="180418AF" w:rsidR="0080355E" w:rsidRPr="00684FED" w:rsidRDefault="0080355E" w:rsidP="218580CA">
            <w:r w:rsidRPr="00684FED">
              <w:rPr>
                <w:b/>
                <w:bCs/>
              </w:rPr>
              <w:t>Why this matters</w:t>
            </w:r>
          </w:p>
          <w:p w14:paraId="5AF8ADC5" w14:textId="4C418C87" w:rsidR="00BC1185" w:rsidRPr="000F7843" w:rsidRDefault="00BC1185" w:rsidP="000F7843">
            <w:pPr>
              <w:spacing w:before="60" w:after="60"/>
              <w:rPr>
                <w:rFonts w:asciiTheme="majorHAnsi" w:hAnsiTheme="majorHAnsi" w:cstheme="majorBidi"/>
              </w:rPr>
            </w:pPr>
            <w:r w:rsidRPr="000F7843">
              <w:rPr>
                <w:rFonts w:asciiTheme="majorHAnsi" w:hAnsiTheme="majorHAnsi" w:cstheme="majorBidi"/>
              </w:rPr>
              <w:t xml:space="preserve">Skills in science, technology, engineering and maths (STEM) are important for a thriving scientific and technology-enabled economy </w:t>
            </w:r>
            <w:r w:rsidR="00FE3E24">
              <w:rPr>
                <w:rFonts w:asciiTheme="majorHAnsi" w:hAnsiTheme="majorHAnsi" w:cstheme="majorBidi"/>
              </w:rPr>
              <w:t>and</w:t>
            </w:r>
            <w:r w:rsidRPr="000F7843">
              <w:rPr>
                <w:rFonts w:asciiTheme="majorHAnsi" w:hAnsiTheme="majorHAnsi" w:cstheme="majorBidi"/>
              </w:rPr>
              <w:t xml:space="preserve"> vital in equipping Australians with the skills required to undertake the jobs of the future. The department’s policies and programs support community-wide STEM engagement.</w:t>
            </w:r>
          </w:p>
          <w:p w14:paraId="795A89F3" w14:textId="3567A00F" w:rsidR="0080355E" w:rsidRPr="00684FED" w:rsidRDefault="00BC1185" w:rsidP="218580CA">
            <w:r w:rsidRPr="000F7843">
              <w:rPr>
                <w:rFonts w:asciiTheme="majorHAnsi" w:hAnsiTheme="majorHAnsi" w:cstheme="majorBidi"/>
              </w:rPr>
              <w:t>While the department’s performance is the focus on this measure, there are many factors outside of the department’s control, which contribute to performance against the target.</w:t>
            </w:r>
          </w:p>
        </w:tc>
      </w:tr>
      <w:tr w:rsidR="0080355E" w:rsidRPr="00684FED" w14:paraId="18641B48" w14:textId="77777777" w:rsidTr="005C019C">
        <w:tc>
          <w:tcPr>
            <w:tcW w:w="5000" w:type="pct"/>
            <w:gridSpan w:val="2"/>
          </w:tcPr>
          <w:p w14:paraId="2914A754" w14:textId="31F82730" w:rsidR="0080355E" w:rsidRPr="00684FED" w:rsidRDefault="0080355E" w:rsidP="218580CA">
            <w:pPr>
              <w:spacing w:after="120"/>
            </w:pPr>
            <w:bookmarkStart w:id="130" w:name="_Hlk139628903"/>
            <w:r w:rsidRPr="00684FED">
              <w:rPr>
                <w:b/>
                <w:bCs/>
              </w:rPr>
              <w:t>Data source</w:t>
            </w:r>
            <w:r w:rsidRPr="00684FED">
              <w:br/>
            </w:r>
            <w:r w:rsidR="007B64F6" w:rsidRPr="00684FED">
              <w:t xml:space="preserve">The Youth in STEM </w:t>
            </w:r>
            <w:r w:rsidR="005137B7">
              <w:t>r</w:t>
            </w:r>
            <w:r w:rsidR="007B64F6" w:rsidRPr="00684FED">
              <w:t xml:space="preserve">esearch </w:t>
            </w:r>
            <w:r w:rsidR="005137B7">
              <w:t>r</w:t>
            </w:r>
            <w:r w:rsidR="007B64F6" w:rsidRPr="00684FED">
              <w:t xml:space="preserve">eport and STEM </w:t>
            </w:r>
            <w:r w:rsidR="005137B7">
              <w:t>i</w:t>
            </w:r>
            <w:r w:rsidR="007B64F6" w:rsidRPr="00684FED">
              <w:t xml:space="preserve">nfluencer </w:t>
            </w:r>
            <w:r w:rsidR="005137B7">
              <w:t>r</w:t>
            </w:r>
            <w:r w:rsidR="007B64F6" w:rsidRPr="00684FED">
              <w:t>eport produced by Youth Insight (the research arm of Student Edge) is the primary data source, gathered through a nationwide survey of a representative sample of the target population.</w:t>
            </w:r>
            <w:r w:rsidR="009629FE">
              <w:t xml:space="preserve"> Reports are produced on an alternating biennial basis.</w:t>
            </w:r>
            <w:bookmarkEnd w:id="130"/>
          </w:p>
        </w:tc>
      </w:tr>
      <w:tr w:rsidR="0080355E" w:rsidRPr="00684FED" w14:paraId="65138A17" w14:textId="77777777" w:rsidTr="005C019C">
        <w:tc>
          <w:tcPr>
            <w:tcW w:w="5000" w:type="pct"/>
            <w:gridSpan w:val="2"/>
          </w:tcPr>
          <w:p w14:paraId="537763DC" w14:textId="1E54B032" w:rsidR="0080355E" w:rsidRPr="00684FED" w:rsidRDefault="0080355E" w:rsidP="002A43E8">
            <w:pPr>
              <w:rPr>
                <w:b/>
                <w:bCs/>
              </w:rPr>
            </w:pPr>
            <w:r w:rsidRPr="00684FED">
              <w:rPr>
                <w:b/>
                <w:bCs/>
              </w:rPr>
              <w:t>Methodology</w:t>
            </w:r>
          </w:p>
          <w:p w14:paraId="17DA1046" w14:textId="77777777" w:rsidR="002E58E1" w:rsidRPr="002E58E1" w:rsidRDefault="007B64F6" w:rsidP="00014788">
            <w:pPr>
              <w:spacing w:before="60"/>
            </w:pPr>
            <w:r w:rsidRPr="00684FED">
              <w:t xml:space="preserve">Results for the measure are directly </w:t>
            </w:r>
            <w:r w:rsidRPr="002E58E1">
              <w:t>taken from the</w:t>
            </w:r>
            <w:r w:rsidR="002E58E1" w:rsidRPr="002E58E1">
              <w:t>:</w:t>
            </w:r>
          </w:p>
          <w:p w14:paraId="0CD3A9AC" w14:textId="73FE2B84" w:rsidR="002E58E1" w:rsidRPr="002E58E1" w:rsidRDefault="002E58E1" w:rsidP="00014788">
            <w:pPr>
              <w:pStyle w:val="ListParagraph"/>
              <w:numPr>
                <w:ilvl w:val="0"/>
                <w:numId w:val="34"/>
              </w:numPr>
              <w:spacing w:after="60"/>
              <w:ind w:left="714" w:hanging="357"/>
            </w:pPr>
            <w:r w:rsidRPr="002E58E1">
              <w:rPr>
                <w:i/>
                <w:iCs/>
              </w:rPr>
              <w:t>Youth in STEM research report</w:t>
            </w:r>
            <w:r w:rsidRPr="002E58E1">
              <w:t xml:space="preserve"> </w:t>
            </w:r>
          </w:p>
          <w:p w14:paraId="2F20D6A5" w14:textId="7C6F13E5" w:rsidR="002E58E1" w:rsidRPr="002E58E1" w:rsidRDefault="002E58E1" w:rsidP="002E58E1">
            <w:pPr>
              <w:pStyle w:val="ListParagraph"/>
              <w:numPr>
                <w:ilvl w:val="0"/>
                <w:numId w:val="34"/>
              </w:numPr>
              <w:spacing w:before="60" w:after="60"/>
              <w:rPr>
                <w:i/>
                <w:iCs/>
              </w:rPr>
            </w:pPr>
            <w:r w:rsidRPr="002E58E1">
              <w:rPr>
                <w:i/>
                <w:iCs/>
              </w:rPr>
              <w:t>STEM influencer report – Parents</w:t>
            </w:r>
          </w:p>
          <w:p w14:paraId="1E18B948" w14:textId="5F6240FD" w:rsidR="007B64F6" w:rsidRPr="002E58E1" w:rsidRDefault="002E58E1" w:rsidP="007B64F6">
            <w:pPr>
              <w:pStyle w:val="ListParagraph"/>
              <w:numPr>
                <w:ilvl w:val="0"/>
                <w:numId w:val="34"/>
              </w:numPr>
              <w:spacing w:before="60" w:after="60"/>
              <w:rPr>
                <w:i/>
                <w:iCs/>
              </w:rPr>
            </w:pPr>
            <w:r w:rsidRPr="002E58E1">
              <w:rPr>
                <w:i/>
                <w:iCs/>
              </w:rPr>
              <w:t>STEM influencer report – Teachers and career advisors.</w:t>
            </w:r>
          </w:p>
          <w:p w14:paraId="0E1F6287" w14:textId="6B39B2EF" w:rsidR="0080355E" w:rsidRPr="00684FED" w:rsidRDefault="007B64F6" w:rsidP="007A44B0">
            <w:pPr>
              <w:spacing w:before="60" w:after="60"/>
              <w:rPr>
                <w:bCs/>
              </w:rPr>
            </w:pPr>
            <w:r w:rsidRPr="002E58E1">
              <w:t>The calculation methodology for the</w:t>
            </w:r>
            <w:r w:rsidRPr="00684FED">
              <w:t xml:space="preserve"> STEM Equity Monitor and </w:t>
            </w:r>
            <w:r w:rsidR="00EC0BD7">
              <w:t xml:space="preserve">its </w:t>
            </w:r>
            <w:r w:rsidRPr="00684FED">
              <w:t xml:space="preserve">supporting data sources can be </w:t>
            </w:r>
            <w:r w:rsidR="00CB20CD" w:rsidRPr="00684FED">
              <w:t xml:space="preserve">found </w:t>
            </w:r>
            <w:r w:rsidR="00CB20CD">
              <w:t xml:space="preserve">in the </w:t>
            </w:r>
            <w:hyperlink r:id="rId22" w:history="1">
              <w:r w:rsidR="00CB20CD" w:rsidRPr="00001FD0">
                <w:rPr>
                  <w:rStyle w:val="Hyperlink"/>
                </w:rPr>
                <w:t>methodology chapter of the monitor</w:t>
              </w:r>
            </w:hyperlink>
            <w:r w:rsidR="00CB20CD" w:rsidRPr="00684FED">
              <w:t>.</w:t>
            </w:r>
          </w:p>
        </w:tc>
      </w:tr>
      <w:tr w:rsidR="0080355E" w:rsidRPr="00684FED" w14:paraId="1DF69E02" w14:textId="77777777" w:rsidTr="005C019C">
        <w:tc>
          <w:tcPr>
            <w:tcW w:w="5000" w:type="pct"/>
            <w:gridSpan w:val="2"/>
          </w:tcPr>
          <w:p w14:paraId="32D13BF6" w14:textId="5DE110F7" w:rsidR="00CC516F" w:rsidRDefault="0080355E" w:rsidP="218580CA">
            <w:r w:rsidRPr="00684FED">
              <w:rPr>
                <w:b/>
                <w:bCs/>
              </w:rPr>
              <w:t>Changes from previous year</w:t>
            </w:r>
          </w:p>
          <w:p w14:paraId="39A58546" w14:textId="1FF61F3D" w:rsidR="0080355E" w:rsidRPr="00684FED" w:rsidRDefault="00CC516F" w:rsidP="218580CA">
            <w:r>
              <w:t>N</w:t>
            </w:r>
            <w:r w:rsidR="00914373" w:rsidRPr="00684FED">
              <w:t>o changes from</w:t>
            </w:r>
            <w:r w:rsidR="0080355E" w:rsidRPr="00684FED">
              <w:t xml:space="preserve"> 2022</w:t>
            </w:r>
            <w:r w:rsidR="00F335CA">
              <w:t>–</w:t>
            </w:r>
            <w:r w:rsidR="0080355E" w:rsidRPr="00684FED">
              <w:t>23</w:t>
            </w:r>
            <w:r w:rsidR="00D80D47">
              <w:t>.</w:t>
            </w:r>
          </w:p>
        </w:tc>
      </w:tr>
    </w:tbl>
    <w:p w14:paraId="512DBFCD" w14:textId="659CC34B" w:rsidR="005031B6" w:rsidRDefault="005031B6" w:rsidP="218580CA">
      <w:pPr>
        <w:rPr>
          <w:b/>
          <w:bCs/>
        </w:rPr>
      </w:pPr>
    </w:p>
    <w:p w14:paraId="49FD00BE" w14:textId="77777777" w:rsidR="005031B6" w:rsidRDefault="005031B6">
      <w:pPr>
        <w:rPr>
          <w:b/>
          <w:bCs/>
        </w:rPr>
      </w:pPr>
      <w:r>
        <w:rPr>
          <w:b/>
          <w:bCs/>
        </w:rPr>
        <w:br w:type="page"/>
      </w:r>
    </w:p>
    <w:tbl>
      <w:tblPr>
        <w:tblStyle w:val="TableGrid"/>
        <w:tblW w:w="5000" w:type="pct"/>
        <w:tblLook w:val="04A0" w:firstRow="1" w:lastRow="0" w:firstColumn="1" w:lastColumn="0" w:noHBand="0" w:noVBand="1"/>
      </w:tblPr>
      <w:tblGrid>
        <w:gridCol w:w="5324"/>
        <w:gridCol w:w="5325"/>
      </w:tblGrid>
      <w:tr w:rsidR="00D80A11" w:rsidRPr="00684FED" w14:paraId="0C256B49" w14:textId="77777777" w:rsidTr="0C04CEE7">
        <w:tc>
          <w:tcPr>
            <w:tcW w:w="2500" w:type="pct"/>
          </w:tcPr>
          <w:p w14:paraId="63749AB3" w14:textId="77777777" w:rsidR="0080355E" w:rsidRPr="00684FED" w:rsidRDefault="0080355E">
            <w:r w:rsidRPr="00684FED">
              <w:rPr>
                <w:b/>
                <w:bCs/>
                <w:sz w:val="24"/>
                <w:szCs w:val="24"/>
              </w:rPr>
              <w:t>Performance measure</w:t>
            </w:r>
          </w:p>
        </w:tc>
        <w:tc>
          <w:tcPr>
            <w:tcW w:w="2500" w:type="pct"/>
          </w:tcPr>
          <w:p w14:paraId="0B5FB1E7" w14:textId="4F587806" w:rsidR="0080355E" w:rsidRPr="00684FED" w:rsidRDefault="0080355E">
            <w:pPr>
              <w:rPr>
                <w:b/>
                <w:bCs/>
              </w:rPr>
            </w:pPr>
            <w:r w:rsidRPr="00684FED">
              <w:rPr>
                <w:b/>
                <w:bCs/>
                <w:sz w:val="24"/>
                <w:szCs w:val="24"/>
              </w:rPr>
              <w:t>Target 2023</w:t>
            </w:r>
            <w:r w:rsidR="00F335CA">
              <w:rPr>
                <w:b/>
                <w:bCs/>
                <w:sz w:val="24"/>
                <w:szCs w:val="24"/>
              </w:rPr>
              <w:t>–</w:t>
            </w:r>
            <w:r w:rsidRPr="00684FED">
              <w:rPr>
                <w:b/>
                <w:bCs/>
                <w:sz w:val="24"/>
                <w:szCs w:val="24"/>
              </w:rPr>
              <w:t>24 to 2026</w:t>
            </w:r>
            <w:r w:rsidR="00F335CA">
              <w:rPr>
                <w:b/>
                <w:bCs/>
                <w:sz w:val="24"/>
                <w:szCs w:val="24"/>
              </w:rPr>
              <w:t>–</w:t>
            </w:r>
            <w:r w:rsidRPr="00684FED">
              <w:rPr>
                <w:b/>
                <w:bCs/>
                <w:sz w:val="24"/>
                <w:szCs w:val="24"/>
              </w:rPr>
              <w:t>27</w:t>
            </w:r>
          </w:p>
        </w:tc>
      </w:tr>
      <w:tr w:rsidR="00D80A11" w:rsidRPr="00684FED" w14:paraId="51F04AD8" w14:textId="77777777" w:rsidTr="0C04CEE7">
        <w:tc>
          <w:tcPr>
            <w:tcW w:w="2500" w:type="pct"/>
          </w:tcPr>
          <w:p w14:paraId="23B13F69" w14:textId="2A2EAE83" w:rsidR="0080355E" w:rsidRPr="007F0DBC" w:rsidRDefault="0080355E" w:rsidP="002A43E8">
            <w:pPr>
              <w:rPr>
                <w:b/>
                <w:bCs/>
                <w:sz w:val="24"/>
                <w:szCs w:val="24"/>
              </w:rPr>
            </w:pPr>
            <w:r w:rsidRPr="007F0DBC">
              <w:rPr>
                <w:b/>
                <w:bCs/>
                <w:sz w:val="24"/>
                <w:szCs w:val="24"/>
              </w:rPr>
              <w:t>12. Number of third-party accreditations maintained to ensure N</w:t>
            </w:r>
            <w:r w:rsidR="007F0DBC">
              <w:rPr>
                <w:b/>
                <w:bCs/>
                <w:sz w:val="24"/>
                <w:szCs w:val="24"/>
              </w:rPr>
              <w:t xml:space="preserve">ational </w:t>
            </w:r>
            <w:r w:rsidRPr="007F0DBC">
              <w:rPr>
                <w:b/>
                <w:bCs/>
                <w:sz w:val="24"/>
                <w:szCs w:val="24"/>
              </w:rPr>
              <w:t>M</w:t>
            </w:r>
            <w:r w:rsidR="007F0DBC">
              <w:rPr>
                <w:b/>
                <w:bCs/>
                <w:sz w:val="24"/>
                <w:szCs w:val="24"/>
              </w:rPr>
              <w:t xml:space="preserve">easurement </w:t>
            </w:r>
            <w:r w:rsidRPr="007F0DBC">
              <w:rPr>
                <w:b/>
                <w:bCs/>
                <w:sz w:val="24"/>
                <w:szCs w:val="24"/>
              </w:rPr>
              <w:t>I</w:t>
            </w:r>
            <w:r w:rsidR="007F0DBC">
              <w:rPr>
                <w:b/>
                <w:bCs/>
                <w:sz w:val="24"/>
                <w:szCs w:val="24"/>
              </w:rPr>
              <w:t>nstitute</w:t>
            </w:r>
            <w:r w:rsidRPr="007F0DBC">
              <w:rPr>
                <w:b/>
                <w:bCs/>
                <w:sz w:val="24"/>
                <w:szCs w:val="24"/>
              </w:rPr>
              <w:t xml:space="preserve"> measurement services meet national and international best practice</w:t>
            </w:r>
          </w:p>
          <w:p w14:paraId="61DA5983" w14:textId="77777777" w:rsidR="0080355E" w:rsidRPr="007F0DBC" w:rsidRDefault="0080355E" w:rsidP="002A43E8">
            <w:pPr>
              <w:rPr>
                <w:sz w:val="24"/>
                <w:szCs w:val="24"/>
              </w:rPr>
            </w:pPr>
          </w:p>
          <w:p w14:paraId="10A8E38A" w14:textId="77777777" w:rsidR="0080355E" w:rsidRPr="007F0DBC" w:rsidRDefault="0080355E">
            <w:r w:rsidRPr="007F0DBC">
              <w:rPr>
                <w:i/>
                <w:iCs/>
                <w:sz w:val="24"/>
                <w:szCs w:val="24"/>
              </w:rPr>
              <w:t>Effectiveness</w:t>
            </w:r>
          </w:p>
        </w:tc>
        <w:tc>
          <w:tcPr>
            <w:tcW w:w="2500" w:type="pct"/>
          </w:tcPr>
          <w:p w14:paraId="5C812055" w14:textId="77777777" w:rsidR="00BC1185" w:rsidRPr="007F0DBC" w:rsidRDefault="0080355E" w:rsidP="008D741C">
            <w:pPr>
              <w:spacing w:before="60" w:after="60"/>
            </w:pPr>
            <w:r w:rsidRPr="007F0DBC">
              <w:t>Maintain</w:t>
            </w:r>
            <w:r w:rsidR="00BC1185" w:rsidRPr="007F0DBC">
              <w:t>:</w:t>
            </w:r>
          </w:p>
          <w:p w14:paraId="2E581B84" w14:textId="076D1436" w:rsidR="00BC1185" w:rsidRPr="007F0DBC" w:rsidRDefault="0080355E" w:rsidP="00EF0C08">
            <w:pPr>
              <w:pStyle w:val="ListParagraph"/>
              <w:numPr>
                <w:ilvl w:val="0"/>
                <w:numId w:val="26"/>
              </w:numPr>
              <w:spacing w:before="60" w:after="60"/>
            </w:pPr>
            <w:r w:rsidRPr="007F0DBC">
              <w:t>global acceptance of over 300 measurement capabilities under the Mutual Recognition Arrangement of the International Committee of Weights and Measures</w:t>
            </w:r>
          </w:p>
          <w:p w14:paraId="54F94198" w14:textId="4C4BAB89" w:rsidR="0080355E" w:rsidRPr="007F0DBC" w:rsidRDefault="0080355E" w:rsidP="00EF0C08">
            <w:pPr>
              <w:pStyle w:val="ListParagraph"/>
              <w:numPr>
                <w:ilvl w:val="0"/>
                <w:numId w:val="15"/>
              </w:numPr>
              <w:spacing w:before="60" w:after="60"/>
            </w:pPr>
            <w:r w:rsidRPr="007F0DBC">
              <w:t>NMI’s 25 National Association of Testing Authorities (NATA) accreditations across calibration and testing, reference material production, and proficiency testing functions</w:t>
            </w:r>
          </w:p>
          <w:p w14:paraId="795657FB" w14:textId="2ABEBA33" w:rsidR="0080355E" w:rsidRPr="007F0DBC" w:rsidRDefault="0080355E" w:rsidP="00EF0C08">
            <w:pPr>
              <w:pStyle w:val="ListParagraph"/>
              <w:numPr>
                <w:ilvl w:val="0"/>
                <w:numId w:val="15"/>
              </w:numPr>
            </w:pPr>
            <w:r w:rsidRPr="007F0DBC">
              <w:t>World Anti-Doping Agency (WADA) accreditation for NMI’s sports drug testing capability</w:t>
            </w:r>
            <w:r w:rsidR="00D34F41" w:rsidRPr="007F0DBC">
              <w:t>.</w:t>
            </w:r>
          </w:p>
        </w:tc>
      </w:tr>
      <w:tr w:rsidR="0080355E" w:rsidRPr="00684FED" w14:paraId="498AC15D" w14:textId="77777777" w:rsidTr="005C019C">
        <w:tc>
          <w:tcPr>
            <w:tcW w:w="5000" w:type="pct"/>
            <w:gridSpan w:val="2"/>
          </w:tcPr>
          <w:p w14:paraId="69B877D2" w14:textId="3CE8A0A0" w:rsidR="0080355E" w:rsidRPr="00684FED" w:rsidRDefault="0080355E" w:rsidP="218580CA">
            <w:r w:rsidRPr="00684FED">
              <w:rPr>
                <w:b/>
                <w:bCs/>
              </w:rPr>
              <w:t>Why this matters</w:t>
            </w:r>
          </w:p>
          <w:p w14:paraId="45758C0E" w14:textId="73E4E9BF" w:rsidR="0080355E" w:rsidRPr="00684FED" w:rsidRDefault="0080355E" w:rsidP="005D5614">
            <w:pPr>
              <w:spacing w:before="60" w:after="60"/>
            </w:pPr>
            <w:r w:rsidRPr="00684FED">
              <w:t>Australia is a trade</w:t>
            </w:r>
            <w:r w:rsidR="00BC1185" w:rsidRPr="00684FED">
              <w:t>-</w:t>
            </w:r>
            <w:r w:rsidRPr="00684FED">
              <w:t>oriented economy</w:t>
            </w:r>
            <w:r w:rsidR="00BC1185" w:rsidRPr="00684FED">
              <w:t>.</w:t>
            </w:r>
            <w:r w:rsidRPr="00684FED">
              <w:t xml:space="preserve"> </w:t>
            </w:r>
            <w:r w:rsidR="00BC1185" w:rsidRPr="00684FED">
              <w:t>A</w:t>
            </w:r>
            <w:r w:rsidRPr="00684FED">
              <w:t xml:space="preserve"> trusted measurement system reduces technical barriers to trade, helps Australian businesses engage in international and domestic markets, and maintains Australia’s standing with our trading partners. Our measurement system also underpins effective regulation of health, safety and the environment; enables advanced industrial production and manufacturing; supports the management of critical infrastructure, including for energy supply; and drives innovation and research. </w:t>
            </w:r>
          </w:p>
        </w:tc>
      </w:tr>
      <w:tr w:rsidR="0080355E" w:rsidRPr="00684FED" w14:paraId="79F6F16E" w14:textId="77777777" w:rsidTr="005C019C">
        <w:tc>
          <w:tcPr>
            <w:tcW w:w="5000" w:type="pct"/>
            <w:gridSpan w:val="2"/>
          </w:tcPr>
          <w:p w14:paraId="6B28E32D" w14:textId="2568B4B1" w:rsidR="0080355E" w:rsidRPr="00684FED" w:rsidRDefault="0080355E" w:rsidP="008D741C">
            <w:pPr>
              <w:spacing w:before="60" w:after="60"/>
            </w:pPr>
            <w:r w:rsidRPr="00684FED">
              <w:rPr>
                <w:b/>
                <w:bCs/>
              </w:rPr>
              <w:t>Data source</w:t>
            </w:r>
            <w:r w:rsidRPr="00684FED">
              <w:br/>
              <w:t xml:space="preserve">Data for the specific sub-measures </w:t>
            </w:r>
            <w:r w:rsidR="00BC1185" w:rsidRPr="00684FED">
              <w:t>is</w:t>
            </w:r>
            <w:r w:rsidRPr="00684FED">
              <w:t xml:space="preserve"> maintained and reported through:</w:t>
            </w:r>
          </w:p>
          <w:p w14:paraId="1AA01FC0" w14:textId="7ACA860F" w:rsidR="0080355E" w:rsidRPr="00684FED" w:rsidRDefault="00261094" w:rsidP="00EF0C08">
            <w:pPr>
              <w:pStyle w:val="ListParagraph"/>
              <w:numPr>
                <w:ilvl w:val="0"/>
                <w:numId w:val="20"/>
              </w:numPr>
              <w:spacing w:before="60" w:after="60" w:line="260" w:lineRule="exact"/>
              <w:jc w:val="both"/>
            </w:pPr>
            <w:r w:rsidRPr="00261094">
              <w:t>National Measurement Institute</w:t>
            </w:r>
            <w:r w:rsidR="0080355E" w:rsidRPr="00684FED">
              <w:t xml:space="preserve"> internal databases </w:t>
            </w:r>
          </w:p>
          <w:p w14:paraId="0BEEB988" w14:textId="449663B7" w:rsidR="0080355E" w:rsidRPr="00684FED" w:rsidRDefault="0080355E" w:rsidP="00EF0C08">
            <w:pPr>
              <w:pStyle w:val="ListParagraph"/>
              <w:numPr>
                <w:ilvl w:val="0"/>
                <w:numId w:val="20"/>
              </w:numPr>
              <w:spacing w:before="60" w:after="60" w:line="260" w:lineRule="exact"/>
              <w:jc w:val="both"/>
            </w:pPr>
            <w:r w:rsidRPr="00684FED">
              <w:t xml:space="preserve">the international </w:t>
            </w:r>
            <w:r w:rsidR="00305AC5">
              <w:t>k</w:t>
            </w:r>
            <w:r w:rsidRPr="00684FED">
              <w:t xml:space="preserve">ey </w:t>
            </w:r>
            <w:r w:rsidR="00305AC5">
              <w:t>c</w:t>
            </w:r>
            <w:r w:rsidRPr="00684FED">
              <w:t xml:space="preserve">omparison </w:t>
            </w:r>
            <w:r w:rsidR="00305AC5">
              <w:t>d</w:t>
            </w:r>
            <w:r w:rsidRPr="00684FED">
              <w:t>atabase maintained by the International Bureau of Weights and Measures</w:t>
            </w:r>
          </w:p>
          <w:p w14:paraId="60505365" w14:textId="77777777" w:rsidR="0080355E" w:rsidRPr="00684FED" w:rsidRDefault="0080355E" w:rsidP="00EF0C08">
            <w:pPr>
              <w:pStyle w:val="ListParagraph"/>
              <w:numPr>
                <w:ilvl w:val="0"/>
                <w:numId w:val="20"/>
              </w:numPr>
              <w:spacing w:before="60" w:after="60" w:line="260" w:lineRule="exact"/>
              <w:jc w:val="both"/>
            </w:pPr>
            <w:r w:rsidRPr="00684FED">
              <w:t>the National Association of Testing Authorities</w:t>
            </w:r>
          </w:p>
          <w:p w14:paraId="049C445A" w14:textId="36573C88" w:rsidR="0080355E" w:rsidRPr="00684FED" w:rsidRDefault="0080355E" w:rsidP="00EF0C08">
            <w:pPr>
              <w:pStyle w:val="ListParagraph"/>
              <w:numPr>
                <w:ilvl w:val="0"/>
                <w:numId w:val="20"/>
              </w:numPr>
              <w:spacing w:before="60" w:after="60" w:line="260" w:lineRule="exact"/>
              <w:jc w:val="both"/>
            </w:pPr>
            <w:r w:rsidRPr="00684FED">
              <w:t>the World Anti-Doping Agency</w:t>
            </w:r>
          </w:p>
        </w:tc>
      </w:tr>
      <w:tr w:rsidR="0080355E" w:rsidRPr="00684FED" w14:paraId="024C6439" w14:textId="77777777" w:rsidTr="005C019C">
        <w:tc>
          <w:tcPr>
            <w:tcW w:w="5000" w:type="pct"/>
            <w:gridSpan w:val="2"/>
          </w:tcPr>
          <w:p w14:paraId="119906C5" w14:textId="777A2EF7" w:rsidR="0080355E" w:rsidRPr="00684FED" w:rsidRDefault="0080355E" w:rsidP="002A43E8">
            <w:pPr>
              <w:rPr>
                <w:b/>
                <w:bCs/>
              </w:rPr>
            </w:pPr>
            <w:r w:rsidRPr="00684FED">
              <w:rPr>
                <w:b/>
                <w:bCs/>
              </w:rPr>
              <w:t>Methodology</w:t>
            </w:r>
          </w:p>
          <w:p w14:paraId="36A56625" w14:textId="4C52AF9C" w:rsidR="0080355E" w:rsidRPr="00684FED" w:rsidRDefault="0080355E" w:rsidP="218580CA">
            <w:pPr>
              <w:spacing w:after="120"/>
              <w:rPr>
                <w:bCs/>
              </w:rPr>
            </w:pPr>
            <w:r w:rsidRPr="00684FED">
              <w:t xml:space="preserve">Data is maintained on internal </w:t>
            </w:r>
            <w:r w:rsidR="00261094" w:rsidRPr="00261094">
              <w:t>National Measurement Institute</w:t>
            </w:r>
            <w:r w:rsidR="00261094" w:rsidRPr="00684FED">
              <w:t xml:space="preserve"> </w:t>
            </w:r>
            <w:r w:rsidRPr="00684FED">
              <w:t xml:space="preserve">databases for each of the </w:t>
            </w:r>
            <w:r w:rsidR="00305AC5">
              <w:t>3</w:t>
            </w:r>
            <w:r w:rsidRPr="00684FED">
              <w:t xml:space="preserve"> sub-measures. Each quarter these can be extracted and compared with the target numbers.</w:t>
            </w:r>
          </w:p>
        </w:tc>
      </w:tr>
      <w:tr w:rsidR="0080355E" w:rsidRPr="00684FED" w14:paraId="6A661462" w14:textId="77777777" w:rsidTr="005C019C">
        <w:tc>
          <w:tcPr>
            <w:tcW w:w="5000" w:type="pct"/>
            <w:gridSpan w:val="2"/>
          </w:tcPr>
          <w:p w14:paraId="0ACB3FC8" w14:textId="3784A9FD" w:rsidR="00CC516F" w:rsidRDefault="0080355E" w:rsidP="218580CA">
            <w:r w:rsidRPr="00684FED">
              <w:rPr>
                <w:b/>
                <w:bCs/>
              </w:rPr>
              <w:t>Changes from previous year</w:t>
            </w:r>
          </w:p>
          <w:p w14:paraId="47AD9CD3" w14:textId="325A95A7" w:rsidR="0080355E" w:rsidRPr="00684FED" w:rsidRDefault="00CC516F" w:rsidP="218580CA">
            <w:r>
              <w:t>N</w:t>
            </w:r>
            <w:r w:rsidR="00914373" w:rsidRPr="00684FED">
              <w:t>o changes from 2022</w:t>
            </w:r>
            <w:r w:rsidR="00F335CA">
              <w:t>–</w:t>
            </w:r>
            <w:r w:rsidR="00914373" w:rsidRPr="00684FED">
              <w:t>23</w:t>
            </w:r>
            <w:r w:rsidR="00D80D47">
              <w:t>.</w:t>
            </w:r>
          </w:p>
        </w:tc>
      </w:tr>
      <w:tr w:rsidR="0080355E" w:rsidRPr="00684FED" w14:paraId="2BE202E7" w14:textId="77777777" w:rsidTr="005C019C">
        <w:tc>
          <w:tcPr>
            <w:tcW w:w="5000" w:type="pct"/>
            <w:gridSpan w:val="2"/>
          </w:tcPr>
          <w:p w14:paraId="6928DA40" w14:textId="339402A1" w:rsidR="0080355E" w:rsidRPr="00684FED" w:rsidRDefault="00541211" w:rsidP="218580CA">
            <w:r>
              <w:rPr>
                <w:b/>
                <w:bCs/>
              </w:rPr>
              <w:t>Department’s regulatory</w:t>
            </w:r>
            <w:r w:rsidR="00DD7931">
              <w:rPr>
                <w:b/>
                <w:bCs/>
              </w:rPr>
              <w:t xml:space="preserve"> function</w:t>
            </w:r>
            <w:r>
              <w:rPr>
                <w:b/>
                <w:bCs/>
              </w:rPr>
              <w:t>s</w:t>
            </w:r>
          </w:p>
          <w:p w14:paraId="5F49C39B" w14:textId="146D5F6A" w:rsidR="0080355E" w:rsidRPr="00684FED" w:rsidRDefault="00EB5E81" w:rsidP="00EF0C08">
            <w:r>
              <w:t xml:space="preserve">This performance measure relates to the activities of the </w:t>
            </w:r>
            <w:r w:rsidR="00706AD8" w:rsidRPr="00261094">
              <w:t>National Measurement Institute</w:t>
            </w:r>
            <w:r>
              <w:t>.</w:t>
            </w:r>
          </w:p>
        </w:tc>
      </w:tr>
    </w:tbl>
    <w:p w14:paraId="75B4B73A" w14:textId="660FC38B" w:rsidR="00551AEB" w:rsidRDefault="00551AEB">
      <w:pPr>
        <w:rPr>
          <w:rFonts w:asciiTheme="majorHAnsi" w:eastAsiaTheme="majorEastAsia" w:hAnsiTheme="majorHAnsi" w:cstheme="majorBidi"/>
          <w:color w:val="005677" w:themeColor="text2"/>
          <w:sz w:val="40"/>
          <w:szCs w:val="48"/>
        </w:rPr>
      </w:pPr>
      <w:r>
        <w:br w:type="page"/>
      </w:r>
    </w:p>
    <w:p w14:paraId="371D0C5F" w14:textId="489ACCEF" w:rsidR="00720508" w:rsidRPr="00684FED" w:rsidRDefault="00720508" w:rsidP="005C1F69">
      <w:pPr>
        <w:pStyle w:val="Heading3"/>
      </w:pPr>
      <w:r w:rsidRPr="00684FED">
        <w:t xml:space="preserve">Activity 1.3: </w:t>
      </w:r>
      <w:r w:rsidR="005B366B" w:rsidRPr="00684FED">
        <w:t>s</w:t>
      </w:r>
      <w:r w:rsidRPr="00684FED">
        <w:t>upporting a strong resources sector</w:t>
      </w:r>
    </w:p>
    <w:p w14:paraId="42329997" w14:textId="2722DE09" w:rsidR="00C04FBF" w:rsidRDefault="00720508" w:rsidP="00720508">
      <w:pPr>
        <w:rPr>
          <w:rFonts w:asciiTheme="majorHAnsi" w:hAnsiTheme="majorHAnsi" w:cstheme="majorBidi"/>
        </w:rPr>
      </w:pPr>
      <w:r w:rsidRPr="00684FED">
        <w:rPr>
          <w:rFonts w:asciiTheme="majorHAnsi" w:hAnsiTheme="majorHAnsi" w:cstheme="majorBidi"/>
        </w:rPr>
        <w:t>This activity aims to support the sustainable development of the resources sector, attract private sector investment and encourage innovative technologies. It relates to PBS</w:t>
      </w:r>
      <w:r w:rsidR="0065468D" w:rsidRPr="00684FED">
        <w:rPr>
          <w:rFonts w:asciiTheme="majorHAnsi" w:hAnsiTheme="majorHAnsi" w:cstheme="majorBidi"/>
        </w:rPr>
        <w:t> </w:t>
      </w:r>
      <w:r w:rsidRPr="00684FED">
        <w:rPr>
          <w:rFonts w:asciiTheme="majorHAnsi" w:hAnsiTheme="majorHAnsi" w:cstheme="majorBidi"/>
        </w:rPr>
        <w:t>202</w:t>
      </w:r>
      <w:r w:rsidR="0065468D" w:rsidRPr="00684FED">
        <w:rPr>
          <w:rFonts w:asciiTheme="majorHAnsi" w:hAnsiTheme="majorHAnsi" w:cstheme="majorBidi"/>
        </w:rPr>
        <w:t>3</w:t>
      </w:r>
      <w:r w:rsidRPr="00684FED">
        <w:rPr>
          <w:rFonts w:asciiTheme="majorHAnsi" w:hAnsiTheme="majorHAnsi" w:cstheme="majorBidi"/>
        </w:rPr>
        <w:t>–2</w:t>
      </w:r>
      <w:r w:rsidR="0065468D" w:rsidRPr="00684FED">
        <w:rPr>
          <w:rFonts w:asciiTheme="majorHAnsi" w:hAnsiTheme="majorHAnsi" w:cstheme="majorBidi"/>
        </w:rPr>
        <w:t>4</w:t>
      </w:r>
      <w:r w:rsidRPr="00684FED">
        <w:rPr>
          <w:rFonts w:asciiTheme="majorHAnsi" w:hAnsiTheme="majorHAnsi" w:cstheme="majorBidi"/>
        </w:rPr>
        <w:t xml:space="preserve"> Outcome 1, Program</w:t>
      </w:r>
      <w:r w:rsidR="004C7CE0">
        <w:rPr>
          <w:rFonts w:asciiTheme="majorHAnsi" w:hAnsiTheme="majorHAnsi" w:cstheme="majorBidi"/>
        </w:rPr>
        <w:t>s</w:t>
      </w:r>
      <w:r w:rsidRPr="00684FED">
        <w:rPr>
          <w:rFonts w:asciiTheme="majorHAnsi" w:hAnsiTheme="majorHAnsi" w:cstheme="majorBidi"/>
        </w:rPr>
        <w:t xml:space="preserve"> 1.3</w:t>
      </w:r>
      <w:r w:rsidR="00C04FBF">
        <w:rPr>
          <w:rFonts w:asciiTheme="majorHAnsi" w:hAnsiTheme="majorHAnsi" w:cstheme="majorBidi"/>
        </w:rPr>
        <w:t xml:space="preserve"> and 1.4</w:t>
      </w:r>
      <w:r w:rsidRPr="00684FED">
        <w:rPr>
          <w:rFonts w:asciiTheme="majorHAnsi" w:hAnsiTheme="majorHAnsi" w:cstheme="majorBidi"/>
        </w:rPr>
        <w:t>.</w:t>
      </w:r>
      <w:r w:rsidR="00E06371">
        <w:rPr>
          <w:rStyle w:val="FootnoteReference"/>
          <w:rFonts w:asciiTheme="majorHAnsi" w:hAnsiTheme="majorHAnsi" w:cstheme="majorBidi"/>
        </w:rPr>
        <w:footnoteReference w:id="2"/>
      </w:r>
      <w:r w:rsidR="00C04FBF">
        <w:rPr>
          <w:rFonts w:asciiTheme="majorHAnsi" w:hAnsiTheme="majorHAnsi" w:cstheme="majorBidi"/>
        </w:rPr>
        <w:t xml:space="preserve"> </w:t>
      </w:r>
    </w:p>
    <w:tbl>
      <w:tblPr>
        <w:tblStyle w:val="TableGrid"/>
        <w:tblW w:w="10627" w:type="dxa"/>
        <w:tblLook w:val="04A0" w:firstRow="1" w:lastRow="0" w:firstColumn="1" w:lastColumn="0" w:noHBand="0" w:noVBand="1"/>
      </w:tblPr>
      <w:tblGrid>
        <w:gridCol w:w="4470"/>
        <w:gridCol w:w="6157"/>
      </w:tblGrid>
      <w:tr w:rsidR="007A07BA" w:rsidRPr="00684FED" w14:paraId="54D21687" w14:textId="77777777" w:rsidTr="0C04CEE7">
        <w:tc>
          <w:tcPr>
            <w:tcW w:w="4470" w:type="dxa"/>
          </w:tcPr>
          <w:p w14:paraId="58865781" w14:textId="77777777" w:rsidR="007A07BA" w:rsidRPr="00684FED" w:rsidRDefault="007A07BA">
            <w:r w:rsidRPr="00684FED">
              <w:rPr>
                <w:b/>
                <w:bCs/>
                <w:sz w:val="24"/>
                <w:szCs w:val="24"/>
              </w:rPr>
              <w:t>Performance measure</w:t>
            </w:r>
          </w:p>
        </w:tc>
        <w:tc>
          <w:tcPr>
            <w:tcW w:w="6157" w:type="dxa"/>
          </w:tcPr>
          <w:p w14:paraId="34D7C5F5" w14:textId="23913E78" w:rsidR="007A07BA" w:rsidRPr="00684FED" w:rsidRDefault="007A07BA">
            <w:r w:rsidRPr="00684FED">
              <w:rPr>
                <w:b/>
                <w:bCs/>
                <w:sz w:val="24"/>
                <w:szCs w:val="24"/>
              </w:rPr>
              <w:t>Target 2023</w:t>
            </w:r>
            <w:r w:rsidR="00831F35">
              <w:rPr>
                <w:b/>
                <w:bCs/>
                <w:sz w:val="24"/>
                <w:szCs w:val="24"/>
              </w:rPr>
              <w:t>–</w:t>
            </w:r>
            <w:r w:rsidRPr="00684FED">
              <w:rPr>
                <w:b/>
                <w:bCs/>
                <w:sz w:val="24"/>
                <w:szCs w:val="24"/>
              </w:rPr>
              <w:t>24 to 2026</w:t>
            </w:r>
            <w:r w:rsidR="00831F35">
              <w:rPr>
                <w:b/>
                <w:bCs/>
                <w:sz w:val="24"/>
                <w:szCs w:val="24"/>
              </w:rPr>
              <w:t>–</w:t>
            </w:r>
            <w:r w:rsidRPr="00684FED">
              <w:rPr>
                <w:b/>
                <w:bCs/>
                <w:sz w:val="24"/>
                <w:szCs w:val="24"/>
              </w:rPr>
              <w:t>27</w:t>
            </w:r>
          </w:p>
        </w:tc>
      </w:tr>
      <w:tr w:rsidR="007A07BA" w:rsidRPr="00684FED" w14:paraId="594152F8" w14:textId="77777777" w:rsidTr="0C04CEE7">
        <w:tc>
          <w:tcPr>
            <w:tcW w:w="4470" w:type="dxa"/>
          </w:tcPr>
          <w:p w14:paraId="1AB720AC" w14:textId="77777777" w:rsidR="007A07BA" w:rsidRPr="00684FED" w:rsidRDefault="007A07BA" w:rsidP="002A43E8">
            <w:pPr>
              <w:rPr>
                <w:b/>
                <w:bCs/>
                <w:sz w:val="24"/>
                <w:szCs w:val="24"/>
              </w:rPr>
            </w:pPr>
            <w:r w:rsidRPr="00684FED">
              <w:rPr>
                <w:b/>
                <w:bCs/>
                <w:sz w:val="24"/>
                <w:szCs w:val="24"/>
              </w:rPr>
              <w:t>13. Grow Australia’s critical minerals sector, including by supporting development of downstream processing capacity</w:t>
            </w:r>
          </w:p>
          <w:p w14:paraId="7E6D21F9" w14:textId="77777777" w:rsidR="007A07BA" w:rsidRPr="00684FED" w:rsidRDefault="007A07BA" w:rsidP="002A43E8">
            <w:pPr>
              <w:rPr>
                <w:sz w:val="24"/>
                <w:szCs w:val="24"/>
              </w:rPr>
            </w:pPr>
          </w:p>
          <w:p w14:paraId="3BBD5634" w14:textId="57041C8D" w:rsidR="007A07BA" w:rsidRPr="00684FED" w:rsidRDefault="00105FAE">
            <w:r>
              <w:rPr>
                <w:i/>
                <w:iCs/>
                <w:sz w:val="24"/>
                <w:szCs w:val="24"/>
              </w:rPr>
              <w:t>Output</w:t>
            </w:r>
          </w:p>
        </w:tc>
        <w:tc>
          <w:tcPr>
            <w:tcW w:w="6157" w:type="dxa"/>
          </w:tcPr>
          <w:p w14:paraId="69A0CF65" w14:textId="4959F716" w:rsidR="007A07BA" w:rsidRPr="00684FED" w:rsidRDefault="007A07BA" w:rsidP="002A43E8">
            <w:pPr>
              <w:rPr>
                <w:b/>
                <w:bCs/>
                <w:sz w:val="24"/>
                <w:szCs w:val="24"/>
              </w:rPr>
            </w:pPr>
            <w:r w:rsidRPr="00684FED">
              <w:rPr>
                <w:b/>
                <w:bCs/>
                <w:sz w:val="24"/>
                <w:szCs w:val="24"/>
              </w:rPr>
              <w:t>Year-on-year increase in the number, progress and total capital expenditure of critical minerals projects</w:t>
            </w:r>
          </w:p>
        </w:tc>
      </w:tr>
      <w:tr w:rsidR="007A07BA" w:rsidRPr="00684FED" w14:paraId="26AD992B" w14:textId="77777777" w:rsidTr="0021312E">
        <w:tc>
          <w:tcPr>
            <w:tcW w:w="10627" w:type="dxa"/>
            <w:gridSpan w:val="2"/>
          </w:tcPr>
          <w:p w14:paraId="3A18E8E8" w14:textId="44B5677D" w:rsidR="007A07BA" w:rsidRPr="00684FED" w:rsidRDefault="007A07BA" w:rsidP="218580CA">
            <w:r w:rsidRPr="00684FED">
              <w:rPr>
                <w:b/>
                <w:bCs/>
              </w:rPr>
              <w:t>Why this matters</w:t>
            </w:r>
          </w:p>
          <w:p w14:paraId="580E4B23" w14:textId="77777777" w:rsidR="00B07592" w:rsidRDefault="007A07BA" w:rsidP="218580CA">
            <w:pPr>
              <w:spacing w:before="60" w:after="120"/>
            </w:pPr>
            <w:r w:rsidRPr="00684FED">
              <w:t xml:space="preserve">Australia has significant reserves of critical minerals, and the potential to process them, which are vital to the economic security of global economies. Markets for these minerals and processed products are characterised by concentrated global supply chains, leading to price and supply risk for sectors like defence, transport, energy generation and telecommunications. </w:t>
            </w:r>
          </w:p>
          <w:p w14:paraId="68ABECF0" w14:textId="5FA33899" w:rsidR="007A07BA" w:rsidRPr="00684FED" w:rsidRDefault="007A07BA" w:rsidP="218580CA">
            <w:pPr>
              <w:spacing w:before="60" w:after="120"/>
            </w:pPr>
            <w:r w:rsidRPr="00684FED">
              <w:t>Growing the critical mineral</w:t>
            </w:r>
            <w:r w:rsidR="00B07592">
              <w:t>s</w:t>
            </w:r>
            <w:r w:rsidRPr="00684FED">
              <w:t xml:space="preserve"> sector in Australia will deliver economic benefits for Australians, including through increased trade and job creation. This will also contribute to diversifying global supply chains and position Australia as an ethical, reliable and secure suppl</w:t>
            </w:r>
            <w:r w:rsidR="000D1406">
              <w:t>i</w:t>
            </w:r>
            <w:r w:rsidRPr="00684FED">
              <w:t>er of critical minerals.</w:t>
            </w:r>
            <w:r w:rsidR="0047251E">
              <w:t xml:space="preserve"> </w:t>
            </w:r>
            <w:r w:rsidR="009D7102" w:rsidRPr="000F7843">
              <w:rPr>
                <w:rFonts w:asciiTheme="majorHAnsi" w:hAnsiTheme="majorHAnsi" w:cstheme="majorBidi"/>
              </w:rPr>
              <w:t xml:space="preserve">While the </w:t>
            </w:r>
            <w:r w:rsidR="009D7102" w:rsidRPr="00DE0860">
              <w:rPr>
                <w:rFonts w:asciiTheme="majorHAnsi" w:hAnsiTheme="majorHAnsi" w:cstheme="majorBidi"/>
              </w:rPr>
              <w:t>department’s</w:t>
            </w:r>
            <w:r w:rsidR="009D7102" w:rsidRPr="000F7843">
              <w:rPr>
                <w:rFonts w:asciiTheme="majorHAnsi" w:hAnsiTheme="majorHAnsi" w:cstheme="majorBidi"/>
              </w:rPr>
              <w:t xml:space="preserve"> performance is the focus o</w:t>
            </w:r>
            <w:r w:rsidR="004C7CE0">
              <w:rPr>
                <w:rFonts w:asciiTheme="majorHAnsi" w:hAnsiTheme="majorHAnsi" w:cstheme="majorBidi"/>
              </w:rPr>
              <w:t>f</w:t>
            </w:r>
            <w:r w:rsidR="009D7102" w:rsidRPr="000F7843">
              <w:rPr>
                <w:rFonts w:asciiTheme="majorHAnsi" w:hAnsiTheme="majorHAnsi" w:cstheme="majorBidi"/>
              </w:rPr>
              <w:t xml:space="preserve"> this measure, there are factors outside of the </w:t>
            </w:r>
            <w:r w:rsidR="009D7102" w:rsidRPr="00DE0860">
              <w:rPr>
                <w:rFonts w:asciiTheme="majorHAnsi" w:hAnsiTheme="majorHAnsi" w:cstheme="majorBidi"/>
              </w:rPr>
              <w:t>department’s</w:t>
            </w:r>
            <w:r w:rsidR="009D7102" w:rsidRPr="000F7843">
              <w:rPr>
                <w:rFonts w:asciiTheme="majorHAnsi" w:hAnsiTheme="majorHAnsi" w:cstheme="majorBidi"/>
              </w:rPr>
              <w:t xml:space="preserve"> control, such as </w:t>
            </w:r>
            <w:r w:rsidRPr="000F7843">
              <w:rPr>
                <w:rFonts w:asciiTheme="majorHAnsi" w:hAnsiTheme="majorHAnsi" w:cstheme="majorBidi"/>
              </w:rPr>
              <w:t>market movements</w:t>
            </w:r>
            <w:r w:rsidR="007B0A89">
              <w:rPr>
                <w:rFonts w:asciiTheme="majorHAnsi" w:hAnsiTheme="majorHAnsi" w:cstheme="majorBidi"/>
              </w:rPr>
              <w:t>,</w:t>
            </w:r>
            <w:r w:rsidRPr="000F7843">
              <w:rPr>
                <w:rFonts w:asciiTheme="majorHAnsi" w:hAnsiTheme="majorHAnsi" w:cstheme="majorBidi"/>
              </w:rPr>
              <w:t xml:space="preserve"> </w:t>
            </w:r>
            <w:r w:rsidR="004C7CE0">
              <w:rPr>
                <w:rFonts w:asciiTheme="majorHAnsi" w:hAnsiTheme="majorHAnsi" w:cstheme="majorBidi"/>
              </w:rPr>
              <w:t>that</w:t>
            </w:r>
            <w:r w:rsidRPr="000F7843">
              <w:rPr>
                <w:rFonts w:asciiTheme="majorHAnsi" w:hAnsiTheme="majorHAnsi" w:cstheme="majorBidi"/>
              </w:rPr>
              <w:t xml:space="preserve"> contribute to </w:t>
            </w:r>
            <w:r w:rsidR="009D7102" w:rsidRPr="000F7843">
              <w:rPr>
                <w:rFonts w:asciiTheme="majorHAnsi" w:hAnsiTheme="majorHAnsi" w:cstheme="majorBidi"/>
              </w:rPr>
              <w:t>performance against the target</w:t>
            </w:r>
            <w:r w:rsidR="009B4FE4" w:rsidRPr="000F7843">
              <w:rPr>
                <w:rFonts w:asciiTheme="majorHAnsi" w:hAnsiTheme="majorHAnsi" w:cstheme="majorBidi"/>
              </w:rPr>
              <w:t>.</w:t>
            </w:r>
          </w:p>
        </w:tc>
      </w:tr>
      <w:tr w:rsidR="007A07BA" w:rsidRPr="00684FED" w14:paraId="54CE35A9" w14:textId="77777777" w:rsidTr="0021312E">
        <w:tc>
          <w:tcPr>
            <w:tcW w:w="10627" w:type="dxa"/>
            <w:gridSpan w:val="2"/>
          </w:tcPr>
          <w:p w14:paraId="72DD2D81" w14:textId="7A5908D9" w:rsidR="00CC516F" w:rsidRDefault="007A07BA" w:rsidP="00DC6E7D">
            <w:pPr>
              <w:spacing w:before="60" w:after="60" w:line="260" w:lineRule="exact"/>
              <w:jc w:val="both"/>
              <w:rPr>
                <w:b/>
                <w:bCs/>
              </w:rPr>
            </w:pPr>
            <w:r w:rsidRPr="00DC6E7D">
              <w:rPr>
                <w:b/>
                <w:bCs/>
              </w:rPr>
              <w:t>Data source</w:t>
            </w:r>
          </w:p>
          <w:p w14:paraId="78FE74A7" w14:textId="432BC20D" w:rsidR="007A07BA" w:rsidRPr="00666620" w:rsidRDefault="00CC516F" w:rsidP="009D2780">
            <w:pPr>
              <w:spacing w:after="120"/>
              <w:rPr>
                <w:b/>
                <w:bCs/>
              </w:rPr>
            </w:pPr>
            <w:r w:rsidRPr="00CC516F">
              <w:t>T</w:t>
            </w:r>
            <w:r w:rsidR="007A07BA" w:rsidRPr="00CC516F">
              <w:t xml:space="preserve">he </w:t>
            </w:r>
            <w:r w:rsidR="007A07BA" w:rsidRPr="00684FED">
              <w:t xml:space="preserve">department’s </w:t>
            </w:r>
            <w:r w:rsidR="000B30A7">
              <w:t>a</w:t>
            </w:r>
            <w:r w:rsidR="000B30A7" w:rsidRPr="00684FED">
              <w:t xml:space="preserve">nnual </w:t>
            </w:r>
            <w:r w:rsidR="000B30A7" w:rsidRPr="00CA4332">
              <w:rPr>
                <w:i/>
                <w:iCs/>
              </w:rPr>
              <w:t>Resources and energy major projects</w:t>
            </w:r>
            <w:r w:rsidR="000B30A7" w:rsidRPr="00CA4332">
              <w:t xml:space="preserve"> report</w:t>
            </w:r>
            <w:r w:rsidR="000B30A7">
              <w:t>.</w:t>
            </w:r>
            <w:r w:rsidR="007A07BA" w:rsidRPr="00684FED">
              <w:t xml:space="preserve"> </w:t>
            </w:r>
          </w:p>
        </w:tc>
      </w:tr>
      <w:tr w:rsidR="007A07BA" w:rsidRPr="00684FED" w14:paraId="22B2D10C" w14:textId="77777777" w:rsidTr="0021312E">
        <w:tc>
          <w:tcPr>
            <w:tcW w:w="10627" w:type="dxa"/>
            <w:gridSpan w:val="2"/>
          </w:tcPr>
          <w:p w14:paraId="05ED6C24" w14:textId="6787C600" w:rsidR="007A07BA" w:rsidRPr="00684FED" w:rsidRDefault="007A07BA" w:rsidP="002A43E8">
            <w:pPr>
              <w:rPr>
                <w:b/>
                <w:bCs/>
              </w:rPr>
            </w:pPr>
            <w:r w:rsidRPr="00684FED">
              <w:rPr>
                <w:b/>
                <w:bCs/>
              </w:rPr>
              <w:t>Methodology</w:t>
            </w:r>
          </w:p>
          <w:p w14:paraId="005A4918" w14:textId="029CF64E" w:rsidR="007A07BA" w:rsidRPr="00684FED" w:rsidRDefault="007A07BA" w:rsidP="0C04CEE7">
            <w:pPr>
              <w:spacing w:after="120"/>
              <w:rPr>
                <w:bCs/>
              </w:rPr>
            </w:pPr>
            <w:r w:rsidRPr="00684FED">
              <w:t xml:space="preserve">The data </w:t>
            </w:r>
            <w:r w:rsidR="009D7102" w:rsidRPr="00684FED">
              <w:t>is</w:t>
            </w:r>
            <w:r w:rsidRPr="00684FED">
              <w:t xml:space="preserve"> calculated by</w:t>
            </w:r>
            <w:r w:rsidRPr="00684FED" w:rsidDel="0047251E">
              <w:t xml:space="preserve"> </w:t>
            </w:r>
            <w:r w:rsidRPr="00684FED">
              <w:t xml:space="preserve">comparison of number, stage and investment in mining and processing operations from current year and previous year (e.g. X lithium mining operations in 2023, subtracted from X lithium mining operations in 2022; </w:t>
            </w:r>
            <w:r w:rsidR="00D80D47">
              <w:t>positive</w:t>
            </w:r>
            <w:r w:rsidRPr="00684FED">
              <w:t xml:space="preserve"> or </w:t>
            </w:r>
            <w:r w:rsidR="00D80D47">
              <w:t>negative</w:t>
            </w:r>
            <w:r w:rsidRPr="00684FED">
              <w:t xml:space="preserve"> result indicating growth or lack of growth, and with commentary noting the likely impact of market dynamics).</w:t>
            </w:r>
          </w:p>
        </w:tc>
      </w:tr>
      <w:tr w:rsidR="007A07BA" w:rsidRPr="00684FED" w14:paraId="4A6DF1BC" w14:textId="77777777" w:rsidTr="0021312E">
        <w:tc>
          <w:tcPr>
            <w:tcW w:w="10627" w:type="dxa"/>
            <w:gridSpan w:val="2"/>
          </w:tcPr>
          <w:p w14:paraId="18C1F2C6" w14:textId="19478360" w:rsidR="00B3681D" w:rsidRDefault="007A07BA" w:rsidP="218580CA">
            <w:r w:rsidRPr="00684FED">
              <w:rPr>
                <w:b/>
                <w:bCs/>
              </w:rPr>
              <w:t>Changes from previous year</w:t>
            </w:r>
          </w:p>
          <w:p w14:paraId="410A7D19" w14:textId="6526347A" w:rsidR="007A07BA" w:rsidRPr="00684FED" w:rsidRDefault="00B3681D" w:rsidP="218580CA">
            <w:r>
              <w:t xml:space="preserve">No </w:t>
            </w:r>
            <w:r w:rsidR="009D2780">
              <w:t>c</w:t>
            </w:r>
            <w:r w:rsidR="00914373" w:rsidRPr="00684FED">
              <w:t>hange</w:t>
            </w:r>
            <w:r w:rsidR="003720C4">
              <w:t>s</w:t>
            </w:r>
            <w:r w:rsidR="00914373" w:rsidRPr="00684FED">
              <w:t xml:space="preserve"> from 2022</w:t>
            </w:r>
            <w:r w:rsidR="00831F35">
              <w:t>–</w:t>
            </w:r>
            <w:r w:rsidR="00914373" w:rsidRPr="00684FED">
              <w:t>23</w:t>
            </w:r>
            <w:r w:rsidR="002B7E81">
              <w:t>.</w:t>
            </w:r>
          </w:p>
        </w:tc>
      </w:tr>
    </w:tbl>
    <w:p w14:paraId="62B6FC9C" w14:textId="2F899FAA" w:rsidR="00B34FEA" w:rsidRDefault="00B34FEA" w:rsidP="00551AEB">
      <w:pPr>
        <w:spacing w:after="0"/>
      </w:pPr>
    </w:p>
    <w:p w14:paraId="4DBF00F1" w14:textId="77777777" w:rsidR="00B34FEA" w:rsidRDefault="00B34FEA">
      <w:r>
        <w:br w:type="page"/>
      </w:r>
    </w:p>
    <w:tbl>
      <w:tblPr>
        <w:tblStyle w:val="TableGrid"/>
        <w:tblW w:w="5000" w:type="pct"/>
        <w:tblLook w:val="04A0" w:firstRow="1" w:lastRow="0" w:firstColumn="1" w:lastColumn="0" w:noHBand="0" w:noVBand="1"/>
      </w:tblPr>
      <w:tblGrid>
        <w:gridCol w:w="5324"/>
        <w:gridCol w:w="5325"/>
      </w:tblGrid>
      <w:tr w:rsidR="00CC516F" w:rsidRPr="00684FED" w14:paraId="6DF65167" w14:textId="77777777" w:rsidTr="002A43E8">
        <w:tc>
          <w:tcPr>
            <w:tcW w:w="2500" w:type="pct"/>
          </w:tcPr>
          <w:p w14:paraId="3164D7B0" w14:textId="77777777" w:rsidR="00CC516F" w:rsidRPr="00684FED" w:rsidRDefault="00CC516F" w:rsidP="002A43E8">
            <w:r w:rsidRPr="00684FED">
              <w:rPr>
                <w:b/>
                <w:bCs/>
                <w:sz w:val="24"/>
                <w:szCs w:val="24"/>
              </w:rPr>
              <w:t>Performance measure</w:t>
            </w:r>
          </w:p>
        </w:tc>
        <w:tc>
          <w:tcPr>
            <w:tcW w:w="2500" w:type="pct"/>
          </w:tcPr>
          <w:p w14:paraId="04B34F50" w14:textId="77777777" w:rsidR="00CC516F" w:rsidRPr="00684FED" w:rsidRDefault="00CC516F" w:rsidP="002A43E8">
            <w:r w:rsidRPr="00684FED">
              <w:rPr>
                <w:b/>
                <w:bCs/>
                <w:sz w:val="24"/>
                <w:szCs w:val="24"/>
              </w:rPr>
              <w:t>Target 2023</w:t>
            </w:r>
            <w:r>
              <w:rPr>
                <w:b/>
                <w:bCs/>
                <w:sz w:val="24"/>
                <w:szCs w:val="24"/>
              </w:rPr>
              <w:t>–</w:t>
            </w:r>
            <w:r w:rsidRPr="00684FED">
              <w:rPr>
                <w:b/>
                <w:bCs/>
                <w:sz w:val="24"/>
                <w:szCs w:val="24"/>
              </w:rPr>
              <w:t>24 to 2026</w:t>
            </w:r>
            <w:r>
              <w:rPr>
                <w:b/>
                <w:bCs/>
                <w:sz w:val="24"/>
                <w:szCs w:val="24"/>
              </w:rPr>
              <w:t>–</w:t>
            </w:r>
            <w:r w:rsidRPr="00684FED">
              <w:rPr>
                <w:b/>
                <w:bCs/>
                <w:sz w:val="24"/>
                <w:szCs w:val="24"/>
              </w:rPr>
              <w:t>27</w:t>
            </w:r>
          </w:p>
        </w:tc>
      </w:tr>
      <w:tr w:rsidR="00CC516F" w:rsidRPr="00684FED" w14:paraId="5CB03467" w14:textId="77777777" w:rsidTr="002A43E8">
        <w:tc>
          <w:tcPr>
            <w:tcW w:w="2500" w:type="pct"/>
          </w:tcPr>
          <w:p w14:paraId="1D9DD61B" w14:textId="77777777" w:rsidR="00CC516F" w:rsidRPr="00684FED" w:rsidRDefault="00CC516F" w:rsidP="002A43E8">
            <w:pPr>
              <w:rPr>
                <w:b/>
                <w:bCs/>
                <w:sz w:val="24"/>
                <w:szCs w:val="24"/>
              </w:rPr>
            </w:pPr>
            <w:r w:rsidRPr="00684FED">
              <w:rPr>
                <w:b/>
                <w:bCs/>
                <w:sz w:val="24"/>
                <w:szCs w:val="24"/>
              </w:rPr>
              <w:t>14. Increase opportunities for resources project investment</w:t>
            </w:r>
          </w:p>
          <w:p w14:paraId="4B2B7CAF" w14:textId="77777777" w:rsidR="00CC516F" w:rsidRPr="00684FED" w:rsidRDefault="00CC516F" w:rsidP="002A43E8">
            <w:pPr>
              <w:rPr>
                <w:sz w:val="24"/>
                <w:szCs w:val="24"/>
              </w:rPr>
            </w:pPr>
          </w:p>
          <w:p w14:paraId="5E5B2C39" w14:textId="77777777" w:rsidR="00CC516F" w:rsidRPr="00684FED" w:rsidRDefault="00CC516F" w:rsidP="002A43E8">
            <w:r w:rsidRPr="00684FED">
              <w:rPr>
                <w:i/>
                <w:iCs/>
                <w:sz w:val="24"/>
                <w:szCs w:val="24"/>
              </w:rPr>
              <w:t>Output</w:t>
            </w:r>
          </w:p>
        </w:tc>
        <w:tc>
          <w:tcPr>
            <w:tcW w:w="2500" w:type="pct"/>
          </w:tcPr>
          <w:p w14:paraId="6ABC8110" w14:textId="1B68E03C" w:rsidR="00CC516F" w:rsidRPr="00684FED" w:rsidRDefault="00CC516F" w:rsidP="002A43E8">
            <w:pPr>
              <w:rPr>
                <w:b/>
                <w:bCs/>
                <w:sz w:val="24"/>
                <w:szCs w:val="24"/>
              </w:rPr>
            </w:pPr>
            <w:r w:rsidRPr="00684FED">
              <w:rPr>
                <w:b/>
                <w:bCs/>
                <w:sz w:val="24"/>
                <w:szCs w:val="24"/>
              </w:rPr>
              <w:t>At least one release of acreage or award of titles for offshore resources oil and gas exploration or greenhouse gas storage exploration per year</w:t>
            </w:r>
          </w:p>
        </w:tc>
      </w:tr>
      <w:tr w:rsidR="00CC516F" w:rsidRPr="00684FED" w14:paraId="4324934A" w14:textId="77777777" w:rsidTr="002A43E8">
        <w:tc>
          <w:tcPr>
            <w:tcW w:w="5000" w:type="pct"/>
            <w:gridSpan w:val="2"/>
          </w:tcPr>
          <w:p w14:paraId="6ED73B57" w14:textId="3AB10991" w:rsidR="00CC516F" w:rsidRPr="00684FED" w:rsidRDefault="00CC516F" w:rsidP="002A43E8">
            <w:r w:rsidRPr="00684FED">
              <w:rPr>
                <w:b/>
                <w:bCs/>
              </w:rPr>
              <w:t>Why this matters</w:t>
            </w:r>
          </w:p>
          <w:p w14:paraId="520C7656" w14:textId="77777777" w:rsidR="00CC516F" w:rsidRPr="00684FED" w:rsidRDefault="00CC516F" w:rsidP="002A43E8">
            <w:r w:rsidRPr="00684FED">
              <w:t xml:space="preserve">The release of offshore acreage and </w:t>
            </w:r>
            <w:r>
              <w:t xml:space="preserve">award of </w:t>
            </w:r>
            <w:r w:rsidRPr="00684FED">
              <w:t xml:space="preserve">new titles for petroleum and greenhouse gas storage exploration </w:t>
            </w:r>
            <w:r>
              <w:t>helps</w:t>
            </w:r>
            <w:r w:rsidRPr="00684FED">
              <w:t xml:space="preserve"> to </w:t>
            </w:r>
            <w:r>
              <w:t>secure</w:t>
            </w:r>
            <w:r w:rsidRPr="00684FED">
              <w:t xml:space="preserve"> ongoing new investment in the resources sector, ensuring future energy supply and enabling the abatement of carbon emissions.</w:t>
            </w:r>
          </w:p>
        </w:tc>
      </w:tr>
      <w:tr w:rsidR="00CC516F" w:rsidRPr="000F7843" w14:paraId="6520CCBB" w14:textId="77777777" w:rsidTr="002A43E8">
        <w:tc>
          <w:tcPr>
            <w:tcW w:w="5000" w:type="pct"/>
            <w:gridSpan w:val="2"/>
          </w:tcPr>
          <w:p w14:paraId="6D3353C0" w14:textId="31EBB5FA" w:rsidR="00CC516F" w:rsidRPr="000F7843" w:rsidRDefault="00CC516F" w:rsidP="002A43E8">
            <w:pPr>
              <w:spacing w:before="60" w:after="60"/>
              <w:rPr>
                <w:rFonts w:asciiTheme="majorHAnsi" w:hAnsiTheme="majorHAnsi" w:cstheme="majorBidi"/>
              </w:rPr>
            </w:pPr>
            <w:r w:rsidRPr="00684FED">
              <w:rPr>
                <w:b/>
                <w:bCs/>
              </w:rPr>
              <w:t>Data source</w:t>
            </w:r>
            <w:r w:rsidRPr="00684FED">
              <w:br/>
            </w:r>
            <w:r w:rsidRPr="000F7843">
              <w:rPr>
                <w:rFonts w:asciiTheme="majorHAnsi" w:hAnsiTheme="majorHAnsi" w:cstheme="majorBidi"/>
              </w:rPr>
              <w:t xml:space="preserve">Specific releases are published online via the department’s website and data held in the </w:t>
            </w:r>
            <w:r w:rsidRPr="0050703A">
              <w:rPr>
                <w:rFonts w:asciiTheme="majorHAnsi" w:hAnsiTheme="majorHAnsi" w:cstheme="majorBidi"/>
                <w:i/>
                <w:iCs/>
              </w:rPr>
              <w:t>Acreage release bidding statistics</w:t>
            </w:r>
            <w:r w:rsidRPr="000F7843">
              <w:rPr>
                <w:rFonts w:asciiTheme="majorHAnsi" w:hAnsiTheme="majorHAnsi" w:cstheme="majorBidi"/>
              </w:rPr>
              <w:t xml:space="preserve"> report.</w:t>
            </w:r>
            <w:r>
              <w:rPr>
                <w:rFonts w:asciiTheme="majorHAnsi" w:hAnsiTheme="majorHAnsi" w:cstheme="majorBidi"/>
              </w:rPr>
              <w:t xml:space="preserve"> </w:t>
            </w:r>
            <w:r w:rsidRPr="000F7843">
              <w:rPr>
                <w:rFonts w:asciiTheme="majorHAnsi" w:hAnsiTheme="majorHAnsi" w:cstheme="majorBidi"/>
              </w:rPr>
              <w:t xml:space="preserve">Award of titles data is held by the National Offshore Petroleum Titles Administrator’s National Electronic Approvals Tracking System. Specific areas and awards are published online via the department’s website. Additional sources include </w:t>
            </w:r>
            <w:r w:rsidRPr="00021B9D">
              <w:rPr>
                <w:rFonts w:asciiTheme="majorHAnsi" w:hAnsiTheme="majorHAnsi" w:cstheme="majorBidi"/>
                <w:i/>
                <w:iCs/>
              </w:rPr>
              <w:t>Australian Government Gazette</w:t>
            </w:r>
            <w:r w:rsidRPr="000F7843">
              <w:rPr>
                <w:rFonts w:asciiTheme="majorHAnsi" w:hAnsiTheme="majorHAnsi" w:cstheme="majorBidi"/>
              </w:rPr>
              <w:t xml:space="preserve"> </w:t>
            </w:r>
            <w:r>
              <w:rPr>
                <w:rFonts w:asciiTheme="majorHAnsi" w:hAnsiTheme="majorHAnsi" w:cstheme="majorBidi"/>
              </w:rPr>
              <w:t>n</w:t>
            </w:r>
            <w:r w:rsidRPr="000F7843">
              <w:rPr>
                <w:rFonts w:asciiTheme="majorHAnsi" w:hAnsiTheme="majorHAnsi" w:cstheme="majorBidi"/>
              </w:rPr>
              <w:t xml:space="preserve">otices and </w:t>
            </w:r>
            <w:r>
              <w:rPr>
                <w:rFonts w:asciiTheme="majorHAnsi" w:hAnsiTheme="majorHAnsi" w:cstheme="majorBidi"/>
              </w:rPr>
              <w:t>m</w:t>
            </w:r>
            <w:r w:rsidRPr="000F7843">
              <w:rPr>
                <w:rFonts w:asciiTheme="majorHAnsi" w:hAnsiTheme="majorHAnsi" w:cstheme="majorBidi"/>
              </w:rPr>
              <w:t>inisterial media releases announcing the outcomes of the acreage release process (where relevant).</w:t>
            </w:r>
          </w:p>
        </w:tc>
      </w:tr>
      <w:tr w:rsidR="00CC516F" w:rsidRPr="00684FED" w14:paraId="2A242F12" w14:textId="77777777" w:rsidTr="002A43E8">
        <w:tc>
          <w:tcPr>
            <w:tcW w:w="5000" w:type="pct"/>
            <w:gridSpan w:val="2"/>
          </w:tcPr>
          <w:p w14:paraId="365B1600" w14:textId="77EBF38F" w:rsidR="00CC516F" w:rsidRPr="00684FED" w:rsidRDefault="00CC516F" w:rsidP="002A43E8">
            <w:pPr>
              <w:rPr>
                <w:b/>
                <w:bCs/>
              </w:rPr>
            </w:pPr>
            <w:r w:rsidRPr="00684FED">
              <w:rPr>
                <w:b/>
                <w:bCs/>
              </w:rPr>
              <w:t>Methodology</w:t>
            </w:r>
          </w:p>
          <w:p w14:paraId="5F67BF56" w14:textId="67A2B071" w:rsidR="00CC516F" w:rsidRPr="00684FED" w:rsidRDefault="00CC516F" w:rsidP="002A43E8">
            <w:pPr>
              <w:spacing w:after="120"/>
              <w:rPr>
                <w:bCs/>
              </w:rPr>
            </w:pPr>
            <w:r w:rsidRPr="00684FED">
              <w:t xml:space="preserve">Reporting on </w:t>
            </w:r>
            <w:r>
              <w:t xml:space="preserve">the </w:t>
            </w:r>
            <w:r w:rsidRPr="00684FED">
              <w:t>number of releases and award of titles from the relevant financial year.</w:t>
            </w:r>
          </w:p>
        </w:tc>
      </w:tr>
      <w:tr w:rsidR="00CC516F" w:rsidRPr="00684FED" w14:paraId="178EF87F" w14:textId="77777777" w:rsidTr="002A43E8">
        <w:tc>
          <w:tcPr>
            <w:tcW w:w="5000" w:type="pct"/>
            <w:gridSpan w:val="2"/>
          </w:tcPr>
          <w:p w14:paraId="24B53133" w14:textId="698D6129" w:rsidR="00CC516F" w:rsidRDefault="00CC516F" w:rsidP="002A43E8">
            <w:r w:rsidRPr="00684FED">
              <w:rPr>
                <w:b/>
                <w:bCs/>
              </w:rPr>
              <w:t>Changes from previous year</w:t>
            </w:r>
          </w:p>
          <w:p w14:paraId="492E7D6F" w14:textId="1F7DF72F" w:rsidR="00CC516F" w:rsidRPr="00684FED" w:rsidRDefault="00CC516F" w:rsidP="002A43E8">
            <w:r>
              <w:t>No</w:t>
            </w:r>
            <w:r w:rsidRPr="00684FED">
              <w:t xml:space="preserve"> changes from 2022</w:t>
            </w:r>
            <w:r>
              <w:t>–</w:t>
            </w:r>
            <w:r w:rsidRPr="00684FED">
              <w:t>23</w:t>
            </w:r>
            <w:r>
              <w:t>.</w:t>
            </w:r>
          </w:p>
        </w:tc>
      </w:tr>
    </w:tbl>
    <w:p w14:paraId="40F92748" w14:textId="77777777" w:rsidR="00CC516F" w:rsidRPr="00684FED" w:rsidRDefault="00CC516F" w:rsidP="00551AEB">
      <w:pPr>
        <w:spacing w:after="0"/>
      </w:pPr>
    </w:p>
    <w:tbl>
      <w:tblPr>
        <w:tblStyle w:val="TableGrid"/>
        <w:tblW w:w="5000" w:type="pct"/>
        <w:tblLook w:val="04A0" w:firstRow="1" w:lastRow="0" w:firstColumn="1" w:lastColumn="0" w:noHBand="0" w:noVBand="1"/>
      </w:tblPr>
      <w:tblGrid>
        <w:gridCol w:w="5324"/>
        <w:gridCol w:w="5325"/>
      </w:tblGrid>
      <w:tr w:rsidR="00581484" w:rsidRPr="00684FED" w14:paraId="34043774" w14:textId="77777777" w:rsidTr="218580CA">
        <w:tc>
          <w:tcPr>
            <w:tcW w:w="2500" w:type="pct"/>
          </w:tcPr>
          <w:p w14:paraId="19A46C98" w14:textId="77777777" w:rsidR="007A07BA" w:rsidRPr="00684FED" w:rsidRDefault="007A07BA">
            <w:r w:rsidRPr="00684FED">
              <w:rPr>
                <w:b/>
                <w:bCs/>
                <w:sz w:val="24"/>
                <w:szCs w:val="24"/>
              </w:rPr>
              <w:t>Performance measure</w:t>
            </w:r>
          </w:p>
        </w:tc>
        <w:tc>
          <w:tcPr>
            <w:tcW w:w="2500" w:type="pct"/>
          </w:tcPr>
          <w:p w14:paraId="53E6D32B" w14:textId="609F8E8A" w:rsidR="007A07BA" w:rsidRPr="00684FED" w:rsidRDefault="007A07BA">
            <w:r w:rsidRPr="00684FED">
              <w:rPr>
                <w:b/>
                <w:bCs/>
                <w:sz w:val="24"/>
                <w:szCs w:val="24"/>
              </w:rPr>
              <w:t>Target 2023</w:t>
            </w:r>
            <w:r w:rsidR="00831F35">
              <w:rPr>
                <w:b/>
                <w:bCs/>
                <w:sz w:val="24"/>
                <w:szCs w:val="24"/>
              </w:rPr>
              <w:t>–</w:t>
            </w:r>
            <w:r w:rsidRPr="00684FED">
              <w:rPr>
                <w:b/>
                <w:bCs/>
                <w:sz w:val="24"/>
                <w:szCs w:val="24"/>
              </w:rPr>
              <w:t>24 to 2026</w:t>
            </w:r>
            <w:r w:rsidR="00831F35">
              <w:rPr>
                <w:b/>
                <w:bCs/>
                <w:sz w:val="24"/>
                <w:szCs w:val="24"/>
              </w:rPr>
              <w:t>–</w:t>
            </w:r>
            <w:r w:rsidRPr="00684FED">
              <w:rPr>
                <w:b/>
                <w:bCs/>
                <w:sz w:val="24"/>
                <w:szCs w:val="24"/>
              </w:rPr>
              <w:t>27</w:t>
            </w:r>
          </w:p>
        </w:tc>
      </w:tr>
      <w:tr w:rsidR="00581484" w:rsidRPr="00684FED" w14:paraId="41114DCA" w14:textId="77777777" w:rsidTr="218580CA">
        <w:tc>
          <w:tcPr>
            <w:tcW w:w="2500" w:type="pct"/>
          </w:tcPr>
          <w:p w14:paraId="042E9716" w14:textId="6469984D" w:rsidR="007A07BA" w:rsidRPr="00684FED" w:rsidRDefault="007A07BA" w:rsidP="002A43E8">
            <w:pPr>
              <w:rPr>
                <w:b/>
                <w:bCs/>
                <w:sz w:val="24"/>
                <w:szCs w:val="24"/>
              </w:rPr>
            </w:pPr>
            <w:r w:rsidRPr="00684FED">
              <w:rPr>
                <w:b/>
                <w:bCs/>
                <w:sz w:val="24"/>
                <w:szCs w:val="24"/>
              </w:rPr>
              <w:t xml:space="preserve">15. The National Offshore Petroleum Titles Administrator (NOPTA) published assessment timeframes for applications made under the </w:t>
            </w:r>
            <w:r w:rsidRPr="00684FED">
              <w:rPr>
                <w:b/>
                <w:bCs/>
                <w:i/>
                <w:iCs/>
                <w:sz w:val="24"/>
                <w:szCs w:val="24"/>
              </w:rPr>
              <w:t xml:space="preserve">Offshore Petroleum and Greenhouse </w:t>
            </w:r>
            <w:r w:rsidR="005F4620">
              <w:rPr>
                <w:b/>
                <w:bCs/>
                <w:i/>
                <w:iCs/>
                <w:sz w:val="24"/>
                <w:szCs w:val="24"/>
              </w:rPr>
              <w:t xml:space="preserve">Gas </w:t>
            </w:r>
            <w:r w:rsidRPr="00684FED">
              <w:rPr>
                <w:b/>
                <w:bCs/>
                <w:i/>
                <w:iCs/>
                <w:sz w:val="24"/>
                <w:szCs w:val="24"/>
              </w:rPr>
              <w:t>Storage Act 2006</w:t>
            </w:r>
            <w:r w:rsidRPr="00684FED">
              <w:rPr>
                <w:b/>
                <w:bCs/>
                <w:sz w:val="24"/>
                <w:szCs w:val="24"/>
              </w:rPr>
              <w:t xml:space="preserve"> (OPGGS Act) are met.</w:t>
            </w:r>
          </w:p>
          <w:p w14:paraId="0A66EA22" w14:textId="77777777" w:rsidR="007A07BA" w:rsidRPr="00684FED" w:rsidRDefault="007A07BA" w:rsidP="002A43E8">
            <w:pPr>
              <w:rPr>
                <w:sz w:val="24"/>
                <w:szCs w:val="24"/>
              </w:rPr>
            </w:pPr>
          </w:p>
          <w:p w14:paraId="2930C43D" w14:textId="1B19ED8F" w:rsidR="007A07BA" w:rsidRPr="00684FED" w:rsidRDefault="00792138">
            <w:r>
              <w:rPr>
                <w:i/>
                <w:iCs/>
                <w:sz w:val="24"/>
                <w:szCs w:val="24"/>
              </w:rPr>
              <w:t>Efficiency</w:t>
            </w:r>
          </w:p>
        </w:tc>
        <w:tc>
          <w:tcPr>
            <w:tcW w:w="2500" w:type="pct"/>
          </w:tcPr>
          <w:p w14:paraId="4EE5203E" w14:textId="216F1E16" w:rsidR="007A07BA" w:rsidRPr="00684FED" w:rsidRDefault="007A07BA" w:rsidP="002A43E8">
            <w:pPr>
              <w:rPr>
                <w:b/>
                <w:bCs/>
                <w:sz w:val="24"/>
                <w:szCs w:val="24"/>
              </w:rPr>
            </w:pPr>
            <w:r w:rsidRPr="00684FED">
              <w:rPr>
                <w:b/>
                <w:bCs/>
                <w:sz w:val="24"/>
                <w:szCs w:val="24"/>
              </w:rPr>
              <w:t>Timeframes are met 90% of the time</w:t>
            </w:r>
          </w:p>
        </w:tc>
      </w:tr>
      <w:tr w:rsidR="006914B7" w:rsidRPr="00684FED" w14:paraId="30E93A08" w14:textId="77777777" w:rsidTr="00CC516F">
        <w:trPr>
          <w:trHeight w:val="756"/>
        </w:trPr>
        <w:tc>
          <w:tcPr>
            <w:tcW w:w="5000" w:type="pct"/>
            <w:gridSpan w:val="2"/>
          </w:tcPr>
          <w:p w14:paraId="3482C6CA" w14:textId="4042D3AA" w:rsidR="007A07BA" w:rsidRPr="00684FED" w:rsidRDefault="007A07BA" w:rsidP="218580CA">
            <w:r w:rsidRPr="00684FED">
              <w:rPr>
                <w:b/>
                <w:bCs/>
              </w:rPr>
              <w:t>Why this matters</w:t>
            </w:r>
          </w:p>
          <w:p w14:paraId="0FA830A2" w14:textId="23803234" w:rsidR="007A07BA" w:rsidRPr="00684FED" w:rsidRDefault="00CC7A1D" w:rsidP="008D741C">
            <w:pPr>
              <w:spacing w:after="160"/>
            </w:pPr>
            <w:r w:rsidRPr="00684FED">
              <w:t>Efficient processing of applications supports a strong offshore resources sector by creating business certainty and reducing project timelines.</w:t>
            </w:r>
          </w:p>
        </w:tc>
      </w:tr>
      <w:tr w:rsidR="006914B7" w:rsidRPr="00684FED" w14:paraId="5F0B38F1" w14:textId="77777777" w:rsidTr="005C019C">
        <w:tc>
          <w:tcPr>
            <w:tcW w:w="5000" w:type="pct"/>
            <w:gridSpan w:val="2"/>
          </w:tcPr>
          <w:p w14:paraId="3D3B7201" w14:textId="03F099A4" w:rsidR="007A07BA" w:rsidRPr="00684FED" w:rsidRDefault="007A07BA" w:rsidP="009B4FE4">
            <w:pPr>
              <w:spacing w:before="60" w:after="60" w:line="260" w:lineRule="exact"/>
            </w:pPr>
            <w:r w:rsidRPr="00684FED">
              <w:rPr>
                <w:b/>
                <w:bCs/>
              </w:rPr>
              <w:t>Data source</w:t>
            </w:r>
            <w:r w:rsidRPr="00684FED">
              <w:br/>
            </w:r>
            <w:r w:rsidR="006B746B">
              <w:t>NOPTA’s</w:t>
            </w:r>
            <w:r w:rsidR="009D7102" w:rsidRPr="00684FED">
              <w:t xml:space="preserve"> </w:t>
            </w:r>
            <w:r w:rsidRPr="00684FED">
              <w:t xml:space="preserve">National Electronic Approvals Tracking System </w:t>
            </w:r>
            <w:r w:rsidR="009D7102" w:rsidRPr="00684FED">
              <w:t xml:space="preserve">and the </w:t>
            </w:r>
            <w:r w:rsidR="009D7102" w:rsidRPr="00DE0860">
              <w:t>department’s</w:t>
            </w:r>
            <w:r w:rsidR="009D7102" w:rsidRPr="00684FED">
              <w:t xml:space="preserve"> records</w:t>
            </w:r>
            <w:r w:rsidR="004C7CE0">
              <w:t>.</w:t>
            </w:r>
          </w:p>
        </w:tc>
      </w:tr>
      <w:tr w:rsidR="006914B7" w:rsidRPr="00684FED" w14:paraId="3061F3FC" w14:textId="77777777" w:rsidTr="005C019C">
        <w:tc>
          <w:tcPr>
            <w:tcW w:w="5000" w:type="pct"/>
            <w:gridSpan w:val="2"/>
          </w:tcPr>
          <w:p w14:paraId="36FC7D60" w14:textId="4B57D76F" w:rsidR="001C598C" w:rsidRDefault="0054536E" w:rsidP="001C598C">
            <w:pPr>
              <w:rPr>
                <w:b/>
                <w:bCs/>
              </w:rPr>
            </w:pPr>
            <w:r w:rsidRPr="00684FED">
              <w:rPr>
                <w:b/>
                <w:bCs/>
              </w:rPr>
              <w:t>Methodology</w:t>
            </w:r>
          </w:p>
          <w:p w14:paraId="20A4F447" w14:textId="25F2B6CA" w:rsidR="007A07BA" w:rsidRPr="00684FED" w:rsidRDefault="0054536E" w:rsidP="001C598C">
            <w:r w:rsidRPr="005C019C">
              <w:t xml:space="preserve">The performance calculation is automated by a reporting tool within an internal database. It calculates the percentage of applications that have met the assessment timeframes (timeframes </w:t>
            </w:r>
            <w:r w:rsidR="005F4620">
              <w:t xml:space="preserve">under the </w:t>
            </w:r>
            <w:r w:rsidR="005F4620" w:rsidRPr="004B54EE">
              <w:rPr>
                <w:i/>
                <w:iCs/>
              </w:rPr>
              <w:t>OPGGS Act</w:t>
            </w:r>
            <w:r w:rsidRPr="005C019C">
              <w:t xml:space="preserve"> are hardcoded in the database).</w:t>
            </w:r>
          </w:p>
        </w:tc>
      </w:tr>
      <w:tr w:rsidR="006914B7" w:rsidRPr="00684FED" w14:paraId="16B1A2F4" w14:textId="77777777" w:rsidTr="005C019C">
        <w:tc>
          <w:tcPr>
            <w:tcW w:w="5000" w:type="pct"/>
            <w:gridSpan w:val="2"/>
          </w:tcPr>
          <w:p w14:paraId="4BD70F3C" w14:textId="208C8F08" w:rsidR="00CC516F" w:rsidRDefault="007A07BA" w:rsidP="218580CA">
            <w:r w:rsidRPr="00684FED">
              <w:rPr>
                <w:b/>
                <w:bCs/>
              </w:rPr>
              <w:t>Changes from previous year</w:t>
            </w:r>
          </w:p>
          <w:p w14:paraId="60F502C9" w14:textId="3295E4C5" w:rsidR="007A07BA" w:rsidRPr="00684FED" w:rsidRDefault="00CC516F" w:rsidP="218580CA">
            <w:r>
              <w:t>No</w:t>
            </w:r>
            <w:r w:rsidR="00914373" w:rsidRPr="00684FED">
              <w:t xml:space="preserve"> change</w:t>
            </w:r>
            <w:r w:rsidR="003720C4">
              <w:t>s</w:t>
            </w:r>
            <w:r w:rsidR="00914373" w:rsidRPr="00684FED">
              <w:t xml:space="preserve"> from 2022</w:t>
            </w:r>
            <w:r w:rsidR="00831F35">
              <w:t>–</w:t>
            </w:r>
            <w:r w:rsidR="00914373" w:rsidRPr="00684FED">
              <w:t>23</w:t>
            </w:r>
            <w:r w:rsidR="005F4620">
              <w:t>.</w:t>
            </w:r>
          </w:p>
        </w:tc>
      </w:tr>
      <w:tr w:rsidR="006914B7" w:rsidRPr="00684FED" w14:paraId="67A7A519" w14:textId="77777777" w:rsidTr="005C019C">
        <w:tc>
          <w:tcPr>
            <w:tcW w:w="5000" w:type="pct"/>
            <w:gridSpan w:val="2"/>
          </w:tcPr>
          <w:p w14:paraId="5ED0CCCB" w14:textId="46154103" w:rsidR="007A07BA" w:rsidRPr="00684FED" w:rsidRDefault="00541211" w:rsidP="218580CA">
            <w:r>
              <w:rPr>
                <w:b/>
                <w:bCs/>
              </w:rPr>
              <w:t>Department’s r</w:t>
            </w:r>
            <w:r w:rsidR="007A07BA" w:rsidRPr="00684FED">
              <w:rPr>
                <w:b/>
                <w:bCs/>
              </w:rPr>
              <w:t>egula</w:t>
            </w:r>
            <w:r>
              <w:rPr>
                <w:b/>
                <w:bCs/>
              </w:rPr>
              <w:t>tory</w:t>
            </w:r>
            <w:r w:rsidR="007A07BA" w:rsidRPr="00684FED">
              <w:rPr>
                <w:b/>
                <w:bCs/>
              </w:rPr>
              <w:t xml:space="preserve"> function</w:t>
            </w:r>
            <w:r>
              <w:rPr>
                <w:b/>
                <w:bCs/>
              </w:rPr>
              <w:t>s</w:t>
            </w:r>
          </w:p>
          <w:p w14:paraId="370696BA" w14:textId="5EBEE53E" w:rsidR="007A07BA" w:rsidRPr="00684FED" w:rsidRDefault="00EB5E81" w:rsidP="002A43E8">
            <w:r>
              <w:t xml:space="preserve">This performance measure relates to the activities of </w:t>
            </w:r>
            <w:r w:rsidR="005F4620">
              <w:t>NOPTA.</w:t>
            </w:r>
          </w:p>
        </w:tc>
      </w:tr>
    </w:tbl>
    <w:p w14:paraId="76DDBF94" w14:textId="0102E46D" w:rsidR="00660804" w:rsidRPr="00DF7463" w:rsidRDefault="00660804" w:rsidP="00862684"/>
    <w:p w14:paraId="1AF82338" w14:textId="7470B871" w:rsidR="00DA471F" w:rsidRPr="00684FED" w:rsidRDefault="00DA471F" w:rsidP="00DA471F">
      <w:pPr>
        <w:pStyle w:val="Heading3"/>
      </w:pPr>
      <w:r w:rsidRPr="00684FED">
        <w:t>Removed performance measure</w:t>
      </w:r>
      <w:r w:rsidR="00A55124" w:rsidRPr="00684FED">
        <w:t xml:space="preserve"> for activity 1.3</w:t>
      </w:r>
    </w:p>
    <w:tbl>
      <w:tblPr>
        <w:tblStyle w:val="TableGrid"/>
        <w:tblW w:w="10622" w:type="dxa"/>
        <w:tblLook w:val="04A0" w:firstRow="1" w:lastRow="0" w:firstColumn="1" w:lastColumn="0" w:noHBand="0" w:noVBand="1"/>
      </w:tblPr>
      <w:tblGrid>
        <w:gridCol w:w="5913"/>
        <w:gridCol w:w="4709"/>
      </w:tblGrid>
      <w:tr w:rsidR="001D431B" w:rsidRPr="00684FED" w14:paraId="7A178E8C" w14:textId="77777777" w:rsidTr="218580CA">
        <w:tc>
          <w:tcPr>
            <w:tcW w:w="5913" w:type="dxa"/>
          </w:tcPr>
          <w:p w14:paraId="3C6BC8E7" w14:textId="77777777" w:rsidR="001D431B" w:rsidRPr="00684FED" w:rsidRDefault="001D431B">
            <w:r w:rsidRPr="00684FED">
              <w:rPr>
                <w:rFonts w:asciiTheme="majorHAnsi" w:hAnsiTheme="majorHAnsi" w:cstheme="majorBidi"/>
                <w:b/>
                <w:bCs/>
              </w:rPr>
              <w:t>Performance measure</w:t>
            </w:r>
          </w:p>
        </w:tc>
        <w:tc>
          <w:tcPr>
            <w:tcW w:w="4709" w:type="dxa"/>
          </w:tcPr>
          <w:p w14:paraId="0639FFD0" w14:textId="6E7D71DB" w:rsidR="001D431B" w:rsidRPr="00684FED" w:rsidRDefault="00A72BF5">
            <w:r w:rsidRPr="00684FED">
              <w:rPr>
                <w:rFonts w:asciiTheme="majorHAnsi" w:hAnsiTheme="majorHAnsi" w:cstheme="majorBidi"/>
                <w:b/>
                <w:bCs/>
              </w:rPr>
              <w:t>Reason for removal</w:t>
            </w:r>
          </w:p>
        </w:tc>
      </w:tr>
      <w:tr w:rsidR="001D431B" w:rsidRPr="00684FED" w14:paraId="49D5C121" w14:textId="77777777" w:rsidTr="218580CA">
        <w:tc>
          <w:tcPr>
            <w:tcW w:w="5913" w:type="dxa"/>
          </w:tcPr>
          <w:p w14:paraId="18DE0275" w14:textId="2D5DB530" w:rsidR="001D431B" w:rsidRPr="00684FED" w:rsidRDefault="00D54681" w:rsidP="00DA471F">
            <w:r w:rsidRPr="00684FED">
              <w:t xml:space="preserve">Safe and effective administration and operation of Australia’s offshore oil, gas and </w:t>
            </w:r>
            <w:r w:rsidR="006D6975" w:rsidRPr="00684FED">
              <w:t xml:space="preserve">greenhouse gas </w:t>
            </w:r>
            <w:r w:rsidRPr="00684FED">
              <w:t>industry</w:t>
            </w:r>
          </w:p>
        </w:tc>
        <w:tc>
          <w:tcPr>
            <w:tcW w:w="4709" w:type="dxa"/>
          </w:tcPr>
          <w:p w14:paraId="427CD3CA" w14:textId="4AB81B24" w:rsidR="001D431B" w:rsidRPr="00684FED" w:rsidRDefault="005F4620" w:rsidP="00DA471F">
            <w:r>
              <w:t>T</w:t>
            </w:r>
            <w:r w:rsidR="000F76BF">
              <w:t xml:space="preserve">he department’s review of the safety regime of the oil and gas sector </w:t>
            </w:r>
            <w:r w:rsidR="002B7E81">
              <w:t>w</w:t>
            </w:r>
            <w:r>
              <w:t>as</w:t>
            </w:r>
            <w:r w:rsidR="000F76BF">
              <w:t xml:space="preserve"> completed in 2022</w:t>
            </w:r>
            <w:r w:rsidR="00831F35">
              <w:t>–</w:t>
            </w:r>
            <w:r w:rsidR="000F76BF">
              <w:t>23</w:t>
            </w:r>
            <w:r w:rsidR="002B7E81">
              <w:t>.</w:t>
            </w:r>
          </w:p>
        </w:tc>
      </w:tr>
      <w:bookmarkEnd w:id="121"/>
    </w:tbl>
    <w:p w14:paraId="46CF54E1" w14:textId="69685C2D" w:rsidR="00DA471F" w:rsidRDefault="00DA471F" w:rsidP="00773EEE">
      <w:pPr>
        <w:spacing w:after="0"/>
      </w:pPr>
    </w:p>
    <w:p w14:paraId="22C36B9A" w14:textId="77777777" w:rsidR="00773EEE" w:rsidRPr="00C94C8D" w:rsidRDefault="00551AEB" w:rsidP="00862684">
      <w:pPr>
        <w:rPr>
          <w:sz w:val="24"/>
          <w:szCs w:val="24"/>
        </w:rPr>
      </w:pPr>
      <w:bookmarkStart w:id="131" w:name="_Hlk137056859"/>
      <w:r>
        <w:br w:type="page"/>
      </w:r>
      <w:bookmarkEnd w:id="131"/>
      <w:r w:rsidR="0AB45692" w:rsidRPr="00C94C8D">
        <w:rPr>
          <w:sz w:val="24"/>
          <w:szCs w:val="24"/>
        </w:rPr>
        <w:t>Creative Commons</w:t>
      </w:r>
    </w:p>
    <w:p w14:paraId="3E03C332" w14:textId="4E4A2758" w:rsidR="00773EEE" w:rsidRPr="00C94C8D" w:rsidRDefault="0AB45692" w:rsidP="0AB45692">
      <w:pPr>
        <w:rPr>
          <w:rStyle w:val="Strong"/>
          <w:sz w:val="14"/>
          <w:szCs w:val="14"/>
        </w:rPr>
      </w:pPr>
      <w:r w:rsidRPr="00C94C8D">
        <w:rPr>
          <w:rStyle w:val="Strong"/>
          <w:sz w:val="14"/>
          <w:szCs w:val="14"/>
        </w:rPr>
        <w:t>© Commonwealth of Australia 202</w:t>
      </w:r>
      <w:r w:rsidR="000E19EA" w:rsidRPr="00C94C8D">
        <w:rPr>
          <w:rStyle w:val="Strong"/>
          <w:sz w:val="14"/>
          <w:szCs w:val="14"/>
        </w:rPr>
        <w:t>3</w:t>
      </w:r>
    </w:p>
    <w:p w14:paraId="31641D3F" w14:textId="77777777" w:rsidR="00773EEE" w:rsidRPr="00C94C8D" w:rsidRDefault="0AB45692" w:rsidP="0AB45692">
      <w:pPr>
        <w:rPr>
          <w:rStyle w:val="Strong"/>
          <w:sz w:val="14"/>
          <w:szCs w:val="14"/>
        </w:rPr>
      </w:pPr>
      <w:r w:rsidRPr="00C94C8D">
        <w:rPr>
          <w:rStyle w:val="Strong"/>
          <w:sz w:val="14"/>
          <w:szCs w:val="14"/>
        </w:rPr>
        <w:t>Ownership of intellectual property rights</w:t>
      </w:r>
    </w:p>
    <w:p w14:paraId="68C2C9AF" w14:textId="77777777" w:rsidR="00773EEE" w:rsidRPr="00C94C8D" w:rsidRDefault="0AB45692" w:rsidP="00773EEE">
      <w:pPr>
        <w:rPr>
          <w:sz w:val="14"/>
          <w:szCs w:val="14"/>
        </w:rPr>
      </w:pPr>
      <w:r w:rsidRPr="00C94C8D">
        <w:rPr>
          <w:sz w:val="14"/>
          <w:szCs w:val="14"/>
        </w:rPr>
        <w:t>Unless otherwise noted, copyright (and any other intellectual property rights, if any) in this publication is owned by the Commonwealth of Australia.</w:t>
      </w:r>
    </w:p>
    <w:p w14:paraId="13C02993" w14:textId="77777777" w:rsidR="00773EEE" w:rsidRPr="00C94C8D" w:rsidRDefault="0AB45692" w:rsidP="0AB45692">
      <w:pPr>
        <w:rPr>
          <w:rStyle w:val="Strong"/>
          <w:sz w:val="14"/>
          <w:szCs w:val="14"/>
        </w:rPr>
      </w:pPr>
      <w:r w:rsidRPr="00C94C8D">
        <w:rPr>
          <w:rStyle w:val="Strong"/>
          <w:sz w:val="14"/>
          <w:szCs w:val="14"/>
        </w:rPr>
        <w:t>Creative Commons licence</w:t>
      </w:r>
    </w:p>
    <w:p w14:paraId="4E07AE90" w14:textId="77777777" w:rsidR="00773EEE" w:rsidRPr="00C94C8D" w:rsidRDefault="00773EEE" w:rsidP="00773EEE">
      <w:pPr>
        <w:rPr>
          <w:rStyle w:val="Strong"/>
          <w:sz w:val="14"/>
          <w:szCs w:val="14"/>
        </w:rPr>
      </w:pPr>
      <w:r w:rsidRPr="00C94C8D">
        <w:rPr>
          <w:b/>
          <w:noProof/>
          <w:sz w:val="14"/>
          <w:szCs w:val="14"/>
          <w:lang w:eastAsia="en-AU"/>
        </w:rPr>
        <w:drawing>
          <wp:inline distT="0" distB="0" distL="0" distR="0" wp14:anchorId="53FDE89A" wp14:editId="4ED14106">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56A2441A" w14:textId="7244CBC1" w:rsidR="00773EEE" w:rsidRPr="00C94C8D" w:rsidRDefault="0AB45692" w:rsidP="0AB45692">
      <w:pPr>
        <w:rPr>
          <w:rStyle w:val="Strong"/>
          <w:sz w:val="14"/>
          <w:szCs w:val="14"/>
        </w:rPr>
      </w:pPr>
      <w:r w:rsidRPr="00C94C8D">
        <w:rPr>
          <w:rStyle w:val="Strong"/>
          <w:sz w:val="14"/>
          <w:szCs w:val="14"/>
        </w:rPr>
        <w:t>Attribution CC BY 4.0</w:t>
      </w:r>
    </w:p>
    <w:p w14:paraId="2A1B8ABD" w14:textId="77777777" w:rsidR="00773EEE" w:rsidRPr="00C94C8D" w:rsidRDefault="0AB45692" w:rsidP="00773EEE">
      <w:pPr>
        <w:rPr>
          <w:sz w:val="14"/>
          <w:szCs w:val="14"/>
        </w:rPr>
      </w:pPr>
      <w:r w:rsidRPr="00C94C8D">
        <w:rPr>
          <w:sz w:val="14"/>
          <w:szCs w:val="14"/>
        </w:rPr>
        <w:t>All material in this publication is licensed under a Creative Commons Attribution 4.0 International Licence, save for content supplied by third parties, logos, any material protected by trademark or otherwise noted in this publication, and the Commonwealth Coat of Arms. These are forms of property which the Commonwealth cannot or usually would not license others to use.</w:t>
      </w:r>
    </w:p>
    <w:p w14:paraId="7DA640B5" w14:textId="41740BDD" w:rsidR="00773EEE" w:rsidRPr="00C94C8D" w:rsidRDefault="0AB45692" w:rsidP="00773EEE">
      <w:pPr>
        <w:rPr>
          <w:sz w:val="14"/>
          <w:szCs w:val="14"/>
        </w:rPr>
      </w:pPr>
      <w:r w:rsidRPr="00C94C8D">
        <w:rPr>
          <w:sz w:val="14"/>
          <w:szCs w:val="14"/>
        </w:rPr>
        <w:t xml:space="preserve">Creative Commons Attribution 4.0 International Licence is a standard form licence agreement that allows you to copy, distribute, transmit and adapt this publication provided you attribute the work. A summary of the licence terms is available from </w:t>
      </w:r>
    </w:p>
    <w:p w14:paraId="6E0D6DF7" w14:textId="77777777" w:rsidR="00773EEE" w:rsidRPr="00C94C8D" w:rsidRDefault="0AB45692" w:rsidP="00773EEE">
      <w:pPr>
        <w:rPr>
          <w:sz w:val="14"/>
          <w:szCs w:val="14"/>
        </w:rPr>
      </w:pPr>
      <w:r w:rsidRPr="00C94C8D">
        <w:rPr>
          <w:sz w:val="14"/>
          <w:szCs w:val="14"/>
        </w:rPr>
        <w:t xml:space="preserve">The full licence terms are available from </w:t>
      </w:r>
      <w:hyperlink r:id="rId24">
        <w:r w:rsidRPr="00C94C8D">
          <w:rPr>
            <w:rStyle w:val="Hyperlink"/>
            <w:sz w:val="14"/>
            <w:szCs w:val="14"/>
          </w:rPr>
          <w:t>https://creativecommons.org/licenses/by/4.0/legalcode</w:t>
        </w:r>
      </w:hyperlink>
    </w:p>
    <w:p w14:paraId="47A4CCF4" w14:textId="2360AB28" w:rsidR="00641495" w:rsidRPr="00551AEB" w:rsidRDefault="0AB45692" w:rsidP="00551AEB">
      <w:pPr>
        <w:rPr>
          <w:sz w:val="14"/>
          <w:szCs w:val="14"/>
        </w:rPr>
        <w:sectPr w:rsidR="00641495" w:rsidRPr="00551AEB" w:rsidSect="00091F95">
          <w:headerReference w:type="default" r:id="rId25"/>
          <w:footerReference w:type="default" r:id="rId26"/>
          <w:pgSz w:w="11906" w:h="16838" w:code="9"/>
          <w:pgMar w:top="680" w:right="567" w:bottom="567" w:left="680" w:header="709" w:footer="210" w:gutter="0"/>
          <w:cols w:space="708"/>
          <w:docGrid w:linePitch="360"/>
        </w:sectPr>
      </w:pPr>
      <w:r w:rsidRPr="00C94C8D">
        <w:rPr>
          <w:sz w:val="14"/>
          <w:szCs w:val="14"/>
        </w:rPr>
        <w:t>Content contained herein should be attributed as Commonwealth of Australia Department of Industry, Science and Resources,</w:t>
      </w:r>
      <w:r w:rsidRPr="00C94C8D">
        <w:rPr>
          <w:i/>
          <w:iCs/>
          <w:sz w:val="14"/>
          <w:szCs w:val="14"/>
        </w:rPr>
        <w:t xml:space="preserve"> Department of Industry, Science and Resources Corporate Plan 2022–23, </w:t>
      </w:r>
      <w:r w:rsidR="00BB0228" w:rsidRPr="00C94C8D">
        <w:rPr>
          <w:sz w:val="14"/>
          <w:szCs w:val="14"/>
        </w:rPr>
        <w:t>August 2023</w:t>
      </w:r>
    </w:p>
    <w:bookmarkEnd w:id="21"/>
    <w:p w14:paraId="5EF7313C" w14:textId="77A16BD4" w:rsidR="00AA740C" w:rsidRPr="00216861" w:rsidRDefault="00AA740C" w:rsidP="00216861"/>
    <w:sectPr w:rsidR="00AA740C" w:rsidRPr="00216861" w:rsidSect="00E919D8">
      <w:headerReference w:type="even" r:id="rId27"/>
      <w:headerReference w:type="default" r:id="rId28"/>
      <w:footerReference w:type="default" r:id="rId29"/>
      <w:headerReference w:type="first" r:id="rId30"/>
      <w:footerReference w:type="first" r:id="rId31"/>
      <w:pgSz w:w="11906" w:h="16838"/>
      <w:pgMar w:top="1276" w:right="1440" w:bottom="1440" w:left="1440" w:header="85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E6DB" w14:textId="77777777" w:rsidR="0017616E" w:rsidRDefault="0017616E" w:rsidP="00B251DB">
      <w:pPr>
        <w:spacing w:after="0" w:line="240" w:lineRule="auto"/>
      </w:pPr>
      <w:r>
        <w:separator/>
      </w:r>
    </w:p>
  </w:endnote>
  <w:endnote w:type="continuationSeparator" w:id="0">
    <w:p w14:paraId="6E79E362" w14:textId="77777777" w:rsidR="0017616E" w:rsidRDefault="0017616E" w:rsidP="00B251DB">
      <w:pPr>
        <w:spacing w:after="0" w:line="240" w:lineRule="auto"/>
      </w:pPr>
      <w:r>
        <w:continuationSeparator/>
      </w:r>
    </w:p>
  </w:endnote>
  <w:endnote w:type="continuationNotice" w:id="1">
    <w:p w14:paraId="23906BD9" w14:textId="77777777" w:rsidR="0017616E" w:rsidRDefault="001761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altName w:val="MS Gothic"/>
    <w:panose1 w:val="00000000000000000000"/>
    <w:charset w:val="00"/>
    <w:family w:val="modern"/>
    <w:notTrueType/>
    <w:pitch w:val="variable"/>
    <w:sig w:usb0="A10000FF" w:usb1="4000005B" w:usb2="00000000" w:usb3="00000000" w:csb0="0000009B" w:csb1="00000000"/>
  </w:font>
  <w:font w:name="Gotham Narrow Bold">
    <w:altName w:val="Tahoma"/>
    <w:panose1 w:val="00000000000000000000"/>
    <w:charset w:val="00"/>
    <w:family w:val="swiss"/>
    <w:notTrueType/>
    <w:pitch w:val="default"/>
    <w:sig w:usb0="00000003" w:usb1="00000000" w:usb2="00000000" w:usb3="00000000" w:csb0="00000001" w:csb1="00000000"/>
  </w:font>
  <w:font w:name="Gotham Narrow Medium">
    <w:altName w:val="Tahoma"/>
    <w:panose1 w:val="00000000000000000000"/>
    <w:charset w:val="00"/>
    <w:family w:val="swiss"/>
    <w:notTrueType/>
    <w:pitch w:val="default"/>
    <w:sig w:usb0="00000003" w:usb1="00000000" w:usb2="00000000" w:usb3="00000000" w:csb0="00000001" w:csb1="00000000"/>
  </w:font>
  <w:font w:name="Gotham Narrow Book">
    <w:altName w:val="Arial"/>
    <w:panose1 w:val="00000000000000000000"/>
    <w:charset w:val="00"/>
    <w:family w:val="modern"/>
    <w:notTrueType/>
    <w:pitch w:val="variable"/>
    <w:sig w:usb0="00000001"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413002"/>
      <w:docPartObj>
        <w:docPartGallery w:val="Page Numbers (Bottom of Page)"/>
        <w:docPartUnique/>
      </w:docPartObj>
    </w:sdtPr>
    <w:sdtEndPr>
      <w:rPr>
        <w:noProof/>
      </w:rPr>
    </w:sdtEndPr>
    <w:sdtContent>
      <w:p w14:paraId="271C4B34" w14:textId="54A6B0A1" w:rsidR="00947B29" w:rsidRDefault="00947B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DD9F22" w14:textId="77777777" w:rsidR="00947B29" w:rsidRDefault="00947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0515" w14:textId="77777777" w:rsidR="00596D2D" w:rsidRDefault="00596D2D" w:rsidP="00BD0F8A">
    <w:pPr>
      <w:pStyle w:val="Footer"/>
      <w:jc w:val="right"/>
      <w:rPr>
        <w:noProof/>
      </w:rPr>
    </w:pPr>
    <w:r>
      <w:tab/>
    </w:r>
    <w:sdt>
      <w:sdtPr>
        <w:id w:val="-10449017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3AD8E539" w14:textId="77777777" w:rsidR="00596D2D" w:rsidRPr="008F5772" w:rsidRDefault="00596D2D" w:rsidP="0AB45692">
    <w:pPr>
      <w:pStyle w:val="Header"/>
      <w:jc w:val="center"/>
      <w:rPr>
        <w:b/>
        <w:bCs/>
        <w:color w:val="FF0000"/>
        <w:sz w:val="28"/>
        <w:szCs w:val="28"/>
      </w:rPr>
    </w:pPr>
    <w:r w:rsidRPr="0AB45692">
      <w:rPr>
        <w:b/>
        <w:bCs/>
        <w:color w:val="FF0000"/>
        <w:sz w:val="28"/>
        <w:szCs w:val="28"/>
      </w:rPr>
      <w:t>CLASSIFICATION</w:t>
    </w:r>
  </w:p>
  <w:p w14:paraId="2DDE9972" w14:textId="77777777" w:rsidR="00596D2D" w:rsidRDefault="00596D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7930" w14:textId="1B496E75" w:rsidR="00596D2D" w:rsidRDefault="00C444E6">
    <w:r>
      <w:t>industry.gov.au/corporateplan</w:t>
    </w:r>
    <w:r w:rsidR="00596D2D">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015A" w14:textId="77777777" w:rsidR="0017616E" w:rsidRDefault="0017616E" w:rsidP="00B251DB">
      <w:pPr>
        <w:spacing w:after="0" w:line="240" w:lineRule="auto"/>
      </w:pPr>
      <w:r>
        <w:separator/>
      </w:r>
    </w:p>
  </w:footnote>
  <w:footnote w:type="continuationSeparator" w:id="0">
    <w:p w14:paraId="56657E63" w14:textId="77777777" w:rsidR="0017616E" w:rsidRDefault="0017616E" w:rsidP="00B251DB">
      <w:pPr>
        <w:spacing w:after="0" w:line="240" w:lineRule="auto"/>
      </w:pPr>
      <w:r>
        <w:continuationSeparator/>
      </w:r>
    </w:p>
  </w:footnote>
  <w:footnote w:type="continuationNotice" w:id="1">
    <w:p w14:paraId="58799405" w14:textId="77777777" w:rsidR="0017616E" w:rsidRDefault="0017616E">
      <w:pPr>
        <w:spacing w:after="0" w:line="240" w:lineRule="auto"/>
      </w:pPr>
    </w:p>
  </w:footnote>
  <w:footnote w:id="2">
    <w:p w14:paraId="7FACB7E9" w14:textId="7847A921" w:rsidR="00E06371" w:rsidRDefault="00E06371">
      <w:pPr>
        <w:pStyle w:val="FootnoteText"/>
      </w:pPr>
      <w:r>
        <w:rPr>
          <w:rStyle w:val="FootnoteReference"/>
        </w:rPr>
        <w:footnoteRef/>
      </w:r>
      <w:r>
        <w:t xml:space="preserve"> </w:t>
      </w:r>
      <w:r>
        <w:rPr>
          <w:rFonts w:asciiTheme="majorHAnsi" w:hAnsiTheme="majorHAnsi" w:cstheme="majorBidi"/>
        </w:rPr>
        <w:t xml:space="preserve">There is no </w:t>
      </w:r>
      <w:r>
        <w:t>p</w:t>
      </w:r>
      <w:r w:rsidRPr="002455F3">
        <w:t xml:space="preserve">erformance information </w:t>
      </w:r>
      <w:r>
        <w:t xml:space="preserve">in relation to PBS 2023–24 Outcome 1, Program 1.4: </w:t>
      </w:r>
      <w:r w:rsidRPr="002455F3">
        <w:t>Nuclear-Powered Submarine Program</w:t>
      </w:r>
      <w:r>
        <w:t>, noting the department has only a limited supporting 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D522" w14:textId="51046E64" w:rsidR="00596D2D" w:rsidRPr="0054115F" w:rsidRDefault="00596D2D" w:rsidP="0AB45692">
    <w:pPr>
      <w:pStyle w:val="Header"/>
      <w:spacing w:after="120"/>
      <w:jc w:val="center"/>
      <w:rPr>
        <w:rFonts w:ascii="Arial" w:hAnsi="Arial" w:cs="Arial"/>
      </w:rPr>
    </w:pPr>
    <w:r w:rsidRPr="1A4FCB24">
      <w:rPr>
        <w:rFonts w:ascii="Arial" w:hAnsi="Arial" w:cs="Arial"/>
        <w:b/>
        <w:bCs/>
        <w:color w:val="FF000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0726" w14:textId="53D9348F" w:rsidR="00596D2D" w:rsidRDefault="00596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6493" w14:textId="4EC22D5C" w:rsidR="00596D2D" w:rsidRPr="008F5772" w:rsidRDefault="00596D2D" w:rsidP="008F5772">
    <w:pPr>
      <w:pStyle w:val="Header"/>
      <w:jc w:val="center"/>
      <w:rPr>
        <w:b/>
        <w:color w:val="FF0000"/>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D61C" w14:textId="04E80374" w:rsidR="00596D2D" w:rsidRDefault="00596D2D">
    <w:pPr>
      <w:pStyle w:val="Header"/>
    </w:pPr>
    <w:r>
      <w:rPr>
        <w:noProof/>
        <w:lang w:eastAsia="en-AU"/>
      </w:rPr>
      <mc:AlternateContent>
        <mc:Choice Requires="wps">
          <w:drawing>
            <wp:anchor distT="0" distB="0" distL="114300" distR="114300" simplePos="0" relativeHeight="251658240" behindDoc="1" locked="0" layoutInCell="1" allowOverlap="1" wp14:anchorId="1ABB81B7" wp14:editId="266C1336">
              <wp:simplePos x="0" y="0"/>
              <wp:positionH relativeFrom="page">
                <wp:align>left</wp:align>
              </wp:positionH>
              <wp:positionV relativeFrom="page">
                <wp:align>top</wp:align>
              </wp:positionV>
              <wp:extent cx="7560000" cy="10692000"/>
              <wp:effectExtent l="0" t="0" r="22225" b="14605"/>
              <wp:wrapNone/>
              <wp:docPr id="1" name="Rectangle 1" descr="Departmental background colour gradient" title="Departmental background colour gradient"/>
              <wp:cNvGraphicFramePr/>
              <a:graphic xmlns:a="http://schemas.openxmlformats.org/drawingml/2006/main">
                <a:graphicData uri="http://schemas.microsoft.com/office/word/2010/wordprocessingShape">
                  <wps:wsp>
                    <wps:cNvSpPr/>
                    <wps:spPr>
                      <a:xfrm>
                        <a:off x="0" y="0"/>
                        <a:ext cx="7560000" cy="10692000"/>
                      </a:xfrm>
                      <a:prstGeom prst="rect">
                        <a:avLst/>
                      </a:prstGeom>
                      <a:gradFill>
                        <a:gsLst>
                          <a:gs pos="0">
                            <a:schemeClr val="accent2"/>
                          </a:gs>
                          <a:gs pos="51000">
                            <a:schemeClr val="tx2"/>
                          </a:gs>
                          <a:gs pos="100000">
                            <a:schemeClr val="accent3"/>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736D8" id="Rectangle 1" o:spid="_x0000_s1026" alt="Title: Departmental background colour gradient - Description: Departmental background colour gradient" style="position:absolute;margin-left:0;margin-top:0;width:595.3pt;height:841.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" fillcolor="#00283e [3205]" strokecolor="#484a4c [1604]" strokeweight="1pt">
              <v:fill color2="#1b9590 [3206]" colors="0 #00283e;33423f #005677;1 #1b9590" focus="100%" type="gradien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1891"/>
    <w:multiLevelType w:val="hybridMultilevel"/>
    <w:tmpl w:val="246A4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483367"/>
    <w:multiLevelType w:val="hybridMultilevel"/>
    <w:tmpl w:val="6AE69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D4B95"/>
    <w:multiLevelType w:val="hybridMultilevel"/>
    <w:tmpl w:val="CF8CA234"/>
    <w:lvl w:ilvl="0" w:tplc="1F56AE7A">
      <w:start w:val="1"/>
      <w:numFmt w:val="decimal"/>
      <w:pStyle w:val="Listone"/>
      <w:lvlText w:val="%1."/>
      <w:lvlJc w:val="left"/>
      <w:pPr>
        <w:ind w:left="360" w:hanging="360"/>
      </w:pPr>
      <w:rPr>
        <w:rFonts w:ascii="Calibri" w:hAnsi="Calibri" w:cs="Calibri" w:hint="default"/>
        <w:color w:val="000000" w:themeColor="text1"/>
        <w:sz w:val="22"/>
        <w:szCs w:val="22"/>
      </w:rPr>
    </w:lvl>
    <w:lvl w:ilvl="1" w:tplc="E5488E76">
      <w:start w:val="1"/>
      <w:numFmt w:val="lowerLetter"/>
      <w:lvlText w:val="%2)"/>
      <w:lvlJc w:val="left"/>
      <w:pPr>
        <w:ind w:left="1080" w:hanging="360"/>
      </w:pPr>
      <w:rPr>
        <w:rFonts w:asciiTheme="minorHAnsi" w:hAnsiTheme="minorHAnsi" w:cstheme="minorHAnsi" w:hint="default"/>
        <w:b w:val="0"/>
        <w:color w:val="000000" w:themeColor="text1"/>
        <w:sz w:val="22"/>
        <w:szCs w:val="22"/>
      </w:rPr>
    </w:lvl>
    <w:lvl w:ilvl="2" w:tplc="52C6D230">
      <w:start w:val="1"/>
      <w:numFmt w:val="lowerRoman"/>
      <w:lvlText w:val="%3."/>
      <w:lvlJc w:val="right"/>
      <w:pPr>
        <w:ind w:left="1800" w:hanging="180"/>
      </w:pPr>
    </w:lvl>
    <w:lvl w:ilvl="3" w:tplc="1A8E2868" w:tentative="1">
      <w:start w:val="1"/>
      <w:numFmt w:val="decimal"/>
      <w:lvlText w:val="%4."/>
      <w:lvlJc w:val="left"/>
      <w:pPr>
        <w:ind w:left="2520" w:hanging="360"/>
      </w:pPr>
    </w:lvl>
    <w:lvl w:ilvl="4" w:tplc="7140386A" w:tentative="1">
      <w:start w:val="1"/>
      <w:numFmt w:val="lowerLetter"/>
      <w:lvlText w:val="%5."/>
      <w:lvlJc w:val="left"/>
      <w:pPr>
        <w:ind w:left="3240" w:hanging="360"/>
      </w:pPr>
    </w:lvl>
    <w:lvl w:ilvl="5" w:tplc="C568CDC6" w:tentative="1">
      <w:start w:val="1"/>
      <w:numFmt w:val="lowerRoman"/>
      <w:lvlText w:val="%6."/>
      <w:lvlJc w:val="right"/>
      <w:pPr>
        <w:ind w:left="3960" w:hanging="180"/>
      </w:pPr>
    </w:lvl>
    <w:lvl w:ilvl="6" w:tplc="CDBAD3BE" w:tentative="1">
      <w:start w:val="1"/>
      <w:numFmt w:val="decimal"/>
      <w:lvlText w:val="%7."/>
      <w:lvlJc w:val="left"/>
      <w:pPr>
        <w:ind w:left="4680" w:hanging="360"/>
      </w:pPr>
    </w:lvl>
    <w:lvl w:ilvl="7" w:tplc="9716A05C" w:tentative="1">
      <w:start w:val="1"/>
      <w:numFmt w:val="lowerLetter"/>
      <w:lvlText w:val="%8."/>
      <w:lvlJc w:val="left"/>
      <w:pPr>
        <w:ind w:left="5400" w:hanging="360"/>
      </w:pPr>
    </w:lvl>
    <w:lvl w:ilvl="8" w:tplc="850E13F6" w:tentative="1">
      <w:start w:val="1"/>
      <w:numFmt w:val="lowerRoman"/>
      <w:lvlText w:val="%9."/>
      <w:lvlJc w:val="right"/>
      <w:pPr>
        <w:ind w:left="6120" w:hanging="180"/>
      </w:pPr>
    </w:lvl>
  </w:abstractNum>
  <w:abstractNum w:abstractNumId="3" w15:restartNumberingAfterBreak="0">
    <w:nsid w:val="09A77355"/>
    <w:multiLevelType w:val="hybridMultilevel"/>
    <w:tmpl w:val="8124C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87F65"/>
    <w:multiLevelType w:val="hybridMultilevel"/>
    <w:tmpl w:val="13DC1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2C4E0F"/>
    <w:multiLevelType w:val="hybridMultilevel"/>
    <w:tmpl w:val="990A9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C53EEA"/>
    <w:multiLevelType w:val="hybridMultilevel"/>
    <w:tmpl w:val="C8AAA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5759D7"/>
    <w:multiLevelType w:val="hybridMultilevel"/>
    <w:tmpl w:val="89807F3A"/>
    <w:lvl w:ilvl="0" w:tplc="B8F2926C">
      <w:start w:val="1"/>
      <w:numFmt w:val="bullet"/>
      <w:lvlText w:val=""/>
      <w:lvlJc w:val="left"/>
      <w:pPr>
        <w:ind w:left="720" w:hanging="360"/>
      </w:pPr>
      <w:rPr>
        <w:rFonts w:ascii="Symbol" w:hAnsi="Symbol" w:hint="default"/>
      </w:rPr>
    </w:lvl>
    <w:lvl w:ilvl="1" w:tplc="B4E2E6E4" w:tentative="1">
      <w:start w:val="1"/>
      <w:numFmt w:val="bullet"/>
      <w:lvlText w:val="o"/>
      <w:lvlJc w:val="left"/>
      <w:pPr>
        <w:ind w:left="1440" w:hanging="360"/>
      </w:pPr>
      <w:rPr>
        <w:rFonts w:ascii="Courier New" w:hAnsi="Courier New" w:cs="Courier New" w:hint="default"/>
      </w:rPr>
    </w:lvl>
    <w:lvl w:ilvl="2" w:tplc="5D363B92" w:tentative="1">
      <w:start w:val="1"/>
      <w:numFmt w:val="bullet"/>
      <w:lvlText w:val=""/>
      <w:lvlJc w:val="left"/>
      <w:pPr>
        <w:ind w:left="2160" w:hanging="360"/>
      </w:pPr>
      <w:rPr>
        <w:rFonts w:ascii="Wingdings" w:hAnsi="Wingdings" w:hint="default"/>
      </w:rPr>
    </w:lvl>
    <w:lvl w:ilvl="3" w:tplc="AD2E5100" w:tentative="1">
      <w:start w:val="1"/>
      <w:numFmt w:val="bullet"/>
      <w:lvlText w:val=""/>
      <w:lvlJc w:val="left"/>
      <w:pPr>
        <w:ind w:left="2880" w:hanging="360"/>
      </w:pPr>
      <w:rPr>
        <w:rFonts w:ascii="Symbol" w:hAnsi="Symbol" w:hint="default"/>
      </w:rPr>
    </w:lvl>
    <w:lvl w:ilvl="4" w:tplc="BD68C92E" w:tentative="1">
      <w:start w:val="1"/>
      <w:numFmt w:val="bullet"/>
      <w:lvlText w:val="o"/>
      <w:lvlJc w:val="left"/>
      <w:pPr>
        <w:ind w:left="3600" w:hanging="360"/>
      </w:pPr>
      <w:rPr>
        <w:rFonts w:ascii="Courier New" w:hAnsi="Courier New" w:cs="Courier New" w:hint="default"/>
      </w:rPr>
    </w:lvl>
    <w:lvl w:ilvl="5" w:tplc="9F90C6EA" w:tentative="1">
      <w:start w:val="1"/>
      <w:numFmt w:val="bullet"/>
      <w:lvlText w:val=""/>
      <w:lvlJc w:val="left"/>
      <w:pPr>
        <w:ind w:left="4320" w:hanging="360"/>
      </w:pPr>
      <w:rPr>
        <w:rFonts w:ascii="Wingdings" w:hAnsi="Wingdings" w:hint="default"/>
      </w:rPr>
    </w:lvl>
    <w:lvl w:ilvl="6" w:tplc="7F70642A" w:tentative="1">
      <w:start w:val="1"/>
      <w:numFmt w:val="bullet"/>
      <w:lvlText w:val=""/>
      <w:lvlJc w:val="left"/>
      <w:pPr>
        <w:ind w:left="5040" w:hanging="360"/>
      </w:pPr>
      <w:rPr>
        <w:rFonts w:ascii="Symbol" w:hAnsi="Symbol" w:hint="default"/>
      </w:rPr>
    </w:lvl>
    <w:lvl w:ilvl="7" w:tplc="18806CDC" w:tentative="1">
      <w:start w:val="1"/>
      <w:numFmt w:val="bullet"/>
      <w:lvlText w:val="o"/>
      <w:lvlJc w:val="left"/>
      <w:pPr>
        <w:ind w:left="5760" w:hanging="360"/>
      </w:pPr>
      <w:rPr>
        <w:rFonts w:ascii="Courier New" w:hAnsi="Courier New" w:cs="Courier New" w:hint="default"/>
      </w:rPr>
    </w:lvl>
    <w:lvl w:ilvl="8" w:tplc="C846AF5C" w:tentative="1">
      <w:start w:val="1"/>
      <w:numFmt w:val="bullet"/>
      <w:lvlText w:val=""/>
      <w:lvlJc w:val="left"/>
      <w:pPr>
        <w:ind w:left="6480" w:hanging="360"/>
      </w:pPr>
      <w:rPr>
        <w:rFonts w:ascii="Wingdings" w:hAnsi="Wingdings" w:hint="default"/>
      </w:rPr>
    </w:lvl>
  </w:abstractNum>
  <w:abstractNum w:abstractNumId="8" w15:restartNumberingAfterBreak="0">
    <w:nsid w:val="12DF2C71"/>
    <w:multiLevelType w:val="hybridMultilevel"/>
    <w:tmpl w:val="739C87C0"/>
    <w:lvl w:ilvl="0" w:tplc="80D63640">
      <w:start w:val="1"/>
      <w:numFmt w:val="bullet"/>
      <w:pStyle w:val="Alldotpoints"/>
      <w:lvlText w:val=""/>
      <w:lvlJc w:val="left"/>
      <w:pPr>
        <w:ind w:left="360" w:hanging="360"/>
      </w:pPr>
      <w:rPr>
        <w:rFonts w:ascii="Symbol" w:hAnsi="Symbol" w:hint="default"/>
        <w:color w:val="58595B"/>
      </w:rPr>
    </w:lvl>
    <w:lvl w:ilvl="1" w:tplc="1A86F606">
      <w:start w:val="1"/>
      <w:numFmt w:val="bullet"/>
      <w:pStyle w:val="Indenteddotpoin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A44C45"/>
    <w:multiLevelType w:val="hybridMultilevel"/>
    <w:tmpl w:val="D4F8A4AE"/>
    <w:lvl w:ilvl="0" w:tplc="9DB6D9D8">
      <w:start w:val="1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4C716DE"/>
    <w:multiLevelType w:val="hybridMultilevel"/>
    <w:tmpl w:val="D03E8F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7175A5B"/>
    <w:multiLevelType w:val="hybridMultilevel"/>
    <w:tmpl w:val="41F25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9650F5"/>
    <w:multiLevelType w:val="hybridMultilevel"/>
    <w:tmpl w:val="05BE9C9E"/>
    <w:lvl w:ilvl="0" w:tplc="229C137E">
      <w:start w:val="1"/>
      <w:numFmt w:val="bullet"/>
      <w:lvlText w:val=""/>
      <w:lvlJc w:val="left"/>
      <w:pPr>
        <w:ind w:left="720" w:hanging="360"/>
      </w:pPr>
      <w:rPr>
        <w:rFonts w:ascii="Symbol" w:hAnsi="Symbol" w:hint="default"/>
      </w:rPr>
    </w:lvl>
    <w:lvl w:ilvl="1" w:tplc="2360A3DC" w:tentative="1">
      <w:start w:val="1"/>
      <w:numFmt w:val="bullet"/>
      <w:lvlText w:val="o"/>
      <w:lvlJc w:val="left"/>
      <w:pPr>
        <w:ind w:left="1440" w:hanging="360"/>
      </w:pPr>
      <w:rPr>
        <w:rFonts w:ascii="Courier New" w:hAnsi="Courier New" w:cs="Courier New" w:hint="default"/>
      </w:rPr>
    </w:lvl>
    <w:lvl w:ilvl="2" w:tplc="E1BC7934" w:tentative="1">
      <w:start w:val="1"/>
      <w:numFmt w:val="bullet"/>
      <w:lvlText w:val=""/>
      <w:lvlJc w:val="left"/>
      <w:pPr>
        <w:ind w:left="2160" w:hanging="360"/>
      </w:pPr>
      <w:rPr>
        <w:rFonts w:ascii="Wingdings" w:hAnsi="Wingdings" w:hint="default"/>
      </w:rPr>
    </w:lvl>
    <w:lvl w:ilvl="3" w:tplc="44F6F902" w:tentative="1">
      <w:start w:val="1"/>
      <w:numFmt w:val="bullet"/>
      <w:lvlText w:val=""/>
      <w:lvlJc w:val="left"/>
      <w:pPr>
        <w:ind w:left="2880" w:hanging="360"/>
      </w:pPr>
      <w:rPr>
        <w:rFonts w:ascii="Symbol" w:hAnsi="Symbol" w:hint="default"/>
      </w:rPr>
    </w:lvl>
    <w:lvl w:ilvl="4" w:tplc="4F1C53E4" w:tentative="1">
      <w:start w:val="1"/>
      <w:numFmt w:val="bullet"/>
      <w:lvlText w:val="o"/>
      <w:lvlJc w:val="left"/>
      <w:pPr>
        <w:ind w:left="3600" w:hanging="360"/>
      </w:pPr>
      <w:rPr>
        <w:rFonts w:ascii="Courier New" w:hAnsi="Courier New" w:cs="Courier New" w:hint="default"/>
      </w:rPr>
    </w:lvl>
    <w:lvl w:ilvl="5" w:tplc="E956287C" w:tentative="1">
      <w:start w:val="1"/>
      <w:numFmt w:val="bullet"/>
      <w:lvlText w:val=""/>
      <w:lvlJc w:val="left"/>
      <w:pPr>
        <w:ind w:left="4320" w:hanging="360"/>
      </w:pPr>
      <w:rPr>
        <w:rFonts w:ascii="Wingdings" w:hAnsi="Wingdings" w:hint="default"/>
      </w:rPr>
    </w:lvl>
    <w:lvl w:ilvl="6" w:tplc="711CA0C0" w:tentative="1">
      <w:start w:val="1"/>
      <w:numFmt w:val="bullet"/>
      <w:lvlText w:val=""/>
      <w:lvlJc w:val="left"/>
      <w:pPr>
        <w:ind w:left="5040" w:hanging="360"/>
      </w:pPr>
      <w:rPr>
        <w:rFonts w:ascii="Symbol" w:hAnsi="Symbol" w:hint="default"/>
      </w:rPr>
    </w:lvl>
    <w:lvl w:ilvl="7" w:tplc="642C6ABC" w:tentative="1">
      <w:start w:val="1"/>
      <w:numFmt w:val="bullet"/>
      <w:lvlText w:val="o"/>
      <w:lvlJc w:val="left"/>
      <w:pPr>
        <w:ind w:left="5760" w:hanging="360"/>
      </w:pPr>
      <w:rPr>
        <w:rFonts w:ascii="Courier New" w:hAnsi="Courier New" w:cs="Courier New" w:hint="default"/>
      </w:rPr>
    </w:lvl>
    <w:lvl w:ilvl="8" w:tplc="1954F612" w:tentative="1">
      <w:start w:val="1"/>
      <w:numFmt w:val="bullet"/>
      <w:lvlText w:val=""/>
      <w:lvlJc w:val="left"/>
      <w:pPr>
        <w:ind w:left="6480" w:hanging="360"/>
      </w:pPr>
      <w:rPr>
        <w:rFonts w:ascii="Wingdings" w:hAnsi="Wingdings" w:hint="default"/>
      </w:rPr>
    </w:lvl>
  </w:abstractNum>
  <w:abstractNum w:abstractNumId="13" w15:restartNumberingAfterBreak="0">
    <w:nsid w:val="2BE776AC"/>
    <w:multiLevelType w:val="hybridMultilevel"/>
    <w:tmpl w:val="EA567B5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2FA80729"/>
    <w:multiLevelType w:val="hybridMultilevel"/>
    <w:tmpl w:val="BF92CA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1CA492B"/>
    <w:multiLevelType w:val="hybridMultilevel"/>
    <w:tmpl w:val="6F28C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A81F90"/>
    <w:multiLevelType w:val="hybridMultilevel"/>
    <w:tmpl w:val="1F2C2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9E0E83"/>
    <w:multiLevelType w:val="hybridMultilevel"/>
    <w:tmpl w:val="8822F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0900DF"/>
    <w:multiLevelType w:val="hybridMultilevel"/>
    <w:tmpl w:val="25D61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300AC"/>
    <w:multiLevelType w:val="hybridMultilevel"/>
    <w:tmpl w:val="FD3EBF4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37417C24"/>
    <w:multiLevelType w:val="hybridMultilevel"/>
    <w:tmpl w:val="AB24E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91127"/>
    <w:multiLevelType w:val="hybridMultilevel"/>
    <w:tmpl w:val="51B27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C9105D"/>
    <w:multiLevelType w:val="hybridMultilevel"/>
    <w:tmpl w:val="DE86660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427D7A87"/>
    <w:multiLevelType w:val="hybridMultilevel"/>
    <w:tmpl w:val="8368B692"/>
    <w:lvl w:ilvl="0" w:tplc="7F30B9D0">
      <w:start w:val="1"/>
      <w:numFmt w:val="decimal"/>
      <w:lvlText w:val="%1)"/>
      <w:lvlJc w:val="left"/>
      <w:pPr>
        <w:ind w:left="360" w:hanging="360"/>
      </w:pPr>
      <w:rPr>
        <w:rFonts w:hint="default"/>
      </w:rPr>
    </w:lvl>
    <w:lvl w:ilvl="1" w:tplc="D9AAED08">
      <w:start w:val="1"/>
      <w:numFmt w:val="bullet"/>
      <w:lvlText w:val="o"/>
      <w:lvlJc w:val="left"/>
      <w:pPr>
        <w:ind w:left="1080" w:hanging="360"/>
      </w:pPr>
      <w:rPr>
        <w:rFonts w:ascii="Courier New" w:hAnsi="Courier New" w:cs="Courier New" w:hint="default"/>
      </w:rPr>
    </w:lvl>
    <w:lvl w:ilvl="2" w:tplc="CF603B4C" w:tentative="1">
      <w:start w:val="1"/>
      <w:numFmt w:val="bullet"/>
      <w:lvlText w:val=""/>
      <w:lvlJc w:val="left"/>
      <w:pPr>
        <w:ind w:left="1800" w:hanging="360"/>
      </w:pPr>
      <w:rPr>
        <w:rFonts w:ascii="Wingdings" w:hAnsi="Wingdings" w:hint="default"/>
      </w:rPr>
    </w:lvl>
    <w:lvl w:ilvl="3" w:tplc="5B5A1214" w:tentative="1">
      <w:start w:val="1"/>
      <w:numFmt w:val="bullet"/>
      <w:lvlText w:val=""/>
      <w:lvlJc w:val="left"/>
      <w:pPr>
        <w:ind w:left="2520" w:hanging="360"/>
      </w:pPr>
      <w:rPr>
        <w:rFonts w:ascii="Symbol" w:hAnsi="Symbol" w:hint="default"/>
      </w:rPr>
    </w:lvl>
    <w:lvl w:ilvl="4" w:tplc="00D672F8" w:tentative="1">
      <w:start w:val="1"/>
      <w:numFmt w:val="bullet"/>
      <w:lvlText w:val="o"/>
      <w:lvlJc w:val="left"/>
      <w:pPr>
        <w:ind w:left="3240" w:hanging="360"/>
      </w:pPr>
      <w:rPr>
        <w:rFonts w:ascii="Courier New" w:hAnsi="Courier New" w:cs="Courier New" w:hint="default"/>
      </w:rPr>
    </w:lvl>
    <w:lvl w:ilvl="5" w:tplc="247C0C3A" w:tentative="1">
      <w:start w:val="1"/>
      <w:numFmt w:val="bullet"/>
      <w:lvlText w:val=""/>
      <w:lvlJc w:val="left"/>
      <w:pPr>
        <w:ind w:left="3960" w:hanging="360"/>
      </w:pPr>
      <w:rPr>
        <w:rFonts w:ascii="Wingdings" w:hAnsi="Wingdings" w:hint="default"/>
      </w:rPr>
    </w:lvl>
    <w:lvl w:ilvl="6" w:tplc="64FA4C70" w:tentative="1">
      <w:start w:val="1"/>
      <w:numFmt w:val="bullet"/>
      <w:lvlText w:val=""/>
      <w:lvlJc w:val="left"/>
      <w:pPr>
        <w:ind w:left="4680" w:hanging="360"/>
      </w:pPr>
      <w:rPr>
        <w:rFonts w:ascii="Symbol" w:hAnsi="Symbol" w:hint="default"/>
      </w:rPr>
    </w:lvl>
    <w:lvl w:ilvl="7" w:tplc="D6CC061C" w:tentative="1">
      <w:start w:val="1"/>
      <w:numFmt w:val="bullet"/>
      <w:lvlText w:val="o"/>
      <w:lvlJc w:val="left"/>
      <w:pPr>
        <w:ind w:left="5400" w:hanging="360"/>
      </w:pPr>
      <w:rPr>
        <w:rFonts w:ascii="Courier New" w:hAnsi="Courier New" w:cs="Courier New" w:hint="default"/>
      </w:rPr>
    </w:lvl>
    <w:lvl w:ilvl="8" w:tplc="B252908A" w:tentative="1">
      <w:start w:val="1"/>
      <w:numFmt w:val="bullet"/>
      <w:lvlText w:val=""/>
      <w:lvlJc w:val="left"/>
      <w:pPr>
        <w:ind w:left="6120" w:hanging="360"/>
      </w:pPr>
      <w:rPr>
        <w:rFonts w:ascii="Wingdings" w:hAnsi="Wingdings" w:hint="default"/>
      </w:rPr>
    </w:lvl>
  </w:abstractNum>
  <w:abstractNum w:abstractNumId="24" w15:restartNumberingAfterBreak="0">
    <w:nsid w:val="442213C4"/>
    <w:multiLevelType w:val="hybridMultilevel"/>
    <w:tmpl w:val="EE92E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B93187"/>
    <w:multiLevelType w:val="hybridMultilevel"/>
    <w:tmpl w:val="5A7E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9D6078"/>
    <w:multiLevelType w:val="hybridMultilevel"/>
    <w:tmpl w:val="E872DD9C"/>
    <w:lvl w:ilvl="0" w:tplc="4DD2E460">
      <w:start w:val="1"/>
      <w:numFmt w:val="decimal"/>
      <w:lvlText w:val="%1)"/>
      <w:lvlJc w:val="left"/>
      <w:pPr>
        <w:ind w:left="720" w:hanging="360"/>
      </w:pPr>
      <w:rPr>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EA43774"/>
    <w:multiLevelType w:val="hybridMultilevel"/>
    <w:tmpl w:val="2104FA5C"/>
    <w:lvl w:ilvl="0" w:tplc="FF74A612">
      <w:start w:val="1"/>
      <w:numFmt w:val="bullet"/>
      <w:pStyle w:val="DotPoints"/>
      <w:lvlText w:val=""/>
      <w:lvlJc w:val="left"/>
      <w:pPr>
        <w:ind w:left="360" w:hanging="360"/>
      </w:pPr>
      <w:rPr>
        <w:rFonts w:ascii="Symbol" w:eastAsiaTheme="minorHAnsi" w:hAnsi="Symbol" w:cstheme="minorBidi" w:hint="default"/>
      </w:rPr>
    </w:lvl>
    <w:lvl w:ilvl="1" w:tplc="A270299C">
      <w:start w:val="1"/>
      <w:numFmt w:val="bullet"/>
      <w:lvlText w:val="o"/>
      <w:lvlJc w:val="left"/>
      <w:pPr>
        <w:ind w:left="1080" w:hanging="360"/>
      </w:pPr>
      <w:rPr>
        <w:rFonts w:ascii="Courier New" w:hAnsi="Courier New" w:cs="Courier New" w:hint="default"/>
      </w:rPr>
    </w:lvl>
    <w:lvl w:ilvl="2" w:tplc="A300B4BC">
      <w:start w:val="1"/>
      <w:numFmt w:val="bullet"/>
      <w:lvlText w:val=""/>
      <w:lvlJc w:val="left"/>
      <w:pPr>
        <w:ind w:left="1800" w:hanging="360"/>
      </w:pPr>
      <w:rPr>
        <w:rFonts w:ascii="Wingdings" w:hAnsi="Wingdings" w:hint="default"/>
      </w:rPr>
    </w:lvl>
    <w:lvl w:ilvl="3" w:tplc="3BB03A9C" w:tentative="1">
      <w:start w:val="1"/>
      <w:numFmt w:val="bullet"/>
      <w:lvlText w:val=""/>
      <w:lvlJc w:val="left"/>
      <w:pPr>
        <w:ind w:left="2520" w:hanging="360"/>
      </w:pPr>
      <w:rPr>
        <w:rFonts w:ascii="Symbol" w:hAnsi="Symbol" w:hint="default"/>
      </w:rPr>
    </w:lvl>
    <w:lvl w:ilvl="4" w:tplc="D2327D50" w:tentative="1">
      <w:start w:val="1"/>
      <w:numFmt w:val="bullet"/>
      <w:lvlText w:val="o"/>
      <w:lvlJc w:val="left"/>
      <w:pPr>
        <w:ind w:left="3240" w:hanging="360"/>
      </w:pPr>
      <w:rPr>
        <w:rFonts w:ascii="Courier New" w:hAnsi="Courier New" w:cs="Courier New" w:hint="default"/>
      </w:rPr>
    </w:lvl>
    <w:lvl w:ilvl="5" w:tplc="D7D216E0" w:tentative="1">
      <w:start w:val="1"/>
      <w:numFmt w:val="bullet"/>
      <w:lvlText w:val=""/>
      <w:lvlJc w:val="left"/>
      <w:pPr>
        <w:ind w:left="3960" w:hanging="360"/>
      </w:pPr>
      <w:rPr>
        <w:rFonts w:ascii="Wingdings" w:hAnsi="Wingdings" w:hint="default"/>
      </w:rPr>
    </w:lvl>
    <w:lvl w:ilvl="6" w:tplc="D27A3D5E" w:tentative="1">
      <w:start w:val="1"/>
      <w:numFmt w:val="bullet"/>
      <w:lvlText w:val=""/>
      <w:lvlJc w:val="left"/>
      <w:pPr>
        <w:ind w:left="4680" w:hanging="360"/>
      </w:pPr>
      <w:rPr>
        <w:rFonts w:ascii="Symbol" w:hAnsi="Symbol" w:hint="default"/>
      </w:rPr>
    </w:lvl>
    <w:lvl w:ilvl="7" w:tplc="95EAE13E" w:tentative="1">
      <w:start w:val="1"/>
      <w:numFmt w:val="bullet"/>
      <w:lvlText w:val="o"/>
      <w:lvlJc w:val="left"/>
      <w:pPr>
        <w:ind w:left="5400" w:hanging="360"/>
      </w:pPr>
      <w:rPr>
        <w:rFonts w:ascii="Courier New" w:hAnsi="Courier New" w:cs="Courier New" w:hint="default"/>
      </w:rPr>
    </w:lvl>
    <w:lvl w:ilvl="8" w:tplc="C3FC164E" w:tentative="1">
      <w:start w:val="1"/>
      <w:numFmt w:val="bullet"/>
      <w:lvlText w:val=""/>
      <w:lvlJc w:val="left"/>
      <w:pPr>
        <w:ind w:left="6120" w:hanging="360"/>
      </w:pPr>
      <w:rPr>
        <w:rFonts w:ascii="Wingdings" w:hAnsi="Wingdings" w:hint="default"/>
      </w:rPr>
    </w:lvl>
  </w:abstractNum>
  <w:abstractNum w:abstractNumId="28" w15:restartNumberingAfterBreak="0">
    <w:nsid w:val="4FFE1044"/>
    <w:multiLevelType w:val="multilevel"/>
    <w:tmpl w:val="5D261958"/>
    <w:lvl w:ilvl="0">
      <w:start w:val="1"/>
      <w:numFmt w:val="bullet"/>
      <w:lvlText w:val=""/>
      <w:lvlJc w:val="left"/>
      <w:pPr>
        <w:ind w:left="369" w:hanging="369"/>
      </w:pPr>
      <w:rPr>
        <w:rFonts w:ascii="Symbol" w:hAnsi="Symbol" w:hint="default"/>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53104574"/>
    <w:multiLevelType w:val="hybridMultilevel"/>
    <w:tmpl w:val="6928A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F6A0A"/>
    <w:multiLevelType w:val="multilevel"/>
    <w:tmpl w:val="C0B8C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143878"/>
    <w:multiLevelType w:val="hybridMultilevel"/>
    <w:tmpl w:val="41B89AE0"/>
    <w:lvl w:ilvl="0" w:tplc="A866FCA6">
      <w:start w:val="1"/>
      <w:numFmt w:val="bullet"/>
      <w:lvlText w:val=""/>
      <w:lvlJc w:val="left"/>
      <w:pPr>
        <w:ind w:left="720" w:hanging="360"/>
      </w:pPr>
      <w:rPr>
        <w:rFonts w:ascii="Symbol" w:hAnsi="Symbol" w:hint="default"/>
      </w:rPr>
    </w:lvl>
    <w:lvl w:ilvl="1" w:tplc="0D7A6DF0" w:tentative="1">
      <w:start w:val="1"/>
      <w:numFmt w:val="bullet"/>
      <w:lvlText w:val="o"/>
      <w:lvlJc w:val="left"/>
      <w:pPr>
        <w:ind w:left="1440" w:hanging="360"/>
      </w:pPr>
      <w:rPr>
        <w:rFonts w:ascii="Courier New" w:hAnsi="Courier New" w:cs="Courier New" w:hint="default"/>
      </w:rPr>
    </w:lvl>
    <w:lvl w:ilvl="2" w:tplc="12ACA536" w:tentative="1">
      <w:start w:val="1"/>
      <w:numFmt w:val="bullet"/>
      <w:lvlText w:val=""/>
      <w:lvlJc w:val="left"/>
      <w:pPr>
        <w:ind w:left="2160" w:hanging="360"/>
      </w:pPr>
      <w:rPr>
        <w:rFonts w:ascii="Wingdings" w:hAnsi="Wingdings" w:hint="default"/>
      </w:rPr>
    </w:lvl>
    <w:lvl w:ilvl="3" w:tplc="8ADEFC80" w:tentative="1">
      <w:start w:val="1"/>
      <w:numFmt w:val="bullet"/>
      <w:lvlText w:val=""/>
      <w:lvlJc w:val="left"/>
      <w:pPr>
        <w:ind w:left="2880" w:hanging="360"/>
      </w:pPr>
      <w:rPr>
        <w:rFonts w:ascii="Symbol" w:hAnsi="Symbol" w:hint="default"/>
      </w:rPr>
    </w:lvl>
    <w:lvl w:ilvl="4" w:tplc="41BAFE8E" w:tentative="1">
      <w:start w:val="1"/>
      <w:numFmt w:val="bullet"/>
      <w:lvlText w:val="o"/>
      <w:lvlJc w:val="left"/>
      <w:pPr>
        <w:ind w:left="3600" w:hanging="360"/>
      </w:pPr>
      <w:rPr>
        <w:rFonts w:ascii="Courier New" w:hAnsi="Courier New" w:cs="Courier New" w:hint="default"/>
      </w:rPr>
    </w:lvl>
    <w:lvl w:ilvl="5" w:tplc="4D784AFC" w:tentative="1">
      <w:start w:val="1"/>
      <w:numFmt w:val="bullet"/>
      <w:lvlText w:val=""/>
      <w:lvlJc w:val="left"/>
      <w:pPr>
        <w:ind w:left="4320" w:hanging="360"/>
      </w:pPr>
      <w:rPr>
        <w:rFonts w:ascii="Wingdings" w:hAnsi="Wingdings" w:hint="default"/>
      </w:rPr>
    </w:lvl>
    <w:lvl w:ilvl="6" w:tplc="F7285F48" w:tentative="1">
      <w:start w:val="1"/>
      <w:numFmt w:val="bullet"/>
      <w:lvlText w:val=""/>
      <w:lvlJc w:val="left"/>
      <w:pPr>
        <w:ind w:left="5040" w:hanging="360"/>
      </w:pPr>
      <w:rPr>
        <w:rFonts w:ascii="Symbol" w:hAnsi="Symbol" w:hint="default"/>
      </w:rPr>
    </w:lvl>
    <w:lvl w:ilvl="7" w:tplc="A95CC8C8" w:tentative="1">
      <w:start w:val="1"/>
      <w:numFmt w:val="bullet"/>
      <w:lvlText w:val="o"/>
      <w:lvlJc w:val="left"/>
      <w:pPr>
        <w:ind w:left="5760" w:hanging="360"/>
      </w:pPr>
      <w:rPr>
        <w:rFonts w:ascii="Courier New" w:hAnsi="Courier New" w:cs="Courier New" w:hint="default"/>
      </w:rPr>
    </w:lvl>
    <w:lvl w:ilvl="8" w:tplc="1DFA4454" w:tentative="1">
      <w:start w:val="1"/>
      <w:numFmt w:val="bullet"/>
      <w:lvlText w:val=""/>
      <w:lvlJc w:val="left"/>
      <w:pPr>
        <w:ind w:left="6480" w:hanging="360"/>
      </w:pPr>
      <w:rPr>
        <w:rFonts w:ascii="Wingdings" w:hAnsi="Wingdings" w:hint="default"/>
      </w:rPr>
    </w:lvl>
  </w:abstractNum>
  <w:abstractNum w:abstractNumId="32" w15:restartNumberingAfterBreak="0">
    <w:nsid w:val="55282782"/>
    <w:multiLevelType w:val="hybridMultilevel"/>
    <w:tmpl w:val="9BC44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B17C8A"/>
    <w:multiLevelType w:val="hybridMultilevel"/>
    <w:tmpl w:val="0CF8C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7F76583"/>
    <w:multiLevelType w:val="hybridMultilevel"/>
    <w:tmpl w:val="36C23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C218CB"/>
    <w:multiLevelType w:val="hybridMultilevel"/>
    <w:tmpl w:val="BA48F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5C11E8"/>
    <w:multiLevelType w:val="hybridMultilevel"/>
    <w:tmpl w:val="52B0B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8B67E7"/>
    <w:multiLevelType w:val="hybridMultilevel"/>
    <w:tmpl w:val="B34E60DC"/>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39" w15:restartNumberingAfterBreak="0">
    <w:nsid w:val="70DF5F6E"/>
    <w:multiLevelType w:val="hybridMultilevel"/>
    <w:tmpl w:val="956E4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18726B0"/>
    <w:multiLevelType w:val="hybridMultilevel"/>
    <w:tmpl w:val="B7D61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DF6DC4"/>
    <w:multiLevelType w:val="hybridMultilevel"/>
    <w:tmpl w:val="6A6C2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6506265">
    <w:abstractNumId w:val="33"/>
  </w:num>
  <w:num w:numId="2" w16cid:durableId="236132041">
    <w:abstractNumId w:val="28"/>
  </w:num>
  <w:num w:numId="3" w16cid:durableId="943729708">
    <w:abstractNumId w:val="2"/>
  </w:num>
  <w:num w:numId="4" w16cid:durableId="1909992414">
    <w:abstractNumId w:val="20"/>
  </w:num>
  <w:num w:numId="5" w16cid:durableId="696731905">
    <w:abstractNumId w:val="29"/>
  </w:num>
  <w:num w:numId="6" w16cid:durableId="184249470">
    <w:abstractNumId w:val="35"/>
  </w:num>
  <w:num w:numId="7" w16cid:durableId="1208759782">
    <w:abstractNumId w:val="17"/>
  </w:num>
  <w:num w:numId="8" w16cid:durableId="572546302">
    <w:abstractNumId w:val="8"/>
  </w:num>
  <w:num w:numId="9" w16cid:durableId="20404505">
    <w:abstractNumId w:val="5"/>
  </w:num>
  <w:num w:numId="10" w16cid:durableId="1712612131">
    <w:abstractNumId w:val="4"/>
  </w:num>
  <w:num w:numId="11" w16cid:durableId="1696155994">
    <w:abstractNumId w:val="15"/>
  </w:num>
  <w:num w:numId="12" w16cid:durableId="415398666">
    <w:abstractNumId w:val="13"/>
  </w:num>
  <w:num w:numId="13" w16cid:durableId="351037289">
    <w:abstractNumId w:val="0"/>
  </w:num>
  <w:num w:numId="14" w16cid:durableId="1180580444">
    <w:abstractNumId w:val="7"/>
  </w:num>
  <w:num w:numId="15" w16cid:durableId="1242369931">
    <w:abstractNumId w:val="3"/>
  </w:num>
  <w:num w:numId="16" w16cid:durableId="1870070288">
    <w:abstractNumId w:val="12"/>
  </w:num>
  <w:num w:numId="17" w16cid:durableId="543955094">
    <w:abstractNumId w:val="27"/>
  </w:num>
  <w:num w:numId="18" w16cid:durableId="2041323418">
    <w:abstractNumId w:val="23"/>
  </w:num>
  <w:num w:numId="19" w16cid:durableId="332298210">
    <w:abstractNumId w:val="34"/>
  </w:num>
  <w:num w:numId="20" w16cid:durableId="847405353">
    <w:abstractNumId w:val="25"/>
  </w:num>
  <w:num w:numId="21" w16cid:durableId="954097051">
    <w:abstractNumId w:val="30"/>
  </w:num>
  <w:num w:numId="22" w16cid:durableId="1322923040">
    <w:abstractNumId w:val="21"/>
  </w:num>
  <w:num w:numId="23" w16cid:durableId="222642571">
    <w:abstractNumId w:val="38"/>
  </w:num>
  <w:num w:numId="24" w16cid:durableId="1079519000">
    <w:abstractNumId w:val="41"/>
  </w:num>
  <w:num w:numId="25" w16cid:durableId="503865898">
    <w:abstractNumId w:val="31"/>
  </w:num>
  <w:num w:numId="26" w16cid:durableId="145246557">
    <w:abstractNumId w:val="18"/>
  </w:num>
  <w:num w:numId="27" w16cid:durableId="2122527515">
    <w:abstractNumId w:val="32"/>
  </w:num>
  <w:num w:numId="28" w16cid:durableId="609119021">
    <w:abstractNumId w:val="17"/>
  </w:num>
  <w:num w:numId="29" w16cid:durableId="313875320">
    <w:abstractNumId w:val="9"/>
  </w:num>
  <w:num w:numId="30" w16cid:durableId="706876816">
    <w:abstractNumId w:val="23"/>
    <w:lvlOverride w:ilvl="0">
      <w:startOverride w:val="1"/>
    </w:lvlOverride>
    <w:lvlOverride w:ilvl="1"/>
    <w:lvlOverride w:ilvl="2"/>
    <w:lvlOverride w:ilvl="3"/>
    <w:lvlOverride w:ilvl="4"/>
    <w:lvlOverride w:ilvl="5"/>
    <w:lvlOverride w:ilvl="6"/>
    <w:lvlOverride w:ilvl="7"/>
    <w:lvlOverride w:ilvl="8"/>
  </w:num>
  <w:num w:numId="31" w16cid:durableId="2008635408">
    <w:abstractNumId w:val="16"/>
  </w:num>
  <w:num w:numId="32" w16cid:durableId="350373707">
    <w:abstractNumId w:val="6"/>
  </w:num>
  <w:num w:numId="33" w16cid:durableId="22558558">
    <w:abstractNumId w:val="24"/>
  </w:num>
  <w:num w:numId="34" w16cid:durableId="1193225569">
    <w:abstractNumId w:val="36"/>
  </w:num>
  <w:num w:numId="35" w16cid:durableId="1957445572">
    <w:abstractNumId w:val="39"/>
  </w:num>
  <w:num w:numId="36" w16cid:durableId="18894123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4048998">
    <w:abstractNumId w:val="33"/>
  </w:num>
  <w:num w:numId="38" w16cid:durableId="253712434">
    <w:abstractNumId w:val="26"/>
  </w:num>
  <w:num w:numId="39" w16cid:durableId="696010398">
    <w:abstractNumId w:val="40"/>
  </w:num>
  <w:num w:numId="40" w16cid:durableId="1584797233">
    <w:abstractNumId w:val="1"/>
  </w:num>
  <w:num w:numId="41" w16cid:durableId="78065628">
    <w:abstractNumId w:val="22"/>
  </w:num>
  <w:num w:numId="42" w16cid:durableId="315913952">
    <w:abstractNumId w:val="14"/>
  </w:num>
  <w:num w:numId="43" w16cid:durableId="610208515">
    <w:abstractNumId w:val="10"/>
  </w:num>
  <w:num w:numId="44" w16cid:durableId="561675747">
    <w:abstractNumId w:val="19"/>
  </w:num>
  <w:num w:numId="45" w16cid:durableId="2138136539">
    <w:abstractNumId w:val="11"/>
  </w:num>
  <w:num w:numId="46" w16cid:durableId="677511724">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B8"/>
    <w:rsid w:val="00000099"/>
    <w:rsid w:val="000001DF"/>
    <w:rsid w:val="0000068C"/>
    <w:rsid w:val="000010F5"/>
    <w:rsid w:val="000018D1"/>
    <w:rsid w:val="00001A15"/>
    <w:rsid w:val="0000245E"/>
    <w:rsid w:val="00002759"/>
    <w:rsid w:val="0000369D"/>
    <w:rsid w:val="000038E3"/>
    <w:rsid w:val="0000418D"/>
    <w:rsid w:val="00004222"/>
    <w:rsid w:val="00004271"/>
    <w:rsid w:val="00004721"/>
    <w:rsid w:val="00004F84"/>
    <w:rsid w:val="000056BF"/>
    <w:rsid w:val="00005F2C"/>
    <w:rsid w:val="00006006"/>
    <w:rsid w:val="000061EE"/>
    <w:rsid w:val="000065C6"/>
    <w:rsid w:val="0000716D"/>
    <w:rsid w:val="00007415"/>
    <w:rsid w:val="000078E7"/>
    <w:rsid w:val="000102B9"/>
    <w:rsid w:val="000102EC"/>
    <w:rsid w:val="00010C60"/>
    <w:rsid w:val="00011314"/>
    <w:rsid w:val="000116A2"/>
    <w:rsid w:val="000118E2"/>
    <w:rsid w:val="00011CFA"/>
    <w:rsid w:val="00011E7B"/>
    <w:rsid w:val="000122B0"/>
    <w:rsid w:val="000125A0"/>
    <w:rsid w:val="000125D7"/>
    <w:rsid w:val="000126DF"/>
    <w:rsid w:val="00012783"/>
    <w:rsid w:val="00012F6B"/>
    <w:rsid w:val="0001363F"/>
    <w:rsid w:val="000136FA"/>
    <w:rsid w:val="0001417C"/>
    <w:rsid w:val="00014788"/>
    <w:rsid w:val="00014E16"/>
    <w:rsid w:val="000151CD"/>
    <w:rsid w:val="00015981"/>
    <w:rsid w:val="00015F48"/>
    <w:rsid w:val="0001601E"/>
    <w:rsid w:val="000161F2"/>
    <w:rsid w:val="00017172"/>
    <w:rsid w:val="00017BE0"/>
    <w:rsid w:val="00020335"/>
    <w:rsid w:val="00020366"/>
    <w:rsid w:val="00020FC2"/>
    <w:rsid w:val="00021B9D"/>
    <w:rsid w:val="00022B43"/>
    <w:rsid w:val="00022CE0"/>
    <w:rsid w:val="00022FD4"/>
    <w:rsid w:val="00023E4C"/>
    <w:rsid w:val="00024448"/>
    <w:rsid w:val="00024D34"/>
    <w:rsid w:val="00024DFB"/>
    <w:rsid w:val="000253DF"/>
    <w:rsid w:val="000254A5"/>
    <w:rsid w:val="000259EC"/>
    <w:rsid w:val="00025C1F"/>
    <w:rsid w:val="00025D6D"/>
    <w:rsid w:val="00025DDA"/>
    <w:rsid w:val="0002608D"/>
    <w:rsid w:val="000262EF"/>
    <w:rsid w:val="00026344"/>
    <w:rsid w:val="00026C73"/>
    <w:rsid w:val="00026DA5"/>
    <w:rsid w:val="000276A1"/>
    <w:rsid w:val="000277E1"/>
    <w:rsid w:val="00027960"/>
    <w:rsid w:val="00030D5B"/>
    <w:rsid w:val="000312FB"/>
    <w:rsid w:val="0003135B"/>
    <w:rsid w:val="000314D7"/>
    <w:rsid w:val="00031DCB"/>
    <w:rsid w:val="0003264B"/>
    <w:rsid w:val="00032995"/>
    <w:rsid w:val="00032A98"/>
    <w:rsid w:val="00032C90"/>
    <w:rsid w:val="000332E7"/>
    <w:rsid w:val="00033CC7"/>
    <w:rsid w:val="0003447C"/>
    <w:rsid w:val="00034650"/>
    <w:rsid w:val="00034A55"/>
    <w:rsid w:val="00034F76"/>
    <w:rsid w:val="00035733"/>
    <w:rsid w:val="0003598D"/>
    <w:rsid w:val="0003599C"/>
    <w:rsid w:val="00035AAE"/>
    <w:rsid w:val="0003742C"/>
    <w:rsid w:val="000375AD"/>
    <w:rsid w:val="00037C6F"/>
    <w:rsid w:val="000401D6"/>
    <w:rsid w:val="000411BF"/>
    <w:rsid w:val="000423B3"/>
    <w:rsid w:val="000424E1"/>
    <w:rsid w:val="0004287A"/>
    <w:rsid w:val="00042CAD"/>
    <w:rsid w:val="0004304D"/>
    <w:rsid w:val="000432DF"/>
    <w:rsid w:val="00043ECC"/>
    <w:rsid w:val="000445DB"/>
    <w:rsid w:val="000448F6"/>
    <w:rsid w:val="00044B69"/>
    <w:rsid w:val="000462A6"/>
    <w:rsid w:val="00046882"/>
    <w:rsid w:val="00047224"/>
    <w:rsid w:val="00047932"/>
    <w:rsid w:val="00047C27"/>
    <w:rsid w:val="000506CF"/>
    <w:rsid w:val="00051537"/>
    <w:rsid w:val="00052217"/>
    <w:rsid w:val="000526E3"/>
    <w:rsid w:val="00052E94"/>
    <w:rsid w:val="000537AE"/>
    <w:rsid w:val="0005383E"/>
    <w:rsid w:val="00053C4A"/>
    <w:rsid w:val="0005441C"/>
    <w:rsid w:val="000546A8"/>
    <w:rsid w:val="00054CA4"/>
    <w:rsid w:val="00054DAE"/>
    <w:rsid w:val="000552B3"/>
    <w:rsid w:val="00055682"/>
    <w:rsid w:val="00055BB2"/>
    <w:rsid w:val="00055C76"/>
    <w:rsid w:val="000566D7"/>
    <w:rsid w:val="00056B5B"/>
    <w:rsid w:val="00056CC3"/>
    <w:rsid w:val="00057B56"/>
    <w:rsid w:val="00060255"/>
    <w:rsid w:val="000602D4"/>
    <w:rsid w:val="0006051F"/>
    <w:rsid w:val="00060574"/>
    <w:rsid w:val="00060BC1"/>
    <w:rsid w:val="000610E8"/>
    <w:rsid w:val="00061441"/>
    <w:rsid w:val="00061BF6"/>
    <w:rsid w:val="00061C3A"/>
    <w:rsid w:val="00061F69"/>
    <w:rsid w:val="00062457"/>
    <w:rsid w:val="00062560"/>
    <w:rsid w:val="000626B7"/>
    <w:rsid w:val="000629FE"/>
    <w:rsid w:val="00063590"/>
    <w:rsid w:val="00063C02"/>
    <w:rsid w:val="00063CB2"/>
    <w:rsid w:val="000640C3"/>
    <w:rsid w:val="00064C29"/>
    <w:rsid w:val="00064C2D"/>
    <w:rsid w:val="00065996"/>
    <w:rsid w:val="000659FE"/>
    <w:rsid w:val="00065EF6"/>
    <w:rsid w:val="00065F6A"/>
    <w:rsid w:val="000664B9"/>
    <w:rsid w:val="000664F9"/>
    <w:rsid w:val="00066C1E"/>
    <w:rsid w:val="000671FA"/>
    <w:rsid w:val="0006743A"/>
    <w:rsid w:val="0006760B"/>
    <w:rsid w:val="00067D22"/>
    <w:rsid w:val="000700E6"/>
    <w:rsid w:val="0007067B"/>
    <w:rsid w:val="000710F2"/>
    <w:rsid w:val="000710FF"/>
    <w:rsid w:val="0007117C"/>
    <w:rsid w:val="00071386"/>
    <w:rsid w:val="00071C57"/>
    <w:rsid w:val="0007243E"/>
    <w:rsid w:val="000726FD"/>
    <w:rsid w:val="00072D29"/>
    <w:rsid w:val="000735B5"/>
    <w:rsid w:val="00073ACA"/>
    <w:rsid w:val="00073BAB"/>
    <w:rsid w:val="00073E61"/>
    <w:rsid w:val="00073F1F"/>
    <w:rsid w:val="0007408B"/>
    <w:rsid w:val="00075184"/>
    <w:rsid w:val="000752B5"/>
    <w:rsid w:val="000755A4"/>
    <w:rsid w:val="0007668F"/>
    <w:rsid w:val="00076B72"/>
    <w:rsid w:val="00076C29"/>
    <w:rsid w:val="00076F82"/>
    <w:rsid w:val="00077F24"/>
    <w:rsid w:val="00080694"/>
    <w:rsid w:val="00080789"/>
    <w:rsid w:val="00080922"/>
    <w:rsid w:val="00080A5A"/>
    <w:rsid w:val="00080C9F"/>
    <w:rsid w:val="0008154D"/>
    <w:rsid w:val="000815A1"/>
    <w:rsid w:val="00081D07"/>
    <w:rsid w:val="00081F53"/>
    <w:rsid w:val="00081FEF"/>
    <w:rsid w:val="000824BD"/>
    <w:rsid w:val="0008253A"/>
    <w:rsid w:val="00082C1E"/>
    <w:rsid w:val="00082D51"/>
    <w:rsid w:val="00084146"/>
    <w:rsid w:val="0008448D"/>
    <w:rsid w:val="0008469E"/>
    <w:rsid w:val="0008482D"/>
    <w:rsid w:val="00085569"/>
    <w:rsid w:val="00085586"/>
    <w:rsid w:val="00085763"/>
    <w:rsid w:val="00085E8D"/>
    <w:rsid w:val="000860CE"/>
    <w:rsid w:val="0008633D"/>
    <w:rsid w:val="00086550"/>
    <w:rsid w:val="00087099"/>
    <w:rsid w:val="000870E7"/>
    <w:rsid w:val="00087450"/>
    <w:rsid w:val="00087EFA"/>
    <w:rsid w:val="00087FFC"/>
    <w:rsid w:val="000904FD"/>
    <w:rsid w:val="000905E5"/>
    <w:rsid w:val="00090865"/>
    <w:rsid w:val="0009161C"/>
    <w:rsid w:val="00091652"/>
    <w:rsid w:val="00091F95"/>
    <w:rsid w:val="000924C0"/>
    <w:rsid w:val="000924EB"/>
    <w:rsid w:val="0009316F"/>
    <w:rsid w:val="000932A4"/>
    <w:rsid w:val="00093308"/>
    <w:rsid w:val="0009338A"/>
    <w:rsid w:val="000937EA"/>
    <w:rsid w:val="000938F6"/>
    <w:rsid w:val="00093C3D"/>
    <w:rsid w:val="00094893"/>
    <w:rsid w:val="00095608"/>
    <w:rsid w:val="00095761"/>
    <w:rsid w:val="00095AD9"/>
    <w:rsid w:val="00095F01"/>
    <w:rsid w:val="0009616C"/>
    <w:rsid w:val="00096594"/>
    <w:rsid w:val="000966BE"/>
    <w:rsid w:val="00096B46"/>
    <w:rsid w:val="000975D4"/>
    <w:rsid w:val="00097B60"/>
    <w:rsid w:val="000A0932"/>
    <w:rsid w:val="000A0A7B"/>
    <w:rsid w:val="000A0EBA"/>
    <w:rsid w:val="000A1560"/>
    <w:rsid w:val="000A1927"/>
    <w:rsid w:val="000A1E9C"/>
    <w:rsid w:val="000A2039"/>
    <w:rsid w:val="000A2EA1"/>
    <w:rsid w:val="000A35D5"/>
    <w:rsid w:val="000A4188"/>
    <w:rsid w:val="000A4486"/>
    <w:rsid w:val="000A49D8"/>
    <w:rsid w:val="000A544B"/>
    <w:rsid w:val="000A5510"/>
    <w:rsid w:val="000A5866"/>
    <w:rsid w:val="000A586A"/>
    <w:rsid w:val="000A5C51"/>
    <w:rsid w:val="000A5DAB"/>
    <w:rsid w:val="000A601D"/>
    <w:rsid w:val="000A61FA"/>
    <w:rsid w:val="000A6814"/>
    <w:rsid w:val="000A6B97"/>
    <w:rsid w:val="000A6DFC"/>
    <w:rsid w:val="000A7936"/>
    <w:rsid w:val="000A7B0C"/>
    <w:rsid w:val="000A7BCE"/>
    <w:rsid w:val="000A7C87"/>
    <w:rsid w:val="000A7EF6"/>
    <w:rsid w:val="000A7FC5"/>
    <w:rsid w:val="000B2565"/>
    <w:rsid w:val="000B2580"/>
    <w:rsid w:val="000B30A7"/>
    <w:rsid w:val="000B374D"/>
    <w:rsid w:val="000B3FEA"/>
    <w:rsid w:val="000B45F4"/>
    <w:rsid w:val="000B4C7E"/>
    <w:rsid w:val="000B5FDD"/>
    <w:rsid w:val="000B73C8"/>
    <w:rsid w:val="000B7EEE"/>
    <w:rsid w:val="000C044C"/>
    <w:rsid w:val="000C2683"/>
    <w:rsid w:val="000C325B"/>
    <w:rsid w:val="000C3494"/>
    <w:rsid w:val="000C34D7"/>
    <w:rsid w:val="000C3957"/>
    <w:rsid w:val="000C4374"/>
    <w:rsid w:val="000C4660"/>
    <w:rsid w:val="000C4A3F"/>
    <w:rsid w:val="000C4AA4"/>
    <w:rsid w:val="000C4D42"/>
    <w:rsid w:val="000C4DDE"/>
    <w:rsid w:val="000C68E5"/>
    <w:rsid w:val="000C6DCB"/>
    <w:rsid w:val="000C6DFD"/>
    <w:rsid w:val="000C716A"/>
    <w:rsid w:val="000C734F"/>
    <w:rsid w:val="000C7C37"/>
    <w:rsid w:val="000D0182"/>
    <w:rsid w:val="000D033C"/>
    <w:rsid w:val="000D0716"/>
    <w:rsid w:val="000D0EA9"/>
    <w:rsid w:val="000D1255"/>
    <w:rsid w:val="000D1406"/>
    <w:rsid w:val="000D1DEE"/>
    <w:rsid w:val="000D1E68"/>
    <w:rsid w:val="000D23E0"/>
    <w:rsid w:val="000D2B4B"/>
    <w:rsid w:val="000D3020"/>
    <w:rsid w:val="000D39D8"/>
    <w:rsid w:val="000D45D2"/>
    <w:rsid w:val="000D4F35"/>
    <w:rsid w:val="000D5030"/>
    <w:rsid w:val="000D55B2"/>
    <w:rsid w:val="000D585A"/>
    <w:rsid w:val="000D615F"/>
    <w:rsid w:val="000D6224"/>
    <w:rsid w:val="000D6E8F"/>
    <w:rsid w:val="000E08B1"/>
    <w:rsid w:val="000E0C4B"/>
    <w:rsid w:val="000E13E4"/>
    <w:rsid w:val="000E19EA"/>
    <w:rsid w:val="000E2099"/>
    <w:rsid w:val="000E25F9"/>
    <w:rsid w:val="000E2821"/>
    <w:rsid w:val="000E2EFC"/>
    <w:rsid w:val="000E322D"/>
    <w:rsid w:val="000E3445"/>
    <w:rsid w:val="000E3C16"/>
    <w:rsid w:val="000E3CB4"/>
    <w:rsid w:val="000E3F41"/>
    <w:rsid w:val="000E4611"/>
    <w:rsid w:val="000E4DFB"/>
    <w:rsid w:val="000E4FD8"/>
    <w:rsid w:val="000E58E3"/>
    <w:rsid w:val="000E599A"/>
    <w:rsid w:val="000E610D"/>
    <w:rsid w:val="000E6208"/>
    <w:rsid w:val="000E6988"/>
    <w:rsid w:val="000E6A79"/>
    <w:rsid w:val="000E6F26"/>
    <w:rsid w:val="000E773C"/>
    <w:rsid w:val="000F08A8"/>
    <w:rsid w:val="000F10FD"/>
    <w:rsid w:val="000F1215"/>
    <w:rsid w:val="000F15CF"/>
    <w:rsid w:val="000F2209"/>
    <w:rsid w:val="000F222C"/>
    <w:rsid w:val="000F23AE"/>
    <w:rsid w:val="000F2564"/>
    <w:rsid w:val="000F291C"/>
    <w:rsid w:val="000F2E4F"/>
    <w:rsid w:val="000F311A"/>
    <w:rsid w:val="000F32AD"/>
    <w:rsid w:val="000F3450"/>
    <w:rsid w:val="000F3D2A"/>
    <w:rsid w:val="000F45EF"/>
    <w:rsid w:val="000F4669"/>
    <w:rsid w:val="000F4689"/>
    <w:rsid w:val="000F4EA7"/>
    <w:rsid w:val="000F5405"/>
    <w:rsid w:val="000F57D4"/>
    <w:rsid w:val="000F6174"/>
    <w:rsid w:val="000F6558"/>
    <w:rsid w:val="000F6640"/>
    <w:rsid w:val="000F6FA6"/>
    <w:rsid w:val="000F750F"/>
    <w:rsid w:val="000F76BF"/>
    <w:rsid w:val="000F7843"/>
    <w:rsid w:val="000F7901"/>
    <w:rsid w:val="000F7EF6"/>
    <w:rsid w:val="00100104"/>
    <w:rsid w:val="001003A4"/>
    <w:rsid w:val="001008C9"/>
    <w:rsid w:val="00100BAA"/>
    <w:rsid w:val="0010108F"/>
    <w:rsid w:val="00101357"/>
    <w:rsid w:val="0010138F"/>
    <w:rsid w:val="0010141B"/>
    <w:rsid w:val="00101BA9"/>
    <w:rsid w:val="001023F9"/>
    <w:rsid w:val="00102B81"/>
    <w:rsid w:val="00103251"/>
    <w:rsid w:val="00104003"/>
    <w:rsid w:val="00104167"/>
    <w:rsid w:val="001043DC"/>
    <w:rsid w:val="00104470"/>
    <w:rsid w:val="00104FC5"/>
    <w:rsid w:val="00104FD1"/>
    <w:rsid w:val="00105739"/>
    <w:rsid w:val="001058E6"/>
    <w:rsid w:val="00105F30"/>
    <w:rsid w:val="00105FAE"/>
    <w:rsid w:val="001062B1"/>
    <w:rsid w:val="00106B9F"/>
    <w:rsid w:val="0010748C"/>
    <w:rsid w:val="001076DA"/>
    <w:rsid w:val="001102EF"/>
    <w:rsid w:val="00110875"/>
    <w:rsid w:val="00110A97"/>
    <w:rsid w:val="00110A9A"/>
    <w:rsid w:val="00110B70"/>
    <w:rsid w:val="00111036"/>
    <w:rsid w:val="0011153F"/>
    <w:rsid w:val="0011160F"/>
    <w:rsid w:val="00111889"/>
    <w:rsid w:val="00111E7D"/>
    <w:rsid w:val="00112850"/>
    <w:rsid w:val="00112D65"/>
    <w:rsid w:val="0011367A"/>
    <w:rsid w:val="0011409F"/>
    <w:rsid w:val="00114B3B"/>
    <w:rsid w:val="00114BB2"/>
    <w:rsid w:val="00114FFA"/>
    <w:rsid w:val="0011546A"/>
    <w:rsid w:val="00116542"/>
    <w:rsid w:val="00117069"/>
    <w:rsid w:val="0011710E"/>
    <w:rsid w:val="00117250"/>
    <w:rsid w:val="00117EAA"/>
    <w:rsid w:val="00120F0A"/>
    <w:rsid w:val="00121D9D"/>
    <w:rsid w:val="00121F8B"/>
    <w:rsid w:val="001229D9"/>
    <w:rsid w:val="001238D6"/>
    <w:rsid w:val="00123D90"/>
    <w:rsid w:val="001244AC"/>
    <w:rsid w:val="00125F3B"/>
    <w:rsid w:val="00125FE2"/>
    <w:rsid w:val="001269F4"/>
    <w:rsid w:val="00127188"/>
    <w:rsid w:val="00127D33"/>
    <w:rsid w:val="00130069"/>
    <w:rsid w:val="00130218"/>
    <w:rsid w:val="0013023B"/>
    <w:rsid w:val="00131CE9"/>
    <w:rsid w:val="00132480"/>
    <w:rsid w:val="00133E0E"/>
    <w:rsid w:val="00133FD7"/>
    <w:rsid w:val="0013408E"/>
    <w:rsid w:val="001348F4"/>
    <w:rsid w:val="00134922"/>
    <w:rsid w:val="00134DAF"/>
    <w:rsid w:val="00134FB6"/>
    <w:rsid w:val="001356B0"/>
    <w:rsid w:val="001356BB"/>
    <w:rsid w:val="001357CD"/>
    <w:rsid w:val="00135C69"/>
    <w:rsid w:val="00135CC9"/>
    <w:rsid w:val="00135EFF"/>
    <w:rsid w:val="00135F04"/>
    <w:rsid w:val="00135F2C"/>
    <w:rsid w:val="00136748"/>
    <w:rsid w:val="00136BFD"/>
    <w:rsid w:val="00137445"/>
    <w:rsid w:val="00140226"/>
    <w:rsid w:val="001403EB"/>
    <w:rsid w:val="00140690"/>
    <w:rsid w:val="00141238"/>
    <w:rsid w:val="001427B8"/>
    <w:rsid w:val="00142ADA"/>
    <w:rsid w:val="00142B8B"/>
    <w:rsid w:val="00142E5B"/>
    <w:rsid w:val="001437D9"/>
    <w:rsid w:val="00144400"/>
    <w:rsid w:val="00144792"/>
    <w:rsid w:val="0014605A"/>
    <w:rsid w:val="00146F4A"/>
    <w:rsid w:val="00147D25"/>
    <w:rsid w:val="00150240"/>
    <w:rsid w:val="00150F00"/>
    <w:rsid w:val="00151121"/>
    <w:rsid w:val="0015143A"/>
    <w:rsid w:val="00151B8C"/>
    <w:rsid w:val="00151C0C"/>
    <w:rsid w:val="001525A3"/>
    <w:rsid w:val="0015271B"/>
    <w:rsid w:val="00153AF2"/>
    <w:rsid w:val="00153B09"/>
    <w:rsid w:val="00153C15"/>
    <w:rsid w:val="00155593"/>
    <w:rsid w:val="001556C6"/>
    <w:rsid w:val="00155AAC"/>
    <w:rsid w:val="00156279"/>
    <w:rsid w:val="001563AA"/>
    <w:rsid w:val="001569E5"/>
    <w:rsid w:val="00156CD3"/>
    <w:rsid w:val="001573EC"/>
    <w:rsid w:val="0015780B"/>
    <w:rsid w:val="00157D2B"/>
    <w:rsid w:val="00157FE9"/>
    <w:rsid w:val="00160D22"/>
    <w:rsid w:val="00161090"/>
    <w:rsid w:val="00161C0A"/>
    <w:rsid w:val="00161E02"/>
    <w:rsid w:val="00162E35"/>
    <w:rsid w:val="00162EA8"/>
    <w:rsid w:val="001635E5"/>
    <w:rsid w:val="001636A9"/>
    <w:rsid w:val="001637D9"/>
    <w:rsid w:val="001643C4"/>
    <w:rsid w:val="0016484C"/>
    <w:rsid w:val="00164A6C"/>
    <w:rsid w:val="001661E0"/>
    <w:rsid w:val="001665BE"/>
    <w:rsid w:val="00166620"/>
    <w:rsid w:val="0016698A"/>
    <w:rsid w:val="00166B91"/>
    <w:rsid w:val="00167266"/>
    <w:rsid w:val="00167357"/>
    <w:rsid w:val="001676D7"/>
    <w:rsid w:val="001679EF"/>
    <w:rsid w:val="001705C6"/>
    <w:rsid w:val="00170A76"/>
    <w:rsid w:val="0017151A"/>
    <w:rsid w:val="00171588"/>
    <w:rsid w:val="0017265D"/>
    <w:rsid w:val="001726A0"/>
    <w:rsid w:val="00173273"/>
    <w:rsid w:val="00173357"/>
    <w:rsid w:val="001733DE"/>
    <w:rsid w:val="001741B2"/>
    <w:rsid w:val="00174509"/>
    <w:rsid w:val="00174AEE"/>
    <w:rsid w:val="00174D28"/>
    <w:rsid w:val="0017546F"/>
    <w:rsid w:val="001757F2"/>
    <w:rsid w:val="0017616E"/>
    <w:rsid w:val="001762A5"/>
    <w:rsid w:val="00176313"/>
    <w:rsid w:val="001765D8"/>
    <w:rsid w:val="00176E4E"/>
    <w:rsid w:val="0017740A"/>
    <w:rsid w:val="00177EE7"/>
    <w:rsid w:val="0018026F"/>
    <w:rsid w:val="00180652"/>
    <w:rsid w:val="0018080E"/>
    <w:rsid w:val="00180B56"/>
    <w:rsid w:val="00180F32"/>
    <w:rsid w:val="00181208"/>
    <w:rsid w:val="001817FA"/>
    <w:rsid w:val="00181A5E"/>
    <w:rsid w:val="00181C4B"/>
    <w:rsid w:val="001820E9"/>
    <w:rsid w:val="001823B7"/>
    <w:rsid w:val="00182B17"/>
    <w:rsid w:val="00183277"/>
    <w:rsid w:val="0018358C"/>
    <w:rsid w:val="00183BDA"/>
    <w:rsid w:val="00183FC6"/>
    <w:rsid w:val="0018496C"/>
    <w:rsid w:val="00184D69"/>
    <w:rsid w:val="00184DBF"/>
    <w:rsid w:val="001850B8"/>
    <w:rsid w:val="001851F0"/>
    <w:rsid w:val="00185892"/>
    <w:rsid w:val="00185D6E"/>
    <w:rsid w:val="00185F56"/>
    <w:rsid w:val="00187443"/>
    <w:rsid w:val="00187902"/>
    <w:rsid w:val="00187BC1"/>
    <w:rsid w:val="00187E16"/>
    <w:rsid w:val="00190264"/>
    <w:rsid w:val="001905DE"/>
    <w:rsid w:val="00190F8F"/>
    <w:rsid w:val="001922D8"/>
    <w:rsid w:val="001923EF"/>
    <w:rsid w:val="00192663"/>
    <w:rsid w:val="00192973"/>
    <w:rsid w:val="00192EBC"/>
    <w:rsid w:val="001930CA"/>
    <w:rsid w:val="00193313"/>
    <w:rsid w:val="001933F4"/>
    <w:rsid w:val="001933FB"/>
    <w:rsid w:val="001947EF"/>
    <w:rsid w:val="00194D6F"/>
    <w:rsid w:val="00194E08"/>
    <w:rsid w:val="00196325"/>
    <w:rsid w:val="001966AA"/>
    <w:rsid w:val="00196B3D"/>
    <w:rsid w:val="00196BEF"/>
    <w:rsid w:val="00196DE5"/>
    <w:rsid w:val="00196E94"/>
    <w:rsid w:val="00197356"/>
    <w:rsid w:val="00197839"/>
    <w:rsid w:val="00197FA8"/>
    <w:rsid w:val="001A014E"/>
    <w:rsid w:val="001A0209"/>
    <w:rsid w:val="001A0362"/>
    <w:rsid w:val="001A05AC"/>
    <w:rsid w:val="001A0A9C"/>
    <w:rsid w:val="001A0FDF"/>
    <w:rsid w:val="001A1483"/>
    <w:rsid w:val="001A1837"/>
    <w:rsid w:val="001A2408"/>
    <w:rsid w:val="001A30D4"/>
    <w:rsid w:val="001A3667"/>
    <w:rsid w:val="001A3805"/>
    <w:rsid w:val="001A39D9"/>
    <w:rsid w:val="001A3F68"/>
    <w:rsid w:val="001A4305"/>
    <w:rsid w:val="001A49F8"/>
    <w:rsid w:val="001A5125"/>
    <w:rsid w:val="001A5DC0"/>
    <w:rsid w:val="001A6368"/>
    <w:rsid w:val="001A64A4"/>
    <w:rsid w:val="001A664D"/>
    <w:rsid w:val="001A68E9"/>
    <w:rsid w:val="001A6DFC"/>
    <w:rsid w:val="001A6E03"/>
    <w:rsid w:val="001A7164"/>
    <w:rsid w:val="001A78A9"/>
    <w:rsid w:val="001B00C8"/>
    <w:rsid w:val="001B0170"/>
    <w:rsid w:val="001B077C"/>
    <w:rsid w:val="001B0BC0"/>
    <w:rsid w:val="001B1CD4"/>
    <w:rsid w:val="001B1CDA"/>
    <w:rsid w:val="001B24C7"/>
    <w:rsid w:val="001B281E"/>
    <w:rsid w:val="001B2878"/>
    <w:rsid w:val="001B2DA3"/>
    <w:rsid w:val="001B32D2"/>
    <w:rsid w:val="001B33FC"/>
    <w:rsid w:val="001B3542"/>
    <w:rsid w:val="001B3C23"/>
    <w:rsid w:val="001B4FBD"/>
    <w:rsid w:val="001B5175"/>
    <w:rsid w:val="001B55DA"/>
    <w:rsid w:val="001B5F6A"/>
    <w:rsid w:val="001B6298"/>
    <w:rsid w:val="001B66A5"/>
    <w:rsid w:val="001B72DA"/>
    <w:rsid w:val="001B7F7D"/>
    <w:rsid w:val="001C0915"/>
    <w:rsid w:val="001C0F2D"/>
    <w:rsid w:val="001C1BB5"/>
    <w:rsid w:val="001C1EBE"/>
    <w:rsid w:val="001C226D"/>
    <w:rsid w:val="001C2510"/>
    <w:rsid w:val="001C2E95"/>
    <w:rsid w:val="001C3058"/>
    <w:rsid w:val="001C354F"/>
    <w:rsid w:val="001C3B97"/>
    <w:rsid w:val="001C45AD"/>
    <w:rsid w:val="001C4722"/>
    <w:rsid w:val="001C4DD2"/>
    <w:rsid w:val="001C5051"/>
    <w:rsid w:val="001C512C"/>
    <w:rsid w:val="001C598C"/>
    <w:rsid w:val="001C5E6E"/>
    <w:rsid w:val="001C617D"/>
    <w:rsid w:val="001C64FB"/>
    <w:rsid w:val="001C664E"/>
    <w:rsid w:val="001C665A"/>
    <w:rsid w:val="001C6A24"/>
    <w:rsid w:val="001C7ABF"/>
    <w:rsid w:val="001D02B0"/>
    <w:rsid w:val="001D1055"/>
    <w:rsid w:val="001D17E3"/>
    <w:rsid w:val="001D19E2"/>
    <w:rsid w:val="001D1B92"/>
    <w:rsid w:val="001D1C55"/>
    <w:rsid w:val="001D216A"/>
    <w:rsid w:val="001D2192"/>
    <w:rsid w:val="001D2E82"/>
    <w:rsid w:val="001D2FFA"/>
    <w:rsid w:val="001D309D"/>
    <w:rsid w:val="001D30DC"/>
    <w:rsid w:val="001D3573"/>
    <w:rsid w:val="001D38CC"/>
    <w:rsid w:val="001D3AFA"/>
    <w:rsid w:val="001D431B"/>
    <w:rsid w:val="001D44CA"/>
    <w:rsid w:val="001D56D7"/>
    <w:rsid w:val="001D5F5B"/>
    <w:rsid w:val="001D6136"/>
    <w:rsid w:val="001D641B"/>
    <w:rsid w:val="001D65E4"/>
    <w:rsid w:val="001D6E59"/>
    <w:rsid w:val="001D6E73"/>
    <w:rsid w:val="001D7425"/>
    <w:rsid w:val="001D7440"/>
    <w:rsid w:val="001D77AD"/>
    <w:rsid w:val="001D798B"/>
    <w:rsid w:val="001D7A74"/>
    <w:rsid w:val="001E0661"/>
    <w:rsid w:val="001E075E"/>
    <w:rsid w:val="001E08B5"/>
    <w:rsid w:val="001E0F6D"/>
    <w:rsid w:val="001E0F74"/>
    <w:rsid w:val="001E0FE3"/>
    <w:rsid w:val="001E149A"/>
    <w:rsid w:val="001E18D2"/>
    <w:rsid w:val="001E1C32"/>
    <w:rsid w:val="001E25B7"/>
    <w:rsid w:val="001E284D"/>
    <w:rsid w:val="001E2D9E"/>
    <w:rsid w:val="001E329B"/>
    <w:rsid w:val="001E34C2"/>
    <w:rsid w:val="001E35BF"/>
    <w:rsid w:val="001E3998"/>
    <w:rsid w:val="001E3BC0"/>
    <w:rsid w:val="001E404B"/>
    <w:rsid w:val="001E416B"/>
    <w:rsid w:val="001E4502"/>
    <w:rsid w:val="001E456D"/>
    <w:rsid w:val="001E484B"/>
    <w:rsid w:val="001E5385"/>
    <w:rsid w:val="001E57EE"/>
    <w:rsid w:val="001E5881"/>
    <w:rsid w:val="001E5A47"/>
    <w:rsid w:val="001E5B9F"/>
    <w:rsid w:val="001E5EE3"/>
    <w:rsid w:val="001E6946"/>
    <w:rsid w:val="001E6ABE"/>
    <w:rsid w:val="001E6AD6"/>
    <w:rsid w:val="001E7DF3"/>
    <w:rsid w:val="001E7F80"/>
    <w:rsid w:val="001F01CD"/>
    <w:rsid w:val="001F09D8"/>
    <w:rsid w:val="001F0E08"/>
    <w:rsid w:val="001F1036"/>
    <w:rsid w:val="001F13C6"/>
    <w:rsid w:val="001F1C94"/>
    <w:rsid w:val="001F1CB9"/>
    <w:rsid w:val="001F1E99"/>
    <w:rsid w:val="001F2120"/>
    <w:rsid w:val="001F213E"/>
    <w:rsid w:val="001F229A"/>
    <w:rsid w:val="001F2492"/>
    <w:rsid w:val="001F2619"/>
    <w:rsid w:val="001F2836"/>
    <w:rsid w:val="001F349E"/>
    <w:rsid w:val="001F36DD"/>
    <w:rsid w:val="001F3723"/>
    <w:rsid w:val="001F384E"/>
    <w:rsid w:val="001F3D9C"/>
    <w:rsid w:val="001F48B5"/>
    <w:rsid w:val="001F4A88"/>
    <w:rsid w:val="001F581D"/>
    <w:rsid w:val="001F5AB1"/>
    <w:rsid w:val="001F5DC8"/>
    <w:rsid w:val="001F5F66"/>
    <w:rsid w:val="001F67DD"/>
    <w:rsid w:val="001F691A"/>
    <w:rsid w:val="001F6BA9"/>
    <w:rsid w:val="001F6F11"/>
    <w:rsid w:val="001F6F6C"/>
    <w:rsid w:val="001F72E0"/>
    <w:rsid w:val="001F79D1"/>
    <w:rsid w:val="001F7C17"/>
    <w:rsid w:val="00200231"/>
    <w:rsid w:val="00200440"/>
    <w:rsid w:val="0020061C"/>
    <w:rsid w:val="0020075C"/>
    <w:rsid w:val="002008CE"/>
    <w:rsid w:val="002009EE"/>
    <w:rsid w:val="002013EE"/>
    <w:rsid w:val="00201662"/>
    <w:rsid w:val="002017D3"/>
    <w:rsid w:val="00201D9E"/>
    <w:rsid w:val="00201ED6"/>
    <w:rsid w:val="00202051"/>
    <w:rsid w:val="0020206B"/>
    <w:rsid w:val="002021F2"/>
    <w:rsid w:val="002025F3"/>
    <w:rsid w:val="00202B25"/>
    <w:rsid w:val="00203602"/>
    <w:rsid w:val="00203B0C"/>
    <w:rsid w:val="00204326"/>
    <w:rsid w:val="0020445C"/>
    <w:rsid w:val="002046AB"/>
    <w:rsid w:val="00205751"/>
    <w:rsid w:val="00205DF3"/>
    <w:rsid w:val="002060CC"/>
    <w:rsid w:val="00206CC8"/>
    <w:rsid w:val="002073AB"/>
    <w:rsid w:val="002074A7"/>
    <w:rsid w:val="00207933"/>
    <w:rsid w:val="00207AE4"/>
    <w:rsid w:val="00210330"/>
    <w:rsid w:val="00210DF3"/>
    <w:rsid w:val="0021139E"/>
    <w:rsid w:val="002118B0"/>
    <w:rsid w:val="00211F1D"/>
    <w:rsid w:val="00211FB7"/>
    <w:rsid w:val="00212066"/>
    <w:rsid w:val="00212C67"/>
    <w:rsid w:val="002130F2"/>
    <w:rsid w:val="0021312E"/>
    <w:rsid w:val="002133DA"/>
    <w:rsid w:val="00213E35"/>
    <w:rsid w:val="002143AE"/>
    <w:rsid w:val="002144DF"/>
    <w:rsid w:val="0021462D"/>
    <w:rsid w:val="00215907"/>
    <w:rsid w:val="00215B9A"/>
    <w:rsid w:val="002162D5"/>
    <w:rsid w:val="002162F3"/>
    <w:rsid w:val="002163A5"/>
    <w:rsid w:val="00216861"/>
    <w:rsid w:val="00217C60"/>
    <w:rsid w:val="0022083E"/>
    <w:rsid w:val="00221060"/>
    <w:rsid w:val="00221C6E"/>
    <w:rsid w:val="00221CC7"/>
    <w:rsid w:val="002221A0"/>
    <w:rsid w:val="00222D0B"/>
    <w:rsid w:val="00223267"/>
    <w:rsid w:val="0022340D"/>
    <w:rsid w:val="0022351D"/>
    <w:rsid w:val="002242F1"/>
    <w:rsid w:val="00224339"/>
    <w:rsid w:val="00224712"/>
    <w:rsid w:val="0022495D"/>
    <w:rsid w:val="00224C16"/>
    <w:rsid w:val="002250DF"/>
    <w:rsid w:val="00225738"/>
    <w:rsid w:val="00225E6B"/>
    <w:rsid w:val="002262C9"/>
    <w:rsid w:val="00226381"/>
    <w:rsid w:val="002266F8"/>
    <w:rsid w:val="00226793"/>
    <w:rsid w:val="00226886"/>
    <w:rsid w:val="00226DB3"/>
    <w:rsid w:val="00227AE6"/>
    <w:rsid w:val="00227BC6"/>
    <w:rsid w:val="002308D0"/>
    <w:rsid w:val="00231166"/>
    <w:rsid w:val="0023143E"/>
    <w:rsid w:val="00232360"/>
    <w:rsid w:val="0023237E"/>
    <w:rsid w:val="002326C6"/>
    <w:rsid w:val="002328FD"/>
    <w:rsid w:val="00232B36"/>
    <w:rsid w:val="00232C40"/>
    <w:rsid w:val="0023308D"/>
    <w:rsid w:val="00233402"/>
    <w:rsid w:val="00233A53"/>
    <w:rsid w:val="00233B44"/>
    <w:rsid w:val="002341C7"/>
    <w:rsid w:val="00234652"/>
    <w:rsid w:val="002350D8"/>
    <w:rsid w:val="00235707"/>
    <w:rsid w:val="00235ED4"/>
    <w:rsid w:val="002361D1"/>
    <w:rsid w:val="00236DC8"/>
    <w:rsid w:val="00236F80"/>
    <w:rsid w:val="00237EAD"/>
    <w:rsid w:val="00237EBE"/>
    <w:rsid w:val="0024027A"/>
    <w:rsid w:val="00240943"/>
    <w:rsid w:val="00240BE9"/>
    <w:rsid w:val="00240EF8"/>
    <w:rsid w:val="00241985"/>
    <w:rsid w:val="00241BCE"/>
    <w:rsid w:val="00241D3D"/>
    <w:rsid w:val="0024203D"/>
    <w:rsid w:val="00242082"/>
    <w:rsid w:val="0024298D"/>
    <w:rsid w:val="00242EDF"/>
    <w:rsid w:val="002438FF"/>
    <w:rsid w:val="00243A59"/>
    <w:rsid w:val="00244246"/>
    <w:rsid w:val="00244265"/>
    <w:rsid w:val="00244837"/>
    <w:rsid w:val="00244B3B"/>
    <w:rsid w:val="00244E2A"/>
    <w:rsid w:val="00244E3A"/>
    <w:rsid w:val="00244F98"/>
    <w:rsid w:val="00245452"/>
    <w:rsid w:val="0024557D"/>
    <w:rsid w:val="002455F3"/>
    <w:rsid w:val="002457D8"/>
    <w:rsid w:val="00245A49"/>
    <w:rsid w:val="00245C48"/>
    <w:rsid w:val="00246436"/>
    <w:rsid w:val="002465C8"/>
    <w:rsid w:val="002465F1"/>
    <w:rsid w:val="00246C9E"/>
    <w:rsid w:val="00246F15"/>
    <w:rsid w:val="00246F7D"/>
    <w:rsid w:val="00247F15"/>
    <w:rsid w:val="0025087A"/>
    <w:rsid w:val="00250ACD"/>
    <w:rsid w:val="0025147E"/>
    <w:rsid w:val="00251BB1"/>
    <w:rsid w:val="0025201D"/>
    <w:rsid w:val="00252341"/>
    <w:rsid w:val="00252669"/>
    <w:rsid w:val="002526A6"/>
    <w:rsid w:val="002526C6"/>
    <w:rsid w:val="00252D62"/>
    <w:rsid w:val="00252DBD"/>
    <w:rsid w:val="00252DE5"/>
    <w:rsid w:val="00253212"/>
    <w:rsid w:val="002537D9"/>
    <w:rsid w:val="00253BB4"/>
    <w:rsid w:val="0025468C"/>
    <w:rsid w:val="0025474F"/>
    <w:rsid w:val="00254841"/>
    <w:rsid w:val="00254B78"/>
    <w:rsid w:val="00254DA8"/>
    <w:rsid w:val="00255733"/>
    <w:rsid w:val="00255A89"/>
    <w:rsid w:val="00255D3F"/>
    <w:rsid w:val="00255DBC"/>
    <w:rsid w:val="0025641B"/>
    <w:rsid w:val="00256865"/>
    <w:rsid w:val="002577D4"/>
    <w:rsid w:val="00260544"/>
    <w:rsid w:val="00260A24"/>
    <w:rsid w:val="00260E1C"/>
    <w:rsid w:val="00261094"/>
    <w:rsid w:val="00261541"/>
    <w:rsid w:val="002621C6"/>
    <w:rsid w:val="00263107"/>
    <w:rsid w:val="00263541"/>
    <w:rsid w:val="002636E7"/>
    <w:rsid w:val="002636F4"/>
    <w:rsid w:val="00263E09"/>
    <w:rsid w:val="00263E25"/>
    <w:rsid w:val="00263E8A"/>
    <w:rsid w:val="00264280"/>
    <w:rsid w:val="00264322"/>
    <w:rsid w:val="00264C7B"/>
    <w:rsid w:val="002652DD"/>
    <w:rsid w:val="0026531E"/>
    <w:rsid w:val="00265C69"/>
    <w:rsid w:val="00265D85"/>
    <w:rsid w:val="002662EF"/>
    <w:rsid w:val="002668D7"/>
    <w:rsid w:val="00267458"/>
    <w:rsid w:val="002674D4"/>
    <w:rsid w:val="00267892"/>
    <w:rsid w:val="00267C1B"/>
    <w:rsid w:val="00267C6D"/>
    <w:rsid w:val="00271417"/>
    <w:rsid w:val="00271A28"/>
    <w:rsid w:val="00271C98"/>
    <w:rsid w:val="0027297D"/>
    <w:rsid w:val="00272B04"/>
    <w:rsid w:val="00272F8F"/>
    <w:rsid w:val="002731F2"/>
    <w:rsid w:val="002737E2"/>
    <w:rsid w:val="00274468"/>
    <w:rsid w:val="002746E7"/>
    <w:rsid w:val="00274B3E"/>
    <w:rsid w:val="00274B83"/>
    <w:rsid w:val="002755AD"/>
    <w:rsid w:val="00275AD6"/>
    <w:rsid w:val="002762EC"/>
    <w:rsid w:val="00276651"/>
    <w:rsid w:val="002777B3"/>
    <w:rsid w:val="00280422"/>
    <w:rsid w:val="0028067B"/>
    <w:rsid w:val="00280D0D"/>
    <w:rsid w:val="00280D72"/>
    <w:rsid w:val="00280F62"/>
    <w:rsid w:val="00281CFE"/>
    <w:rsid w:val="00281D5F"/>
    <w:rsid w:val="002823F8"/>
    <w:rsid w:val="0028242C"/>
    <w:rsid w:val="00282695"/>
    <w:rsid w:val="00282F8D"/>
    <w:rsid w:val="00284328"/>
    <w:rsid w:val="00284737"/>
    <w:rsid w:val="002848BE"/>
    <w:rsid w:val="00284CC0"/>
    <w:rsid w:val="0028608E"/>
    <w:rsid w:val="00286166"/>
    <w:rsid w:val="00286171"/>
    <w:rsid w:val="002865B1"/>
    <w:rsid w:val="00286C08"/>
    <w:rsid w:val="0028704F"/>
    <w:rsid w:val="00287831"/>
    <w:rsid w:val="002901E9"/>
    <w:rsid w:val="002904CC"/>
    <w:rsid w:val="0029050F"/>
    <w:rsid w:val="0029120C"/>
    <w:rsid w:val="00291331"/>
    <w:rsid w:val="002914BA"/>
    <w:rsid w:val="00291979"/>
    <w:rsid w:val="00291B6E"/>
    <w:rsid w:val="00291E20"/>
    <w:rsid w:val="00291F02"/>
    <w:rsid w:val="002931CD"/>
    <w:rsid w:val="00293412"/>
    <w:rsid w:val="00293B8E"/>
    <w:rsid w:val="00294149"/>
    <w:rsid w:val="00294809"/>
    <w:rsid w:val="00294CEF"/>
    <w:rsid w:val="00294D19"/>
    <w:rsid w:val="00294F36"/>
    <w:rsid w:val="002953FA"/>
    <w:rsid w:val="00295446"/>
    <w:rsid w:val="00295557"/>
    <w:rsid w:val="00295806"/>
    <w:rsid w:val="00295A77"/>
    <w:rsid w:val="00295F78"/>
    <w:rsid w:val="00296428"/>
    <w:rsid w:val="00296B55"/>
    <w:rsid w:val="00296BF7"/>
    <w:rsid w:val="00297C2A"/>
    <w:rsid w:val="002A00C6"/>
    <w:rsid w:val="002A053F"/>
    <w:rsid w:val="002A0663"/>
    <w:rsid w:val="002A0913"/>
    <w:rsid w:val="002A0D3A"/>
    <w:rsid w:val="002A0F18"/>
    <w:rsid w:val="002A1145"/>
    <w:rsid w:val="002A187C"/>
    <w:rsid w:val="002A1904"/>
    <w:rsid w:val="002A1BC2"/>
    <w:rsid w:val="002A1F3D"/>
    <w:rsid w:val="002A2169"/>
    <w:rsid w:val="002A21C5"/>
    <w:rsid w:val="002A2A59"/>
    <w:rsid w:val="002A37BA"/>
    <w:rsid w:val="002A3D1E"/>
    <w:rsid w:val="002A43E8"/>
    <w:rsid w:val="002A4B64"/>
    <w:rsid w:val="002A5137"/>
    <w:rsid w:val="002A52FC"/>
    <w:rsid w:val="002A572B"/>
    <w:rsid w:val="002A588B"/>
    <w:rsid w:val="002A59D8"/>
    <w:rsid w:val="002A5BB6"/>
    <w:rsid w:val="002A5FBA"/>
    <w:rsid w:val="002A6233"/>
    <w:rsid w:val="002A6358"/>
    <w:rsid w:val="002A6ABC"/>
    <w:rsid w:val="002A77D0"/>
    <w:rsid w:val="002A7963"/>
    <w:rsid w:val="002B0091"/>
    <w:rsid w:val="002B052A"/>
    <w:rsid w:val="002B05A1"/>
    <w:rsid w:val="002B0611"/>
    <w:rsid w:val="002B0830"/>
    <w:rsid w:val="002B0BD1"/>
    <w:rsid w:val="002B0EDE"/>
    <w:rsid w:val="002B1375"/>
    <w:rsid w:val="002B16D7"/>
    <w:rsid w:val="002B27D8"/>
    <w:rsid w:val="002B2A4C"/>
    <w:rsid w:val="002B2AD7"/>
    <w:rsid w:val="002B3425"/>
    <w:rsid w:val="002B352E"/>
    <w:rsid w:val="002B39D1"/>
    <w:rsid w:val="002B3C7D"/>
    <w:rsid w:val="002B3F12"/>
    <w:rsid w:val="002B3F6A"/>
    <w:rsid w:val="002B3FE0"/>
    <w:rsid w:val="002B412D"/>
    <w:rsid w:val="002B414D"/>
    <w:rsid w:val="002B42BA"/>
    <w:rsid w:val="002B447C"/>
    <w:rsid w:val="002B4AE6"/>
    <w:rsid w:val="002B4C31"/>
    <w:rsid w:val="002B4DF5"/>
    <w:rsid w:val="002B576E"/>
    <w:rsid w:val="002B59B0"/>
    <w:rsid w:val="002B5C3F"/>
    <w:rsid w:val="002B5C69"/>
    <w:rsid w:val="002B624E"/>
    <w:rsid w:val="002B6416"/>
    <w:rsid w:val="002B68C9"/>
    <w:rsid w:val="002B6FF3"/>
    <w:rsid w:val="002B72E7"/>
    <w:rsid w:val="002B7865"/>
    <w:rsid w:val="002B7E81"/>
    <w:rsid w:val="002C0178"/>
    <w:rsid w:val="002C0E2F"/>
    <w:rsid w:val="002C157D"/>
    <w:rsid w:val="002C1750"/>
    <w:rsid w:val="002C1C3F"/>
    <w:rsid w:val="002C1F8F"/>
    <w:rsid w:val="002C2057"/>
    <w:rsid w:val="002C228E"/>
    <w:rsid w:val="002C268B"/>
    <w:rsid w:val="002C2883"/>
    <w:rsid w:val="002C2984"/>
    <w:rsid w:val="002C30CF"/>
    <w:rsid w:val="002C32A2"/>
    <w:rsid w:val="002C346D"/>
    <w:rsid w:val="002C3D86"/>
    <w:rsid w:val="002C42E9"/>
    <w:rsid w:val="002C44BD"/>
    <w:rsid w:val="002C45DC"/>
    <w:rsid w:val="002C47D2"/>
    <w:rsid w:val="002C496D"/>
    <w:rsid w:val="002C4A3F"/>
    <w:rsid w:val="002C4B2A"/>
    <w:rsid w:val="002C4C1A"/>
    <w:rsid w:val="002C4EF7"/>
    <w:rsid w:val="002C509E"/>
    <w:rsid w:val="002C53B7"/>
    <w:rsid w:val="002C5A47"/>
    <w:rsid w:val="002C5C03"/>
    <w:rsid w:val="002C61BC"/>
    <w:rsid w:val="002C63C2"/>
    <w:rsid w:val="002C6578"/>
    <w:rsid w:val="002C6A07"/>
    <w:rsid w:val="002C6BA6"/>
    <w:rsid w:val="002C77C4"/>
    <w:rsid w:val="002C79BB"/>
    <w:rsid w:val="002C7BF6"/>
    <w:rsid w:val="002C7E01"/>
    <w:rsid w:val="002C7EE9"/>
    <w:rsid w:val="002D070A"/>
    <w:rsid w:val="002D0D33"/>
    <w:rsid w:val="002D11CB"/>
    <w:rsid w:val="002D1A5B"/>
    <w:rsid w:val="002D1EDC"/>
    <w:rsid w:val="002D21A8"/>
    <w:rsid w:val="002D230B"/>
    <w:rsid w:val="002D27C5"/>
    <w:rsid w:val="002D28E6"/>
    <w:rsid w:val="002D2AC8"/>
    <w:rsid w:val="002D38EF"/>
    <w:rsid w:val="002D4A7F"/>
    <w:rsid w:val="002D4AFA"/>
    <w:rsid w:val="002D4B3B"/>
    <w:rsid w:val="002D5047"/>
    <w:rsid w:val="002D562A"/>
    <w:rsid w:val="002D56BE"/>
    <w:rsid w:val="002D5C57"/>
    <w:rsid w:val="002D5EC0"/>
    <w:rsid w:val="002D613E"/>
    <w:rsid w:val="002D63F4"/>
    <w:rsid w:val="002D6EA5"/>
    <w:rsid w:val="002D7272"/>
    <w:rsid w:val="002D72C9"/>
    <w:rsid w:val="002D7E37"/>
    <w:rsid w:val="002E0E9F"/>
    <w:rsid w:val="002E162A"/>
    <w:rsid w:val="002E1CE8"/>
    <w:rsid w:val="002E1F3F"/>
    <w:rsid w:val="002E2826"/>
    <w:rsid w:val="002E28E6"/>
    <w:rsid w:val="002E42E0"/>
    <w:rsid w:val="002E4597"/>
    <w:rsid w:val="002E468D"/>
    <w:rsid w:val="002E50F5"/>
    <w:rsid w:val="002E5138"/>
    <w:rsid w:val="002E5399"/>
    <w:rsid w:val="002E566C"/>
    <w:rsid w:val="002E58A5"/>
    <w:rsid w:val="002E58E1"/>
    <w:rsid w:val="002E5A59"/>
    <w:rsid w:val="002E5C27"/>
    <w:rsid w:val="002E66AC"/>
    <w:rsid w:val="002E6801"/>
    <w:rsid w:val="002E6A97"/>
    <w:rsid w:val="002E74EB"/>
    <w:rsid w:val="002E7F55"/>
    <w:rsid w:val="002F04C0"/>
    <w:rsid w:val="002F058F"/>
    <w:rsid w:val="002F0635"/>
    <w:rsid w:val="002F09E8"/>
    <w:rsid w:val="002F177C"/>
    <w:rsid w:val="002F27C7"/>
    <w:rsid w:val="002F2BD7"/>
    <w:rsid w:val="002F2CE4"/>
    <w:rsid w:val="002F2F0B"/>
    <w:rsid w:val="002F311C"/>
    <w:rsid w:val="002F3472"/>
    <w:rsid w:val="002F35DC"/>
    <w:rsid w:val="002F3882"/>
    <w:rsid w:val="002F3F82"/>
    <w:rsid w:val="002F3F90"/>
    <w:rsid w:val="002F4B93"/>
    <w:rsid w:val="002F542B"/>
    <w:rsid w:val="002F550F"/>
    <w:rsid w:val="002F60E0"/>
    <w:rsid w:val="002F6699"/>
    <w:rsid w:val="002F6BB5"/>
    <w:rsid w:val="00300676"/>
    <w:rsid w:val="00300686"/>
    <w:rsid w:val="003010D6"/>
    <w:rsid w:val="00301212"/>
    <w:rsid w:val="0030173C"/>
    <w:rsid w:val="00301A79"/>
    <w:rsid w:val="00301B76"/>
    <w:rsid w:val="00301CDB"/>
    <w:rsid w:val="0030251E"/>
    <w:rsid w:val="00302BE6"/>
    <w:rsid w:val="00302E14"/>
    <w:rsid w:val="003032EF"/>
    <w:rsid w:val="00303D10"/>
    <w:rsid w:val="00303E37"/>
    <w:rsid w:val="00304179"/>
    <w:rsid w:val="0030441C"/>
    <w:rsid w:val="00304B6E"/>
    <w:rsid w:val="00305146"/>
    <w:rsid w:val="0030578F"/>
    <w:rsid w:val="00305810"/>
    <w:rsid w:val="00305AC5"/>
    <w:rsid w:val="00305CC6"/>
    <w:rsid w:val="00305F11"/>
    <w:rsid w:val="00306039"/>
    <w:rsid w:val="003062B1"/>
    <w:rsid w:val="0030689E"/>
    <w:rsid w:val="00306ACD"/>
    <w:rsid w:val="00306B05"/>
    <w:rsid w:val="00306E1B"/>
    <w:rsid w:val="00306E26"/>
    <w:rsid w:val="003074E8"/>
    <w:rsid w:val="00307889"/>
    <w:rsid w:val="00307F23"/>
    <w:rsid w:val="0031043A"/>
    <w:rsid w:val="00310D44"/>
    <w:rsid w:val="003113A7"/>
    <w:rsid w:val="003115EA"/>
    <w:rsid w:val="00311CC1"/>
    <w:rsid w:val="00312205"/>
    <w:rsid w:val="003124CC"/>
    <w:rsid w:val="0031283A"/>
    <w:rsid w:val="00312A77"/>
    <w:rsid w:val="00312BCB"/>
    <w:rsid w:val="00312F90"/>
    <w:rsid w:val="0031320A"/>
    <w:rsid w:val="00313296"/>
    <w:rsid w:val="00313425"/>
    <w:rsid w:val="0031356D"/>
    <w:rsid w:val="00313BD0"/>
    <w:rsid w:val="003140CB"/>
    <w:rsid w:val="003140DA"/>
    <w:rsid w:val="00314776"/>
    <w:rsid w:val="00314AFA"/>
    <w:rsid w:val="00315289"/>
    <w:rsid w:val="00315767"/>
    <w:rsid w:val="00315CAF"/>
    <w:rsid w:val="00316095"/>
    <w:rsid w:val="003163D9"/>
    <w:rsid w:val="00316852"/>
    <w:rsid w:val="00316B0B"/>
    <w:rsid w:val="00316F8C"/>
    <w:rsid w:val="00317510"/>
    <w:rsid w:val="00317E0B"/>
    <w:rsid w:val="00317E72"/>
    <w:rsid w:val="00317ED6"/>
    <w:rsid w:val="0032052D"/>
    <w:rsid w:val="0032055E"/>
    <w:rsid w:val="003208DC"/>
    <w:rsid w:val="00320946"/>
    <w:rsid w:val="00320A30"/>
    <w:rsid w:val="00320FF4"/>
    <w:rsid w:val="0032139D"/>
    <w:rsid w:val="00321833"/>
    <w:rsid w:val="0032185B"/>
    <w:rsid w:val="00321C5E"/>
    <w:rsid w:val="003223F1"/>
    <w:rsid w:val="00322BD2"/>
    <w:rsid w:val="00322F84"/>
    <w:rsid w:val="00323318"/>
    <w:rsid w:val="00323CAB"/>
    <w:rsid w:val="00323D29"/>
    <w:rsid w:val="00323E4E"/>
    <w:rsid w:val="00324331"/>
    <w:rsid w:val="0032487D"/>
    <w:rsid w:val="00324DBA"/>
    <w:rsid w:val="00324E38"/>
    <w:rsid w:val="003254E8"/>
    <w:rsid w:val="00325F10"/>
    <w:rsid w:val="0032611B"/>
    <w:rsid w:val="00326129"/>
    <w:rsid w:val="0032623E"/>
    <w:rsid w:val="00326341"/>
    <w:rsid w:val="00326AFE"/>
    <w:rsid w:val="00326DAF"/>
    <w:rsid w:val="003273B3"/>
    <w:rsid w:val="0032792B"/>
    <w:rsid w:val="00327A54"/>
    <w:rsid w:val="00327D42"/>
    <w:rsid w:val="003309AB"/>
    <w:rsid w:val="0033115E"/>
    <w:rsid w:val="00331701"/>
    <w:rsid w:val="00331F75"/>
    <w:rsid w:val="003321A3"/>
    <w:rsid w:val="00332398"/>
    <w:rsid w:val="00332463"/>
    <w:rsid w:val="0033253C"/>
    <w:rsid w:val="003326A0"/>
    <w:rsid w:val="00332D76"/>
    <w:rsid w:val="00333016"/>
    <w:rsid w:val="00333550"/>
    <w:rsid w:val="0033369B"/>
    <w:rsid w:val="003339F5"/>
    <w:rsid w:val="00333E90"/>
    <w:rsid w:val="00334298"/>
    <w:rsid w:val="0033464F"/>
    <w:rsid w:val="00334C40"/>
    <w:rsid w:val="00335238"/>
    <w:rsid w:val="00335616"/>
    <w:rsid w:val="00335FBB"/>
    <w:rsid w:val="0033615A"/>
    <w:rsid w:val="003362A0"/>
    <w:rsid w:val="003362B8"/>
    <w:rsid w:val="00336829"/>
    <w:rsid w:val="00336898"/>
    <w:rsid w:val="003377FF"/>
    <w:rsid w:val="003402E9"/>
    <w:rsid w:val="0034076F"/>
    <w:rsid w:val="00340B41"/>
    <w:rsid w:val="0034110A"/>
    <w:rsid w:val="0034119B"/>
    <w:rsid w:val="003412FC"/>
    <w:rsid w:val="00341A3F"/>
    <w:rsid w:val="00341A58"/>
    <w:rsid w:val="00341B4D"/>
    <w:rsid w:val="00341FCF"/>
    <w:rsid w:val="00341FE3"/>
    <w:rsid w:val="003421F0"/>
    <w:rsid w:val="003422C3"/>
    <w:rsid w:val="003424B3"/>
    <w:rsid w:val="00342BFB"/>
    <w:rsid w:val="00342F96"/>
    <w:rsid w:val="00343911"/>
    <w:rsid w:val="00343D22"/>
    <w:rsid w:val="00343DFC"/>
    <w:rsid w:val="00343E20"/>
    <w:rsid w:val="00344037"/>
    <w:rsid w:val="0034417C"/>
    <w:rsid w:val="00344666"/>
    <w:rsid w:val="00344A29"/>
    <w:rsid w:val="00344F5A"/>
    <w:rsid w:val="0034573E"/>
    <w:rsid w:val="0034580D"/>
    <w:rsid w:val="003458EC"/>
    <w:rsid w:val="00345CA6"/>
    <w:rsid w:val="00345E44"/>
    <w:rsid w:val="003467B9"/>
    <w:rsid w:val="00346F34"/>
    <w:rsid w:val="0034717D"/>
    <w:rsid w:val="003476CA"/>
    <w:rsid w:val="00347924"/>
    <w:rsid w:val="0035003A"/>
    <w:rsid w:val="00350419"/>
    <w:rsid w:val="00350B50"/>
    <w:rsid w:val="00350E98"/>
    <w:rsid w:val="00350EA2"/>
    <w:rsid w:val="003519E3"/>
    <w:rsid w:val="00351A09"/>
    <w:rsid w:val="00351E98"/>
    <w:rsid w:val="003528AD"/>
    <w:rsid w:val="003528B2"/>
    <w:rsid w:val="003528EC"/>
    <w:rsid w:val="00352E4B"/>
    <w:rsid w:val="00353980"/>
    <w:rsid w:val="00353E7F"/>
    <w:rsid w:val="00354015"/>
    <w:rsid w:val="003541E9"/>
    <w:rsid w:val="0035438E"/>
    <w:rsid w:val="0035464C"/>
    <w:rsid w:val="00354883"/>
    <w:rsid w:val="0035492D"/>
    <w:rsid w:val="00354D22"/>
    <w:rsid w:val="00354FB8"/>
    <w:rsid w:val="00355473"/>
    <w:rsid w:val="0035578E"/>
    <w:rsid w:val="00355997"/>
    <w:rsid w:val="00355AAE"/>
    <w:rsid w:val="00356233"/>
    <w:rsid w:val="00356421"/>
    <w:rsid w:val="00356733"/>
    <w:rsid w:val="00356EEB"/>
    <w:rsid w:val="003571F6"/>
    <w:rsid w:val="0035762E"/>
    <w:rsid w:val="0035782D"/>
    <w:rsid w:val="00357D30"/>
    <w:rsid w:val="0036038D"/>
    <w:rsid w:val="00361185"/>
    <w:rsid w:val="00361F43"/>
    <w:rsid w:val="0036311E"/>
    <w:rsid w:val="003638C7"/>
    <w:rsid w:val="00363A85"/>
    <w:rsid w:val="003642B0"/>
    <w:rsid w:val="00364EF9"/>
    <w:rsid w:val="0036516E"/>
    <w:rsid w:val="003651C1"/>
    <w:rsid w:val="0036554A"/>
    <w:rsid w:val="003658EF"/>
    <w:rsid w:val="00365A53"/>
    <w:rsid w:val="00366D56"/>
    <w:rsid w:val="00366FDF"/>
    <w:rsid w:val="00367034"/>
    <w:rsid w:val="00367118"/>
    <w:rsid w:val="0036718B"/>
    <w:rsid w:val="0036733D"/>
    <w:rsid w:val="003675C9"/>
    <w:rsid w:val="00367AEA"/>
    <w:rsid w:val="00367BA9"/>
    <w:rsid w:val="00367FD5"/>
    <w:rsid w:val="00370D23"/>
    <w:rsid w:val="00370F6B"/>
    <w:rsid w:val="00371935"/>
    <w:rsid w:val="00371972"/>
    <w:rsid w:val="00371A57"/>
    <w:rsid w:val="00371CA1"/>
    <w:rsid w:val="003720C4"/>
    <w:rsid w:val="0037212B"/>
    <w:rsid w:val="003728BA"/>
    <w:rsid w:val="00372A2E"/>
    <w:rsid w:val="00372D2B"/>
    <w:rsid w:val="00372DA4"/>
    <w:rsid w:val="003739E1"/>
    <w:rsid w:val="00373EB3"/>
    <w:rsid w:val="0037435E"/>
    <w:rsid w:val="0037467D"/>
    <w:rsid w:val="003752A9"/>
    <w:rsid w:val="003752E3"/>
    <w:rsid w:val="003754E8"/>
    <w:rsid w:val="00375C82"/>
    <w:rsid w:val="00375E6A"/>
    <w:rsid w:val="00376051"/>
    <w:rsid w:val="00376DA6"/>
    <w:rsid w:val="003777CB"/>
    <w:rsid w:val="0037795B"/>
    <w:rsid w:val="00377A30"/>
    <w:rsid w:val="00377E6E"/>
    <w:rsid w:val="003800BE"/>
    <w:rsid w:val="00380D49"/>
    <w:rsid w:val="003813DF"/>
    <w:rsid w:val="003825B1"/>
    <w:rsid w:val="00383619"/>
    <w:rsid w:val="00384A00"/>
    <w:rsid w:val="0038526C"/>
    <w:rsid w:val="003853CB"/>
    <w:rsid w:val="003857CB"/>
    <w:rsid w:val="00385DFB"/>
    <w:rsid w:val="003863C4"/>
    <w:rsid w:val="0038780F"/>
    <w:rsid w:val="00387B9A"/>
    <w:rsid w:val="00387C3B"/>
    <w:rsid w:val="00387D4B"/>
    <w:rsid w:val="00387E81"/>
    <w:rsid w:val="00387F4E"/>
    <w:rsid w:val="003900B4"/>
    <w:rsid w:val="003900BA"/>
    <w:rsid w:val="00390B04"/>
    <w:rsid w:val="00390B3A"/>
    <w:rsid w:val="00391005"/>
    <w:rsid w:val="003913E4"/>
    <w:rsid w:val="003914E8"/>
    <w:rsid w:val="00391A2D"/>
    <w:rsid w:val="00392650"/>
    <w:rsid w:val="003926A9"/>
    <w:rsid w:val="0039287E"/>
    <w:rsid w:val="00392BD2"/>
    <w:rsid w:val="00392F36"/>
    <w:rsid w:val="003932F1"/>
    <w:rsid w:val="00393E18"/>
    <w:rsid w:val="00393E32"/>
    <w:rsid w:val="003945EC"/>
    <w:rsid w:val="0039461A"/>
    <w:rsid w:val="00394863"/>
    <w:rsid w:val="00394EC2"/>
    <w:rsid w:val="0039543B"/>
    <w:rsid w:val="00395AD2"/>
    <w:rsid w:val="00395DD9"/>
    <w:rsid w:val="00396234"/>
    <w:rsid w:val="00396855"/>
    <w:rsid w:val="00396D56"/>
    <w:rsid w:val="00397023"/>
    <w:rsid w:val="0039720C"/>
    <w:rsid w:val="00397297"/>
    <w:rsid w:val="003977AF"/>
    <w:rsid w:val="003978DF"/>
    <w:rsid w:val="003A03A7"/>
    <w:rsid w:val="003A0569"/>
    <w:rsid w:val="003A0A02"/>
    <w:rsid w:val="003A11D6"/>
    <w:rsid w:val="003A12C4"/>
    <w:rsid w:val="003A18B6"/>
    <w:rsid w:val="003A1BF8"/>
    <w:rsid w:val="003A24B7"/>
    <w:rsid w:val="003A2EDE"/>
    <w:rsid w:val="003A3280"/>
    <w:rsid w:val="003A3746"/>
    <w:rsid w:val="003A3BC1"/>
    <w:rsid w:val="003A3BCB"/>
    <w:rsid w:val="003A3D63"/>
    <w:rsid w:val="003A3FBE"/>
    <w:rsid w:val="003A4966"/>
    <w:rsid w:val="003A4F36"/>
    <w:rsid w:val="003A4FA5"/>
    <w:rsid w:val="003A504E"/>
    <w:rsid w:val="003A56C1"/>
    <w:rsid w:val="003A5E6B"/>
    <w:rsid w:val="003A65D1"/>
    <w:rsid w:val="003A6848"/>
    <w:rsid w:val="003A7664"/>
    <w:rsid w:val="003A7AD2"/>
    <w:rsid w:val="003B0490"/>
    <w:rsid w:val="003B0A31"/>
    <w:rsid w:val="003B12F2"/>
    <w:rsid w:val="003B178D"/>
    <w:rsid w:val="003B1D5D"/>
    <w:rsid w:val="003B1F50"/>
    <w:rsid w:val="003B24AF"/>
    <w:rsid w:val="003B2777"/>
    <w:rsid w:val="003B30A9"/>
    <w:rsid w:val="003B33AD"/>
    <w:rsid w:val="003B3502"/>
    <w:rsid w:val="003B3567"/>
    <w:rsid w:val="003B360E"/>
    <w:rsid w:val="003B3DA9"/>
    <w:rsid w:val="003B41B9"/>
    <w:rsid w:val="003B45FD"/>
    <w:rsid w:val="003B49F9"/>
    <w:rsid w:val="003B4BBB"/>
    <w:rsid w:val="003B50FF"/>
    <w:rsid w:val="003B58DE"/>
    <w:rsid w:val="003B5C42"/>
    <w:rsid w:val="003B5D78"/>
    <w:rsid w:val="003B604C"/>
    <w:rsid w:val="003B74C2"/>
    <w:rsid w:val="003B7E1D"/>
    <w:rsid w:val="003C02B4"/>
    <w:rsid w:val="003C1B56"/>
    <w:rsid w:val="003C2034"/>
    <w:rsid w:val="003C223D"/>
    <w:rsid w:val="003C2717"/>
    <w:rsid w:val="003C2820"/>
    <w:rsid w:val="003C2C39"/>
    <w:rsid w:val="003C2F31"/>
    <w:rsid w:val="003C31B6"/>
    <w:rsid w:val="003C3233"/>
    <w:rsid w:val="003C35B6"/>
    <w:rsid w:val="003C417D"/>
    <w:rsid w:val="003C580A"/>
    <w:rsid w:val="003C61FF"/>
    <w:rsid w:val="003C64FF"/>
    <w:rsid w:val="003C65DD"/>
    <w:rsid w:val="003C675A"/>
    <w:rsid w:val="003C69F7"/>
    <w:rsid w:val="003C6A08"/>
    <w:rsid w:val="003C6CDE"/>
    <w:rsid w:val="003C6D76"/>
    <w:rsid w:val="003C72D2"/>
    <w:rsid w:val="003C7415"/>
    <w:rsid w:val="003C7ADC"/>
    <w:rsid w:val="003C7D6B"/>
    <w:rsid w:val="003C7F12"/>
    <w:rsid w:val="003D045F"/>
    <w:rsid w:val="003D0CC7"/>
    <w:rsid w:val="003D1416"/>
    <w:rsid w:val="003D1704"/>
    <w:rsid w:val="003D1CAB"/>
    <w:rsid w:val="003D206A"/>
    <w:rsid w:val="003D237D"/>
    <w:rsid w:val="003D24A9"/>
    <w:rsid w:val="003D2623"/>
    <w:rsid w:val="003D26E5"/>
    <w:rsid w:val="003D2B45"/>
    <w:rsid w:val="003D2C96"/>
    <w:rsid w:val="003D2DF0"/>
    <w:rsid w:val="003D3027"/>
    <w:rsid w:val="003D3375"/>
    <w:rsid w:val="003D3748"/>
    <w:rsid w:val="003D38ED"/>
    <w:rsid w:val="003D443E"/>
    <w:rsid w:val="003D4509"/>
    <w:rsid w:val="003D4734"/>
    <w:rsid w:val="003D49E2"/>
    <w:rsid w:val="003D4CF7"/>
    <w:rsid w:val="003D5781"/>
    <w:rsid w:val="003D5BBB"/>
    <w:rsid w:val="003D5FDB"/>
    <w:rsid w:val="003D63BB"/>
    <w:rsid w:val="003D675F"/>
    <w:rsid w:val="003D69FB"/>
    <w:rsid w:val="003D6C0B"/>
    <w:rsid w:val="003D6E55"/>
    <w:rsid w:val="003D7530"/>
    <w:rsid w:val="003D78FF"/>
    <w:rsid w:val="003E0D5F"/>
    <w:rsid w:val="003E1883"/>
    <w:rsid w:val="003E1E24"/>
    <w:rsid w:val="003E2235"/>
    <w:rsid w:val="003E2734"/>
    <w:rsid w:val="003E35BF"/>
    <w:rsid w:val="003E3ECC"/>
    <w:rsid w:val="003E4016"/>
    <w:rsid w:val="003E421F"/>
    <w:rsid w:val="003E4818"/>
    <w:rsid w:val="003E48A0"/>
    <w:rsid w:val="003E4967"/>
    <w:rsid w:val="003E4F9C"/>
    <w:rsid w:val="003E5242"/>
    <w:rsid w:val="003E535E"/>
    <w:rsid w:val="003E5ADF"/>
    <w:rsid w:val="003E5FAE"/>
    <w:rsid w:val="003E6A3E"/>
    <w:rsid w:val="003E79A3"/>
    <w:rsid w:val="003E7A59"/>
    <w:rsid w:val="003F077E"/>
    <w:rsid w:val="003F08D9"/>
    <w:rsid w:val="003F1184"/>
    <w:rsid w:val="003F176B"/>
    <w:rsid w:val="003F1E4F"/>
    <w:rsid w:val="003F2370"/>
    <w:rsid w:val="003F464C"/>
    <w:rsid w:val="003F4EF9"/>
    <w:rsid w:val="003F5297"/>
    <w:rsid w:val="003F5722"/>
    <w:rsid w:val="003F622D"/>
    <w:rsid w:val="003F6B7A"/>
    <w:rsid w:val="003F7018"/>
    <w:rsid w:val="003F724A"/>
    <w:rsid w:val="003F74FB"/>
    <w:rsid w:val="00400042"/>
    <w:rsid w:val="0040040D"/>
    <w:rsid w:val="00400C64"/>
    <w:rsid w:val="004012BB"/>
    <w:rsid w:val="00401CDF"/>
    <w:rsid w:val="004020E0"/>
    <w:rsid w:val="00402807"/>
    <w:rsid w:val="00402B30"/>
    <w:rsid w:val="00402D44"/>
    <w:rsid w:val="004037BF"/>
    <w:rsid w:val="00403D3F"/>
    <w:rsid w:val="00403EAC"/>
    <w:rsid w:val="004040D3"/>
    <w:rsid w:val="00404AF0"/>
    <w:rsid w:val="00404BFA"/>
    <w:rsid w:val="00404CA8"/>
    <w:rsid w:val="00404D84"/>
    <w:rsid w:val="00405CBB"/>
    <w:rsid w:val="00405CCE"/>
    <w:rsid w:val="00406E6D"/>
    <w:rsid w:val="00407935"/>
    <w:rsid w:val="004079BD"/>
    <w:rsid w:val="00407E49"/>
    <w:rsid w:val="00410CA7"/>
    <w:rsid w:val="0041163F"/>
    <w:rsid w:val="004117D1"/>
    <w:rsid w:val="00411DCA"/>
    <w:rsid w:val="004121DD"/>
    <w:rsid w:val="00413328"/>
    <w:rsid w:val="00413662"/>
    <w:rsid w:val="00413B07"/>
    <w:rsid w:val="00414441"/>
    <w:rsid w:val="0041456E"/>
    <w:rsid w:val="00415BCE"/>
    <w:rsid w:val="004161DA"/>
    <w:rsid w:val="0041634D"/>
    <w:rsid w:val="00416450"/>
    <w:rsid w:val="00416792"/>
    <w:rsid w:val="0041689D"/>
    <w:rsid w:val="00417352"/>
    <w:rsid w:val="004177EF"/>
    <w:rsid w:val="004178FF"/>
    <w:rsid w:val="0041791C"/>
    <w:rsid w:val="00417A5A"/>
    <w:rsid w:val="00417B31"/>
    <w:rsid w:val="004202F0"/>
    <w:rsid w:val="00420499"/>
    <w:rsid w:val="0042079A"/>
    <w:rsid w:val="00421136"/>
    <w:rsid w:val="004214C5"/>
    <w:rsid w:val="004215D3"/>
    <w:rsid w:val="0042181B"/>
    <w:rsid w:val="0042183D"/>
    <w:rsid w:val="00421CE5"/>
    <w:rsid w:val="0042242E"/>
    <w:rsid w:val="004224C8"/>
    <w:rsid w:val="00422BF0"/>
    <w:rsid w:val="00422F29"/>
    <w:rsid w:val="004233FB"/>
    <w:rsid w:val="00423652"/>
    <w:rsid w:val="00423B30"/>
    <w:rsid w:val="00423CEF"/>
    <w:rsid w:val="0042436A"/>
    <w:rsid w:val="00424A3D"/>
    <w:rsid w:val="00424D25"/>
    <w:rsid w:val="004251DF"/>
    <w:rsid w:val="00425B9C"/>
    <w:rsid w:val="00425C90"/>
    <w:rsid w:val="00425EA0"/>
    <w:rsid w:val="0042616B"/>
    <w:rsid w:val="004267C4"/>
    <w:rsid w:val="00426EAD"/>
    <w:rsid w:val="00426FF7"/>
    <w:rsid w:val="0042711D"/>
    <w:rsid w:val="00427163"/>
    <w:rsid w:val="004276E5"/>
    <w:rsid w:val="00427929"/>
    <w:rsid w:val="00427E39"/>
    <w:rsid w:val="00427F62"/>
    <w:rsid w:val="00427FB3"/>
    <w:rsid w:val="004302F8"/>
    <w:rsid w:val="00430BDB"/>
    <w:rsid w:val="00430F07"/>
    <w:rsid w:val="0043119E"/>
    <w:rsid w:val="0043167F"/>
    <w:rsid w:val="00431EED"/>
    <w:rsid w:val="00431F7C"/>
    <w:rsid w:val="004325BB"/>
    <w:rsid w:val="00433D14"/>
    <w:rsid w:val="0043421C"/>
    <w:rsid w:val="00434521"/>
    <w:rsid w:val="0043469C"/>
    <w:rsid w:val="0043521F"/>
    <w:rsid w:val="00435A88"/>
    <w:rsid w:val="004360A8"/>
    <w:rsid w:val="00436615"/>
    <w:rsid w:val="00436D7A"/>
    <w:rsid w:val="004373A1"/>
    <w:rsid w:val="0043764E"/>
    <w:rsid w:val="0043770C"/>
    <w:rsid w:val="00437FE1"/>
    <w:rsid w:val="004409F8"/>
    <w:rsid w:val="00440B04"/>
    <w:rsid w:val="00441614"/>
    <w:rsid w:val="004417A6"/>
    <w:rsid w:val="00441847"/>
    <w:rsid w:val="004424C0"/>
    <w:rsid w:val="004424DB"/>
    <w:rsid w:val="004425C6"/>
    <w:rsid w:val="00442606"/>
    <w:rsid w:val="00442826"/>
    <w:rsid w:val="0044295B"/>
    <w:rsid w:val="00442C14"/>
    <w:rsid w:val="00443183"/>
    <w:rsid w:val="0044370C"/>
    <w:rsid w:val="004439AD"/>
    <w:rsid w:val="00443F48"/>
    <w:rsid w:val="00444145"/>
    <w:rsid w:val="004445FB"/>
    <w:rsid w:val="0044480B"/>
    <w:rsid w:val="004448E2"/>
    <w:rsid w:val="0044493D"/>
    <w:rsid w:val="00444972"/>
    <w:rsid w:val="00444AD9"/>
    <w:rsid w:val="00444E60"/>
    <w:rsid w:val="00445D92"/>
    <w:rsid w:val="00445F15"/>
    <w:rsid w:val="00445F91"/>
    <w:rsid w:val="00446947"/>
    <w:rsid w:val="00446A04"/>
    <w:rsid w:val="004475FE"/>
    <w:rsid w:val="0044769E"/>
    <w:rsid w:val="00447B7D"/>
    <w:rsid w:val="00447DC1"/>
    <w:rsid w:val="00447F1E"/>
    <w:rsid w:val="0045036F"/>
    <w:rsid w:val="00450EFA"/>
    <w:rsid w:val="004515F8"/>
    <w:rsid w:val="0045170F"/>
    <w:rsid w:val="004525DC"/>
    <w:rsid w:val="00452634"/>
    <w:rsid w:val="0045286C"/>
    <w:rsid w:val="004529E0"/>
    <w:rsid w:val="004535B5"/>
    <w:rsid w:val="004537B1"/>
    <w:rsid w:val="00453AC5"/>
    <w:rsid w:val="00453B5B"/>
    <w:rsid w:val="00453D67"/>
    <w:rsid w:val="00453DA2"/>
    <w:rsid w:val="00454BE9"/>
    <w:rsid w:val="00454C72"/>
    <w:rsid w:val="00454C8D"/>
    <w:rsid w:val="00454E5D"/>
    <w:rsid w:val="004550BF"/>
    <w:rsid w:val="0045531D"/>
    <w:rsid w:val="00456138"/>
    <w:rsid w:val="00457607"/>
    <w:rsid w:val="00457637"/>
    <w:rsid w:val="00457791"/>
    <w:rsid w:val="00457852"/>
    <w:rsid w:val="0045787C"/>
    <w:rsid w:val="00457D3C"/>
    <w:rsid w:val="00460470"/>
    <w:rsid w:val="00460852"/>
    <w:rsid w:val="00460AC0"/>
    <w:rsid w:val="00460BCD"/>
    <w:rsid w:val="00460FB2"/>
    <w:rsid w:val="00461118"/>
    <w:rsid w:val="0046145E"/>
    <w:rsid w:val="004621AC"/>
    <w:rsid w:val="00462740"/>
    <w:rsid w:val="00462B57"/>
    <w:rsid w:val="004632E9"/>
    <w:rsid w:val="004633D2"/>
    <w:rsid w:val="004634B5"/>
    <w:rsid w:val="004641F1"/>
    <w:rsid w:val="00464873"/>
    <w:rsid w:val="00465145"/>
    <w:rsid w:val="0046561B"/>
    <w:rsid w:val="004657B6"/>
    <w:rsid w:val="00465B9D"/>
    <w:rsid w:val="004661BC"/>
    <w:rsid w:val="00466431"/>
    <w:rsid w:val="0046658B"/>
    <w:rsid w:val="0046678C"/>
    <w:rsid w:val="00466EC2"/>
    <w:rsid w:val="00467003"/>
    <w:rsid w:val="004670B8"/>
    <w:rsid w:val="004672E5"/>
    <w:rsid w:val="00467C1E"/>
    <w:rsid w:val="00467DE8"/>
    <w:rsid w:val="00467DEE"/>
    <w:rsid w:val="00467F58"/>
    <w:rsid w:val="0047013B"/>
    <w:rsid w:val="00470FCA"/>
    <w:rsid w:val="00471451"/>
    <w:rsid w:val="004714FB"/>
    <w:rsid w:val="00471BA1"/>
    <w:rsid w:val="00471BDA"/>
    <w:rsid w:val="0047251E"/>
    <w:rsid w:val="00473878"/>
    <w:rsid w:val="00473CA9"/>
    <w:rsid w:val="0047472F"/>
    <w:rsid w:val="004747B2"/>
    <w:rsid w:val="00474D58"/>
    <w:rsid w:val="00475B7B"/>
    <w:rsid w:val="00476500"/>
    <w:rsid w:val="00476507"/>
    <w:rsid w:val="00476C57"/>
    <w:rsid w:val="00477E0F"/>
    <w:rsid w:val="00477F1B"/>
    <w:rsid w:val="004808F8"/>
    <w:rsid w:val="00480CBD"/>
    <w:rsid w:val="00481048"/>
    <w:rsid w:val="004811EE"/>
    <w:rsid w:val="00481554"/>
    <w:rsid w:val="0048157F"/>
    <w:rsid w:val="00482005"/>
    <w:rsid w:val="00482ED5"/>
    <w:rsid w:val="00482FF7"/>
    <w:rsid w:val="004830A9"/>
    <w:rsid w:val="00483D45"/>
    <w:rsid w:val="004844C7"/>
    <w:rsid w:val="0048481C"/>
    <w:rsid w:val="004849BE"/>
    <w:rsid w:val="00484C53"/>
    <w:rsid w:val="00484C85"/>
    <w:rsid w:val="00484EE4"/>
    <w:rsid w:val="0048519F"/>
    <w:rsid w:val="00485EBC"/>
    <w:rsid w:val="0048764B"/>
    <w:rsid w:val="0048766D"/>
    <w:rsid w:val="0048778F"/>
    <w:rsid w:val="00487A2F"/>
    <w:rsid w:val="00487D96"/>
    <w:rsid w:val="00490084"/>
    <w:rsid w:val="0049013E"/>
    <w:rsid w:val="00490364"/>
    <w:rsid w:val="0049050B"/>
    <w:rsid w:val="004907A5"/>
    <w:rsid w:val="00490FD9"/>
    <w:rsid w:val="004910E7"/>
    <w:rsid w:val="00491B15"/>
    <w:rsid w:val="00493C3E"/>
    <w:rsid w:val="0049436D"/>
    <w:rsid w:val="0049469C"/>
    <w:rsid w:val="00494A04"/>
    <w:rsid w:val="004958F0"/>
    <w:rsid w:val="00495C00"/>
    <w:rsid w:val="00495E27"/>
    <w:rsid w:val="00496514"/>
    <w:rsid w:val="004966E2"/>
    <w:rsid w:val="00496F34"/>
    <w:rsid w:val="00497189"/>
    <w:rsid w:val="00497671"/>
    <w:rsid w:val="004A026C"/>
    <w:rsid w:val="004A0482"/>
    <w:rsid w:val="004A0D05"/>
    <w:rsid w:val="004A1293"/>
    <w:rsid w:val="004A1306"/>
    <w:rsid w:val="004A189D"/>
    <w:rsid w:val="004A21A3"/>
    <w:rsid w:val="004A25F6"/>
    <w:rsid w:val="004A27D6"/>
    <w:rsid w:val="004A29AE"/>
    <w:rsid w:val="004A2B4B"/>
    <w:rsid w:val="004A2D32"/>
    <w:rsid w:val="004A324C"/>
    <w:rsid w:val="004A3456"/>
    <w:rsid w:val="004A35FC"/>
    <w:rsid w:val="004A3F4E"/>
    <w:rsid w:val="004A456F"/>
    <w:rsid w:val="004A5FA8"/>
    <w:rsid w:val="004A63B8"/>
    <w:rsid w:val="004A6DB5"/>
    <w:rsid w:val="004A72FB"/>
    <w:rsid w:val="004A7323"/>
    <w:rsid w:val="004A779D"/>
    <w:rsid w:val="004B0131"/>
    <w:rsid w:val="004B0223"/>
    <w:rsid w:val="004B02C7"/>
    <w:rsid w:val="004B02E2"/>
    <w:rsid w:val="004B05EF"/>
    <w:rsid w:val="004B0707"/>
    <w:rsid w:val="004B0817"/>
    <w:rsid w:val="004B10BF"/>
    <w:rsid w:val="004B19C5"/>
    <w:rsid w:val="004B1C2D"/>
    <w:rsid w:val="004B1D00"/>
    <w:rsid w:val="004B1E53"/>
    <w:rsid w:val="004B2343"/>
    <w:rsid w:val="004B2606"/>
    <w:rsid w:val="004B262C"/>
    <w:rsid w:val="004B354C"/>
    <w:rsid w:val="004B380C"/>
    <w:rsid w:val="004B409A"/>
    <w:rsid w:val="004B4254"/>
    <w:rsid w:val="004B4423"/>
    <w:rsid w:val="004B5089"/>
    <w:rsid w:val="004B50B6"/>
    <w:rsid w:val="004B515C"/>
    <w:rsid w:val="004B53AD"/>
    <w:rsid w:val="004B54EE"/>
    <w:rsid w:val="004B5663"/>
    <w:rsid w:val="004B5BEC"/>
    <w:rsid w:val="004B5D28"/>
    <w:rsid w:val="004B5D58"/>
    <w:rsid w:val="004B624F"/>
    <w:rsid w:val="004B6425"/>
    <w:rsid w:val="004B6521"/>
    <w:rsid w:val="004B654E"/>
    <w:rsid w:val="004B677D"/>
    <w:rsid w:val="004B6DE7"/>
    <w:rsid w:val="004B6F22"/>
    <w:rsid w:val="004B7587"/>
    <w:rsid w:val="004B7A3A"/>
    <w:rsid w:val="004B7C0F"/>
    <w:rsid w:val="004C038F"/>
    <w:rsid w:val="004C03E7"/>
    <w:rsid w:val="004C0D99"/>
    <w:rsid w:val="004C14A0"/>
    <w:rsid w:val="004C1AD2"/>
    <w:rsid w:val="004C1CBA"/>
    <w:rsid w:val="004C23A0"/>
    <w:rsid w:val="004C2A17"/>
    <w:rsid w:val="004C32CA"/>
    <w:rsid w:val="004C3454"/>
    <w:rsid w:val="004C3CF5"/>
    <w:rsid w:val="004C40EA"/>
    <w:rsid w:val="004C4293"/>
    <w:rsid w:val="004C44BE"/>
    <w:rsid w:val="004C4993"/>
    <w:rsid w:val="004C5208"/>
    <w:rsid w:val="004C5969"/>
    <w:rsid w:val="004C7258"/>
    <w:rsid w:val="004C7540"/>
    <w:rsid w:val="004C7588"/>
    <w:rsid w:val="004C7CE0"/>
    <w:rsid w:val="004C7CEC"/>
    <w:rsid w:val="004C7DFF"/>
    <w:rsid w:val="004D047C"/>
    <w:rsid w:val="004D06D8"/>
    <w:rsid w:val="004D0A96"/>
    <w:rsid w:val="004D1224"/>
    <w:rsid w:val="004D1802"/>
    <w:rsid w:val="004D1EE3"/>
    <w:rsid w:val="004D2281"/>
    <w:rsid w:val="004D22EE"/>
    <w:rsid w:val="004D2CEB"/>
    <w:rsid w:val="004D2FD3"/>
    <w:rsid w:val="004D3B0F"/>
    <w:rsid w:val="004D3F6D"/>
    <w:rsid w:val="004D4354"/>
    <w:rsid w:val="004D4966"/>
    <w:rsid w:val="004D55D1"/>
    <w:rsid w:val="004D6A93"/>
    <w:rsid w:val="004D6C65"/>
    <w:rsid w:val="004D6E05"/>
    <w:rsid w:val="004D727B"/>
    <w:rsid w:val="004D7842"/>
    <w:rsid w:val="004E002B"/>
    <w:rsid w:val="004E03DC"/>
    <w:rsid w:val="004E04C6"/>
    <w:rsid w:val="004E116E"/>
    <w:rsid w:val="004E15DE"/>
    <w:rsid w:val="004E1D46"/>
    <w:rsid w:val="004E1F75"/>
    <w:rsid w:val="004E22FA"/>
    <w:rsid w:val="004E2B0C"/>
    <w:rsid w:val="004E2E26"/>
    <w:rsid w:val="004E3502"/>
    <w:rsid w:val="004E3CA4"/>
    <w:rsid w:val="004E3DED"/>
    <w:rsid w:val="004E4223"/>
    <w:rsid w:val="004E43DF"/>
    <w:rsid w:val="004E49A2"/>
    <w:rsid w:val="004E4BC4"/>
    <w:rsid w:val="004E4D36"/>
    <w:rsid w:val="004E4EBB"/>
    <w:rsid w:val="004E4F19"/>
    <w:rsid w:val="004E53CD"/>
    <w:rsid w:val="004E57C7"/>
    <w:rsid w:val="004E58B0"/>
    <w:rsid w:val="004E58F1"/>
    <w:rsid w:val="004E5AC3"/>
    <w:rsid w:val="004E6219"/>
    <w:rsid w:val="004E6284"/>
    <w:rsid w:val="004E65F5"/>
    <w:rsid w:val="004E75D2"/>
    <w:rsid w:val="004E79DA"/>
    <w:rsid w:val="004F0CDE"/>
    <w:rsid w:val="004F187C"/>
    <w:rsid w:val="004F26F4"/>
    <w:rsid w:val="004F3711"/>
    <w:rsid w:val="004F3B3C"/>
    <w:rsid w:val="004F3C46"/>
    <w:rsid w:val="004F3C65"/>
    <w:rsid w:val="004F3CE3"/>
    <w:rsid w:val="004F3D18"/>
    <w:rsid w:val="004F4FB5"/>
    <w:rsid w:val="004F512C"/>
    <w:rsid w:val="004F51A4"/>
    <w:rsid w:val="004F5798"/>
    <w:rsid w:val="004F58E6"/>
    <w:rsid w:val="004F5BBF"/>
    <w:rsid w:val="004F6008"/>
    <w:rsid w:val="004F62D9"/>
    <w:rsid w:val="004F6396"/>
    <w:rsid w:val="004F67B7"/>
    <w:rsid w:val="004F6D55"/>
    <w:rsid w:val="004F7957"/>
    <w:rsid w:val="00500155"/>
    <w:rsid w:val="00500158"/>
    <w:rsid w:val="00500C1A"/>
    <w:rsid w:val="005010FE"/>
    <w:rsid w:val="00501535"/>
    <w:rsid w:val="00501948"/>
    <w:rsid w:val="00502840"/>
    <w:rsid w:val="00502C8D"/>
    <w:rsid w:val="0050310A"/>
    <w:rsid w:val="005031B6"/>
    <w:rsid w:val="005035B3"/>
    <w:rsid w:val="0050391D"/>
    <w:rsid w:val="00503D55"/>
    <w:rsid w:val="005040AA"/>
    <w:rsid w:val="005040CE"/>
    <w:rsid w:val="00504453"/>
    <w:rsid w:val="00504AD6"/>
    <w:rsid w:val="00504B3F"/>
    <w:rsid w:val="00504D3B"/>
    <w:rsid w:val="00504DB4"/>
    <w:rsid w:val="00504DF3"/>
    <w:rsid w:val="00504F2F"/>
    <w:rsid w:val="005063AA"/>
    <w:rsid w:val="00506B84"/>
    <w:rsid w:val="0050703A"/>
    <w:rsid w:val="00507424"/>
    <w:rsid w:val="00507AA2"/>
    <w:rsid w:val="00507C72"/>
    <w:rsid w:val="00510016"/>
    <w:rsid w:val="005112A8"/>
    <w:rsid w:val="005117D3"/>
    <w:rsid w:val="00512048"/>
    <w:rsid w:val="00512459"/>
    <w:rsid w:val="0051278B"/>
    <w:rsid w:val="0051322A"/>
    <w:rsid w:val="005134D2"/>
    <w:rsid w:val="005137B7"/>
    <w:rsid w:val="00513D4B"/>
    <w:rsid w:val="00513F16"/>
    <w:rsid w:val="00514420"/>
    <w:rsid w:val="0051447A"/>
    <w:rsid w:val="00514A41"/>
    <w:rsid w:val="00514EBB"/>
    <w:rsid w:val="0051538A"/>
    <w:rsid w:val="0051545C"/>
    <w:rsid w:val="00515730"/>
    <w:rsid w:val="00516A4F"/>
    <w:rsid w:val="00516B0E"/>
    <w:rsid w:val="00516B4F"/>
    <w:rsid w:val="00516EDB"/>
    <w:rsid w:val="0051743B"/>
    <w:rsid w:val="00517B4C"/>
    <w:rsid w:val="00517CB0"/>
    <w:rsid w:val="0052088C"/>
    <w:rsid w:val="00520C2E"/>
    <w:rsid w:val="00520E56"/>
    <w:rsid w:val="00520F86"/>
    <w:rsid w:val="0052118F"/>
    <w:rsid w:val="00521E72"/>
    <w:rsid w:val="005220BA"/>
    <w:rsid w:val="0052316D"/>
    <w:rsid w:val="00523976"/>
    <w:rsid w:val="00524234"/>
    <w:rsid w:val="0052444F"/>
    <w:rsid w:val="00524588"/>
    <w:rsid w:val="0052481D"/>
    <w:rsid w:val="005248E2"/>
    <w:rsid w:val="00524D94"/>
    <w:rsid w:val="005259F3"/>
    <w:rsid w:val="00526283"/>
    <w:rsid w:val="00527266"/>
    <w:rsid w:val="00527410"/>
    <w:rsid w:val="00527709"/>
    <w:rsid w:val="00527A28"/>
    <w:rsid w:val="00527E79"/>
    <w:rsid w:val="00527FF9"/>
    <w:rsid w:val="005300C7"/>
    <w:rsid w:val="00530549"/>
    <w:rsid w:val="00530CE5"/>
    <w:rsid w:val="005311C0"/>
    <w:rsid w:val="005312DE"/>
    <w:rsid w:val="0053137F"/>
    <w:rsid w:val="005313BF"/>
    <w:rsid w:val="00531617"/>
    <w:rsid w:val="00531DF5"/>
    <w:rsid w:val="00532542"/>
    <w:rsid w:val="00532883"/>
    <w:rsid w:val="00532D88"/>
    <w:rsid w:val="00532F0F"/>
    <w:rsid w:val="0053307E"/>
    <w:rsid w:val="005330DD"/>
    <w:rsid w:val="00533214"/>
    <w:rsid w:val="0053332F"/>
    <w:rsid w:val="005338E3"/>
    <w:rsid w:val="00533916"/>
    <w:rsid w:val="00533AE8"/>
    <w:rsid w:val="0053449E"/>
    <w:rsid w:val="00535B94"/>
    <w:rsid w:val="00535D8C"/>
    <w:rsid w:val="005365D7"/>
    <w:rsid w:val="005368B3"/>
    <w:rsid w:val="005370EB"/>
    <w:rsid w:val="00537BA3"/>
    <w:rsid w:val="00537C0F"/>
    <w:rsid w:val="00537C56"/>
    <w:rsid w:val="00537CE1"/>
    <w:rsid w:val="00540CCF"/>
    <w:rsid w:val="0054115F"/>
    <w:rsid w:val="00541211"/>
    <w:rsid w:val="005416B4"/>
    <w:rsid w:val="00542409"/>
    <w:rsid w:val="00542625"/>
    <w:rsid w:val="00542936"/>
    <w:rsid w:val="00542FE5"/>
    <w:rsid w:val="005431BB"/>
    <w:rsid w:val="00543E82"/>
    <w:rsid w:val="00543E99"/>
    <w:rsid w:val="00543EC7"/>
    <w:rsid w:val="0054525B"/>
    <w:rsid w:val="0054536E"/>
    <w:rsid w:val="00545D77"/>
    <w:rsid w:val="00545F0F"/>
    <w:rsid w:val="0054705F"/>
    <w:rsid w:val="00547A73"/>
    <w:rsid w:val="0055007B"/>
    <w:rsid w:val="00550212"/>
    <w:rsid w:val="00550BB1"/>
    <w:rsid w:val="00550E88"/>
    <w:rsid w:val="0055101E"/>
    <w:rsid w:val="0055183C"/>
    <w:rsid w:val="00551AEB"/>
    <w:rsid w:val="00551EC5"/>
    <w:rsid w:val="00552091"/>
    <w:rsid w:val="0055210B"/>
    <w:rsid w:val="0055260D"/>
    <w:rsid w:val="00552847"/>
    <w:rsid w:val="00552C19"/>
    <w:rsid w:val="00552F1A"/>
    <w:rsid w:val="0055311F"/>
    <w:rsid w:val="00553CAA"/>
    <w:rsid w:val="00554B4B"/>
    <w:rsid w:val="0055527F"/>
    <w:rsid w:val="00555B26"/>
    <w:rsid w:val="00555DCA"/>
    <w:rsid w:val="00556091"/>
    <w:rsid w:val="00556D1A"/>
    <w:rsid w:val="00557059"/>
    <w:rsid w:val="00557309"/>
    <w:rsid w:val="005575CF"/>
    <w:rsid w:val="00557610"/>
    <w:rsid w:val="0055794F"/>
    <w:rsid w:val="0056019D"/>
    <w:rsid w:val="00560A84"/>
    <w:rsid w:val="00560C0A"/>
    <w:rsid w:val="00560F1D"/>
    <w:rsid w:val="00561515"/>
    <w:rsid w:val="00561AD7"/>
    <w:rsid w:val="00562B4F"/>
    <w:rsid w:val="00562C0F"/>
    <w:rsid w:val="00563B95"/>
    <w:rsid w:val="00563D11"/>
    <w:rsid w:val="00564180"/>
    <w:rsid w:val="005650DB"/>
    <w:rsid w:val="0056683B"/>
    <w:rsid w:val="00566C16"/>
    <w:rsid w:val="00566F70"/>
    <w:rsid w:val="0056775D"/>
    <w:rsid w:val="005700A9"/>
    <w:rsid w:val="005701EF"/>
    <w:rsid w:val="00570AA2"/>
    <w:rsid w:val="0057176A"/>
    <w:rsid w:val="00571E4C"/>
    <w:rsid w:val="00572335"/>
    <w:rsid w:val="00572954"/>
    <w:rsid w:val="0057315C"/>
    <w:rsid w:val="00573779"/>
    <w:rsid w:val="005738DE"/>
    <w:rsid w:val="00573B13"/>
    <w:rsid w:val="00573C6F"/>
    <w:rsid w:val="005744F5"/>
    <w:rsid w:val="0057466A"/>
    <w:rsid w:val="005748BB"/>
    <w:rsid w:val="005748BC"/>
    <w:rsid w:val="00574E2D"/>
    <w:rsid w:val="00575A38"/>
    <w:rsid w:val="00575C54"/>
    <w:rsid w:val="00575C6D"/>
    <w:rsid w:val="00575DC5"/>
    <w:rsid w:val="00575F7E"/>
    <w:rsid w:val="00576266"/>
    <w:rsid w:val="00576312"/>
    <w:rsid w:val="00576920"/>
    <w:rsid w:val="00576CA9"/>
    <w:rsid w:val="0057704E"/>
    <w:rsid w:val="00577147"/>
    <w:rsid w:val="00577651"/>
    <w:rsid w:val="00580775"/>
    <w:rsid w:val="00580AD3"/>
    <w:rsid w:val="00581196"/>
    <w:rsid w:val="0058146D"/>
    <w:rsid w:val="00581484"/>
    <w:rsid w:val="00581D5A"/>
    <w:rsid w:val="00582253"/>
    <w:rsid w:val="005828E1"/>
    <w:rsid w:val="00582C0E"/>
    <w:rsid w:val="00583372"/>
    <w:rsid w:val="00583417"/>
    <w:rsid w:val="00583457"/>
    <w:rsid w:val="00583DDF"/>
    <w:rsid w:val="00583F70"/>
    <w:rsid w:val="0058407E"/>
    <w:rsid w:val="00584A45"/>
    <w:rsid w:val="00584B74"/>
    <w:rsid w:val="00584D84"/>
    <w:rsid w:val="00585A37"/>
    <w:rsid w:val="00585F7D"/>
    <w:rsid w:val="0058611D"/>
    <w:rsid w:val="00586C7C"/>
    <w:rsid w:val="00586E6B"/>
    <w:rsid w:val="0058764D"/>
    <w:rsid w:val="00587A91"/>
    <w:rsid w:val="00587D01"/>
    <w:rsid w:val="00587EDF"/>
    <w:rsid w:val="00587EFF"/>
    <w:rsid w:val="00587F6E"/>
    <w:rsid w:val="0059041B"/>
    <w:rsid w:val="00590753"/>
    <w:rsid w:val="0059098E"/>
    <w:rsid w:val="00590CE5"/>
    <w:rsid w:val="005911ED"/>
    <w:rsid w:val="005914DF"/>
    <w:rsid w:val="00591DAD"/>
    <w:rsid w:val="00591F9D"/>
    <w:rsid w:val="00591FDE"/>
    <w:rsid w:val="005921C0"/>
    <w:rsid w:val="00592259"/>
    <w:rsid w:val="00592A50"/>
    <w:rsid w:val="0059328A"/>
    <w:rsid w:val="00594D90"/>
    <w:rsid w:val="00594E34"/>
    <w:rsid w:val="00595085"/>
    <w:rsid w:val="00595EA6"/>
    <w:rsid w:val="00596B23"/>
    <w:rsid w:val="00596D2D"/>
    <w:rsid w:val="00596DAA"/>
    <w:rsid w:val="00596FBC"/>
    <w:rsid w:val="00597305"/>
    <w:rsid w:val="0059745D"/>
    <w:rsid w:val="0059768B"/>
    <w:rsid w:val="005A01C0"/>
    <w:rsid w:val="005A0A93"/>
    <w:rsid w:val="005A11C4"/>
    <w:rsid w:val="005A1979"/>
    <w:rsid w:val="005A1F37"/>
    <w:rsid w:val="005A2A7B"/>
    <w:rsid w:val="005A3011"/>
    <w:rsid w:val="005A35A2"/>
    <w:rsid w:val="005A3A1E"/>
    <w:rsid w:val="005A3B49"/>
    <w:rsid w:val="005A3FBF"/>
    <w:rsid w:val="005A4019"/>
    <w:rsid w:val="005A46BD"/>
    <w:rsid w:val="005A46E6"/>
    <w:rsid w:val="005A4BDA"/>
    <w:rsid w:val="005A4D80"/>
    <w:rsid w:val="005A52A0"/>
    <w:rsid w:val="005A531F"/>
    <w:rsid w:val="005A54A0"/>
    <w:rsid w:val="005A57A3"/>
    <w:rsid w:val="005A5894"/>
    <w:rsid w:val="005A5941"/>
    <w:rsid w:val="005A5B8A"/>
    <w:rsid w:val="005A5D9A"/>
    <w:rsid w:val="005A5F1F"/>
    <w:rsid w:val="005A606F"/>
    <w:rsid w:val="005A643F"/>
    <w:rsid w:val="005A76E8"/>
    <w:rsid w:val="005A76F9"/>
    <w:rsid w:val="005B0A7C"/>
    <w:rsid w:val="005B11CC"/>
    <w:rsid w:val="005B140E"/>
    <w:rsid w:val="005B1626"/>
    <w:rsid w:val="005B1BAB"/>
    <w:rsid w:val="005B1EEB"/>
    <w:rsid w:val="005B366B"/>
    <w:rsid w:val="005B3EB4"/>
    <w:rsid w:val="005B542D"/>
    <w:rsid w:val="005B575A"/>
    <w:rsid w:val="005B5767"/>
    <w:rsid w:val="005B59D5"/>
    <w:rsid w:val="005B5ED3"/>
    <w:rsid w:val="005B631E"/>
    <w:rsid w:val="005B66E3"/>
    <w:rsid w:val="005B6B71"/>
    <w:rsid w:val="005B6DC5"/>
    <w:rsid w:val="005B7C2B"/>
    <w:rsid w:val="005B7EC6"/>
    <w:rsid w:val="005C019C"/>
    <w:rsid w:val="005C0405"/>
    <w:rsid w:val="005C09CB"/>
    <w:rsid w:val="005C0DC2"/>
    <w:rsid w:val="005C0FCD"/>
    <w:rsid w:val="005C176A"/>
    <w:rsid w:val="005C1A67"/>
    <w:rsid w:val="005C1F69"/>
    <w:rsid w:val="005C261F"/>
    <w:rsid w:val="005C305F"/>
    <w:rsid w:val="005C31FD"/>
    <w:rsid w:val="005C37F2"/>
    <w:rsid w:val="005C3C0D"/>
    <w:rsid w:val="005C4108"/>
    <w:rsid w:val="005C4631"/>
    <w:rsid w:val="005C4981"/>
    <w:rsid w:val="005C5410"/>
    <w:rsid w:val="005C543B"/>
    <w:rsid w:val="005C568C"/>
    <w:rsid w:val="005C5EDB"/>
    <w:rsid w:val="005C6279"/>
    <w:rsid w:val="005C632C"/>
    <w:rsid w:val="005C6597"/>
    <w:rsid w:val="005C6BAA"/>
    <w:rsid w:val="005C6DE4"/>
    <w:rsid w:val="005C712B"/>
    <w:rsid w:val="005D0383"/>
    <w:rsid w:val="005D05C3"/>
    <w:rsid w:val="005D0D72"/>
    <w:rsid w:val="005D1F1E"/>
    <w:rsid w:val="005D22FE"/>
    <w:rsid w:val="005D231E"/>
    <w:rsid w:val="005D2CA3"/>
    <w:rsid w:val="005D30C7"/>
    <w:rsid w:val="005D36C9"/>
    <w:rsid w:val="005D4519"/>
    <w:rsid w:val="005D4682"/>
    <w:rsid w:val="005D48C1"/>
    <w:rsid w:val="005D4D29"/>
    <w:rsid w:val="005D51C6"/>
    <w:rsid w:val="005D52E8"/>
    <w:rsid w:val="005D5563"/>
    <w:rsid w:val="005D5614"/>
    <w:rsid w:val="005D5CCC"/>
    <w:rsid w:val="005D6B39"/>
    <w:rsid w:val="005D7199"/>
    <w:rsid w:val="005D7818"/>
    <w:rsid w:val="005E03B0"/>
    <w:rsid w:val="005E04C6"/>
    <w:rsid w:val="005E0C20"/>
    <w:rsid w:val="005E0CFF"/>
    <w:rsid w:val="005E1952"/>
    <w:rsid w:val="005E1EFC"/>
    <w:rsid w:val="005E2821"/>
    <w:rsid w:val="005E2C96"/>
    <w:rsid w:val="005E361D"/>
    <w:rsid w:val="005E380B"/>
    <w:rsid w:val="005E3B51"/>
    <w:rsid w:val="005E3BCD"/>
    <w:rsid w:val="005E3CE9"/>
    <w:rsid w:val="005E3E72"/>
    <w:rsid w:val="005E4055"/>
    <w:rsid w:val="005E427A"/>
    <w:rsid w:val="005E49F4"/>
    <w:rsid w:val="005E5832"/>
    <w:rsid w:val="005E5928"/>
    <w:rsid w:val="005E6F19"/>
    <w:rsid w:val="005E7F60"/>
    <w:rsid w:val="005F004A"/>
    <w:rsid w:val="005F0544"/>
    <w:rsid w:val="005F1148"/>
    <w:rsid w:val="005F13FF"/>
    <w:rsid w:val="005F20A8"/>
    <w:rsid w:val="005F21CE"/>
    <w:rsid w:val="005F238A"/>
    <w:rsid w:val="005F2582"/>
    <w:rsid w:val="005F2895"/>
    <w:rsid w:val="005F2E8F"/>
    <w:rsid w:val="005F329E"/>
    <w:rsid w:val="005F3609"/>
    <w:rsid w:val="005F3B04"/>
    <w:rsid w:val="005F4620"/>
    <w:rsid w:val="005F4986"/>
    <w:rsid w:val="005F5490"/>
    <w:rsid w:val="005F5975"/>
    <w:rsid w:val="005F59E7"/>
    <w:rsid w:val="005F5AF6"/>
    <w:rsid w:val="005F5C94"/>
    <w:rsid w:val="005F6100"/>
    <w:rsid w:val="005F6FD6"/>
    <w:rsid w:val="005F70BD"/>
    <w:rsid w:val="005F7843"/>
    <w:rsid w:val="0060068D"/>
    <w:rsid w:val="00600A39"/>
    <w:rsid w:val="00600E85"/>
    <w:rsid w:val="0060112D"/>
    <w:rsid w:val="00601A90"/>
    <w:rsid w:val="00601B4B"/>
    <w:rsid w:val="00602641"/>
    <w:rsid w:val="00602886"/>
    <w:rsid w:val="00602AAB"/>
    <w:rsid w:val="00602ACE"/>
    <w:rsid w:val="0060359E"/>
    <w:rsid w:val="006038C2"/>
    <w:rsid w:val="00603DCD"/>
    <w:rsid w:val="00603DDF"/>
    <w:rsid w:val="00604687"/>
    <w:rsid w:val="00604948"/>
    <w:rsid w:val="0060521D"/>
    <w:rsid w:val="006052E2"/>
    <w:rsid w:val="00605C1C"/>
    <w:rsid w:val="0060600B"/>
    <w:rsid w:val="00606189"/>
    <w:rsid w:val="00606313"/>
    <w:rsid w:val="006064B5"/>
    <w:rsid w:val="00607188"/>
    <w:rsid w:val="006072BD"/>
    <w:rsid w:val="006074CC"/>
    <w:rsid w:val="00607875"/>
    <w:rsid w:val="00607A7B"/>
    <w:rsid w:val="0061075F"/>
    <w:rsid w:val="00610A10"/>
    <w:rsid w:val="00611A7F"/>
    <w:rsid w:val="00611AAA"/>
    <w:rsid w:val="00613327"/>
    <w:rsid w:val="00613C5C"/>
    <w:rsid w:val="006144E1"/>
    <w:rsid w:val="006146F5"/>
    <w:rsid w:val="006147BA"/>
    <w:rsid w:val="006151AA"/>
    <w:rsid w:val="006152A7"/>
    <w:rsid w:val="00615CDF"/>
    <w:rsid w:val="00615DE5"/>
    <w:rsid w:val="006162BB"/>
    <w:rsid w:val="00616353"/>
    <w:rsid w:val="006163EB"/>
    <w:rsid w:val="0061656B"/>
    <w:rsid w:val="00617428"/>
    <w:rsid w:val="00617A38"/>
    <w:rsid w:val="00617B46"/>
    <w:rsid w:val="00617B49"/>
    <w:rsid w:val="00617CD5"/>
    <w:rsid w:val="006201F1"/>
    <w:rsid w:val="00622183"/>
    <w:rsid w:val="00622465"/>
    <w:rsid w:val="00623F47"/>
    <w:rsid w:val="006240C2"/>
    <w:rsid w:val="00624A23"/>
    <w:rsid w:val="00624A6D"/>
    <w:rsid w:val="00624C3D"/>
    <w:rsid w:val="0062555A"/>
    <w:rsid w:val="0062603A"/>
    <w:rsid w:val="00626440"/>
    <w:rsid w:val="00626C43"/>
    <w:rsid w:val="00630AA8"/>
    <w:rsid w:val="0063109C"/>
    <w:rsid w:val="006312CE"/>
    <w:rsid w:val="00631798"/>
    <w:rsid w:val="00632D0B"/>
    <w:rsid w:val="00632D59"/>
    <w:rsid w:val="0063392E"/>
    <w:rsid w:val="00633A58"/>
    <w:rsid w:val="00633CBE"/>
    <w:rsid w:val="00633D22"/>
    <w:rsid w:val="0063477A"/>
    <w:rsid w:val="00634870"/>
    <w:rsid w:val="00634897"/>
    <w:rsid w:val="00635871"/>
    <w:rsid w:val="00635BC9"/>
    <w:rsid w:val="00635E57"/>
    <w:rsid w:val="0063664E"/>
    <w:rsid w:val="00636CB1"/>
    <w:rsid w:val="00636E46"/>
    <w:rsid w:val="0063749D"/>
    <w:rsid w:val="006376A5"/>
    <w:rsid w:val="00637811"/>
    <w:rsid w:val="00637A62"/>
    <w:rsid w:val="00637C98"/>
    <w:rsid w:val="00640304"/>
    <w:rsid w:val="006404BB"/>
    <w:rsid w:val="00640B09"/>
    <w:rsid w:val="00640ECB"/>
    <w:rsid w:val="00641495"/>
    <w:rsid w:val="006419B5"/>
    <w:rsid w:val="00641B23"/>
    <w:rsid w:val="00641B6F"/>
    <w:rsid w:val="00641E73"/>
    <w:rsid w:val="00642106"/>
    <w:rsid w:val="0064340F"/>
    <w:rsid w:val="00643433"/>
    <w:rsid w:val="006434FD"/>
    <w:rsid w:val="00643803"/>
    <w:rsid w:val="00643E7E"/>
    <w:rsid w:val="006449CA"/>
    <w:rsid w:val="00644F9C"/>
    <w:rsid w:val="0064575C"/>
    <w:rsid w:val="006459B4"/>
    <w:rsid w:val="00646818"/>
    <w:rsid w:val="006471D1"/>
    <w:rsid w:val="00647A9E"/>
    <w:rsid w:val="00647BE6"/>
    <w:rsid w:val="00650E66"/>
    <w:rsid w:val="006513B5"/>
    <w:rsid w:val="006518D1"/>
    <w:rsid w:val="0065285C"/>
    <w:rsid w:val="00652FD5"/>
    <w:rsid w:val="006536FC"/>
    <w:rsid w:val="00653C17"/>
    <w:rsid w:val="0065468D"/>
    <w:rsid w:val="00654815"/>
    <w:rsid w:val="0065499F"/>
    <w:rsid w:val="00654B3D"/>
    <w:rsid w:val="0065506F"/>
    <w:rsid w:val="006553F1"/>
    <w:rsid w:val="0065604C"/>
    <w:rsid w:val="006561D4"/>
    <w:rsid w:val="00656542"/>
    <w:rsid w:val="00656666"/>
    <w:rsid w:val="00656FB3"/>
    <w:rsid w:val="00656FE1"/>
    <w:rsid w:val="006572EC"/>
    <w:rsid w:val="0065768E"/>
    <w:rsid w:val="00657E9C"/>
    <w:rsid w:val="00657F66"/>
    <w:rsid w:val="0066011D"/>
    <w:rsid w:val="006602CA"/>
    <w:rsid w:val="0066032C"/>
    <w:rsid w:val="00660804"/>
    <w:rsid w:val="00660B73"/>
    <w:rsid w:val="00660C4F"/>
    <w:rsid w:val="00660E8A"/>
    <w:rsid w:val="00661432"/>
    <w:rsid w:val="00662599"/>
    <w:rsid w:val="006629DF"/>
    <w:rsid w:val="00662A3D"/>
    <w:rsid w:val="00662E5E"/>
    <w:rsid w:val="00663101"/>
    <w:rsid w:val="00663877"/>
    <w:rsid w:val="006638A8"/>
    <w:rsid w:val="00663928"/>
    <w:rsid w:val="00663BDD"/>
    <w:rsid w:val="00663EBF"/>
    <w:rsid w:val="006641BE"/>
    <w:rsid w:val="00665668"/>
    <w:rsid w:val="00666094"/>
    <w:rsid w:val="00666620"/>
    <w:rsid w:val="00666900"/>
    <w:rsid w:val="00666A31"/>
    <w:rsid w:val="00666BF8"/>
    <w:rsid w:val="00666FE1"/>
    <w:rsid w:val="006670D8"/>
    <w:rsid w:val="0066710D"/>
    <w:rsid w:val="0066738E"/>
    <w:rsid w:val="006676AD"/>
    <w:rsid w:val="006676CC"/>
    <w:rsid w:val="0066790C"/>
    <w:rsid w:val="00667A8D"/>
    <w:rsid w:val="00667B02"/>
    <w:rsid w:val="00667EE3"/>
    <w:rsid w:val="00667F0B"/>
    <w:rsid w:val="0067072A"/>
    <w:rsid w:val="00670C54"/>
    <w:rsid w:val="00670C85"/>
    <w:rsid w:val="00670FA1"/>
    <w:rsid w:val="006711D1"/>
    <w:rsid w:val="00671CE0"/>
    <w:rsid w:val="00671D1D"/>
    <w:rsid w:val="00672A10"/>
    <w:rsid w:val="00673CA1"/>
    <w:rsid w:val="00673ED2"/>
    <w:rsid w:val="006740F3"/>
    <w:rsid w:val="0067412A"/>
    <w:rsid w:val="006748CB"/>
    <w:rsid w:val="00675389"/>
    <w:rsid w:val="006763C6"/>
    <w:rsid w:val="006766B2"/>
    <w:rsid w:val="0067695A"/>
    <w:rsid w:val="00676E07"/>
    <w:rsid w:val="00677A11"/>
    <w:rsid w:val="00677BC5"/>
    <w:rsid w:val="0068009E"/>
    <w:rsid w:val="006802C2"/>
    <w:rsid w:val="00680604"/>
    <w:rsid w:val="0068074B"/>
    <w:rsid w:val="006809D4"/>
    <w:rsid w:val="006814E9"/>
    <w:rsid w:val="006815B9"/>
    <w:rsid w:val="00681F80"/>
    <w:rsid w:val="006824E4"/>
    <w:rsid w:val="0068286F"/>
    <w:rsid w:val="00682F91"/>
    <w:rsid w:val="00683857"/>
    <w:rsid w:val="00683FE8"/>
    <w:rsid w:val="00684044"/>
    <w:rsid w:val="0068419C"/>
    <w:rsid w:val="00684816"/>
    <w:rsid w:val="0068482C"/>
    <w:rsid w:val="00684B97"/>
    <w:rsid w:val="00684FED"/>
    <w:rsid w:val="00685087"/>
    <w:rsid w:val="00685316"/>
    <w:rsid w:val="006856B1"/>
    <w:rsid w:val="00685772"/>
    <w:rsid w:val="0068679D"/>
    <w:rsid w:val="006876B3"/>
    <w:rsid w:val="00687DC4"/>
    <w:rsid w:val="00690A66"/>
    <w:rsid w:val="00690A82"/>
    <w:rsid w:val="00690EBC"/>
    <w:rsid w:val="006914B7"/>
    <w:rsid w:val="00691BFE"/>
    <w:rsid w:val="00691C60"/>
    <w:rsid w:val="00692047"/>
    <w:rsid w:val="006926E8"/>
    <w:rsid w:val="00692D68"/>
    <w:rsid w:val="00693701"/>
    <w:rsid w:val="00693976"/>
    <w:rsid w:val="00693CAD"/>
    <w:rsid w:val="00693CD8"/>
    <w:rsid w:val="00694158"/>
    <w:rsid w:val="00694803"/>
    <w:rsid w:val="00694968"/>
    <w:rsid w:val="00694E40"/>
    <w:rsid w:val="00694E5A"/>
    <w:rsid w:val="006954D6"/>
    <w:rsid w:val="006962E8"/>
    <w:rsid w:val="00696509"/>
    <w:rsid w:val="00696773"/>
    <w:rsid w:val="00696962"/>
    <w:rsid w:val="00696A77"/>
    <w:rsid w:val="00696F4E"/>
    <w:rsid w:val="00697567"/>
    <w:rsid w:val="00697D99"/>
    <w:rsid w:val="006A0573"/>
    <w:rsid w:val="006A153A"/>
    <w:rsid w:val="006A1BE0"/>
    <w:rsid w:val="006A1CBB"/>
    <w:rsid w:val="006A1E0F"/>
    <w:rsid w:val="006A1F92"/>
    <w:rsid w:val="006A2545"/>
    <w:rsid w:val="006A30E2"/>
    <w:rsid w:val="006A3558"/>
    <w:rsid w:val="006A3C95"/>
    <w:rsid w:val="006A504E"/>
    <w:rsid w:val="006A5DB0"/>
    <w:rsid w:val="006A5E56"/>
    <w:rsid w:val="006A620B"/>
    <w:rsid w:val="006A62E8"/>
    <w:rsid w:val="006A6706"/>
    <w:rsid w:val="006A6D1C"/>
    <w:rsid w:val="006A74D9"/>
    <w:rsid w:val="006A75B4"/>
    <w:rsid w:val="006A76A9"/>
    <w:rsid w:val="006A7D0D"/>
    <w:rsid w:val="006A7E74"/>
    <w:rsid w:val="006B03C0"/>
    <w:rsid w:val="006B1043"/>
    <w:rsid w:val="006B1341"/>
    <w:rsid w:val="006B1453"/>
    <w:rsid w:val="006B2087"/>
    <w:rsid w:val="006B229C"/>
    <w:rsid w:val="006B3063"/>
    <w:rsid w:val="006B322A"/>
    <w:rsid w:val="006B356E"/>
    <w:rsid w:val="006B3753"/>
    <w:rsid w:val="006B3C79"/>
    <w:rsid w:val="006B40E0"/>
    <w:rsid w:val="006B4579"/>
    <w:rsid w:val="006B493C"/>
    <w:rsid w:val="006B4A1D"/>
    <w:rsid w:val="006B58AD"/>
    <w:rsid w:val="006B5AFA"/>
    <w:rsid w:val="006B68EF"/>
    <w:rsid w:val="006B7117"/>
    <w:rsid w:val="006B746B"/>
    <w:rsid w:val="006B7671"/>
    <w:rsid w:val="006B7C67"/>
    <w:rsid w:val="006C032B"/>
    <w:rsid w:val="006C0B42"/>
    <w:rsid w:val="006C1191"/>
    <w:rsid w:val="006C1D43"/>
    <w:rsid w:val="006C2229"/>
    <w:rsid w:val="006C24C6"/>
    <w:rsid w:val="006C26FC"/>
    <w:rsid w:val="006C28C7"/>
    <w:rsid w:val="006C2A2A"/>
    <w:rsid w:val="006C2C16"/>
    <w:rsid w:val="006C2D1C"/>
    <w:rsid w:val="006C2F1C"/>
    <w:rsid w:val="006C3BA8"/>
    <w:rsid w:val="006C4688"/>
    <w:rsid w:val="006C489B"/>
    <w:rsid w:val="006C4B4A"/>
    <w:rsid w:val="006C4C9C"/>
    <w:rsid w:val="006C4DAE"/>
    <w:rsid w:val="006C4FCE"/>
    <w:rsid w:val="006C518F"/>
    <w:rsid w:val="006C59C9"/>
    <w:rsid w:val="006C5B79"/>
    <w:rsid w:val="006C5BA3"/>
    <w:rsid w:val="006C5D1E"/>
    <w:rsid w:val="006C625F"/>
    <w:rsid w:val="006C69EF"/>
    <w:rsid w:val="006C6A11"/>
    <w:rsid w:val="006C6AC8"/>
    <w:rsid w:val="006C6D2F"/>
    <w:rsid w:val="006C6F58"/>
    <w:rsid w:val="006C7033"/>
    <w:rsid w:val="006C721B"/>
    <w:rsid w:val="006C73D5"/>
    <w:rsid w:val="006C7554"/>
    <w:rsid w:val="006C76E1"/>
    <w:rsid w:val="006D0590"/>
    <w:rsid w:val="006D09C1"/>
    <w:rsid w:val="006D0A20"/>
    <w:rsid w:val="006D150D"/>
    <w:rsid w:val="006D1B79"/>
    <w:rsid w:val="006D1D75"/>
    <w:rsid w:val="006D2221"/>
    <w:rsid w:val="006D277E"/>
    <w:rsid w:val="006D2EA5"/>
    <w:rsid w:val="006D2EB6"/>
    <w:rsid w:val="006D303B"/>
    <w:rsid w:val="006D306B"/>
    <w:rsid w:val="006D3085"/>
    <w:rsid w:val="006D368A"/>
    <w:rsid w:val="006D38C8"/>
    <w:rsid w:val="006D3C20"/>
    <w:rsid w:val="006D4208"/>
    <w:rsid w:val="006D449A"/>
    <w:rsid w:val="006D454B"/>
    <w:rsid w:val="006D4588"/>
    <w:rsid w:val="006D5532"/>
    <w:rsid w:val="006D57D3"/>
    <w:rsid w:val="006D5D8E"/>
    <w:rsid w:val="006D5E07"/>
    <w:rsid w:val="006D6748"/>
    <w:rsid w:val="006D688D"/>
    <w:rsid w:val="006D6975"/>
    <w:rsid w:val="006D6EE0"/>
    <w:rsid w:val="006D6EF5"/>
    <w:rsid w:val="006D75F5"/>
    <w:rsid w:val="006E098A"/>
    <w:rsid w:val="006E0CA7"/>
    <w:rsid w:val="006E118F"/>
    <w:rsid w:val="006E188C"/>
    <w:rsid w:val="006E1E6A"/>
    <w:rsid w:val="006E23E0"/>
    <w:rsid w:val="006E2BAC"/>
    <w:rsid w:val="006E3325"/>
    <w:rsid w:val="006E3510"/>
    <w:rsid w:val="006E375D"/>
    <w:rsid w:val="006E4001"/>
    <w:rsid w:val="006E427C"/>
    <w:rsid w:val="006E428D"/>
    <w:rsid w:val="006E42FF"/>
    <w:rsid w:val="006E455B"/>
    <w:rsid w:val="006E4B86"/>
    <w:rsid w:val="006E4BB5"/>
    <w:rsid w:val="006E4BE4"/>
    <w:rsid w:val="006E4E98"/>
    <w:rsid w:val="006E4ED6"/>
    <w:rsid w:val="006E4FDE"/>
    <w:rsid w:val="006E538C"/>
    <w:rsid w:val="006E53E0"/>
    <w:rsid w:val="006E573D"/>
    <w:rsid w:val="006E6015"/>
    <w:rsid w:val="006E6747"/>
    <w:rsid w:val="006E6DEC"/>
    <w:rsid w:val="006E77EC"/>
    <w:rsid w:val="006E7C8B"/>
    <w:rsid w:val="006E7FD7"/>
    <w:rsid w:val="006F0517"/>
    <w:rsid w:val="006F0787"/>
    <w:rsid w:val="006F0897"/>
    <w:rsid w:val="006F0B50"/>
    <w:rsid w:val="006F1737"/>
    <w:rsid w:val="006F1A9C"/>
    <w:rsid w:val="006F214F"/>
    <w:rsid w:val="006F21AE"/>
    <w:rsid w:val="006F2306"/>
    <w:rsid w:val="006F24C8"/>
    <w:rsid w:val="006F253C"/>
    <w:rsid w:val="006F277C"/>
    <w:rsid w:val="006F336B"/>
    <w:rsid w:val="006F3391"/>
    <w:rsid w:val="006F3851"/>
    <w:rsid w:val="006F3B5B"/>
    <w:rsid w:val="006F3E9C"/>
    <w:rsid w:val="006F4016"/>
    <w:rsid w:val="006F4178"/>
    <w:rsid w:val="006F4A26"/>
    <w:rsid w:val="006F5018"/>
    <w:rsid w:val="006F58A5"/>
    <w:rsid w:val="006F604B"/>
    <w:rsid w:val="006F688C"/>
    <w:rsid w:val="006F701A"/>
    <w:rsid w:val="006F73EF"/>
    <w:rsid w:val="006F7A93"/>
    <w:rsid w:val="006F7B4A"/>
    <w:rsid w:val="0070033D"/>
    <w:rsid w:val="00700353"/>
    <w:rsid w:val="0070039F"/>
    <w:rsid w:val="00700761"/>
    <w:rsid w:val="00700827"/>
    <w:rsid w:val="00700B0D"/>
    <w:rsid w:val="007025A0"/>
    <w:rsid w:val="00702797"/>
    <w:rsid w:val="007028DA"/>
    <w:rsid w:val="00703640"/>
    <w:rsid w:val="007036A4"/>
    <w:rsid w:val="00703904"/>
    <w:rsid w:val="00703C95"/>
    <w:rsid w:val="00703DFE"/>
    <w:rsid w:val="00703F25"/>
    <w:rsid w:val="0070464F"/>
    <w:rsid w:val="00704AA8"/>
    <w:rsid w:val="00704AB2"/>
    <w:rsid w:val="00704FC6"/>
    <w:rsid w:val="00705043"/>
    <w:rsid w:val="00705154"/>
    <w:rsid w:val="007053C1"/>
    <w:rsid w:val="007055A9"/>
    <w:rsid w:val="00705761"/>
    <w:rsid w:val="007059E4"/>
    <w:rsid w:val="00705E67"/>
    <w:rsid w:val="007063FC"/>
    <w:rsid w:val="00706AD8"/>
    <w:rsid w:val="00707257"/>
    <w:rsid w:val="0070751C"/>
    <w:rsid w:val="00707622"/>
    <w:rsid w:val="00707B99"/>
    <w:rsid w:val="00710A53"/>
    <w:rsid w:val="00711214"/>
    <w:rsid w:val="00711287"/>
    <w:rsid w:val="00711349"/>
    <w:rsid w:val="0071203C"/>
    <w:rsid w:val="00712A2D"/>
    <w:rsid w:val="00713061"/>
    <w:rsid w:val="00713605"/>
    <w:rsid w:val="007137BA"/>
    <w:rsid w:val="007143DD"/>
    <w:rsid w:val="00714829"/>
    <w:rsid w:val="00714BE0"/>
    <w:rsid w:val="0071650A"/>
    <w:rsid w:val="00716906"/>
    <w:rsid w:val="00716CDB"/>
    <w:rsid w:val="00716E48"/>
    <w:rsid w:val="00716FCE"/>
    <w:rsid w:val="007177AC"/>
    <w:rsid w:val="00717D6A"/>
    <w:rsid w:val="00717E8B"/>
    <w:rsid w:val="00717F66"/>
    <w:rsid w:val="00720508"/>
    <w:rsid w:val="00720D3F"/>
    <w:rsid w:val="00721303"/>
    <w:rsid w:val="007214BE"/>
    <w:rsid w:val="00721626"/>
    <w:rsid w:val="0072173E"/>
    <w:rsid w:val="00721D0D"/>
    <w:rsid w:val="00721D1D"/>
    <w:rsid w:val="00721DEF"/>
    <w:rsid w:val="00721E22"/>
    <w:rsid w:val="007229E7"/>
    <w:rsid w:val="007234D5"/>
    <w:rsid w:val="00723AE2"/>
    <w:rsid w:val="00723C5D"/>
    <w:rsid w:val="007246F9"/>
    <w:rsid w:val="00725716"/>
    <w:rsid w:val="007259B8"/>
    <w:rsid w:val="007265BC"/>
    <w:rsid w:val="00726C93"/>
    <w:rsid w:val="00726D9E"/>
    <w:rsid w:val="007278E8"/>
    <w:rsid w:val="007279BF"/>
    <w:rsid w:val="007300D0"/>
    <w:rsid w:val="007308CE"/>
    <w:rsid w:val="00730D2A"/>
    <w:rsid w:val="00731316"/>
    <w:rsid w:val="007315A7"/>
    <w:rsid w:val="00731B37"/>
    <w:rsid w:val="00731C4B"/>
    <w:rsid w:val="007321C6"/>
    <w:rsid w:val="007324D5"/>
    <w:rsid w:val="0073273D"/>
    <w:rsid w:val="00732B5B"/>
    <w:rsid w:val="00732C5A"/>
    <w:rsid w:val="00733323"/>
    <w:rsid w:val="0073343E"/>
    <w:rsid w:val="00734178"/>
    <w:rsid w:val="00734359"/>
    <w:rsid w:val="007344DC"/>
    <w:rsid w:val="00734691"/>
    <w:rsid w:val="00735867"/>
    <w:rsid w:val="00736288"/>
    <w:rsid w:val="0073673F"/>
    <w:rsid w:val="00736CF1"/>
    <w:rsid w:val="007376DA"/>
    <w:rsid w:val="00737979"/>
    <w:rsid w:val="00737B37"/>
    <w:rsid w:val="00737F30"/>
    <w:rsid w:val="0074026A"/>
    <w:rsid w:val="0074110B"/>
    <w:rsid w:val="0074145A"/>
    <w:rsid w:val="007414FD"/>
    <w:rsid w:val="00741601"/>
    <w:rsid w:val="007417AA"/>
    <w:rsid w:val="007417AB"/>
    <w:rsid w:val="00741A48"/>
    <w:rsid w:val="0074242B"/>
    <w:rsid w:val="00742573"/>
    <w:rsid w:val="00742D17"/>
    <w:rsid w:val="00743444"/>
    <w:rsid w:val="00744029"/>
    <w:rsid w:val="00744891"/>
    <w:rsid w:val="00744AA8"/>
    <w:rsid w:val="00745402"/>
    <w:rsid w:val="00745D79"/>
    <w:rsid w:val="00745E43"/>
    <w:rsid w:val="007462A8"/>
    <w:rsid w:val="007464A6"/>
    <w:rsid w:val="00746C11"/>
    <w:rsid w:val="007470E0"/>
    <w:rsid w:val="0074717C"/>
    <w:rsid w:val="007472BC"/>
    <w:rsid w:val="00751204"/>
    <w:rsid w:val="007512DB"/>
    <w:rsid w:val="00751511"/>
    <w:rsid w:val="00751EF5"/>
    <w:rsid w:val="00752083"/>
    <w:rsid w:val="007521B7"/>
    <w:rsid w:val="007530F9"/>
    <w:rsid w:val="0075350B"/>
    <w:rsid w:val="007542FF"/>
    <w:rsid w:val="00754405"/>
    <w:rsid w:val="0075499B"/>
    <w:rsid w:val="00754CD9"/>
    <w:rsid w:val="00755170"/>
    <w:rsid w:val="00755274"/>
    <w:rsid w:val="00755365"/>
    <w:rsid w:val="00755437"/>
    <w:rsid w:val="00755634"/>
    <w:rsid w:val="00755BEB"/>
    <w:rsid w:val="0075685E"/>
    <w:rsid w:val="007568E2"/>
    <w:rsid w:val="00756955"/>
    <w:rsid w:val="00757417"/>
    <w:rsid w:val="00757B32"/>
    <w:rsid w:val="00760B98"/>
    <w:rsid w:val="00760BEF"/>
    <w:rsid w:val="00760E51"/>
    <w:rsid w:val="00761640"/>
    <w:rsid w:val="00761689"/>
    <w:rsid w:val="00761789"/>
    <w:rsid w:val="007617BC"/>
    <w:rsid w:val="0076212D"/>
    <w:rsid w:val="007624D9"/>
    <w:rsid w:val="00762A85"/>
    <w:rsid w:val="00762FC0"/>
    <w:rsid w:val="0076419A"/>
    <w:rsid w:val="007650CD"/>
    <w:rsid w:val="0076530E"/>
    <w:rsid w:val="00765714"/>
    <w:rsid w:val="00765902"/>
    <w:rsid w:val="007666D5"/>
    <w:rsid w:val="0076683F"/>
    <w:rsid w:val="00766A62"/>
    <w:rsid w:val="00766A6A"/>
    <w:rsid w:val="0076719C"/>
    <w:rsid w:val="0076791D"/>
    <w:rsid w:val="00767C6A"/>
    <w:rsid w:val="00767CCD"/>
    <w:rsid w:val="00767F02"/>
    <w:rsid w:val="00770252"/>
    <w:rsid w:val="00770FAE"/>
    <w:rsid w:val="00771162"/>
    <w:rsid w:val="00771723"/>
    <w:rsid w:val="00771835"/>
    <w:rsid w:val="00771F0B"/>
    <w:rsid w:val="00772BC3"/>
    <w:rsid w:val="00772D46"/>
    <w:rsid w:val="00773059"/>
    <w:rsid w:val="00773174"/>
    <w:rsid w:val="007739F0"/>
    <w:rsid w:val="00773EEE"/>
    <w:rsid w:val="00775DE0"/>
    <w:rsid w:val="00775E8E"/>
    <w:rsid w:val="007760BD"/>
    <w:rsid w:val="007765C6"/>
    <w:rsid w:val="00776719"/>
    <w:rsid w:val="00776734"/>
    <w:rsid w:val="00776765"/>
    <w:rsid w:val="00776A90"/>
    <w:rsid w:val="00780BC0"/>
    <w:rsid w:val="00780C7D"/>
    <w:rsid w:val="00780DFF"/>
    <w:rsid w:val="0078144E"/>
    <w:rsid w:val="00781537"/>
    <w:rsid w:val="0078175B"/>
    <w:rsid w:val="00781F51"/>
    <w:rsid w:val="00782AD3"/>
    <w:rsid w:val="00782BAD"/>
    <w:rsid w:val="007833EE"/>
    <w:rsid w:val="0078352D"/>
    <w:rsid w:val="007837CD"/>
    <w:rsid w:val="00784852"/>
    <w:rsid w:val="007849BD"/>
    <w:rsid w:val="00784FED"/>
    <w:rsid w:val="007852C4"/>
    <w:rsid w:val="007854B5"/>
    <w:rsid w:val="007858C9"/>
    <w:rsid w:val="007859E2"/>
    <w:rsid w:val="00785EA7"/>
    <w:rsid w:val="00785F3F"/>
    <w:rsid w:val="007861B5"/>
    <w:rsid w:val="007864E9"/>
    <w:rsid w:val="00786B52"/>
    <w:rsid w:val="0078740A"/>
    <w:rsid w:val="00787716"/>
    <w:rsid w:val="00787F3A"/>
    <w:rsid w:val="007907BC"/>
    <w:rsid w:val="00790829"/>
    <w:rsid w:val="0079090B"/>
    <w:rsid w:val="00790EF9"/>
    <w:rsid w:val="00791529"/>
    <w:rsid w:val="00791713"/>
    <w:rsid w:val="00791861"/>
    <w:rsid w:val="00792112"/>
    <w:rsid w:val="00792138"/>
    <w:rsid w:val="007923FA"/>
    <w:rsid w:val="00792874"/>
    <w:rsid w:val="00792BD8"/>
    <w:rsid w:val="00792E2D"/>
    <w:rsid w:val="0079339A"/>
    <w:rsid w:val="00793DC6"/>
    <w:rsid w:val="00793F48"/>
    <w:rsid w:val="0079494F"/>
    <w:rsid w:val="007949DE"/>
    <w:rsid w:val="0079519C"/>
    <w:rsid w:val="00795380"/>
    <w:rsid w:val="00795417"/>
    <w:rsid w:val="00795725"/>
    <w:rsid w:val="00795BBC"/>
    <w:rsid w:val="00796200"/>
    <w:rsid w:val="00796492"/>
    <w:rsid w:val="00796FA1"/>
    <w:rsid w:val="00796FBF"/>
    <w:rsid w:val="007A0036"/>
    <w:rsid w:val="007A03E2"/>
    <w:rsid w:val="007A0528"/>
    <w:rsid w:val="007A07BA"/>
    <w:rsid w:val="007A08DF"/>
    <w:rsid w:val="007A0F5B"/>
    <w:rsid w:val="007A19E3"/>
    <w:rsid w:val="007A1C4C"/>
    <w:rsid w:val="007A1EDE"/>
    <w:rsid w:val="007A2999"/>
    <w:rsid w:val="007A31D7"/>
    <w:rsid w:val="007A3308"/>
    <w:rsid w:val="007A3E79"/>
    <w:rsid w:val="007A410A"/>
    <w:rsid w:val="007A44B0"/>
    <w:rsid w:val="007A459A"/>
    <w:rsid w:val="007A55D8"/>
    <w:rsid w:val="007A5719"/>
    <w:rsid w:val="007A5A12"/>
    <w:rsid w:val="007A6636"/>
    <w:rsid w:val="007A6753"/>
    <w:rsid w:val="007A67C0"/>
    <w:rsid w:val="007A67C5"/>
    <w:rsid w:val="007A69D4"/>
    <w:rsid w:val="007A731A"/>
    <w:rsid w:val="007A742E"/>
    <w:rsid w:val="007A76AE"/>
    <w:rsid w:val="007B08E9"/>
    <w:rsid w:val="007B0A89"/>
    <w:rsid w:val="007B0C41"/>
    <w:rsid w:val="007B0C8F"/>
    <w:rsid w:val="007B0E5A"/>
    <w:rsid w:val="007B1258"/>
    <w:rsid w:val="007B1B44"/>
    <w:rsid w:val="007B1BC7"/>
    <w:rsid w:val="007B1E9C"/>
    <w:rsid w:val="007B2501"/>
    <w:rsid w:val="007B2B3C"/>
    <w:rsid w:val="007B3B49"/>
    <w:rsid w:val="007B3DBD"/>
    <w:rsid w:val="007B41D1"/>
    <w:rsid w:val="007B485B"/>
    <w:rsid w:val="007B4A3A"/>
    <w:rsid w:val="007B4D5C"/>
    <w:rsid w:val="007B5280"/>
    <w:rsid w:val="007B52B6"/>
    <w:rsid w:val="007B553F"/>
    <w:rsid w:val="007B57AE"/>
    <w:rsid w:val="007B5D2E"/>
    <w:rsid w:val="007B629C"/>
    <w:rsid w:val="007B64F6"/>
    <w:rsid w:val="007B6981"/>
    <w:rsid w:val="007B6D72"/>
    <w:rsid w:val="007B712E"/>
    <w:rsid w:val="007B72D5"/>
    <w:rsid w:val="007B73C2"/>
    <w:rsid w:val="007B7910"/>
    <w:rsid w:val="007B7C32"/>
    <w:rsid w:val="007C012C"/>
    <w:rsid w:val="007C0432"/>
    <w:rsid w:val="007C07E1"/>
    <w:rsid w:val="007C099F"/>
    <w:rsid w:val="007C0BC6"/>
    <w:rsid w:val="007C0C47"/>
    <w:rsid w:val="007C1115"/>
    <w:rsid w:val="007C13B6"/>
    <w:rsid w:val="007C2244"/>
    <w:rsid w:val="007C2A6B"/>
    <w:rsid w:val="007C307E"/>
    <w:rsid w:val="007C328E"/>
    <w:rsid w:val="007C3B44"/>
    <w:rsid w:val="007C3B7C"/>
    <w:rsid w:val="007C3FF4"/>
    <w:rsid w:val="007C40F6"/>
    <w:rsid w:val="007C454C"/>
    <w:rsid w:val="007C4793"/>
    <w:rsid w:val="007C4DFA"/>
    <w:rsid w:val="007C51D2"/>
    <w:rsid w:val="007C648C"/>
    <w:rsid w:val="007C6C82"/>
    <w:rsid w:val="007C702C"/>
    <w:rsid w:val="007C73FF"/>
    <w:rsid w:val="007C76C1"/>
    <w:rsid w:val="007C7EF3"/>
    <w:rsid w:val="007D00BC"/>
    <w:rsid w:val="007D0511"/>
    <w:rsid w:val="007D0DEC"/>
    <w:rsid w:val="007D0E74"/>
    <w:rsid w:val="007D10F8"/>
    <w:rsid w:val="007D1263"/>
    <w:rsid w:val="007D14E4"/>
    <w:rsid w:val="007D1C11"/>
    <w:rsid w:val="007D2549"/>
    <w:rsid w:val="007D2841"/>
    <w:rsid w:val="007D2D3D"/>
    <w:rsid w:val="007D311A"/>
    <w:rsid w:val="007D359B"/>
    <w:rsid w:val="007D4043"/>
    <w:rsid w:val="007D4268"/>
    <w:rsid w:val="007D44CE"/>
    <w:rsid w:val="007D4CA3"/>
    <w:rsid w:val="007D5098"/>
    <w:rsid w:val="007D521D"/>
    <w:rsid w:val="007D527B"/>
    <w:rsid w:val="007D56DC"/>
    <w:rsid w:val="007D5929"/>
    <w:rsid w:val="007D5FAF"/>
    <w:rsid w:val="007D64FB"/>
    <w:rsid w:val="007D7234"/>
    <w:rsid w:val="007E038C"/>
    <w:rsid w:val="007E0463"/>
    <w:rsid w:val="007E0797"/>
    <w:rsid w:val="007E23A8"/>
    <w:rsid w:val="007E2706"/>
    <w:rsid w:val="007E3F9D"/>
    <w:rsid w:val="007E413B"/>
    <w:rsid w:val="007E4C5C"/>
    <w:rsid w:val="007E4C63"/>
    <w:rsid w:val="007E5B79"/>
    <w:rsid w:val="007E65E3"/>
    <w:rsid w:val="007E7492"/>
    <w:rsid w:val="007E7507"/>
    <w:rsid w:val="007E7B48"/>
    <w:rsid w:val="007E7C30"/>
    <w:rsid w:val="007E7D77"/>
    <w:rsid w:val="007E7FAD"/>
    <w:rsid w:val="007F0210"/>
    <w:rsid w:val="007F023D"/>
    <w:rsid w:val="007F0A6D"/>
    <w:rsid w:val="007F0DBC"/>
    <w:rsid w:val="007F1027"/>
    <w:rsid w:val="007F1153"/>
    <w:rsid w:val="007F12E0"/>
    <w:rsid w:val="007F1636"/>
    <w:rsid w:val="007F292A"/>
    <w:rsid w:val="007F314E"/>
    <w:rsid w:val="007F392C"/>
    <w:rsid w:val="007F3DD8"/>
    <w:rsid w:val="007F48D1"/>
    <w:rsid w:val="007F5F02"/>
    <w:rsid w:val="007F6247"/>
    <w:rsid w:val="007F65B3"/>
    <w:rsid w:val="007F69E4"/>
    <w:rsid w:val="007F6C29"/>
    <w:rsid w:val="007F782F"/>
    <w:rsid w:val="007F7B87"/>
    <w:rsid w:val="007F7C3C"/>
    <w:rsid w:val="008002C2"/>
    <w:rsid w:val="008006F9"/>
    <w:rsid w:val="00800BAC"/>
    <w:rsid w:val="008013A9"/>
    <w:rsid w:val="00801476"/>
    <w:rsid w:val="008016B6"/>
    <w:rsid w:val="008020BE"/>
    <w:rsid w:val="00802982"/>
    <w:rsid w:val="00802D74"/>
    <w:rsid w:val="00802E0A"/>
    <w:rsid w:val="0080355E"/>
    <w:rsid w:val="0080391F"/>
    <w:rsid w:val="00803B21"/>
    <w:rsid w:val="0080405C"/>
    <w:rsid w:val="00804718"/>
    <w:rsid w:val="00804941"/>
    <w:rsid w:val="00806346"/>
    <w:rsid w:val="00806473"/>
    <w:rsid w:val="00806493"/>
    <w:rsid w:val="0080671E"/>
    <w:rsid w:val="00806946"/>
    <w:rsid w:val="008074E5"/>
    <w:rsid w:val="008077B8"/>
    <w:rsid w:val="00807849"/>
    <w:rsid w:val="008078E9"/>
    <w:rsid w:val="0080793B"/>
    <w:rsid w:val="00807B7A"/>
    <w:rsid w:val="00807C0A"/>
    <w:rsid w:val="008105BA"/>
    <w:rsid w:val="0081096B"/>
    <w:rsid w:val="00811C7C"/>
    <w:rsid w:val="00811D1B"/>
    <w:rsid w:val="00812623"/>
    <w:rsid w:val="00812882"/>
    <w:rsid w:val="008128B9"/>
    <w:rsid w:val="0081292A"/>
    <w:rsid w:val="00812934"/>
    <w:rsid w:val="00812F36"/>
    <w:rsid w:val="0081348F"/>
    <w:rsid w:val="00813589"/>
    <w:rsid w:val="008139CF"/>
    <w:rsid w:val="00813FB2"/>
    <w:rsid w:val="00816823"/>
    <w:rsid w:val="00816C75"/>
    <w:rsid w:val="00817BDE"/>
    <w:rsid w:val="008202C1"/>
    <w:rsid w:val="00820A78"/>
    <w:rsid w:val="00820C2F"/>
    <w:rsid w:val="00820D52"/>
    <w:rsid w:val="00820D69"/>
    <w:rsid w:val="00820DA5"/>
    <w:rsid w:val="00820DDE"/>
    <w:rsid w:val="00820E5C"/>
    <w:rsid w:val="008217F5"/>
    <w:rsid w:val="008221F5"/>
    <w:rsid w:val="00822297"/>
    <w:rsid w:val="008222B7"/>
    <w:rsid w:val="00822C98"/>
    <w:rsid w:val="0082306F"/>
    <w:rsid w:val="0082314F"/>
    <w:rsid w:val="00823869"/>
    <w:rsid w:val="00823B44"/>
    <w:rsid w:val="00823B55"/>
    <w:rsid w:val="00823CFA"/>
    <w:rsid w:val="00823D4B"/>
    <w:rsid w:val="008241EC"/>
    <w:rsid w:val="008242B2"/>
    <w:rsid w:val="00825538"/>
    <w:rsid w:val="008258C1"/>
    <w:rsid w:val="00825B65"/>
    <w:rsid w:val="008263D2"/>
    <w:rsid w:val="00826956"/>
    <w:rsid w:val="00827414"/>
    <w:rsid w:val="008274F2"/>
    <w:rsid w:val="008277E9"/>
    <w:rsid w:val="00827899"/>
    <w:rsid w:val="00830B78"/>
    <w:rsid w:val="00831176"/>
    <w:rsid w:val="008311D4"/>
    <w:rsid w:val="0083144D"/>
    <w:rsid w:val="0083180C"/>
    <w:rsid w:val="00831B74"/>
    <w:rsid w:val="00831F35"/>
    <w:rsid w:val="008321FE"/>
    <w:rsid w:val="008325B9"/>
    <w:rsid w:val="00832757"/>
    <w:rsid w:val="0083291A"/>
    <w:rsid w:val="008330B1"/>
    <w:rsid w:val="00833186"/>
    <w:rsid w:val="008332CB"/>
    <w:rsid w:val="00833B72"/>
    <w:rsid w:val="008344EB"/>
    <w:rsid w:val="00834A02"/>
    <w:rsid w:val="008350F2"/>
    <w:rsid w:val="00835AFE"/>
    <w:rsid w:val="008367DF"/>
    <w:rsid w:val="008368E8"/>
    <w:rsid w:val="00837035"/>
    <w:rsid w:val="00837851"/>
    <w:rsid w:val="0084031E"/>
    <w:rsid w:val="00840830"/>
    <w:rsid w:val="00841146"/>
    <w:rsid w:val="0084123A"/>
    <w:rsid w:val="00841571"/>
    <w:rsid w:val="00841D82"/>
    <w:rsid w:val="0084208A"/>
    <w:rsid w:val="0084239B"/>
    <w:rsid w:val="0084239C"/>
    <w:rsid w:val="00842480"/>
    <w:rsid w:val="00842954"/>
    <w:rsid w:val="00842DFA"/>
    <w:rsid w:val="00842FCD"/>
    <w:rsid w:val="00843714"/>
    <w:rsid w:val="00843868"/>
    <w:rsid w:val="00844295"/>
    <w:rsid w:val="00844E7A"/>
    <w:rsid w:val="00846723"/>
    <w:rsid w:val="00846BE1"/>
    <w:rsid w:val="00846E42"/>
    <w:rsid w:val="008472C0"/>
    <w:rsid w:val="008473FC"/>
    <w:rsid w:val="008476FF"/>
    <w:rsid w:val="00850244"/>
    <w:rsid w:val="00850387"/>
    <w:rsid w:val="00850643"/>
    <w:rsid w:val="00850F5B"/>
    <w:rsid w:val="0085152B"/>
    <w:rsid w:val="008515BB"/>
    <w:rsid w:val="00851634"/>
    <w:rsid w:val="0085186A"/>
    <w:rsid w:val="00851C93"/>
    <w:rsid w:val="008526BD"/>
    <w:rsid w:val="00852882"/>
    <w:rsid w:val="00852B19"/>
    <w:rsid w:val="00852CA0"/>
    <w:rsid w:val="0085306E"/>
    <w:rsid w:val="00853A7A"/>
    <w:rsid w:val="008549FD"/>
    <w:rsid w:val="00854CB8"/>
    <w:rsid w:val="00854FBF"/>
    <w:rsid w:val="00855F37"/>
    <w:rsid w:val="00855FF1"/>
    <w:rsid w:val="00856926"/>
    <w:rsid w:val="00856BCC"/>
    <w:rsid w:val="00857341"/>
    <w:rsid w:val="008579DC"/>
    <w:rsid w:val="00857A93"/>
    <w:rsid w:val="00857E46"/>
    <w:rsid w:val="008605D8"/>
    <w:rsid w:val="008606B2"/>
    <w:rsid w:val="008607E7"/>
    <w:rsid w:val="00860A3C"/>
    <w:rsid w:val="00860B16"/>
    <w:rsid w:val="00860C3A"/>
    <w:rsid w:val="00860C59"/>
    <w:rsid w:val="00861B63"/>
    <w:rsid w:val="00862116"/>
    <w:rsid w:val="00862380"/>
    <w:rsid w:val="00862478"/>
    <w:rsid w:val="00862684"/>
    <w:rsid w:val="008628FA"/>
    <w:rsid w:val="008628FE"/>
    <w:rsid w:val="00862DF1"/>
    <w:rsid w:val="0086372D"/>
    <w:rsid w:val="00863736"/>
    <w:rsid w:val="00863968"/>
    <w:rsid w:val="00863EEB"/>
    <w:rsid w:val="00864403"/>
    <w:rsid w:val="00864904"/>
    <w:rsid w:val="00864A41"/>
    <w:rsid w:val="00864B1C"/>
    <w:rsid w:val="00864CBC"/>
    <w:rsid w:val="0086502D"/>
    <w:rsid w:val="008657C6"/>
    <w:rsid w:val="0086595F"/>
    <w:rsid w:val="00865C31"/>
    <w:rsid w:val="00866064"/>
    <w:rsid w:val="00867940"/>
    <w:rsid w:val="00867D8B"/>
    <w:rsid w:val="00867DBB"/>
    <w:rsid w:val="008712B2"/>
    <w:rsid w:val="008713E1"/>
    <w:rsid w:val="00871BEF"/>
    <w:rsid w:val="00871BF8"/>
    <w:rsid w:val="00872008"/>
    <w:rsid w:val="008728BC"/>
    <w:rsid w:val="00872A8E"/>
    <w:rsid w:val="00872C7D"/>
    <w:rsid w:val="0087317D"/>
    <w:rsid w:val="008731C4"/>
    <w:rsid w:val="008739E9"/>
    <w:rsid w:val="00874242"/>
    <w:rsid w:val="00874C18"/>
    <w:rsid w:val="00874F4F"/>
    <w:rsid w:val="008754DE"/>
    <w:rsid w:val="00875CE5"/>
    <w:rsid w:val="00875CEA"/>
    <w:rsid w:val="0087649D"/>
    <w:rsid w:val="00876923"/>
    <w:rsid w:val="00876B4E"/>
    <w:rsid w:val="00876EC0"/>
    <w:rsid w:val="0087705F"/>
    <w:rsid w:val="00877247"/>
    <w:rsid w:val="0087725B"/>
    <w:rsid w:val="008779D2"/>
    <w:rsid w:val="008779DB"/>
    <w:rsid w:val="00877D1C"/>
    <w:rsid w:val="008804F3"/>
    <w:rsid w:val="008805CE"/>
    <w:rsid w:val="00880F62"/>
    <w:rsid w:val="008810CB"/>
    <w:rsid w:val="00882A8B"/>
    <w:rsid w:val="00882E21"/>
    <w:rsid w:val="00882FDB"/>
    <w:rsid w:val="008834F8"/>
    <w:rsid w:val="00883504"/>
    <w:rsid w:val="00883640"/>
    <w:rsid w:val="008846C0"/>
    <w:rsid w:val="00884821"/>
    <w:rsid w:val="00884DDE"/>
    <w:rsid w:val="00884E76"/>
    <w:rsid w:val="00884FC6"/>
    <w:rsid w:val="00885410"/>
    <w:rsid w:val="0088566C"/>
    <w:rsid w:val="00885722"/>
    <w:rsid w:val="00885755"/>
    <w:rsid w:val="00886247"/>
    <w:rsid w:val="008866CE"/>
    <w:rsid w:val="00886C2C"/>
    <w:rsid w:val="00886C7C"/>
    <w:rsid w:val="00886F78"/>
    <w:rsid w:val="00887A93"/>
    <w:rsid w:val="00887EC6"/>
    <w:rsid w:val="00890678"/>
    <w:rsid w:val="00890A67"/>
    <w:rsid w:val="008912DA"/>
    <w:rsid w:val="00891360"/>
    <w:rsid w:val="0089171B"/>
    <w:rsid w:val="00891778"/>
    <w:rsid w:val="00891B71"/>
    <w:rsid w:val="00891DBB"/>
    <w:rsid w:val="00891F2D"/>
    <w:rsid w:val="008927F1"/>
    <w:rsid w:val="00892ACF"/>
    <w:rsid w:val="00892B6E"/>
    <w:rsid w:val="00892D44"/>
    <w:rsid w:val="008932E6"/>
    <w:rsid w:val="00893C76"/>
    <w:rsid w:val="00893DDB"/>
    <w:rsid w:val="008940F3"/>
    <w:rsid w:val="008944B6"/>
    <w:rsid w:val="008945E8"/>
    <w:rsid w:val="00894DCB"/>
    <w:rsid w:val="008959FB"/>
    <w:rsid w:val="00895FFE"/>
    <w:rsid w:val="0089689B"/>
    <w:rsid w:val="00896C63"/>
    <w:rsid w:val="00896CAE"/>
    <w:rsid w:val="00896E3E"/>
    <w:rsid w:val="00897069"/>
    <w:rsid w:val="0089733F"/>
    <w:rsid w:val="00897759"/>
    <w:rsid w:val="008977F6"/>
    <w:rsid w:val="00897A8A"/>
    <w:rsid w:val="00897C80"/>
    <w:rsid w:val="008A0E13"/>
    <w:rsid w:val="008A1779"/>
    <w:rsid w:val="008A1977"/>
    <w:rsid w:val="008A2B05"/>
    <w:rsid w:val="008A2CF4"/>
    <w:rsid w:val="008A306A"/>
    <w:rsid w:val="008A3654"/>
    <w:rsid w:val="008A36FF"/>
    <w:rsid w:val="008A4903"/>
    <w:rsid w:val="008A4A0E"/>
    <w:rsid w:val="008A59A8"/>
    <w:rsid w:val="008A5B0E"/>
    <w:rsid w:val="008A5ED3"/>
    <w:rsid w:val="008A67B5"/>
    <w:rsid w:val="008A69BE"/>
    <w:rsid w:val="008A6A79"/>
    <w:rsid w:val="008A7BB7"/>
    <w:rsid w:val="008B0939"/>
    <w:rsid w:val="008B0AA9"/>
    <w:rsid w:val="008B17A4"/>
    <w:rsid w:val="008B1D0E"/>
    <w:rsid w:val="008B250A"/>
    <w:rsid w:val="008B290D"/>
    <w:rsid w:val="008B2D29"/>
    <w:rsid w:val="008B318B"/>
    <w:rsid w:val="008B3BF3"/>
    <w:rsid w:val="008B3F0E"/>
    <w:rsid w:val="008B410F"/>
    <w:rsid w:val="008B4D86"/>
    <w:rsid w:val="008B5A5A"/>
    <w:rsid w:val="008B5D11"/>
    <w:rsid w:val="008B63D4"/>
    <w:rsid w:val="008B6F4F"/>
    <w:rsid w:val="008B7076"/>
    <w:rsid w:val="008B735A"/>
    <w:rsid w:val="008B748B"/>
    <w:rsid w:val="008B74E5"/>
    <w:rsid w:val="008B7927"/>
    <w:rsid w:val="008B7D08"/>
    <w:rsid w:val="008C0748"/>
    <w:rsid w:val="008C097D"/>
    <w:rsid w:val="008C13D8"/>
    <w:rsid w:val="008C16CC"/>
    <w:rsid w:val="008C1B04"/>
    <w:rsid w:val="008C2516"/>
    <w:rsid w:val="008C25A4"/>
    <w:rsid w:val="008C26CF"/>
    <w:rsid w:val="008C2816"/>
    <w:rsid w:val="008C2D62"/>
    <w:rsid w:val="008C2DAF"/>
    <w:rsid w:val="008C2FC4"/>
    <w:rsid w:val="008C2FE4"/>
    <w:rsid w:val="008C3179"/>
    <w:rsid w:val="008C340F"/>
    <w:rsid w:val="008C3657"/>
    <w:rsid w:val="008C4D81"/>
    <w:rsid w:val="008C5188"/>
    <w:rsid w:val="008C57EA"/>
    <w:rsid w:val="008C5CD5"/>
    <w:rsid w:val="008C5D11"/>
    <w:rsid w:val="008C6224"/>
    <w:rsid w:val="008C6B36"/>
    <w:rsid w:val="008C6B6F"/>
    <w:rsid w:val="008C6D87"/>
    <w:rsid w:val="008C6DE1"/>
    <w:rsid w:val="008C7858"/>
    <w:rsid w:val="008C7AC7"/>
    <w:rsid w:val="008C7F90"/>
    <w:rsid w:val="008D0218"/>
    <w:rsid w:val="008D0B80"/>
    <w:rsid w:val="008D1113"/>
    <w:rsid w:val="008D13F0"/>
    <w:rsid w:val="008D169E"/>
    <w:rsid w:val="008D19F2"/>
    <w:rsid w:val="008D1D04"/>
    <w:rsid w:val="008D21FE"/>
    <w:rsid w:val="008D2C19"/>
    <w:rsid w:val="008D346F"/>
    <w:rsid w:val="008D3543"/>
    <w:rsid w:val="008D36AB"/>
    <w:rsid w:val="008D3896"/>
    <w:rsid w:val="008D3A58"/>
    <w:rsid w:val="008D3E18"/>
    <w:rsid w:val="008D41D7"/>
    <w:rsid w:val="008D435A"/>
    <w:rsid w:val="008D446E"/>
    <w:rsid w:val="008D4AD5"/>
    <w:rsid w:val="008D4B56"/>
    <w:rsid w:val="008D54DA"/>
    <w:rsid w:val="008D5539"/>
    <w:rsid w:val="008D5AD4"/>
    <w:rsid w:val="008D65EC"/>
    <w:rsid w:val="008D6C86"/>
    <w:rsid w:val="008D71AF"/>
    <w:rsid w:val="008D741C"/>
    <w:rsid w:val="008D7675"/>
    <w:rsid w:val="008D7BB2"/>
    <w:rsid w:val="008E00C2"/>
    <w:rsid w:val="008E0C94"/>
    <w:rsid w:val="008E0DF8"/>
    <w:rsid w:val="008E0F2F"/>
    <w:rsid w:val="008E1717"/>
    <w:rsid w:val="008E1A1B"/>
    <w:rsid w:val="008E2307"/>
    <w:rsid w:val="008E2D7E"/>
    <w:rsid w:val="008E335B"/>
    <w:rsid w:val="008E338F"/>
    <w:rsid w:val="008E350D"/>
    <w:rsid w:val="008E3569"/>
    <w:rsid w:val="008E3893"/>
    <w:rsid w:val="008E39BC"/>
    <w:rsid w:val="008E401C"/>
    <w:rsid w:val="008E465B"/>
    <w:rsid w:val="008E4F25"/>
    <w:rsid w:val="008E51C4"/>
    <w:rsid w:val="008E5A42"/>
    <w:rsid w:val="008E5A79"/>
    <w:rsid w:val="008E5C20"/>
    <w:rsid w:val="008E6903"/>
    <w:rsid w:val="008E6BAA"/>
    <w:rsid w:val="008E7119"/>
    <w:rsid w:val="008E7339"/>
    <w:rsid w:val="008E74B8"/>
    <w:rsid w:val="008E7705"/>
    <w:rsid w:val="008E7936"/>
    <w:rsid w:val="008F0598"/>
    <w:rsid w:val="008F0FB9"/>
    <w:rsid w:val="008F157E"/>
    <w:rsid w:val="008F1E6C"/>
    <w:rsid w:val="008F2B4E"/>
    <w:rsid w:val="008F3806"/>
    <w:rsid w:val="008F3B02"/>
    <w:rsid w:val="008F3C6C"/>
    <w:rsid w:val="008F4084"/>
    <w:rsid w:val="008F44EF"/>
    <w:rsid w:val="008F50A5"/>
    <w:rsid w:val="008F5772"/>
    <w:rsid w:val="008F585D"/>
    <w:rsid w:val="008F5F50"/>
    <w:rsid w:val="008F7083"/>
    <w:rsid w:val="008F7A27"/>
    <w:rsid w:val="008F7F11"/>
    <w:rsid w:val="00900049"/>
    <w:rsid w:val="00900130"/>
    <w:rsid w:val="00900FCE"/>
    <w:rsid w:val="009011D7"/>
    <w:rsid w:val="00902D10"/>
    <w:rsid w:val="00903D35"/>
    <w:rsid w:val="00903D8B"/>
    <w:rsid w:val="0090414F"/>
    <w:rsid w:val="00904329"/>
    <w:rsid w:val="009043EF"/>
    <w:rsid w:val="00904A08"/>
    <w:rsid w:val="0090517F"/>
    <w:rsid w:val="0090582D"/>
    <w:rsid w:val="00905B04"/>
    <w:rsid w:val="00905F46"/>
    <w:rsid w:val="009061CD"/>
    <w:rsid w:val="009064C5"/>
    <w:rsid w:val="00906A48"/>
    <w:rsid w:val="00906CEF"/>
    <w:rsid w:val="00906DF4"/>
    <w:rsid w:val="00906EFA"/>
    <w:rsid w:val="00907307"/>
    <w:rsid w:val="00907B96"/>
    <w:rsid w:val="00907DA5"/>
    <w:rsid w:val="00907E18"/>
    <w:rsid w:val="00907E9C"/>
    <w:rsid w:val="009101F7"/>
    <w:rsid w:val="0091046B"/>
    <w:rsid w:val="009117FD"/>
    <w:rsid w:val="00911C5F"/>
    <w:rsid w:val="00911E93"/>
    <w:rsid w:val="00912116"/>
    <w:rsid w:val="009138B2"/>
    <w:rsid w:val="009139EA"/>
    <w:rsid w:val="00913B92"/>
    <w:rsid w:val="00913F0D"/>
    <w:rsid w:val="00914316"/>
    <w:rsid w:val="00914373"/>
    <w:rsid w:val="009143B8"/>
    <w:rsid w:val="009146B9"/>
    <w:rsid w:val="009148C9"/>
    <w:rsid w:val="00914B9C"/>
    <w:rsid w:val="00914D8D"/>
    <w:rsid w:val="00914E84"/>
    <w:rsid w:val="00915500"/>
    <w:rsid w:val="00915E3A"/>
    <w:rsid w:val="009163C5"/>
    <w:rsid w:val="00916DFE"/>
    <w:rsid w:val="00917151"/>
    <w:rsid w:val="00917935"/>
    <w:rsid w:val="00917ECF"/>
    <w:rsid w:val="009201D0"/>
    <w:rsid w:val="00920206"/>
    <w:rsid w:val="00920620"/>
    <w:rsid w:val="009207F9"/>
    <w:rsid w:val="00920AEF"/>
    <w:rsid w:val="0092116B"/>
    <w:rsid w:val="00921191"/>
    <w:rsid w:val="009215F9"/>
    <w:rsid w:val="0092178E"/>
    <w:rsid w:val="00921AAF"/>
    <w:rsid w:val="009225A4"/>
    <w:rsid w:val="00922637"/>
    <w:rsid w:val="0092391E"/>
    <w:rsid w:val="00923C57"/>
    <w:rsid w:val="00923E75"/>
    <w:rsid w:val="009248C0"/>
    <w:rsid w:val="00924BFB"/>
    <w:rsid w:val="00925360"/>
    <w:rsid w:val="009254B6"/>
    <w:rsid w:val="00925511"/>
    <w:rsid w:val="00925527"/>
    <w:rsid w:val="00925825"/>
    <w:rsid w:val="00926188"/>
    <w:rsid w:val="0092684D"/>
    <w:rsid w:val="00926AC0"/>
    <w:rsid w:val="00926F63"/>
    <w:rsid w:val="0092739C"/>
    <w:rsid w:val="009277F0"/>
    <w:rsid w:val="00927A6E"/>
    <w:rsid w:val="00930202"/>
    <w:rsid w:val="00930291"/>
    <w:rsid w:val="00930A36"/>
    <w:rsid w:val="00930B86"/>
    <w:rsid w:val="00930C3D"/>
    <w:rsid w:val="00930E29"/>
    <w:rsid w:val="0093124C"/>
    <w:rsid w:val="009314F7"/>
    <w:rsid w:val="00931535"/>
    <w:rsid w:val="00931E2D"/>
    <w:rsid w:val="009320D6"/>
    <w:rsid w:val="00932669"/>
    <w:rsid w:val="009327A0"/>
    <w:rsid w:val="00932A95"/>
    <w:rsid w:val="00932BAD"/>
    <w:rsid w:val="009335A4"/>
    <w:rsid w:val="00933682"/>
    <w:rsid w:val="00933AAD"/>
    <w:rsid w:val="00933F96"/>
    <w:rsid w:val="0093410E"/>
    <w:rsid w:val="00934224"/>
    <w:rsid w:val="009352D4"/>
    <w:rsid w:val="00935633"/>
    <w:rsid w:val="00935848"/>
    <w:rsid w:val="00935D5B"/>
    <w:rsid w:val="009360B3"/>
    <w:rsid w:val="00936340"/>
    <w:rsid w:val="00936A32"/>
    <w:rsid w:val="00937DDA"/>
    <w:rsid w:val="00940664"/>
    <w:rsid w:val="009415E1"/>
    <w:rsid w:val="00942196"/>
    <w:rsid w:val="0094253D"/>
    <w:rsid w:val="00942D75"/>
    <w:rsid w:val="00942DD3"/>
    <w:rsid w:val="009433DC"/>
    <w:rsid w:val="009445A4"/>
    <w:rsid w:val="009446DE"/>
    <w:rsid w:val="00944A99"/>
    <w:rsid w:val="00944AE1"/>
    <w:rsid w:val="00944C58"/>
    <w:rsid w:val="00944F3D"/>
    <w:rsid w:val="00945093"/>
    <w:rsid w:val="00945292"/>
    <w:rsid w:val="009458C1"/>
    <w:rsid w:val="00945C1D"/>
    <w:rsid w:val="00945CC4"/>
    <w:rsid w:val="009460D4"/>
    <w:rsid w:val="00946575"/>
    <w:rsid w:val="009469D4"/>
    <w:rsid w:val="00946E52"/>
    <w:rsid w:val="00947101"/>
    <w:rsid w:val="00947B29"/>
    <w:rsid w:val="00947C3D"/>
    <w:rsid w:val="009509DA"/>
    <w:rsid w:val="00950B29"/>
    <w:rsid w:val="00951051"/>
    <w:rsid w:val="009512B4"/>
    <w:rsid w:val="009525C9"/>
    <w:rsid w:val="0095291C"/>
    <w:rsid w:val="00952E18"/>
    <w:rsid w:val="00953338"/>
    <w:rsid w:val="009534EF"/>
    <w:rsid w:val="0095358B"/>
    <w:rsid w:val="00953EA5"/>
    <w:rsid w:val="0095464C"/>
    <w:rsid w:val="00954847"/>
    <w:rsid w:val="0095493B"/>
    <w:rsid w:val="00954D7C"/>
    <w:rsid w:val="00954E4B"/>
    <w:rsid w:val="00954E90"/>
    <w:rsid w:val="00955369"/>
    <w:rsid w:val="0095547A"/>
    <w:rsid w:val="00955EFE"/>
    <w:rsid w:val="0095613E"/>
    <w:rsid w:val="0095635F"/>
    <w:rsid w:val="00956422"/>
    <w:rsid w:val="0095659F"/>
    <w:rsid w:val="00956F93"/>
    <w:rsid w:val="00957114"/>
    <w:rsid w:val="0095741B"/>
    <w:rsid w:val="00957662"/>
    <w:rsid w:val="0095770A"/>
    <w:rsid w:val="00957961"/>
    <w:rsid w:val="00957AAC"/>
    <w:rsid w:val="00957AC3"/>
    <w:rsid w:val="00957D66"/>
    <w:rsid w:val="009605D6"/>
    <w:rsid w:val="009606EE"/>
    <w:rsid w:val="00960E00"/>
    <w:rsid w:val="00960E75"/>
    <w:rsid w:val="00960F7C"/>
    <w:rsid w:val="009613D0"/>
    <w:rsid w:val="009622CB"/>
    <w:rsid w:val="0096252D"/>
    <w:rsid w:val="0096290F"/>
    <w:rsid w:val="009629FE"/>
    <w:rsid w:val="00962B17"/>
    <w:rsid w:val="00962B98"/>
    <w:rsid w:val="00962F82"/>
    <w:rsid w:val="00963502"/>
    <w:rsid w:val="00963828"/>
    <w:rsid w:val="00963838"/>
    <w:rsid w:val="00963D9F"/>
    <w:rsid w:val="0096456A"/>
    <w:rsid w:val="009647DA"/>
    <w:rsid w:val="009651DA"/>
    <w:rsid w:val="00965203"/>
    <w:rsid w:val="0096676A"/>
    <w:rsid w:val="00966DA1"/>
    <w:rsid w:val="00967779"/>
    <w:rsid w:val="00967900"/>
    <w:rsid w:val="0097045E"/>
    <w:rsid w:val="009710C8"/>
    <w:rsid w:val="009710D8"/>
    <w:rsid w:val="00971444"/>
    <w:rsid w:val="009714BE"/>
    <w:rsid w:val="009725C6"/>
    <w:rsid w:val="0097273B"/>
    <w:rsid w:val="009735DD"/>
    <w:rsid w:val="00973CDF"/>
    <w:rsid w:val="0097425D"/>
    <w:rsid w:val="009742D3"/>
    <w:rsid w:val="00974914"/>
    <w:rsid w:val="00974BB0"/>
    <w:rsid w:val="00974D93"/>
    <w:rsid w:val="0097589D"/>
    <w:rsid w:val="00975ED7"/>
    <w:rsid w:val="00975F93"/>
    <w:rsid w:val="00976C99"/>
    <w:rsid w:val="00977FD4"/>
    <w:rsid w:val="00981745"/>
    <w:rsid w:val="009819DF"/>
    <w:rsid w:val="00982607"/>
    <w:rsid w:val="00982A3F"/>
    <w:rsid w:val="00984190"/>
    <w:rsid w:val="0098491C"/>
    <w:rsid w:val="00984ADC"/>
    <w:rsid w:val="00984D03"/>
    <w:rsid w:val="00984D12"/>
    <w:rsid w:val="0098516B"/>
    <w:rsid w:val="009858D7"/>
    <w:rsid w:val="00985D22"/>
    <w:rsid w:val="00986713"/>
    <w:rsid w:val="00986F9B"/>
    <w:rsid w:val="00987595"/>
    <w:rsid w:val="00990243"/>
    <w:rsid w:val="00990EDB"/>
    <w:rsid w:val="00990F54"/>
    <w:rsid w:val="009911A9"/>
    <w:rsid w:val="00991561"/>
    <w:rsid w:val="00991F8C"/>
    <w:rsid w:val="00991FDE"/>
    <w:rsid w:val="00992536"/>
    <w:rsid w:val="00992735"/>
    <w:rsid w:val="00992BB6"/>
    <w:rsid w:val="0099339E"/>
    <w:rsid w:val="00993525"/>
    <w:rsid w:val="00993C6B"/>
    <w:rsid w:val="00993C9D"/>
    <w:rsid w:val="00993F1A"/>
    <w:rsid w:val="00994080"/>
    <w:rsid w:val="00994522"/>
    <w:rsid w:val="00995899"/>
    <w:rsid w:val="00995BB4"/>
    <w:rsid w:val="00995CCB"/>
    <w:rsid w:val="009969C5"/>
    <w:rsid w:val="00996C88"/>
    <w:rsid w:val="00996D80"/>
    <w:rsid w:val="00996DC5"/>
    <w:rsid w:val="0099704D"/>
    <w:rsid w:val="0099716C"/>
    <w:rsid w:val="009973F7"/>
    <w:rsid w:val="009975FC"/>
    <w:rsid w:val="009A0007"/>
    <w:rsid w:val="009A0B75"/>
    <w:rsid w:val="009A0EB8"/>
    <w:rsid w:val="009A11F1"/>
    <w:rsid w:val="009A173C"/>
    <w:rsid w:val="009A18A8"/>
    <w:rsid w:val="009A22B5"/>
    <w:rsid w:val="009A232C"/>
    <w:rsid w:val="009A2CF5"/>
    <w:rsid w:val="009A37EB"/>
    <w:rsid w:val="009A3BF5"/>
    <w:rsid w:val="009A4310"/>
    <w:rsid w:val="009A442A"/>
    <w:rsid w:val="009A4595"/>
    <w:rsid w:val="009A4E01"/>
    <w:rsid w:val="009A51A0"/>
    <w:rsid w:val="009A549D"/>
    <w:rsid w:val="009A55B3"/>
    <w:rsid w:val="009A61A2"/>
    <w:rsid w:val="009A6201"/>
    <w:rsid w:val="009A6317"/>
    <w:rsid w:val="009A68DB"/>
    <w:rsid w:val="009A7370"/>
    <w:rsid w:val="009A7DF2"/>
    <w:rsid w:val="009B0100"/>
    <w:rsid w:val="009B06FC"/>
    <w:rsid w:val="009B0867"/>
    <w:rsid w:val="009B1881"/>
    <w:rsid w:val="009B1CE1"/>
    <w:rsid w:val="009B1F3D"/>
    <w:rsid w:val="009B25CC"/>
    <w:rsid w:val="009B272C"/>
    <w:rsid w:val="009B2836"/>
    <w:rsid w:val="009B2E6B"/>
    <w:rsid w:val="009B350A"/>
    <w:rsid w:val="009B4027"/>
    <w:rsid w:val="009B433E"/>
    <w:rsid w:val="009B45FD"/>
    <w:rsid w:val="009B4ED7"/>
    <w:rsid w:val="009B4FE4"/>
    <w:rsid w:val="009B6545"/>
    <w:rsid w:val="009B68A5"/>
    <w:rsid w:val="009B6B64"/>
    <w:rsid w:val="009B6DF1"/>
    <w:rsid w:val="009B7B80"/>
    <w:rsid w:val="009C00B6"/>
    <w:rsid w:val="009C034B"/>
    <w:rsid w:val="009C053C"/>
    <w:rsid w:val="009C05CA"/>
    <w:rsid w:val="009C074C"/>
    <w:rsid w:val="009C0AB7"/>
    <w:rsid w:val="009C1320"/>
    <w:rsid w:val="009C16EC"/>
    <w:rsid w:val="009C1E35"/>
    <w:rsid w:val="009C245F"/>
    <w:rsid w:val="009C2B2E"/>
    <w:rsid w:val="009C2E62"/>
    <w:rsid w:val="009C383C"/>
    <w:rsid w:val="009C39C8"/>
    <w:rsid w:val="009C3DE6"/>
    <w:rsid w:val="009C3E8A"/>
    <w:rsid w:val="009C4196"/>
    <w:rsid w:val="009C44C1"/>
    <w:rsid w:val="009C504C"/>
    <w:rsid w:val="009C50EF"/>
    <w:rsid w:val="009C5442"/>
    <w:rsid w:val="009C5921"/>
    <w:rsid w:val="009C5B3A"/>
    <w:rsid w:val="009C64FF"/>
    <w:rsid w:val="009C70F0"/>
    <w:rsid w:val="009C72D0"/>
    <w:rsid w:val="009C771E"/>
    <w:rsid w:val="009D05B2"/>
    <w:rsid w:val="009D0872"/>
    <w:rsid w:val="009D1B57"/>
    <w:rsid w:val="009D2719"/>
    <w:rsid w:val="009D2780"/>
    <w:rsid w:val="009D2D98"/>
    <w:rsid w:val="009D310F"/>
    <w:rsid w:val="009D3568"/>
    <w:rsid w:val="009D3D03"/>
    <w:rsid w:val="009D3D29"/>
    <w:rsid w:val="009D48F7"/>
    <w:rsid w:val="009D4A08"/>
    <w:rsid w:val="009D524C"/>
    <w:rsid w:val="009D587E"/>
    <w:rsid w:val="009D61AD"/>
    <w:rsid w:val="009D6343"/>
    <w:rsid w:val="009D6964"/>
    <w:rsid w:val="009D6AC5"/>
    <w:rsid w:val="009D7102"/>
    <w:rsid w:val="009D735A"/>
    <w:rsid w:val="009D7777"/>
    <w:rsid w:val="009E0184"/>
    <w:rsid w:val="009E0715"/>
    <w:rsid w:val="009E142F"/>
    <w:rsid w:val="009E1498"/>
    <w:rsid w:val="009E1C7D"/>
    <w:rsid w:val="009E251D"/>
    <w:rsid w:val="009E26AF"/>
    <w:rsid w:val="009E28C1"/>
    <w:rsid w:val="009E3218"/>
    <w:rsid w:val="009E3221"/>
    <w:rsid w:val="009E3331"/>
    <w:rsid w:val="009E3676"/>
    <w:rsid w:val="009E3C76"/>
    <w:rsid w:val="009E4E64"/>
    <w:rsid w:val="009E53D7"/>
    <w:rsid w:val="009E597E"/>
    <w:rsid w:val="009E5C84"/>
    <w:rsid w:val="009E5C8F"/>
    <w:rsid w:val="009E62F6"/>
    <w:rsid w:val="009E637B"/>
    <w:rsid w:val="009E63F0"/>
    <w:rsid w:val="009E684A"/>
    <w:rsid w:val="009E6A0E"/>
    <w:rsid w:val="009E6C5F"/>
    <w:rsid w:val="009E7197"/>
    <w:rsid w:val="009E7495"/>
    <w:rsid w:val="009E7B9C"/>
    <w:rsid w:val="009E7EA4"/>
    <w:rsid w:val="009E7F63"/>
    <w:rsid w:val="009F011C"/>
    <w:rsid w:val="009F14CC"/>
    <w:rsid w:val="009F1B30"/>
    <w:rsid w:val="009F1F9F"/>
    <w:rsid w:val="009F2DDD"/>
    <w:rsid w:val="009F44F0"/>
    <w:rsid w:val="009F471B"/>
    <w:rsid w:val="009F5947"/>
    <w:rsid w:val="009F5974"/>
    <w:rsid w:val="009F5DAB"/>
    <w:rsid w:val="009F5E87"/>
    <w:rsid w:val="009F6337"/>
    <w:rsid w:val="009F6411"/>
    <w:rsid w:val="009F6987"/>
    <w:rsid w:val="009F6BEC"/>
    <w:rsid w:val="009F7011"/>
    <w:rsid w:val="009F7547"/>
    <w:rsid w:val="009F75E6"/>
    <w:rsid w:val="009F7DFC"/>
    <w:rsid w:val="009F7F9A"/>
    <w:rsid w:val="00A00608"/>
    <w:rsid w:val="00A007C9"/>
    <w:rsid w:val="00A00AC3"/>
    <w:rsid w:val="00A00FEB"/>
    <w:rsid w:val="00A01290"/>
    <w:rsid w:val="00A01405"/>
    <w:rsid w:val="00A015A0"/>
    <w:rsid w:val="00A01BBD"/>
    <w:rsid w:val="00A02335"/>
    <w:rsid w:val="00A02760"/>
    <w:rsid w:val="00A02E7B"/>
    <w:rsid w:val="00A02EC1"/>
    <w:rsid w:val="00A046A9"/>
    <w:rsid w:val="00A049EB"/>
    <w:rsid w:val="00A04D84"/>
    <w:rsid w:val="00A0536E"/>
    <w:rsid w:val="00A055F4"/>
    <w:rsid w:val="00A05627"/>
    <w:rsid w:val="00A05DCF"/>
    <w:rsid w:val="00A05DDE"/>
    <w:rsid w:val="00A06D90"/>
    <w:rsid w:val="00A071BA"/>
    <w:rsid w:val="00A07CAE"/>
    <w:rsid w:val="00A07DFC"/>
    <w:rsid w:val="00A07E15"/>
    <w:rsid w:val="00A1034D"/>
    <w:rsid w:val="00A10776"/>
    <w:rsid w:val="00A10E97"/>
    <w:rsid w:val="00A10F21"/>
    <w:rsid w:val="00A11DF4"/>
    <w:rsid w:val="00A1269A"/>
    <w:rsid w:val="00A126B2"/>
    <w:rsid w:val="00A127CB"/>
    <w:rsid w:val="00A127E7"/>
    <w:rsid w:val="00A12869"/>
    <w:rsid w:val="00A12996"/>
    <w:rsid w:val="00A131A2"/>
    <w:rsid w:val="00A13553"/>
    <w:rsid w:val="00A13D40"/>
    <w:rsid w:val="00A13E2F"/>
    <w:rsid w:val="00A14541"/>
    <w:rsid w:val="00A15649"/>
    <w:rsid w:val="00A1606A"/>
    <w:rsid w:val="00A16653"/>
    <w:rsid w:val="00A16941"/>
    <w:rsid w:val="00A16BB7"/>
    <w:rsid w:val="00A16CE2"/>
    <w:rsid w:val="00A17028"/>
    <w:rsid w:val="00A171B7"/>
    <w:rsid w:val="00A17283"/>
    <w:rsid w:val="00A1769D"/>
    <w:rsid w:val="00A17D47"/>
    <w:rsid w:val="00A17E71"/>
    <w:rsid w:val="00A2044B"/>
    <w:rsid w:val="00A20EE2"/>
    <w:rsid w:val="00A20FB5"/>
    <w:rsid w:val="00A211A9"/>
    <w:rsid w:val="00A21620"/>
    <w:rsid w:val="00A22076"/>
    <w:rsid w:val="00A2340E"/>
    <w:rsid w:val="00A2393F"/>
    <w:rsid w:val="00A23A91"/>
    <w:rsid w:val="00A24584"/>
    <w:rsid w:val="00A24614"/>
    <w:rsid w:val="00A24AFA"/>
    <w:rsid w:val="00A24B5F"/>
    <w:rsid w:val="00A24C32"/>
    <w:rsid w:val="00A25387"/>
    <w:rsid w:val="00A2554D"/>
    <w:rsid w:val="00A2558A"/>
    <w:rsid w:val="00A26190"/>
    <w:rsid w:val="00A26A15"/>
    <w:rsid w:val="00A275E2"/>
    <w:rsid w:val="00A27C2D"/>
    <w:rsid w:val="00A27CC9"/>
    <w:rsid w:val="00A30513"/>
    <w:rsid w:val="00A310DF"/>
    <w:rsid w:val="00A31707"/>
    <w:rsid w:val="00A31D08"/>
    <w:rsid w:val="00A324F9"/>
    <w:rsid w:val="00A32755"/>
    <w:rsid w:val="00A33014"/>
    <w:rsid w:val="00A340C5"/>
    <w:rsid w:val="00A344CA"/>
    <w:rsid w:val="00A34D3F"/>
    <w:rsid w:val="00A34E3C"/>
    <w:rsid w:val="00A34FE0"/>
    <w:rsid w:val="00A353D3"/>
    <w:rsid w:val="00A3582F"/>
    <w:rsid w:val="00A35D28"/>
    <w:rsid w:val="00A35E63"/>
    <w:rsid w:val="00A35EE8"/>
    <w:rsid w:val="00A3636B"/>
    <w:rsid w:val="00A368A2"/>
    <w:rsid w:val="00A36976"/>
    <w:rsid w:val="00A36EB4"/>
    <w:rsid w:val="00A373F1"/>
    <w:rsid w:val="00A4017E"/>
    <w:rsid w:val="00A40564"/>
    <w:rsid w:val="00A4122D"/>
    <w:rsid w:val="00A4178F"/>
    <w:rsid w:val="00A4199D"/>
    <w:rsid w:val="00A41D2A"/>
    <w:rsid w:val="00A42352"/>
    <w:rsid w:val="00A4237A"/>
    <w:rsid w:val="00A42954"/>
    <w:rsid w:val="00A42EE8"/>
    <w:rsid w:val="00A42EEB"/>
    <w:rsid w:val="00A4346A"/>
    <w:rsid w:val="00A4361B"/>
    <w:rsid w:val="00A43DC6"/>
    <w:rsid w:val="00A440B3"/>
    <w:rsid w:val="00A442DA"/>
    <w:rsid w:val="00A4470B"/>
    <w:rsid w:val="00A45AE1"/>
    <w:rsid w:val="00A45B62"/>
    <w:rsid w:val="00A45F4D"/>
    <w:rsid w:val="00A467F7"/>
    <w:rsid w:val="00A469E0"/>
    <w:rsid w:val="00A46B0C"/>
    <w:rsid w:val="00A46B6B"/>
    <w:rsid w:val="00A47696"/>
    <w:rsid w:val="00A47B77"/>
    <w:rsid w:val="00A47DE7"/>
    <w:rsid w:val="00A500EC"/>
    <w:rsid w:val="00A5019B"/>
    <w:rsid w:val="00A50380"/>
    <w:rsid w:val="00A5099E"/>
    <w:rsid w:val="00A509FF"/>
    <w:rsid w:val="00A51743"/>
    <w:rsid w:val="00A51F42"/>
    <w:rsid w:val="00A51FE1"/>
    <w:rsid w:val="00A527C8"/>
    <w:rsid w:val="00A52F3D"/>
    <w:rsid w:val="00A531EF"/>
    <w:rsid w:val="00A53313"/>
    <w:rsid w:val="00A540AE"/>
    <w:rsid w:val="00A54111"/>
    <w:rsid w:val="00A545B6"/>
    <w:rsid w:val="00A546EE"/>
    <w:rsid w:val="00A54894"/>
    <w:rsid w:val="00A54B30"/>
    <w:rsid w:val="00A54C73"/>
    <w:rsid w:val="00A54D65"/>
    <w:rsid w:val="00A54FC0"/>
    <w:rsid w:val="00A55124"/>
    <w:rsid w:val="00A55913"/>
    <w:rsid w:val="00A55AE4"/>
    <w:rsid w:val="00A55ECA"/>
    <w:rsid w:val="00A563A2"/>
    <w:rsid w:val="00A566BD"/>
    <w:rsid w:val="00A56716"/>
    <w:rsid w:val="00A568F8"/>
    <w:rsid w:val="00A570CC"/>
    <w:rsid w:val="00A57395"/>
    <w:rsid w:val="00A603A0"/>
    <w:rsid w:val="00A60560"/>
    <w:rsid w:val="00A60AA3"/>
    <w:rsid w:val="00A60D44"/>
    <w:rsid w:val="00A60E7F"/>
    <w:rsid w:val="00A60F48"/>
    <w:rsid w:val="00A615D5"/>
    <w:rsid w:val="00A6163F"/>
    <w:rsid w:val="00A61694"/>
    <w:rsid w:val="00A622EF"/>
    <w:rsid w:val="00A62490"/>
    <w:rsid w:val="00A627A3"/>
    <w:rsid w:val="00A62B18"/>
    <w:rsid w:val="00A62D72"/>
    <w:rsid w:val="00A63499"/>
    <w:rsid w:val="00A6421D"/>
    <w:rsid w:val="00A643D6"/>
    <w:rsid w:val="00A64479"/>
    <w:rsid w:val="00A647B7"/>
    <w:rsid w:val="00A64A66"/>
    <w:rsid w:val="00A64DEE"/>
    <w:rsid w:val="00A64F06"/>
    <w:rsid w:val="00A6549F"/>
    <w:rsid w:val="00A655CF"/>
    <w:rsid w:val="00A656FB"/>
    <w:rsid w:val="00A657E9"/>
    <w:rsid w:val="00A65C22"/>
    <w:rsid w:val="00A66758"/>
    <w:rsid w:val="00A668F4"/>
    <w:rsid w:val="00A67812"/>
    <w:rsid w:val="00A6799A"/>
    <w:rsid w:val="00A7041A"/>
    <w:rsid w:val="00A704B4"/>
    <w:rsid w:val="00A70506"/>
    <w:rsid w:val="00A7071A"/>
    <w:rsid w:val="00A70CED"/>
    <w:rsid w:val="00A71814"/>
    <w:rsid w:val="00A71EE0"/>
    <w:rsid w:val="00A726F6"/>
    <w:rsid w:val="00A72AAD"/>
    <w:rsid w:val="00A72AEB"/>
    <w:rsid w:val="00A72BF5"/>
    <w:rsid w:val="00A731BB"/>
    <w:rsid w:val="00A73AC5"/>
    <w:rsid w:val="00A74075"/>
    <w:rsid w:val="00A7466A"/>
    <w:rsid w:val="00A749F7"/>
    <w:rsid w:val="00A74B24"/>
    <w:rsid w:val="00A74C96"/>
    <w:rsid w:val="00A74C97"/>
    <w:rsid w:val="00A75178"/>
    <w:rsid w:val="00A75B7A"/>
    <w:rsid w:val="00A76313"/>
    <w:rsid w:val="00A76460"/>
    <w:rsid w:val="00A7683C"/>
    <w:rsid w:val="00A770B8"/>
    <w:rsid w:val="00A77987"/>
    <w:rsid w:val="00A802BD"/>
    <w:rsid w:val="00A8052A"/>
    <w:rsid w:val="00A80606"/>
    <w:rsid w:val="00A807FB"/>
    <w:rsid w:val="00A80F44"/>
    <w:rsid w:val="00A812E7"/>
    <w:rsid w:val="00A819FF"/>
    <w:rsid w:val="00A81ACA"/>
    <w:rsid w:val="00A81F44"/>
    <w:rsid w:val="00A8216A"/>
    <w:rsid w:val="00A82457"/>
    <w:rsid w:val="00A827B8"/>
    <w:rsid w:val="00A831C0"/>
    <w:rsid w:val="00A8358D"/>
    <w:rsid w:val="00A8361A"/>
    <w:rsid w:val="00A836D6"/>
    <w:rsid w:val="00A836F1"/>
    <w:rsid w:val="00A837F5"/>
    <w:rsid w:val="00A84997"/>
    <w:rsid w:val="00A849C3"/>
    <w:rsid w:val="00A855DF"/>
    <w:rsid w:val="00A863C4"/>
    <w:rsid w:val="00A8680B"/>
    <w:rsid w:val="00A8753E"/>
    <w:rsid w:val="00A876A4"/>
    <w:rsid w:val="00A87C1D"/>
    <w:rsid w:val="00A87DE0"/>
    <w:rsid w:val="00A87FB4"/>
    <w:rsid w:val="00A90117"/>
    <w:rsid w:val="00A9020E"/>
    <w:rsid w:val="00A92303"/>
    <w:rsid w:val="00A92B6A"/>
    <w:rsid w:val="00A92EB9"/>
    <w:rsid w:val="00A93AE2"/>
    <w:rsid w:val="00A93B67"/>
    <w:rsid w:val="00A94811"/>
    <w:rsid w:val="00A949DA"/>
    <w:rsid w:val="00A94A8E"/>
    <w:rsid w:val="00A94ADD"/>
    <w:rsid w:val="00A94B68"/>
    <w:rsid w:val="00A94B80"/>
    <w:rsid w:val="00A94D3E"/>
    <w:rsid w:val="00A94FD0"/>
    <w:rsid w:val="00A9500D"/>
    <w:rsid w:val="00A957FB"/>
    <w:rsid w:val="00A95954"/>
    <w:rsid w:val="00A95A6C"/>
    <w:rsid w:val="00A961B6"/>
    <w:rsid w:val="00A9629C"/>
    <w:rsid w:val="00A9679A"/>
    <w:rsid w:val="00A97562"/>
    <w:rsid w:val="00A9759E"/>
    <w:rsid w:val="00A978B6"/>
    <w:rsid w:val="00AA0925"/>
    <w:rsid w:val="00AA22C9"/>
    <w:rsid w:val="00AA24CE"/>
    <w:rsid w:val="00AA2637"/>
    <w:rsid w:val="00AA2714"/>
    <w:rsid w:val="00AA2ACC"/>
    <w:rsid w:val="00AA2C48"/>
    <w:rsid w:val="00AA2D96"/>
    <w:rsid w:val="00AA2DC5"/>
    <w:rsid w:val="00AA3187"/>
    <w:rsid w:val="00AA39BB"/>
    <w:rsid w:val="00AA3CDA"/>
    <w:rsid w:val="00AA4569"/>
    <w:rsid w:val="00AA49C1"/>
    <w:rsid w:val="00AA4A3D"/>
    <w:rsid w:val="00AA4AD3"/>
    <w:rsid w:val="00AA4C09"/>
    <w:rsid w:val="00AA4E9D"/>
    <w:rsid w:val="00AA4EA5"/>
    <w:rsid w:val="00AA573A"/>
    <w:rsid w:val="00AA5993"/>
    <w:rsid w:val="00AA5D70"/>
    <w:rsid w:val="00AA5DB8"/>
    <w:rsid w:val="00AA6308"/>
    <w:rsid w:val="00AA6596"/>
    <w:rsid w:val="00AA740C"/>
    <w:rsid w:val="00AA783E"/>
    <w:rsid w:val="00AA7884"/>
    <w:rsid w:val="00AB085B"/>
    <w:rsid w:val="00AB0BD5"/>
    <w:rsid w:val="00AB0F51"/>
    <w:rsid w:val="00AB1035"/>
    <w:rsid w:val="00AB165F"/>
    <w:rsid w:val="00AB2F14"/>
    <w:rsid w:val="00AB3392"/>
    <w:rsid w:val="00AB488C"/>
    <w:rsid w:val="00AB4D5F"/>
    <w:rsid w:val="00AB5169"/>
    <w:rsid w:val="00AB529F"/>
    <w:rsid w:val="00AB551D"/>
    <w:rsid w:val="00AB5DA2"/>
    <w:rsid w:val="00AB5E3F"/>
    <w:rsid w:val="00AB6F3B"/>
    <w:rsid w:val="00AB7056"/>
    <w:rsid w:val="00AB746B"/>
    <w:rsid w:val="00AB78DA"/>
    <w:rsid w:val="00AC01C2"/>
    <w:rsid w:val="00AC07D3"/>
    <w:rsid w:val="00AC07E6"/>
    <w:rsid w:val="00AC112F"/>
    <w:rsid w:val="00AC176D"/>
    <w:rsid w:val="00AC1D0D"/>
    <w:rsid w:val="00AC2183"/>
    <w:rsid w:val="00AC2204"/>
    <w:rsid w:val="00AC2C25"/>
    <w:rsid w:val="00AC2E7B"/>
    <w:rsid w:val="00AC30B9"/>
    <w:rsid w:val="00AC319F"/>
    <w:rsid w:val="00AC329B"/>
    <w:rsid w:val="00AC3EE6"/>
    <w:rsid w:val="00AC4B5A"/>
    <w:rsid w:val="00AC56BE"/>
    <w:rsid w:val="00AC5800"/>
    <w:rsid w:val="00AC5BDA"/>
    <w:rsid w:val="00AC666A"/>
    <w:rsid w:val="00AC6ADC"/>
    <w:rsid w:val="00AC6B9D"/>
    <w:rsid w:val="00AC731A"/>
    <w:rsid w:val="00AC752B"/>
    <w:rsid w:val="00AC7DFC"/>
    <w:rsid w:val="00AD0B6C"/>
    <w:rsid w:val="00AD14D2"/>
    <w:rsid w:val="00AD168D"/>
    <w:rsid w:val="00AD199A"/>
    <w:rsid w:val="00AD1CF9"/>
    <w:rsid w:val="00AD1D45"/>
    <w:rsid w:val="00AD22AF"/>
    <w:rsid w:val="00AD2316"/>
    <w:rsid w:val="00AD2477"/>
    <w:rsid w:val="00AD2BCB"/>
    <w:rsid w:val="00AD2D98"/>
    <w:rsid w:val="00AD3480"/>
    <w:rsid w:val="00AD367F"/>
    <w:rsid w:val="00AD456C"/>
    <w:rsid w:val="00AD5209"/>
    <w:rsid w:val="00AD5C6C"/>
    <w:rsid w:val="00AD64EE"/>
    <w:rsid w:val="00AD71F8"/>
    <w:rsid w:val="00AD774F"/>
    <w:rsid w:val="00AD77AB"/>
    <w:rsid w:val="00AD7F7E"/>
    <w:rsid w:val="00AE0027"/>
    <w:rsid w:val="00AE0390"/>
    <w:rsid w:val="00AE0A9E"/>
    <w:rsid w:val="00AE0AA7"/>
    <w:rsid w:val="00AE0F53"/>
    <w:rsid w:val="00AE2472"/>
    <w:rsid w:val="00AE2571"/>
    <w:rsid w:val="00AE26F2"/>
    <w:rsid w:val="00AE2A08"/>
    <w:rsid w:val="00AE300E"/>
    <w:rsid w:val="00AE3118"/>
    <w:rsid w:val="00AE329F"/>
    <w:rsid w:val="00AE34B9"/>
    <w:rsid w:val="00AE3535"/>
    <w:rsid w:val="00AE37B0"/>
    <w:rsid w:val="00AE3AEC"/>
    <w:rsid w:val="00AE3B0C"/>
    <w:rsid w:val="00AE3BE2"/>
    <w:rsid w:val="00AE4D1F"/>
    <w:rsid w:val="00AE52FA"/>
    <w:rsid w:val="00AE5AFC"/>
    <w:rsid w:val="00AE5BE0"/>
    <w:rsid w:val="00AE67E2"/>
    <w:rsid w:val="00AE6B0A"/>
    <w:rsid w:val="00AE74A0"/>
    <w:rsid w:val="00AF0110"/>
    <w:rsid w:val="00AF0A56"/>
    <w:rsid w:val="00AF0E9B"/>
    <w:rsid w:val="00AF1160"/>
    <w:rsid w:val="00AF1855"/>
    <w:rsid w:val="00AF18F1"/>
    <w:rsid w:val="00AF266B"/>
    <w:rsid w:val="00AF2928"/>
    <w:rsid w:val="00AF2A3B"/>
    <w:rsid w:val="00AF3691"/>
    <w:rsid w:val="00AF39A8"/>
    <w:rsid w:val="00AF4510"/>
    <w:rsid w:val="00AF451A"/>
    <w:rsid w:val="00AF536F"/>
    <w:rsid w:val="00AF60EB"/>
    <w:rsid w:val="00AF6110"/>
    <w:rsid w:val="00AF65B4"/>
    <w:rsid w:val="00AF6A7E"/>
    <w:rsid w:val="00AF7297"/>
    <w:rsid w:val="00AF772A"/>
    <w:rsid w:val="00AF7A9B"/>
    <w:rsid w:val="00B0003D"/>
    <w:rsid w:val="00B0121A"/>
    <w:rsid w:val="00B014BE"/>
    <w:rsid w:val="00B01838"/>
    <w:rsid w:val="00B01BE7"/>
    <w:rsid w:val="00B025E5"/>
    <w:rsid w:val="00B027D1"/>
    <w:rsid w:val="00B02B6E"/>
    <w:rsid w:val="00B033FD"/>
    <w:rsid w:val="00B035CE"/>
    <w:rsid w:val="00B037A2"/>
    <w:rsid w:val="00B037F6"/>
    <w:rsid w:val="00B03A7E"/>
    <w:rsid w:val="00B041D6"/>
    <w:rsid w:val="00B04663"/>
    <w:rsid w:val="00B0493E"/>
    <w:rsid w:val="00B0497F"/>
    <w:rsid w:val="00B049C4"/>
    <w:rsid w:val="00B049FA"/>
    <w:rsid w:val="00B04D38"/>
    <w:rsid w:val="00B04F5D"/>
    <w:rsid w:val="00B052A2"/>
    <w:rsid w:val="00B0548A"/>
    <w:rsid w:val="00B05EDE"/>
    <w:rsid w:val="00B064A6"/>
    <w:rsid w:val="00B068D8"/>
    <w:rsid w:val="00B06C56"/>
    <w:rsid w:val="00B06D56"/>
    <w:rsid w:val="00B07317"/>
    <w:rsid w:val="00B074C2"/>
    <w:rsid w:val="00B07592"/>
    <w:rsid w:val="00B07C69"/>
    <w:rsid w:val="00B07E81"/>
    <w:rsid w:val="00B07FBE"/>
    <w:rsid w:val="00B10756"/>
    <w:rsid w:val="00B108A7"/>
    <w:rsid w:val="00B10E9C"/>
    <w:rsid w:val="00B11185"/>
    <w:rsid w:val="00B12234"/>
    <w:rsid w:val="00B12465"/>
    <w:rsid w:val="00B1255E"/>
    <w:rsid w:val="00B1267A"/>
    <w:rsid w:val="00B129FD"/>
    <w:rsid w:val="00B12A72"/>
    <w:rsid w:val="00B12FCB"/>
    <w:rsid w:val="00B13DBD"/>
    <w:rsid w:val="00B13E53"/>
    <w:rsid w:val="00B14954"/>
    <w:rsid w:val="00B15245"/>
    <w:rsid w:val="00B15811"/>
    <w:rsid w:val="00B1604D"/>
    <w:rsid w:val="00B170D2"/>
    <w:rsid w:val="00B205CB"/>
    <w:rsid w:val="00B2096C"/>
    <w:rsid w:val="00B21110"/>
    <w:rsid w:val="00B21449"/>
    <w:rsid w:val="00B214EC"/>
    <w:rsid w:val="00B21E21"/>
    <w:rsid w:val="00B2230E"/>
    <w:rsid w:val="00B229A7"/>
    <w:rsid w:val="00B22E73"/>
    <w:rsid w:val="00B2323E"/>
    <w:rsid w:val="00B235BE"/>
    <w:rsid w:val="00B23C06"/>
    <w:rsid w:val="00B23DBB"/>
    <w:rsid w:val="00B241AF"/>
    <w:rsid w:val="00B24233"/>
    <w:rsid w:val="00B24361"/>
    <w:rsid w:val="00B246A7"/>
    <w:rsid w:val="00B2491D"/>
    <w:rsid w:val="00B24C66"/>
    <w:rsid w:val="00B251DB"/>
    <w:rsid w:val="00B252B9"/>
    <w:rsid w:val="00B255B9"/>
    <w:rsid w:val="00B25657"/>
    <w:rsid w:val="00B256C4"/>
    <w:rsid w:val="00B259E0"/>
    <w:rsid w:val="00B25B92"/>
    <w:rsid w:val="00B25D47"/>
    <w:rsid w:val="00B25D9D"/>
    <w:rsid w:val="00B265EB"/>
    <w:rsid w:val="00B266B8"/>
    <w:rsid w:val="00B267D4"/>
    <w:rsid w:val="00B268D8"/>
    <w:rsid w:val="00B26BD5"/>
    <w:rsid w:val="00B26C25"/>
    <w:rsid w:val="00B27036"/>
    <w:rsid w:val="00B270AE"/>
    <w:rsid w:val="00B2717C"/>
    <w:rsid w:val="00B277BA"/>
    <w:rsid w:val="00B3061D"/>
    <w:rsid w:val="00B30980"/>
    <w:rsid w:val="00B30BC1"/>
    <w:rsid w:val="00B30FB2"/>
    <w:rsid w:val="00B3117C"/>
    <w:rsid w:val="00B3137D"/>
    <w:rsid w:val="00B31DA8"/>
    <w:rsid w:val="00B31DC7"/>
    <w:rsid w:val="00B31DF3"/>
    <w:rsid w:val="00B32795"/>
    <w:rsid w:val="00B33104"/>
    <w:rsid w:val="00B332AA"/>
    <w:rsid w:val="00B3338D"/>
    <w:rsid w:val="00B33771"/>
    <w:rsid w:val="00B33C01"/>
    <w:rsid w:val="00B34601"/>
    <w:rsid w:val="00B3486A"/>
    <w:rsid w:val="00B34FEA"/>
    <w:rsid w:val="00B35079"/>
    <w:rsid w:val="00B357F4"/>
    <w:rsid w:val="00B35B71"/>
    <w:rsid w:val="00B35BA7"/>
    <w:rsid w:val="00B35C0C"/>
    <w:rsid w:val="00B35EF7"/>
    <w:rsid w:val="00B35F5A"/>
    <w:rsid w:val="00B36748"/>
    <w:rsid w:val="00B36773"/>
    <w:rsid w:val="00B3679A"/>
    <w:rsid w:val="00B3681D"/>
    <w:rsid w:val="00B36B88"/>
    <w:rsid w:val="00B37A09"/>
    <w:rsid w:val="00B37DC9"/>
    <w:rsid w:val="00B37F3D"/>
    <w:rsid w:val="00B400CA"/>
    <w:rsid w:val="00B4061A"/>
    <w:rsid w:val="00B4061D"/>
    <w:rsid w:val="00B406C5"/>
    <w:rsid w:val="00B40743"/>
    <w:rsid w:val="00B40A76"/>
    <w:rsid w:val="00B40C7E"/>
    <w:rsid w:val="00B40DF3"/>
    <w:rsid w:val="00B41573"/>
    <w:rsid w:val="00B41B45"/>
    <w:rsid w:val="00B41BCE"/>
    <w:rsid w:val="00B41CF9"/>
    <w:rsid w:val="00B41DCF"/>
    <w:rsid w:val="00B41EE3"/>
    <w:rsid w:val="00B41F00"/>
    <w:rsid w:val="00B4303C"/>
    <w:rsid w:val="00B4305A"/>
    <w:rsid w:val="00B43137"/>
    <w:rsid w:val="00B43138"/>
    <w:rsid w:val="00B43341"/>
    <w:rsid w:val="00B43E57"/>
    <w:rsid w:val="00B448C6"/>
    <w:rsid w:val="00B454C0"/>
    <w:rsid w:val="00B45CF8"/>
    <w:rsid w:val="00B45E89"/>
    <w:rsid w:val="00B466B8"/>
    <w:rsid w:val="00B467A7"/>
    <w:rsid w:val="00B46F57"/>
    <w:rsid w:val="00B4714B"/>
    <w:rsid w:val="00B47172"/>
    <w:rsid w:val="00B473CE"/>
    <w:rsid w:val="00B50B24"/>
    <w:rsid w:val="00B51920"/>
    <w:rsid w:val="00B51A45"/>
    <w:rsid w:val="00B51D77"/>
    <w:rsid w:val="00B51F8B"/>
    <w:rsid w:val="00B524D7"/>
    <w:rsid w:val="00B52933"/>
    <w:rsid w:val="00B52BDC"/>
    <w:rsid w:val="00B52F2F"/>
    <w:rsid w:val="00B538E1"/>
    <w:rsid w:val="00B540F1"/>
    <w:rsid w:val="00B54686"/>
    <w:rsid w:val="00B54688"/>
    <w:rsid w:val="00B54761"/>
    <w:rsid w:val="00B54CC5"/>
    <w:rsid w:val="00B54E27"/>
    <w:rsid w:val="00B55657"/>
    <w:rsid w:val="00B5617C"/>
    <w:rsid w:val="00B567B8"/>
    <w:rsid w:val="00B56984"/>
    <w:rsid w:val="00B56C35"/>
    <w:rsid w:val="00B56D61"/>
    <w:rsid w:val="00B570D1"/>
    <w:rsid w:val="00B576D3"/>
    <w:rsid w:val="00B5789C"/>
    <w:rsid w:val="00B6081E"/>
    <w:rsid w:val="00B60E02"/>
    <w:rsid w:val="00B60F77"/>
    <w:rsid w:val="00B615B5"/>
    <w:rsid w:val="00B61B51"/>
    <w:rsid w:val="00B61F60"/>
    <w:rsid w:val="00B62240"/>
    <w:rsid w:val="00B6239D"/>
    <w:rsid w:val="00B62539"/>
    <w:rsid w:val="00B62EAB"/>
    <w:rsid w:val="00B63051"/>
    <w:rsid w:val="00B631E2"/>
    <w:rsid w:val="00B635A1"/>
    <w:rsid w:val="00B63673"/>
    <w:rsid w:val="00B63694"/>
    <w:rsid w:val="00B6394B"/>
    <w:rsid w:val="00B63A8C"/>
    <w:rsid w:val="00B6411E"/>
    <w:rsid w:val="00B64D53"/>
    <w:rsid w:val="00B658E1"/>
    <w:rsid w:val="00B65ACA"/>
    <w:rsid w:val="00B65CB5"/>
    <w:rsid w:val="00B6690D"/>
    <w:rsid w:val="00B66B0A"/>
    <w:rsid w:val="00B673B2"/>
    <w:rsid w:val="00B67457"/>
    <w:rsid w:val="00B701A5"/>
    <w:rsid w:val="00B70A49"/>
    <w:rsid w:val="00B70B36"/>
    <w:rsid w:val="00B70CE2"/>
    <w:rsid w:val="00B70D12"/>
    <w:rsid w:val="00B70D80"/>
    <w:rsid w:val="00B70E18"/>
    <w:rsid w:val="00B70EA4"/>
    <w:rsid w:val="00B71435"/>
    <w:rsid w:val="00B71DEC"/>
    <w:rsid w:val="00B723DE"/>
    <w:rsid w:val="00B726CA"/>
    <w:rsid w:val="00B7367D"/>
    <w:rsid w:val="00B742F6"/>
    <w:rsid w:val="00B74384"/>
    <w:rsid w:val="00B74AAA"/>
    <w:rsid w:val="00B75595"/>
    <w:rsid w:val="00B755D4"/>
    <w:rsid w:val="00B75DCC"/>
    <w:rsid w:val="00B768F2"/>
    <w:rsid w:val="00B7728E"/>
    <w:rsid w:val="00B801A6"/>
    <w:rsid w:val="00B8175A"/>
    <w:rsid w:val="00B81F20"/>
    <w:rsid w:val="00B822AD"/>
    <w:rsid w:val="00B823D3"/>
    <w:rsid w:val="00B8276A"/>
    <w:rsid w:val="00B827A6"/>
    <w:rsid w:val="00B838D8"/>
    <w:rsid w:val="00B84639"/>
    <w:rsid w:val="00B84660"/>
    <w:rsid w:val="00B84E1F"/>
    <w:rsid w:val="00B8554E"/>
    <w:rsid w:val="00B85AAA"/>
    <w:rsid w:val="00B85CBD"/>
    <w:rsid w:val="00B8621B"/>
    <w:rsid w:val="00B86DD9"/>
    <w:rsid w:val="00B87083"/>
    <w:rsid w:val="00B873D6"/>
    <w:rsid w:val="00B87451"/>
    <w:rsid w:val="00B87645"/>
    <w:rsid w:val="00B878E0"/>
    <w:rsid w:val="00B878E9"/>
    <w:rsid w:val="00B903D5"/>
    <w:rsid w:val="00B90F7F"/>
    <w:rsid w:val="00B910BB"/>
    <w:rsid w:val="00B911B2"/>
    <w:rsid w:val="00B92197"/>
    <w:rsid w:val="00B9230E"/>
    <w:rsid w:val="00B92476"/>
    <w:rsid w:val="00B9258F"/>
    <w:rsid w:val="00B929E4"/>
    <w:rsid w:val="00B92C11"/>
    <w:rsid w:val="00B92F79"/>
    <w:rsid w:val="00B931BC"/>
    <w:rsid w:val="00B933F6"/>
    <w:rsid w:val="00B94266"/>
    <w:rsid w:val="00B94738"/>
    <w:rsid w:val="00B947FD"/>
    <w:rsid w:val="00B95A38"/>
    <w:rsid w:val="00B95A5C"/>
    <w:rsid w:val="00B95DA4"/>
    <w:rsid w:val="00B95F9A"/>
    <w:rsid w:val="00B96838"/>
    <w:rsid w:val="00B96B07"/>
    <w:rsid w:val="00B96BB8"/>
    <w:rsid w:val="00B96D43"/>
    <w:rsid w:val="00B9739F"/>
    <w:rsid w:val="00B97755"/>
    <w:rsid w:val="00BA0000"/>
    <w:rsid w:val="00BA0296"/>
    <w:rsid w:val="00BA05B9"/>
    <w:rsid w:val="00BA1431"/>
    <w:rsid w:val="00BA1C26"/>
    <w:rsid w:val="00BA2540"/>
    <w:rsid w:val="00BA2E94"/>
    <w:rsid w:val="00BA2EF8"/>
    <w:rsid w:val="00BA2FAC"/>
    <w:rsid w:val="00BA3592"/>
    <w:rsid w:val="00BA4E55"/>
    <w:rsid w:val="00BA50CA"/>
    <w:rsid w:val="00BA53C8"/>
    <w:rsid w:val="00BA5602"/>
    <w:rsid w:val="00BA5A26"/>
    <w:rsid w:val="00BA5A8C"/>
    <w:rsid w:val="00BA7170"/>
    <w:rsid w:val="00BA7B3B"/>
    <w:rsid w:val="00BB01C9"/>
    <w:rsid w:val="00BB0228"/>
    <w:rsid w:val="00BB0799"/>
    <w:rsid w:val="00BB0821"/>
    <w:rsid w:val="00BB0D52"/>
    <w:rsid w:val="00BB15BC"/>
    <w:rsid w:val="00BB1E5D"/>
    <w:rsid w:val="00BB2050"/>
    <w:rsid w:val="00BB269E"/>
    <w:rsid w:val="00BB2B74"/>
    <w:rsid w:val="00BB2E49"/>
    <w:rsid w:val="00BB31C2"/>
    <w:rsid w:val="00BB338C"/>
    <w:rsid w:val="00BB35A7"/>
    <w:rsid w:val="00BB3CC4"/>
    <w:rsid w:val="00BB3F52"/>
    <w:rsid w:val="00BB4114"/>
    <w:rsid w:val="00BB4219"/>
    <w:rsid w:val="00BB4970"/>
    <w:rsid w:val="00BB4A84"/>
    <w:rsid w:val="00BB512A"/>
    <w:rsid w:val="00BB5F25"/>
    <w:rsid w:val="00BB646A"/>
    <w:rsid w:val="00BB6787"/>
    <w:rsid w:val="00BB6E47"/>
    <w:rsid w:val="00BB75D7"/>
    <w:rsid w:val="00BB781F"/>
    <w:rsid w:val="00BB7C4E"/>
    <w:rsid w:val="00BC015A"/>
    <w:rsid w:val="00BC0892"/>
    <w:rsid w:val="00BC1185"/>
    <w:rsid w:val="00BC209F"/>
    <w:rsid w:val="00BC2918"/>
    <w:rsid w:val="00BC2A3C"/>
    <w:rsid w:val="00BC2BC6"/>
    <w:rsid w:val="00BC336E"/>
    <w:rsid w:val="00BC382A"/>
    <w:rsid w:val="00BC3E1F"/>
    <w:rsid w:val="00BC449F"/>
    <w:rsid w:val="00BC4869"/>
    <w:rsid w:val="00BC4A94"/>
    <w:rsid w:val="00BC4B6F"/>
    <w:rsid w:val="00BC532C"/>
    <w:rsid w:val="00BC587D"/>
    <w:rsid w:val="00BC624E"/>
    <w:rsid w:val="00BC666E"/>
    <w:rsid w:val="00BC6738"/>
    <w:rsid w:val="00BC6C7D"/>
    <w:rsid w:val="00BC6D90"/>
    <w:rsid w:val="00BC6DA0"/>
    <w:rsid w:val="00BC7B2E"/>
    <w:rsid w:val="00BD0213"/>
    <w:rsid w:val="00BD0296"/>
    <w:rsid w:val="00BD0CED"/>
    <w:rsid w:val="00BD0F8A"/>
    <w:rsid w:val="00BD145F"/>
    <w:rsid w:val="00BD21DA"/>
    <w:rsid w:val="00BD2886"/>
    <w:rsid w:val="00BD2899"/>
    <w:rsid w:val="00BD2E97"/>
    <w:rsid w:val="00BD33E9"/>
    <w:rsid w:val="00BD3AF7"/>
    <w:rsid w:val="00BD3D55"/>
    <w:rsid w:val="00BD4272"/>
    <w:rsid w:val="00BD4C12"/>
    <w:rsid w:val="00BD525E"/>
    <w:rsid w:val="00BD549D"/>
    <w:rsid w:val="00BD56A9"/>
    <w:rsid w:val="00BD618D"/>
    <w:rsid w:val="00BD6ABF"/>
    <w:rsid w:val="00BD6E84"/>
    <w:rsid w:val="00BD74EA"/>
    <w:rsid w:val="00BD78D9"/>
    <w:rsid w:val="00BD78EB"/>
    <w:rsid w:val="00BD79F4"/>
    <w:rsid w:val="00BD7A8C"/>
    <w:rsid w:val="00BD7CAB"/>
    <w:rsid w:val="00BD7CDA"/>
    <w:rsid w:val="00BE06E3"/>
    <w:rsid w:val="00BE0819"/>
    <w:rsid w:val="00BE09A1"/>
    <w:rsid w:val="00BE18B1"/>
    <w:rsid w:val="00BE1C65"/>
    <w:rsid w:val="00BE1E4A"/>
    <w:rsid w:val="00BE2911"/>
    <w:rsid w:val="00BE2D9C"/>
    <w:rsid w:val="00BE3164"/>
    <w:rsid w:val="00BE3760"/>
    <w:rsid w:val="00BE41D2"/>
    <w:rsid w:val="00BE4549"/>
    <w:rsid w:val="00BE4DCF"/>
    <w:rsid w:val="00BE5F4A"/>
    <w:rsid w:val="00BE60D5"/>
    <w:rsid w:val="00BE6A35"/>
    <w:rsid w:val="00BE6B67"/>
    <w:rsid w:val="00BE6EEA"/>
    <w:rsid w:val="00BE74EC"/>
    <w:rsid w:val="00BF0253"/>
    <w:rsid w:val="00BF0788"/>
    <w:rsid w:val="00BF0ACA"/>
    <w:rsid w:val="00BF0B9B"/>
    <w:rsid w:val="00BF0CA4"/>
    <w:rsid w:val="00BF0D4F"/>
    <w:rsid w:val="00BF0F54"/>
    <w:rsid w:val="00BF1265"/>
    <w:rsid w:val="00BF198F"/>
    <w:rsid w:val="00BF1ED1"/>
    <w:rsid w:val="00BF1FCD"/>
    <w:rsid w:val="00BF2141"/>
    <w:rsid w:val="00BF236A"/>
    <w:rsid w:val="00BF2BCC"/>
    <w:rsid w:val="00BF2EEE"/>
    <w:rsid w:val="00BF313F"/>
    <w:rsid w:val="00BF3549"/>
    <w:rsid w:val="00BF3D16"/>
    <w:rsid w:val="00BF409E"/>
    <w:rsid w:val="00BF439A"/>
    <w:rsid w:val="00BF43FE"/>
    <w:rsid w:val="00BF4634"/>
    <w:rsid w:val="00BF5639"/>
    <w:rsid w:val="00BF5BAE"/>
    <w:rsid w:val="00BF65AA"/>
    <w:rsid w:val="00BF67CD"/>
    <w:rsid w:val="00BF6BEE"/>
    <w:rsid w:val="00BF7B04"/>
    <w:rsid w:val="00C00067"/>
    <w:rsid w:val="00C000CA"/>
    <w:rsid w:val="00C0022F"/>
    <w:rsid w:val="00C008D7"/>
    <w:rsid w:val="00C0093F"/>
    <w:rsid w:val="00C009DE"/>
    <w:rsid w:val="00C00B3B"/>
    <w:rsid w:val="00C00D57"/>
    <w:rsid w:val="00C011AF"/>
    <w:rsid w:val="00C01343"/>
    <w:rsid w:val="00C01657"/>
    <w:rsid w:val="00C01741"/>
    <w:rsid w:val="00C02776"/>
    <w:rsid w:val="00C031D6"/>
    <w:rsid w:val="00C03663"/>
    <w:rsid w:val="00C03937"/>
    <w:rsid w:val="00C04766"/>
    <w:rsid w:val="00C04E1F"/>
    <w:rsid w:val="00C04FBF"/>
    <w:rsid w:val="00C05104"/>
    <w:rsid w:val="00C05D7B"/>
    <w:rsid w:val="00C06105"/>
    <w:rsid w:val="00C0667C"/>
    <w:rsid w:val="00C06D1B"/>
    <w:rsid w:val="00C06E13"/>
    <w:rsid w:val="00C07144"/>
    <w:rsid w:val="00C072BD"/>
    <w:rsid w:val="00C07397"/>
    <w:rsid w:val="00C077C8"/>
    <w:rsid w:val="00C07F0D"/>
    <w:rsid w:val="00C07F36"/>
    <w:rsid w:val="00C1060C"/>
    <w:rsid w:val="00C10C5F"/>
    <w:rsid w:val="00C10CC1"/>
    <w:rsid w:val="00C10EDC"/>
    <w:rsid w:val="00C11057"/>
    <w:rsid w:val="00C1114A"/>
    <w:rsid w:val="00C11A29"/>
    <w:rsid w:val="00C125AE"/>
    <w:rsid w:val="00C125D0"/>
    <w:rsid w:val="00C12728"/>
    <w:rsid w:val="00C12B58"/>
    <w:rsid w:val="00C12D91"/>
    <w:rsid w:val="00C12E22"/>
    <w:rsid w:val="00C12E4C"/>
    <w:rsid w:val="00C13FF6"/>
    <w:rsid w:val="00C14149"/>
    <w:rsid w:val="00C14726"/>
    <w:rsid w:val="00C148B1"/>
    <w:rsid w:val="00C148E6"/>
    <w:rsid w:val="00C14B3E"/>
    <w:rsid w:val="00C14D18"/>
    <w:rsid w:val="00C14DBB"/>
    <w:rsid w:val="00C15233"/>
    <w:rsid w:val="00C15B53"/>
    <w:rsid w:val="00C168CC"/>
    <w:rsid w:val="00C16C64"/>
    <w:rsid w:val="00C17442"/>
    <w:rsid w:val="00C17F1E"/>
    <w:rsid w:val="00C20D46"/>
    <w:rsid w:val="00C20E46"/>
    <w:rsid w:val="00C21971"/>
    <w:rsid w:val="00C21B13"/>
    <w:rsid w:val="00C21F6D"/>
    <w:rsid w:val="00C221E4"/>
    <w:rsid w:val="00C228B4"/>
    <w:rsid w:val="00C22D48"/>
    <w:rsid w:val="00C22D61"/>
    <w:rsid w:val="00C22E5F"/>
    <w:rsid w:val="00C2310E"/>
    <w:rsid w:val="00C236B2"/>
    <w:rsid w:val="00C239C1"/>
    <w:rsid w:val="00C23A92"/>
    <w:rsid w:val="00C23ABB"/>
    <w:rsid w:val="00C23B42"/>
    <w:rsid w:val="00C240E9"/>
    <w:rsid w:val="00C243C7"/>
    <w:rsid w:val="00C243D3"/>
    <w:rsid w:val="00C24625"/>
    <w:rsid w:val="00C247A0"/>
    <w:rsid w:val="00C250D7"/>
    <w:rsid w:val="00C25647"/>
    <w:rsid w:val="00C2574E"/>
    <w:rsid w:val="00C25970"/>
    <w:rsid w:val="00C25BE7"/>
    <w:rsid w:val="00C25F41"/>
    <w:rsid w:val="00C2617E"/>
    <w:rsid w:val="00C26261"/>
    <w:rsid w:val="00C2640F"/>
    <w:rsid w:val="00C265BD"/>
    <w:rsid w:val="00C266AF"/>
    <w:rsid w:val="00C26D67"/>
    <w:rsid w:val="00C27539"/>
    <w:rsid w:val="00C27F9E"/>
    <w:rsid w:val="00C301E2"/>
    <w:rsid w:val="00C30249"/>
    <w:rsid w:val="00C30EDC"/>
    <w:rsid w:val="00C3189C"/>
    <w:rsid w:val="00C328F3"/>
    <w:rsid w:val="00C32931"/>
    <w:rsid w:val="00C32D58"/>
    <w:rsid w:val="00C332A7"/>
    <w:rsid w:val="00C332CA"/>
    <w:rsid w:val="00C33950"/>
    <w:rsid w:val="00C33A18"/>
    <w:rsid w:val="00C34674"/>
    <w:rsid w:val="00C34712"/>
    <w:rsid w:val="00C34D16"/>
    <w:rsid w:val="00C35002"/>
    <w:rsid w:val="00C3515F"/>
    <w:rsid w:val="00C352BD"/>
    <w:rsid w:val="00C356EE"/>
    <w:rsid w:val="00C35A5A"/>
    <w:rsid w:val="00C35C7F"/>
    <w:rsid w:val="00C37071"/>
    <w:rsid w:val="00C375D1"/>
    <w:rsid w:val="00C377C0"/>
    <w:rsid w:val="00C378FA"/>
    <w:rsid w:val="00C37D28"/>
    <w:rsid w:val="00C40D46"/>
    <w:rsid w:val="00C41356"/>
    <w:rsid w:val="00C414F0"/>
    <w:rsid w:val="00C416BA"/>
    <w:rsid w:val="00C41F23"/>
    <w:rsid w:val="00C42A23"/>
    <w:rsid w:val="00C4356D"/>
    <w:rsid w:val="00C43A65"/>
    <w:rsid w:val="00C43F75"/>
    <w:rsid w:val="00C444E6"/>
    <w:rsid w:val="00C44738"/>
    <w:rsid w:val="00C451A3"/>
    <w:rsid w:val="00C454C9"/>
    <w:rsid w:val="00C4570C"/>
    <w:rsid w:val="00C45BF3"/>
    <w:rsid w:val="00C45F10"/>
    <w:rsid w:val="00C46434"/>
    <w:rsid w:val="00C46DFF"/>
    <w:rsid w:val="00C46F8F"/>
    <w:rsid w:val="00C473A4"/>
    <w:rsid w:val="00C47647"/>
    <w:rsid w:val="00C47B18"/>
    <w:rsid w:val="00C47D68"/>
    <w:rsid w:val="00C50814"/>
    <w:rsid w:val="00C50B02"/>
    <w:rsid w:val="00C51170"/>
    <w:rsid w:val="00C52D8C"/>
    <w:rsid w:val="00C52E74"/>
    <w:rsid w:val="00C53036"/>
    <w:rsid w:val="00C538A7"/>
    <w:rsid w:val="00C538CF"/>
    <w:rsid w:val="00C53BA3"/>
    <w:rsid w:val="00C53D61"/>
    <w:rsid w:val="00C53DB9"/>
    <w:rsid w:val="00C53E3F"/>
    <w:rsid w:val="00C547DA"/>
    <w:rsid w:val="00C54DD0"/>
    <w:rsid w:val="00C55095"/>
    <w:rsid w:val="00C5546D"/>
    <w:rsid w:val="00C554E6"/>
    <w:rsid w:val="00C555AD"/>
    <w:rsid w:val="00C55BF2"/>
    <w:rsid w:val="00C56D38"/>
    <w:rsid w:val="00C56D78"/>
    <w:rsid w:val="00C57417"/>
    <w:rsid w:val="00C602F8"/>
    <w:rsid w:val="00C6050F"/>
    <w:rsid w:val="00C607FC"/>
    <w:rsid w:val="00C60B61"/>
    <w:rsid w:val="00C61AB5"/>
    <w:rsid w:val="00C6229A"/>
    <w:rsid w:val="00C622EE"/>
    <w:rsid w:val="00C626BB"/>
    <w:rsid w:val="00C6289E"/>
    <w:rsid w:val="00C63855"/>
    <w:rsid w:val="00C645FA"/>
    <w:rsid w:val="00C66204"/>
    <w:rsid w:val="00C66686"/>
    <w:rsid w:val="00C67149"/>
    <w:rsid w:val="00C672D1"/>
    <w:rsid w:val="00C673A2"/>
    <w:rsid w:val="00C675E9"/>
    <w:rsid w:val="00C70519"/>
    <w:rsid w:val="00C7095B"/>
    <w:rsid w:val="00C7138F"/>
    <w:rsid w:val="00C71AD8"/>
    <w:rsid w:val="00C71C1B"/>
    <w:rsid w:val="00C71D52"/>
    <w:rsid w:val="00C71FD2"/>
    <w:rsid w:val="00C7231B"/>
    <w:rsid w:val="00C72A95"/>
    <w:rsid w:val="00C736AF"/>
    <w:rsid w:val="00C73975"/>
    <w:rsid w:val="00C741F6"/>
    <w:rsid w:val="00C7459C"/>
    <w:rsid w:val="00C745A9"/>
    <w:rsid w:val="00C7465B"/>
    <w:rsid w:val="00C74A71"/>
    <w:rsid w:val="00C74BCD"/>
    <w:rsid w:val="00C74FDC"/>
    <w:rsid w:val="00C7580B"/>
    <w:rsid w:val="00C75A2A"/>
    <w:rsid w:val="00C75C63"/>
    <w:rsid w:val="00C75DDD"/>
    <w:rsid w:val="00C76DAC"/>
    <w:rsid w:val="00C770BA"/>
    <w:rsid w:val="00C7721A"/>
    <w:rsid w:val="00C77B3B"/>
    <w:rsid w:val="00C77BAC"/>
    <w:rsid w:val="00C80511"/>
    <w:rsid w:val="00C806D2"/>
    <w:rsid w:val="00C809B5"/>
    <w:rsid w:val="00C80A36"/>
    <w:rsid w:val="00C80A6B"/>
    <w:rsid w:val="00C80C66"/>
    <w:rsid w:val="00C812AC"/>
    <w:rsid w:val="00C81341"/>
    <w:rsid w:val="00C81631"/>
    <w:rsid w:val="00C81884"/>
    <w:rsid w:val="00C81B6C"/>
    <w:rsid w:val="00C81E07"/>
    <w:rsid w:val="00C8217A"/>
    <w:rsid w:val="00C8320A"/>
    <w:rsid w:val="00C832F3"/>
    <w:rsid w:val="00C8352F"/>
    <w:rsid w:val="00C837A0"/>
    <w:rsid w:val="00C83AC4"/>
    <w:rsid w:val="00C83E68"/>
    <w:rsid w:val="00C84865"/>
    <w:rsid w:val="00C849C9"/>
    <w:rsid w:val="00C84A09"/>
    <w:rsid w:val="00C85446"/>
    <w:rsid w:val="00C8636E"/>
    <w:rsid w:val="00C86D37"/>
    <w:rsid w:val="00C86F05"/>
    <w:rsid w:val="00C86F0C"/>
    <w:rsid w:val="00C87124"/>
    <w:rsid w:val="00C87152"/>
    <w:rsid w:val="00C875EE"/>
    <w:rsid w:val="00C8796B"/>
    <w:rsid w:val="00C87DBA"/>
    <w:rsid w:val="00C9040C"/>
    <w:rsid w:val="00C90567"/>
    <w:rsid w:val="00C90639"/>
    <w:rsid w:val="00C90CE9"/>
    <w:rsid w:val="00C910BB"/>
    <w:rsid w:val="00C91815"/>
    <w:rsid w:val="00C92822"/>
    <w:rsid w:val="00C9308C"/>
    <w:rsid w:val="00C9327F"/>
    <w:rsid w:val="00C932A7"/>
    <w:rsid w:val="00C94A1B"/>
    <w:rsid w:val="00C94AE9"/>
    <w:rsid w:val="00C94C8D"/>
    <w:rsid w:val="00C94D66"/>
    <w:rsid w:val="00C9524D"/>
    <w:rsid w:val="00C95456"/>
    <w:rsid w:val="00C95933"/>
    <w:rsid w:val="00C96113"/>
    <w:rsid w:val="00C9667E"/>
    <w:rsid w:val="00C9688D"/>
    <w:rsid w:val="00C96991"/>
    <w:rsid w:val="00C96E88"/>
    <w:rsid w:val="00C9709D"/>
    <w:rsid w:val="00C972A4"/>
    <w:rsid w:val="00C97A28"/>
    <w:rsid w:val="00CA0079"/>
    <w:rsid w:val="00CA01F1"/>
    <w:rsid w:val="00CA0628"/>
    <w:rsid w:val="00CA06B8"/>
    <w:rsid w:val="00CA136E"/>
    <w:rsid w:val="00CA223B"/>
    <w:rsid w:val="00CA2607"/>
    <w:rsid w:val="00CA262B"/>
    <w:rsid w:val="00CA2636"/>
    <w:rsid w:val="00CA2ABF"/>
    <w:rsid w:val="00CA2B9E"/>
    <w:rsid w:val="00CA31A4"/>
    <w:rsid w:val="00CA32E3"/>
    <w:rsid w:val="00CA32FD"/>
    <w:rsid w:val="00CA354D"/>
    <w:rsid w:val="00CA3657"/>
    <w:rsid w:val="00CA3C99"/>
    <w:rsid w:val="00CA3E67"/>
    <w:rsid w:val="00CA40C3"/>
    <w:rsid w:val="00CA4332"/>
    <w:rsid w:val="00CA5504"/>
    <w:rsid w:val="00CA56A3"/>
    <w:rsid w:val="00CA5E5B"/>
    <w:rsid w:val="00CA6119"/>
    <w:rsid w:val="00CA672C"/>
    <w:rsid w:val="00CA71D7"/>
    <w:rsid w:val="00CA72FA"/>
    <w:rsid w:val="00CA7A14"/>
    <w:rsid w:val="00CA7BDA"/>
    <w:rsid w:val="00CA7D5F"/>
    <w:rsid w:val="00CA7E64"/>
    <w:rsid w:val="00CB0D6A"/>
    <w:rsid w:val="00CB0F71"/>
    <w:rsid w:val="00CB1484"/>
    <w:rsid w:val="00CB1570"/>
    <w:rsid w:val="00CB1D19"/>
    <w:rsid w:val="00CB20CD"/>
    <w:rsid w:val="00CB2BDA"/>
    <w:rsid w:val="00CB2D62"/>
    <w:rsid w:val="00CB2F8E"/>
    <w:rsid w:val="00CB35D5"/>
    <w:rsid w:val="00CB3E45"/>
    <w:rsid w:val="00CB40FD"/>
    <w:rsid w:val="00CB4425"/>
    <w:rsid w:val="00CB4B4A"/>
    <w:rsid w:val="00CB50A0"/>
    <w:rsid w:val="00CB546D"/>
    <w:rsid w:val="00CB5627"/>
    <w:rsid w:val="00CB5CF8"/>
    <w:rsid w:val="00CB5DA1"/>
    <w:rsid w:val="00CB640C"/>
    <w:rsid w:val="00CB6B46"/>
    <w:rsid w:val="00CB6F46"/>
    <w:rsid w:val="00CB715E"/>
    <w:rsid w:val="00CB746E"/>
    <w:rsid w:val="00CB7BBE"/>
    <w:rsid w:val="00CC0143"/>
    <w:rsid w:val="00CC03CA"/>
    <w:rsid w:val="00CC118A"/>
    <w:rsid w:val="00CC19D0"/>
    <w:rsid w:val="00CC2962"/>
    <w:rsid w:val="00CC3077"/>
    <w:rsid w:val="00CC30CE"/>
    <w:rsid w:val="00CC30DF"/>
    <w:rsid w:val="00CC3237"/>
    <w:rsid w:val="00CC335E"/>
    <w:rsid w:val="00CC35DE"/>
    <w:rsid w:val="00CC4968"/>
    <w:rsid w:val="00CC4C0D"/>
    <w:rsid w:val="00CC4D43"/>
    <w:rsid w:val="00CC516F"/>
    <w:rsid w:val="00CC5B07"/>
    <w:rsid w:val="00CC5B2E"/>
    <w:rsid w:val="00CC5C89"/>
    <w:rsid w:val="00CC6954"/>
    <w:rsid w:val="00CC77E0"/>
    <w:rsid w:val="00CC7A1D"/>
    <w:rsid w:val="00CC7BA5"/>
    <w:rsid w:val="00CC7DE3"/>
    <w:rsid w:val="00CC7E23"/>
    <w:rsid w:val="00CD0013"/>
    <w:rsid w:val="00CD01FD"/>
    <w:rsid w:val="00CD03F9"/>
    <w:rsid w:val="00CD043C"/>
    <w:rsid w:val="00CD075B"/>
    <w:rsid w:val="00CD0CBD"/>
    <w:rsid w:val="00CD1DFE"/>
    <w:rsid w:val="00CD1E31"/>
    <w:rsid w:val="00CD29AB"/>
    <w:rsid w:val="00CD2DCA"/>
    <w:rsid w:val="00CD3143"/>
    <w:rsid w:val="00CD31EC"/>
    <w:rsid w:val="00CD35C2"/>
    <w:rsid w:val="00CD3DAC"/>
    <w:rsid w:val="00CD424C"/>
    <w:rsid w:val="00CD4DFB"/>
    <w:rsid w:val="00CD4F57"/>
    <w:rsid w:val="00CD50A1"/>
    <w:rsid w:val="00CD6277"/>
    <w:rsid w:val="00CD6297"/>
    <w:rsid w:val="00CD652C"/>
    <w:rsid w:val="00CD6DBF"/>
    <w:rsid w:val="00CD77E2"/>
    <w:rsid w:val="00CD78E1"/>
    <w:rsid w:val="00CE04C5"/>
    <w:rsid w:val="00CE087E"/>
    <w:rsid w:val="00CE08B2"/>
    <w:rsid w:val="00CE0C08"/>
    <w:rsid w:val="00CE0E44"/>
    <w:rsid w:val="00CE1383"/>
    <w:rsid w:val="00CE1604"/>
    <w:rsid w:val="00CE1D7B"/>
    <w:rsid w:val="00CE24BF"/>
    <w:rsid w:val="00CE250F"/>
    <w:rsid w:val="00CE2F1F"/>
    <w:rsid w:val="00CE3394"/>
    <w:rsid w:val="00CE37A4"/>
    <w:rsid w:val="00CE3A0C"/>
    <w:rsid w:val="00CE3B43"/>
    <w:rsid w:val="00CE3BB0"/>
    <w:rsid w:val="00CE4045"/>
    <w:rsid w:val="00CE4723"/>
    <w:rsid w:val="00CE4A40"/>
    <w:rsid w:val="00CE5CD0"/>
    <w:rsid w:val="00CE6615"/>
    <w:rsid w:val="00CE66E0"/>
    <w:rsid w:val="00CE6B87"/>
    <w:rsid w:val="00CE6D43"/>
    <w:rsid w:val="00CE6DD2"/>
    <w:rsid w:val="00CE7478"/>
    <w:rsid w:val="00CE78EE"/>
    <w:rsid w:val="00CE7BAD"/>
    <w:rsid w:val="00CE7C8A"/>
    <w:rsid w:val="00CE7E11"/>
    <w:rsid w:val="00CE7EDB"/>
    <w:rsid w:val="00CF0820"/>
    <w:rsid w:val="00CF1507"/>
    <w:rsid w:val="00CF1A4A"/>
    <w:rsid w:val="00CF1BC7"/>
    <w:rsid w:val="00CF1D9C"/>
    <w:rsid w:val="00CF21DA"/>
    <w:rsid w:val="00CF2D5A"/>
    <w:rsid w:val="00CF3D5B"/>
    <w:rsid w:val="00CF3DAB"/>
    <w:rsid w:val="00CF4407"/>
    <w:rsid w:val="00CF4415"/>
    <w:rsid w:val="00CF458A"/>
    <w:rsid w:val="00CF4938"/>
    <w:rsid w:val="00CF4966"/>
    <w:rsid w:val="00CF4E63"/>
    <w:rsid w:val="00CF527D"/>
    <w:rsid w:val="00CF5CC8"/>
    <w:rsid w:val="00CF5DF8"/>
    <w:rsid w:val="00CF62B6"/>
    <w:rsid w:val="00CF65D2"/>
    <w:rsid w:val="00CF69B6"/>
    <w:rsid w:val="00CF6A24"/>
    <w:rsid w:val="00CF6E90"/>
    <w:rsid w:val="00CF711D"/>
    <w:rsid w:val="00CF7A33"/>
    <w:rsid w:val="00CF7E03"/>
    <w:rsid w:val="00D00527"/>
    <w:rsid w:val="00D0179B"/>
    <w:rsid w:val="00D017A4"/>
    <w:rsid w:val="00D01D64"/>
    <w:rsid w:val="00D02616"/>
    <w:rsid w:val="00D02D62"/>
    <w:rsid w:val="00D02DB0"/>
    <w:rsid w:val="00D03346"/>
    <w:rsid w:val="00D03754"/>
    <w:rsid w:val="00D03BD2"/>
    <w:rsid w:val="00D03DA4"/>
    <w:rsid w:val="00D04003"/>
    <w:rsid w:val="00D045E6"/>
    <w:rsid w:val="00D0473C"/>
    <w:rsid w:val="00D04765"/>
    <w:rsid w:val="00D048BB"/>
    <w:rsid w:val="00D04B96"/>
    <w:rsid w:val="00D04C2F"/>
    <w:rsid w:val="00D06178"/>
    <w:rsid w:val="00D062EC"/>
    <w:rsid w:val="00D068D3"/>
    <w:rsid w:val="00D06FF4"/>
    <w:rsid w:val="00D070D7"/>
    <w:rsid w:val="00D0737E"/>
    <w:rsid w:val="00D07DB2"/>
    <w:rsid w:val="00D07E92"/>
    <w:rsid w:val="00D102DE"/>
    <w:rsid w:val="00D10459"/>
    <w:rsid w:val="00D10658"/>
    <w:rsid w:val="00D109E4"/>
    <w:rsid w:val="00D10C42"/>
    <w:rsid w:val="00D10E82"/>
    <w:rsid w:val="00D10FF7"/>
    <w:rsid w:val="00D1104C"/>
    <w:rsid w:val="00D11654"/>
    <w:rsid w:val="00D11BDC"/>
    <w:rsid w:val="00D11CBF"/>
    <w:rsid w:val="00D12C0B"/>
    <w:rsid w:val="00D12C30"/>
    <w:rsid w:val="00D13137"/>
    <w:rsid w:val="00D1333E"/>
    <w:rsid w:val="00D139AB"/>
    <w:rsid w:val="00D13BD5"/>
    <w:rsid w:val="00D13CF1"/>
    <w:rsid w:val="00D14221"/>
    <w:rsid w:val="00D1435D"/>
    <w:rsid w:val="00D14ABA"/>
    <w:rsid w:val="00D14AD8"/>
    <w:rsid w:val="00D14D3A"/>
    <w:rsid w:val="00D15E0C"/>
    <w:rsid w:val="00D160B2"/>
    <w:rsid w:val="00D16315"/>
    <w:rsid w:val="00D164A8"/>
    <w:rsid w:val="00D16A7B"/>
    <w:rsid w:val="00D17C25"/>
    <w:rsid w:val="00D20251"/>
    <w:rsid w:val="00D20DC6"/>
    <w:rsid w:val="00D21496"/>
    <w:rsid w:val="00D218A4"/>
    <w:rsid w:val="00D21D5D"/>
    <w:rsid w:val="00D220CF"/>
    <w:rsid w:val="00D22414"/>
    <w:rsid w:val="00D229C6"/>
    <w:rsid w:val="00D22A87"/>
    <w:rsid w:val="00D23487"/>
    <w:rsid w:val="00D237F3"/>
    <w:rsid w:val="00D23A45"/>
    <w:rsid w:val="00D23D16"/>
    <w:rsid w:val="00D24040"/>
    <w:rsid w:val="00D24145"/>
    <w:rsid w:val="00D241CF"/>
    <w:rsid w:val="00D24941"/>
    <w:rsid w:val="00D24B41"/>
    <w:rsid w:val="00D25DD6"/>
    <w:rsid w:val="00D25F44"/>
    <w:rsid w:val="00D26EC0"/>
    <w:rsid w:val="00D273DD"/>
    <w:rsid w:val="00D3048E"/>
    <w:rsid w:val="00D306D2"/>
    <w:rsid w:val="00D30C52"/>
    <w:rsid w:val="00D30D30"/>
    <w:rsid w:val="00D31682"/>
    <w:rsid w:val="00D31C7B"/>
    <w:rsid w:val="00D31CCC"/>
    <w:rsid w:val="00D31CF6"/>
    <w:rsid w:val="00D31F0E"/>
    <w:rsid w:val="00D31FA6"/>
    <w:rsid w:val="00D32670"/>
    <w:rsid w:val="00D327EB"/>
    <w:rsid w:val="00D32866"/>
    <w:rsid w:val="00D32B12"/>
    <w:rsid w:val="00D32F8B"/>
    <w:rsid w:val="00D32FFF"/>
    <w:rsid w:val="00D34618"/>
    <w:rsid w:val="00D34783"/>
    <w:rsid w:val="00D34796"/>
    <w:rsid w:val="00D348AB"/>
    <w:rsid w:val="00D34E69"/>
    <w:rsid w:val="00D34F41"/>
    <w:rsid w:val="00D354CA"/>
    <w:rsid w:val="00D35813"/>
    <w:rsid w:val="00D35AB0"/>
    <w:rsid w:val="00D36152"/>
    <w:rsid w:val="00D36921"/>
    <w:rsid w:val="00D36C19"/>
    <w:rsid w:val="00D36F28"/>
    <w:rsid w:val="00D36FE5"/>
    <w:rsid w:val="00D37849"/>
    <w:rsid w:val="00D40050"/>
    <w:rsid w:val="00D40435"/>
    <w:rsid w:val="00D404F9"/>
    <w:rsid w:val="00D40C7D"/>
    <w:rsid w:val="00D41613"/>
    <w:rsid w:val="00D41639"/>
    <w:rsid w:val="00D41904"/>
    <w:rsid w:val="00D41978"/>
    <w:rsid w:val="00D41C98"/>
    <w:rsid w:val="00D41D7E"/>
    <w:rsid w:val="00D429C7"/>
    <w:rsid w:val="00D4343A"/>
    <w:rsid w:val="00D4358E"/>
    <w:rsid w:val="00D43645"/>
    <w:rsid w:val="00D43651"/>
    <w:rsid w:val="00D436F2"/>
    <w:rsid w:val="00D43854"/>
    <w:rsid w:val="00D44050"/>
    <w:rsid w:val="00D44BD9"/>
    <w:rsid w:val="00D44F3D"/>
    <w:rsid w:val="00D451E3"/>
    <w:rsid w:val="00D45301"/>
    <w:rsid w:val="00D45847"/>
    <w:rsid w:val="00D45997"/>
    <w:rsid w:val="00D45C94"/>
    <w:rsid w:val="00D463DD"/>
    <w:rsid w:val="00D46439"/>
    <w:rsid w:val="00D46813"/>
    <w:rsid w:val="00D468B4"/>
    <w:rsid w:val="00D46C49"/>
    <w:rsid w:val="00D46C73"/>
    <w:rsid w:val="00D46DD4"/>
    <w:rsid w:val="00D47197"/>
    <w:rsid w:val="00D472D7"/>
    <w:rsid w:val="00D47499"/>
    <w:rsid w:val="00D47533"/>
    <w:rsid w:val="00D47A6F"/>
    <w:rsid w:val="00D47B04"/>
    <w:rsid w:val="00D47C53"/>
    <w:rsid w:val="00D47E9C"/>
    <w:rsid w:val="00D505F6"/>
    <w:rsid w:val="00D50761"/>
    <w:rsid w:val="00D50980"/>
    <w:rsid w:val="00D50C5E"/>
    <w:rsid w:val="00D5127D"/>
    <w:rsid w:val="00D512ED"/>
    <w:rsid w:val="00D51C84"/>
    <w:rsid w:val="00D52597"/>
    <w:rsid w:val="00D53385"/>
    <w:rsid w:val="00D53DCC"/>
    <w:rsid w:val="00D54338"/>
    <w:rsid w:val="00D54681"/>
    <w:rsid w:val="00D54A1C"/>
    <w:rsid w:val="00D54E62"/>
    <w:rsid w:val="00D5515F"/>
    <w:rsid w:val="00D55422"/>
    <w:rsid w:val="00D55F7D"/>
    <w:rsid w:val="00D5774E"/>
    <w:rsid w:val="00D60D64"/>
    <w:rsid w:val="00D61737"/>
    <w:rsid w:val="00D61854"/>
    <w:rsid w:val="00D618D7"/>
    <w:rsid w:val="00D62591"/>
    <w:rsid w:val="00D62B46"/>
    <w:rsid w:val="00D62E5B"/>
    <w:rsid w:val="00D62EB3"/>
    <w:rsid w:val="00D63AD5"/>
    <w:rsid w:val="00D63B52"/>
    <w:rsid w:val="00D63FB4"/>
    <w:rsid w:val="00D64E73"/>
    <w:rsid w:val="00D654AB"/>
    <w:rsid w:val="00D657E9"/>
    <w:rsid w:val="00D66464"/>
    <w:rsid w:val="00D66DF7"/>
    <w:rsid w:val="00D66F41"/>
    <w:rsid w:val="00D67049"/>
    <w:rsid w:val="00D67077"/>
    <w:rsid w:val="00D670E7"/>
    <w:rsid w:val="00D67407"/>
    <w:rsid w:val="00D67CCD"/>
    <w:rsid w:val="00D70975"/>
    <w:rsid w:val="00D713EB"/>
    <w:rsid w:val="00D72040"/>
    <w:rsid w:val="00D72085"/>
    <w:rsid w:val="00D72C00"/>
    <w:rsid w:val="00D733DB"/>
    <w:rsid w:val="00D73C5F"/>
    <w:rsid w:val="00D73EE1"/>
    <w:rsid w:val="00D748E1"/>
    <w:rsid w:val="00D74997"/>
    <w:rsid w:val="00D74B0F"/>
    <w:rsid w:val="00D75A6A"/>
    <w:rsid w:val="00D76032"/>
    <w:rsid w:val="00D761F8"/>
    <w:rsid w:val="00D7693A"/>
    <w:rsid w:val="00D76A38"/>
    <w:rsid w:val="00D77653"/>
    <w:rsid w:val="00D77E01"/>
    <w:rsid w:val="00D80A11"/>
    <w:rsid w:val="00D80D47"/>
    <w:rsid w:val="00D8107C"/>
    <w:rsid w:val="00D8112C"/>
    <w:rsid w:val="00D81813"/>
    <w:rsid w:val="00D81B1D"/>
    <w:rsid w:val="00D826EA"/>
    <w:rsid w:val="00D83001"/>
    <w:rsid w:val="00D8301D"/>
    <w:rsid w:val="00D83081"/>
    <w:rsid w:val="00D83317"/>
    <w:rsid w:val="00D83550"/>
    <w:rsid w:val="00D8380D"/>
    <w:rsid w:val="00D841E9"/>
    <w:rsid w:val="00D84A19"/>
    <w:rsid w:val="00D84B7E"/>
    <w:rsid w:val="00D854BE"/>
    <w:rsid w:val="00D85555"/>
    <w:rsid w:val="00D855AC"/>
    <w:rsid w:val="00D855BC"/>
    <w:rsid w:val="00D85A16"/>
    <w:rsid w:val="00D85E3B"/>
    <w:rsid w:val="00D868DD"/>
    <w:rsid w:val="00D86FFE"/>
    <w:rsid w:val="00D876FD"/>
    <w:rsid w:val="00D8798E"/>
    <w:rsid w:val="00D87B64"/>
    <w:rsid w:val="00D87DDA"/>
    <w:rsid w:val="00D90379"/>
    <w:rsid w:val="00D91099"/>
    <w:rsid w:val="00D910B6"/>
    <w:rsid w:val="00D913CE"/>
    <w:rsid w:val="00D918AE"/>
    <w:rsid w:val="00D921BE"/>
    <w:rsid w:val="00D92293"/>
    <w:rsid w:val="00D92565"/>
    <w:rsid w:val="00D92B90"/>
    <w:rsid w:val="00D9312C"/>
    <w:rsid w:val="00D935A1"/>
    <w:rsid w:val="00D93749"/>
    <w:rsid w:val="00D94731"/>
    <w:rsid w:val="00D94C04"/>
    <w:rsid w:val="00D94C5A"/>
    <w:rsid w:val="00D950AA"/>
    <w:rsid w:val="00D95824"/>
    <w:rsid w:val="00D96632"/>
    <w:rsid w:val="00D96712"/>
    <w:rsid w:val="00D971D8"/>
    <w:rsid w:val="00D971E6"/>
    <w:rsid w:val="00D9721B"/>
    <w:rsid w:val="00D97607"/>
    <w:rsid w:val="00D97BE5"/>
    <w:rsid w:val="00DA1B92"/>
    <w:rsid w:val="00DA31E2"/>
    <w:rsid w:val="00DA36F2"/>
    <w:rsid w:val="00DA4391"/>
    <w:rsid w:val="00DA471F"/>
    <w:rsid w:val="00DA4796"/>
    <w:rsid w:val="00DA5D6C"/>
    <w:rsid w:val="00DA5FAD"/>
    <w:rsid w:val="00DA6EF0"/>
    <w:rsid w:val="00DA748E"/>
    <w:rsid w:val="00DA783E"/>
    <w:rsid w:val="00DB0656"/>
    <w:rsid w:val="00DB07CD"/>
    <w:rsid w:val="00DB0A92"/>
    <w:rsid w:val="00DB0DCB"/>
    <w:rsid w:val="00DB0F67"/>
    <w:rsid w:val="00DB13CE"/>
    <w:rsid w:val="00DB19E6"/>
    <w:rsid w:val="00DB1A00"/>
    <w:rsid w:val="00DB1F4B"/>
    <w:rsid w:val="00DB21AC"/>
    <w:rsid w:val="00DB21E1"/>
    <w:rsid w:val="00DB22CA"/>
    <w:rsid w:val="00DB2695"/>
    <w:rsid w:val="00DB2918"/>
    <w:rsid w:val="00DB29EA"/>
    <w:rsid w:val="00DB2C87"/>
    <w:rsid w:val="00DB30C0"/>
    <w:rsid w:val="00DB3245"/>
    <w:rsid w:val="00DB32D9"/>
    <w:rsid w:val="00DB3696"/>
    <w:rsid w:val="00DB3F58"/>
    <w:rsid w:val="00DB4599"/>
    <w:rsid w:val="00DB4863"/>
    <w:rsid w:val="00DB51CD"/>
    <w:rsid w:val="00DB547C"/>
    <w:rsid w:val="00DB5696"/>
    <w:rsid w:val="00DB5C4A"/>
    <w:rsid w:val="00DB5C5D"/>
    <w:rsid w:val="00DB6C20"/>
    <w:rsid w:val="00DB76D5"/>
    <w:rsid w:val="00DC0068"/>
    <w:rsid w:val="00DC0FDB"/>
    <w:rsid w:val="00DC114C"/>
    <w:rsid w:val="00DC1A5B"/>
    <w:rsid w:val="00DC1B7C"/>
    <w:rsid w:val="00DC1C45"/>
    <w:rsid w:val="00DC1DE1"/>
    <w:rsid w:val="00DC1E2E"/>
    <w:rsid w:val="00DC2756"/>
    <w:rsid w:val="00DC2856"/>
    <w:rsid w:val="00DC28B6"/>
    <w:rsid w:val="00DC306C"/>
    <w:rsid w:val="00DC32BA"/>
    <w:rsid w:val="00DC33C2"/>
    <w:rsid w:val="00DC4EA6"/>
    <w:rsid w:val="00DC55CC"/>
    <w:rsid w:val="00DC607F"/>
    <w:rsid w:val="00DC6E7D"/>
    <w:rsid w:val="00DC727A"/>
    <w:rsid w:val="00DC7D74"/>
    <w:rsid w:val="00DC7FF5"/>
    <w:rsid w:val="00DD0449"/>
    <w:rsid w:val="00DD0A87"/>
    <w:rsid w:val="00DD0AA8"/>
    <w:rsid w:val="00DD0B5E"/>
    <w:rsid w:val="00DD1130"/>
    <w:rsid w:val="00DD14BE"/>
    <w:rsid w:val="00DD1A45"/>
    <w:rsid w:val="00DD1B69"/>
    <w:rsid w:val="00DD1C06"/>
    <w:rsid w:val="00DD2411"/>
    <w:rsid w:val="00DD241B"/>
    <w:rsid w:val="00DD331B"/>
    <w:rsid w:val="00DD3DAE"/>
    <w:rsid w:val="00DD3E8D"/>
    <w:rsid w:val="00DD40A1"/>
    <w:rsid w:val="00DD52FE"/>
    <w:rsid w:val="00DD5EB5"/>
    <w:rsid w:val="00DD66A3"/>
    <w:rsid w:val="00DD6CDF"/>
    <w:rsid w:val="00DD6D1A"/>
    <w:rsid w:val="00DD6E5B"/>
    <w:rsid w:val="00DD743D"/>
    <w:rsid w:val="00DD789A"/>
    <w:rsid w:val="00DD7931"/>
    <w:rsid w:val="00DD7BB4"/>
    <w:rsid w:val="00DD7FF8"/>
    <w:rsid w:val="00DE0098"/>
    <w:rsid w:val="00DE0860"/>
    <w:rsid w:val="00DE134E"/>
    <w:rsid w:val="00DE1391"/>
    <w:rsid w:val="00DE14E9"/>
    <w:rsid w:val="00DE1B49"/>
    <w:rsid w:val="00DE2067"/>
    <w:rsid w:val="00DE25EA"/>
    <w:rsid w:val="00DE2A68"/>
    <w:rsid w:val="00DE2D2E"/>
    <w:rsid w:val="00DE2EA9"/>
    <w:rsid w:val="00DE4396"/>
    <w:rsid w:val="00DE4537"/>
    <w:rsid w:val="00DE4628"/>
    <w:rsid w:val="00DE564A"/>
    <w:rsid w:val="00DE60D7"/>
    <w:rsid w:val="00DE6DB6"/>
    <w:rsid w:val="00DE6E99"/>
    <w:rsid w:val="00DE6F90"/>
    <w:rsid w:val="00DF08E2"/>
    <w:rsid w:val="00DF1B1D"/>
    <w:rsid w:val="00DF1B5E"/>
    <w:rsid w:val="00DF2116"/>
    <w:rsid w:val="00DF3A1E"/>
    <w:rsid w:val="00DF3BC6"/>
    <w:rsid w:val="00DF3FDF"/>
    <w:rsid w:val="00DF4078"/>
    <w:rsid w:val="00DF4802"/>
    <w:rsid w:val="00DF4FAC"/>
    <w:rsid w:val="00DF53E7"/>
    <w:rsid w:val="00DF57B6"/>
    <w:rsid w:val="00DF5958"/>
    <w:rsid w:val="00DF5F5C"/>
    <w:rsid w:val="00DF6F8D"/>
    <w:rsid w:val="00DF71A7"/>
    <w:rsid w:val="00DF7463"/>
    <w:rsid w:val="00E00476"/>
    <w:rsid w:val="00E00CE2"/>
    <w:rsid w:val="00E00EAB"/>
    <w:rsid w:val="00E01616"/>
    <w:rsid w:val="00E01D7D"/>
    <w:rsid w:val="00E02FA9"/>
    <w:rsid w:val="00E032EC"/>
    <w:rsid w:val="00E033DC"/>
    <w:rsid w:val="00E038A9"/>
    <w:rsid w:val="00E03A94"/>
    <w:rsid w:val="00E03DB6"/>
    <w:rsid w:val="00E04442"/>
    <w:rsid w:val="00E04DD4"/>
    <w:rsid w:val="00E052E3"/>
    <w:rsid w:val="00E057E4"/>
    <w:rsid w:val="00E05C5B"/>
    <w:rsid w:val="00E06371"/>
    <w:rsid w:val="00E063FB"/>
    <w:rsid w:val="00E0642A"/>
    <w:rsid w:val="00E065CC"/>
    <w:rsid w:val="00E0666E"/>
    <w:rsid w:val="00E06BF4"/>
    <w:rsid w:val="00E06FA8"/>
    <w:rsid w:val="00E07107"/>
    <w:rsid w:val="00E07139"/>
    <w:rsid w:val="00E10207"/>
    <w:rsid w:val="00E10978"/>
    <w:rsid w:val="00E110E9"/>
    <w:rsid w:val="00E11823"/>
    <w:rsid w:val="00E11876"/>
    <w:rsid w:val="00E11CCF"/>
    <w:rsid w:val="00E11D66"/>
    <w:rsid w:val="00E11E2E"/>
    <w:rsid w:val="00E1237C"/>
    <w:rsid w:val="00E12564"/>
    <w:rsid w:val="00E127E0"/>
    <w:rsid w:val="00E12992"/>
    <w:rsid w:val="00E12A80"/>
    <w:rsid w:val="00E12FB5"/>
    <w:rsid w:val="00E131BF"/>
    <w:rsid w:val="00E135DF"/>
    <w:rsid w:val="00E144FC"/>
    <w:rsid w:val="00E14531"/>
    <w:rsid w:val="00E1478D"/>
    <w:rsid w:val="00E14813"/>
    <w:rsid w:val="00E14AB8"/>
    <w:rsid w:val="00E15F91"/>
    <w:rsid w:val="00E16052"/>
    <w:rsid w:val="00E160ED"/>
    <w:rsid w:val="00E17029"/>
    <w:rsid w:val="00E1761B"/>
    <w:rsid w:val="00E17640"/>
    <w:rsid w:val="00E17D7F"/>
    <w:rsid w:val="00E17DD3"/>
    <w:rsid w:val="00E20436"/>
    <w:rsid w:val="00E20772"/>
    <w:rsid w:val="00E20975"/>
    <w:rsid w:val="00E20A6F"/>
    <w:rsid w:val="00E211C7"/>
    <w:rsid w:val="00E2192E"/>
    <w:rsid w:val="00E21D9B"/>
    <w:rsid w:val="00E21F3B"/>
    <w:rsid w:val="00E22397"/>
    <w:rsid w:val="00E227DA"/>
    <w:rsid w:val="00E227E7"/>
    <w:rsid w:val="00E2296B"/>
    <w:rsid w:val="00E23A36"/>
    <w:rsid w:val="00E240B5"/>
    <w:rsid w:val="00E2414A"/>
    <w:rsid w:val="00E241D7"/>
    <w:rsid w:val="00E245E3"/>
    <w:rsid w:val="00E2496F"/>
    <w:rsid w:val="00E24993"/>
    <w:rsid w:val="00E2516C"/>
    <w:rsid w:val="00E2532E"/>
    <w:rsid w:val="00E254F7"/>
    <w:rsid w:val="00E25879"/>
    <w:rsid w:val="00E2600C"/>
    <w:rsid w:val="00E2631F"/>
    <w:rsid w:val="00E26847"/>
    <w:rsid w:val="00E26AFC"/>
    <w:rsid w:val="00E27D36"/>
    <w:rsid w:val="00E3014D"/>
    <w:rsid w:val="00E3027E"/>
    <w:rsid w:val="00E303E8"/>
    <w:rsid w:val="00E308D1"/>
    <w:rsid w:val="00E30AAE"/>
    <w:rsid w:val="00E30B00"/>
    <w:rsid w:val="00E30E17"/>
    <w:rsid w:val="00E3117D"/>
    <w:rsid w:val="00E31A0F"/>
    <w:rsid w:val="00E31DCC"/>
    <w:rsid w:val="00E31F26"/>
    <w:rsid w:val="00E32725"/>
    <w:rsid w:val="00E32DF8"/>
    <w:rsid w:val="00E33091"/>
    <w:rsid w:val="00E334A3"/>
    <w:rsid w:val="00E336B5"/>
    <w:rsid w:val="00E3383B"/>
    <w:rsid w:val="00E33E28"/>
    <w:rsid w:val="00E358F7"/>
    <w:rsid w:val="00E35E9F"/>
    <w:rsid w:val="00E36044"/>
    <w:rsid w:val="00E36A16"/>
    <w:rsid w:val="00E36AD1"/>
    <w:rsid w:val="00E36CB5"/>
    <w:rsid w:val="00E37B2A"/>
    <w:rsid w:val="00E40849"/>
    <w:rsid w:val="00E40DF3"/>
    <w:rsid w:val="00E40F93"/>
    <w:rsid w:val="00E41058"/>
    <w:rsid w:val="00E411BA"/>
    <w:rsid w:val="00E41893"/>
    <w:rsid w:val="00E41BDC"/>
    <w:rsid w:val="00E41D6E"/>
    <w:rsid w:val="00E41E90"/>
    <w:rsid w:val="00E42458"/>
    <w:rsid w:val="00E4247C"/>
    <w:rsid w:val="00E426A1"/>
    <w:rsid w:val="00E427B4"/>
    <w:rsid w:val="00E433DA"/>
    <w:rsid w:val="00E43FD4"/>
    <w:rsid w:val="00E4457E"/>
    <w:rsid w:val="00E4465B"/>
    <w:rsid w:val="00E459EA"/>
    <w:rsid w:val="00E45D3C"/>
    <w:rsid w:val="00E47371"/>
    <w:rsid w:val="00E5062B"/>
    <w:rsid w:val="00E5125B"/>
    <w:rsid w:val="00E51742"/>
    <w:rsid w:val="00E51BA3"/>
    <w:rsid w:val="00E52163"/>
    <w:rsid w:val="00E521FF"/>
    <w:rsid w:val="00E529F3"/>
    <w:rsid w:val="00E52BB6"/>
    <w:rsid w:val="00E535C0"/>
    <w:rsid w:val="00E538D3"/>
    <w:rsid w:val="00E53EAA"/>
    <w:rsid w:val="00E53F5D"/>
    <w:rsid w:val="00E54DCC"/>
    <w:rsid w:val="00E55125"/>
    <w:rsid w:val="00E553D4"/>
    <w:rsid w:val="00E55C9B"/>
    <w:rsid w:val="00E55DE7"/>
    <w:rsid w:val="00E5634F"/>
    <w:rsid w:val="00E563A7"/>
    <w:rsid w:val="00E56460"/>
    <w:rsid w:val="00E56871"/>
    <w:rsid w:val="00E569D3"/>
    <w:rsid w:val="00E573CB"/>
    <w:rsid w:val="00E57408"/>
    <w:rsid w:val="00E57523"/>
    <w:rsid w:val="00E6074B"/>
    <w:rsid w:val="00E610C1"/>
    <w:rsid w:val="00E611CB"/>
    <w:rsid w:val="00E613F5"/>
    <w:rsid w:val="00E61746"/>
    <w:rsid w:val="00E61843"/>
    <w:rsid w:val="00E61DA1"/>
    <w:rsid w:val="00E62B49"/>
    <w:rsid w:val="00E62F91"/>
    <w:rsid w:val="00E633A2"/>
    <w:rsid w:val="00E63612"/>
    <w:rsid w:val="00E64560"/>
    <w:rsid w:val="00E64B51"/>
    <w:rsid w:val="00E653B7"/>
    <w:rsid w:val="00E65520"/>
    <w:rsid w:val="00E655D0"/>
    <w:rsid w:val="00E65755"/>
    <w:rsid w:val="00E6615C"/>
    <w:rsid w:val="00E6726D"/>
    <w:rsid w:val="00E67C61"/>
    <w:rsid w:val="00E67CCA"/>
    <w:rsid w:val="00E708CC"/>
    <w:rsid w:val="00E7090B"/>
    <w:rsid w:val="00E70A05"/>
    <w:rsid w:val="00E70E0B"/>
    <w:rsid w:val="00E70F26"/>
    <w:rsid w:val="00E711E7"/>
    <w:rsid w:val="00E71D92"/>
    <w:rsid w:val="00E71FE2"/>
    <w:rsid w:val="00E7210C"/>
    <w:rsid w:val="00E7272F"/>
    <w:rsid w:val="00E727C6"/>
    <w:rsid w:val="00E73508"/>
    <w:rsid w:val="00E73745"/>
    <w:rsid w:val="00E746B9"/>
    <w:rsid w:val="00E748B2"/>
    <w:rsid w:val="00E75147"/>
    <w:rsid w:val="00E76229"/>
    <w:rsid w:val="00E77058"/>
    <w:rsid w:val="00E7705D"/>
    <w:rsid w:val="00E77275"/>
    <w:rsid w:val="00E7798A"/>
    <w:rsid w:val="00E77A15"/>
    <w:rsid w:val="00E77FC6"/>
    <w:rsid w:val="00E80D1A"/>
    <w:rsid w:val="00E80F50"/>
    <w:rsid w:val="00E81309"/>
    <w:rsid w:val="00E8148C"/>
    <w:rsid w:val="00E81AAA"/>
    <w:rsid w:val="00E82106"/>
    <w:rsid w:val="00E8221E"/>
    <w:rsid w:val="00E82221"/>
    <w:rsid w:val="00E82571"/>
    <w:rsid w:val="00E828AE"/>
    <w:rsid w:val="00E831A0"/>
    <w:rsid w:val="00E837B2"/>
    <w:rsid w:val="00E8381F"/>
    <w:rsid w:val="00E83E81"/>
    <w:rsid w:val="00E841D2"/>
    <w:rsid w:val="00E847D8"/>
    <w:rsid w:val="00E84A00"/>
    <w:rsid w:val="00E84BD7"/>
    <w:rsid w:val="00E84FE6"/>
    <w:rsid w:val="00E854E0"/>
    <w:rsid w:val="00E86381"/>
    <w:rsid w:val="00E86ACB"/>
    <w:rsid w:val="00E86D23"/>
    <w:rsid w:val="00E871B2"/>
    <w:rsid w:val="00E87B61"/>
    <w:rsid w:val="00E87C92"/>
    <w:rsid w:val="00E87CB6"/>
    <w:rsid w:val="00E90510"/>
    <w:rsid w:val="00E919D8"/>
    <w:rsid w:val="00E91ECE"/>
    <w:rsid w:val="00E920CC"/>
    <w:rsid w:val="00E92410"/>
    <w:rsid w:val="00E928B0"/>
    <w:rsid w:val="00E92959"/>
    <w:rsid w:val="00E92BF1"/>
    <w:rsid w:val="00E92FB0"/>
    <w:rsid w:val="00E930C2"/>
    <w:rsid w:val="00E93BB7"/>
    <w:rsid w:val="00E94907"/>
    <w:rsid w:val="00E94E20"/>
    <w:rsid w:val="00E94FEB"/>
    <w:rsid w:val="00E9570E"/>
    <w:rsid w:val="00E95AC3"/>
    <w:rsid w:val="00E95BE3"/>
    <w:rsid w:val="00E95F4B"/>
    <w:rsid w:val="00E961BB"/>
    <w:rsid w:val="00E965CF"/>
    <w:rsid w:val="00E96A52"/>
    <w:rsid w:val="00E96D09"/>
    <w:rsid w:val="00E97302"/>
    <w:rsid w:val="00E97467"/>
    <w:rsid w:val="00E97E28"/>
    <w:rsid w:val="00EA005E"/>
    <w:rsid w:val="00EA0270"/>
    <w:rsid w:val="00EA0573"/>
    <w:rsid w:val="00EA07CB"/>
    <w:rsid w:val="00EA0923"/>
    <w:rsid w:val="00EA0C63"/>
    <w:rsid w:val="00EA10E5"/>
    <w:rsid w:val="00EA13E5"/>
    <w:rsid w:val="00EA19B6"/>
    <w:rsid w:val="00EA1C7C"/>
    <w:rsid w:val="00EA1E3D"/>
    <w:rsid w:val="00EA22A1"/>
    <w:rsid w:val="00EA23D9"/>
    <w:rsid w:val="00EA2ADD"/>
    <w:rsid w:val="00EA338B"/>
    <w:rsid w:val="00EA3FF4"/>
    <w:rsid w:val="00EA4C65"/>
    <w:rsid w:val="00EA4D99"/>
    <w:rsid w:val="00EA5213"/>
    <w:rsid w:val="00EA5706"/>
    <w:rsid w:val="00EA5865"/>
    <w:rsid w:val="00EA5A33"/>
    <w:rsid w:val="00EA5FEC"/>
    <w:rsid w:val="00EA61D8"/>
    <w:rsid w:val="00EA6B0B"/>
    <w:rsid w:val="00EA7106"/>
    <w:rsid w:val="00EB0677"/>
    <w:rsid w:val="00EB0A20"/>
    <w:rsid w:val="00EB0B7A"/>
    <w:rsid w:val="00EB0C5B"/>
    <w:rsid w:val="00EB12D5"/>
    <w:rsid w:val="00EB1C58"/>
    <w:rsid w:val="00EB1EC7"/>
    <w:rsid w:val="00EB2A92"/>
    <w:rsid w:val="00EB2A94"/>
    <w:rsid w:val="00EB3070"/>
    <w:rsid w:val="00EB30A4"/>
    <w:rsid w:val="00EB3CCD"/>
    <w:rsid w:val="00EB3EA6"/>
    <w:rsid w:val="00EB401D"/>
    <w:rsid w:val="00EB4195"/>
    <w:rsid w:val="00EB52B6"/>
    <w:rsid w:val="00EB5790"/>
    <w:rsid w:val="00EB5C6F"/>
    <w:rsid w:val="00EB5E81"/>
    <w:rsid w:val="00EB5F49"/>
    <w:rsid w:val="00EB5FF8"/>
    <w:rsid w:val="00EB626E"/>
    <w:rsid w:val="00EB6290"/>
    <w:rsid w:val="00EB650F"/>
    <w:rsid w:val="00EB6B57"/>
    <w:rsid w:val="00EB6BBF"/>
    <w:rsid w:val="00EB7184"/>
    <w:rsid w:val="00EB7407"/>
    <w:rsid w:val="00EB7888"/>
    <w:rsid w:val="00EB7B9F"/>
    <w:rsid w:val="00EB7D15"/>
    <w:rsid w:val="00EC0BD7"/>
    <w:rsid w:val="00EC12D5"/>
    <w:rsid w:val="00EC1364"/>
    <w:rsid w:val="00EC13B0"/>
    <w:rsid w:val="00EC1815"/>
    <w:rsid w:val="00EC1B30"/>
    <w:rsid w:val="00EC219F"/>
    <w:rsid w:val="00EC233E"/>
    <w:rsid w:val="00EC2899"/>
    <w:rsid w:val="00EC2EDA"/>
    <w:rsid w:val="00EC32C7"/>
    <w:rsid w:val="00EC3464"/>
    <w:rsid w:val="00EC37A0"/>
    <w:rsid w:val="00EC3B49"/>
    <w:rsid w:val="00EC3C55"/>
    <w:rsid w:val="00EC3CB2"/>
    <w:rsid w:val="00EC4227"/>
    <w:rsid w:val="00EC4CEF"/>
    <w:rsid w:val="00EC4D7A"/>
    <w:rsid w:val="00EC4EA2"/>
    <w:rsid w:val="00EC50C0"/>
    <w:rsid w:val="00EC52AB"/>
    <w:rsid w:val="00EC54CA"/>
    <w:rsid w:val="00EC58C7"/>
    <w:rsid w:val="00EC6368"/>
    <w:rsid w:val="00EC6705"/>
    <w:rsid w:val="00EC67CE"/>
    <w:rsid w:val="00EC77C0"/>
    <w:rsid w:val="00EC7B01"/>
    <w:rsid w:val="00ED0027"/>
    <w:rsid w:val="00ED02BF"/>
    <w:rsid w:val="00ED02D9"/>
    <w:rsid w:val="00ED0CBD"/>
    <w:rsid w:val="00ED19E9"/>
    <w:rsid w:val="00ED2602"/>
    <w:rsid w:val="00ED2DDB"/>
    <w:rsid w:val="00ED2EE4"/>
    <w:rsid w:val="00ED33AD"/>
    <w:rsid w:val="00ED51FD"/>
    <w:rsid w:val="00ED5800"/>
    <w:rsid w:val="00ED5C27"/>
    <w:rsid w:val="00ED5C6A"/>
    <w:rsid w:val="00ED5E47"/>
    <w:rsid w:val="00ED5ED0"/>
    <w:rsid w:val="00ED608B"/>
    <w:rsid w:val="00ED62E2"/>
    <w:rsid w:val="00ED6701"/>
    <w:rsid w:val="00ED6A94"/>
    <w:rsid w:val="00ED6BDC"/>
    <w:rsid w:val="00ED6CEC"/>
    <w:rsid w:val="00ED719D"/>
    <w:rsid w:val="00ED7C69"/>
    <w:rsid w:val="00ED7EDF"/>
    <w:rsid w:val="00EE0650"/>
    <w:rsid w:val="00EE0723"/>
    <w:rsid w:val="00EE0971"/>
    <w:rsid w:val="00EE0B1B"/>
    <w:rsid w:val="00EE16EC"/>
    <w:rsid w:val="00EE18AC"/>
    <w:rsid w:val="00EE1F21"/>
    <w:rsid w:val="00EE2008"/>
    <w:rsid w:val="00EE2354"/>
    <w:rsid w:val="00EE24D7"/>
    <w:rsid w:val="00EE2F38"/>
    <w:rsid w:val="00EE30E2"/>
    <w:rsid w:val="00EE35BE"/>
    <w:rsid w:val="00EE38A8"/>
    <w:rsid w:val="00EE3B93"/>
    <w:rsid w:val="00EE3C5A"/>
    <w:rsid w:val="00EE3F11"/>
    <w:rsid w:val="00EE4251"/>
    <w:rsid w:val="00EE4465"/>
    <w:rsid w:val="00EE4523"/>
    <w:rsid w:val="00EE49DF"/>
    <w:rsid w:val="00EE4D3A"/>
    <w:rsid w:val="00EE5A01"/>
    <w:rsid w:val="00EE5C70"/>
    <w:rsid w:val="00EE5ECE"/>
    <w:rsid w:val="00EE63AF"/>
    <w:rsid w:val="00EE65F0"/>
    <w:rsid w:val="00EE6AF9"/>
    <w:rsid w:val="00EE6BB3"/>
    <w:rsid w:val="00EE6D0B"/>
    <w:rsid w:val="00EE6DD9"/>
    <w:rsid w:val="00EE6E89"/>
    <w:rsid w:val="00EE7583"/>
    <w:rsid w:val="00EE79D2"/>
    <w:rsid w:val="00EE7D86"/>
    <w:rsid w:val="00EE7FD3"/>
    <w:rsid w:val="00EF0925"/>
    <w:rsid w:val="00EF0C08"/>
    <w:rsid w:val="00EF1189"/>
    <w:rsid w:val="00EF14F9"/>
    <w:rsid w:val="00EF24DE"/>
    <w:rsid w:val="00EF2A18"/>
    <w:rsid w:val="00EF2BD9"/>
    <w:rsid w:val="00EF3633"/>
    <w:rsid w:val="00EF3703"/>
    <w:rsid w:val="00EF3805"/>
    <w:rsid w:val="00EF3BBA"/>
    <w:rsid w:val="00EF3CD3"/>
    <w:rsid w:val="00EF3DAB"/>
    <w:rsid w:val="00EF4089"/>
    <w:rsid w:val="00EF4576"/>
    <w:rsid w:val="00EF48B2"/>
    <w:rsid w:val="00EF5466"/>
    <w:rsid w:val="00EF5472"/>
    <w:rsid w:val="00EF5F72"/>
    <w:rsid w:val="00EF5FDD"/>
    <w:rsid w:val="00EF6B33"/>
    <w:rsid w:val="00EF6EB0"/>
    <w:rsid w:val="00EF6F23"/>
    <w:rsid w:val="00EF7675"/>
    <w:rsid w:val="00EF7883"/>
    <w:rsid w:val="00EF7B4A"/>
    <w:rsid w:val="00EF7C91"/>
    <w:rsid w:val="00F001DE"/>
    <w:rsid w:val="00F0023B"/>
    <w:rsid w:val="00F00AA8"/>
    <w:rsid w:val="00F010A5"/>
    <w:rsid w:val="00F011AE"/>
    <w:rsid w:val="00F01205"/>
    <w:rsid w:val="00F01395"/>
    <w:rsid w:val="00F019A1"/>
    <w:rsid w:val="00F02317"/>
    <w:rsid w:val="00F02D50"/>
    <w:rsid w:val="00F031B3"/>
    <w:rsid w:val="00F0331F"/>
    <w:rsid w:val="00F03E33"/>
    <w:rsid w:val="00F04407"/>
    <w:rsid w:val="00F04600"/>
    <w:rsid w:val="00F049B8"/>
    <w:rsid w:val="00F0522D"/>
    <w:rsid w:val="00F05598"/>
    <w:rsid w:val="00F059EF"/>
    <w:rsid w:val="00F0604E"/>
    <w:rsid w:val="00F0605E"/>
    <w:rsid w:val="00F06CEB"/>
    <w:rsid w:val="00F07659"/>
    <w:rsid w:val="00F076CD"/>
    <w:rsid w:val="00F07735"/>
    <w:rsid w:val="00F07977"/>
    <w:rsid w:val="00F10AD9"/>
    <w:rsid w:val="00F1191E"/>
    <w:rsid w:val="00F1197F"/>
    <w:rsid w:val="00F11D93"/>
    <w:rsid w:val="00F11EE9"/>
    <w:rsid w:val="00F1255C"/>
    <w:rsid w:val="00F12DC9"/>
    <w:rsid w:val="00F12E6D"/>
    <w:rsid w:val="00F1355D"/>
    <w:rsid w:val="00F13E25"/>
    <w:rsid w:val="00F14942"/>
    <w:rsid w:val="00F14AF6"/>
    <w:rsid w:val="00F14FBF"/>
    <w:rsid w:val="00F153D0"/>
    <w:rsid w:val="00F158D3"/>
    <w:rsid w:val="00F15C0E"/>
    <w:rsid w:val="00F17B32"/>
    <w:rsid w:val="00F17C68"/>
    <w:rsid w:val="00F20533"/>
    <w:rsid w:val="00F20765"/>
    <w:rsid w:val="00F21B30"/>
    <w:rsid w:val="00F21C8F"/>
    <w:rsid w:val="00F21E81"/>
    <w:rsid w:val="00F2200B"/>
    <w:rsid w:val="00F22479"/>
    <w:rsid w:val="00F2262E"/>
    <w:rsid w:val="00F22BB9"/>
    <w:rsid w:val="00F22E47"/>
    <w:rsid w:val="00F22F3C"/>
    <w:rsid w:val="00F2316C"/>
    <w:rsid w:val="00F23DD8"/>
    <w:rsid w:val="00F24351"/>
    <w:rsid w:val="00F24939"/>
    <w:rsid w:val="00F24E0D"/>
    <w:rsid w:val="00F24E1C"/>
    <w:rsid w:val="00F25955"/>
    <w:rsid w:val="00F25A13"/>
    <w:rsid w:val="00F25D9C"/>
    <w:rsid w:val="00F26CE4"/>
    <w:rsid w:val="00F26F00"/>
    <w:rsid w:val="00F2704E"/>
    <w:rsid w:val="00F2707D"/>
    <w:rsid w:val="00F275DD"/>
    <w:rsid w:val="00F27989"/>
    <w:rsid w:val="00F27B04"/>
    <w:rsid w:val="00F27C78"/>
    <w:rsid w:val="00F3081B"/>
    <w:rsid w:val="00F308F0"/>
    <w:rsid w:val="00F30A29"/>
    <w:rsid w:val="00F31057"/>
    <w:rsid w:val="00F3156E"/>
    <w:rsid w:val="00F31B71"/>
    <w:rsid w:val="00F320C3"/>
    <w:rsid w:val="00F3232C"/>
    <w:rsid w:val="00F32B29"/>
    <w:rsid w:val="00F32E0C"/>
    <w:rsid w:val="00F32FE9"/>
    <w:rsid w:val="00F33548"/>
    <w:rsid w:val="00F33551"/>
    <w:rsid w:val="00F335CA"/>
    <w:rsid w:val="00F3386A"/>
    <w:rsid w:val="00F33934"/>
    <w:rsid w:val="00F343F1"/>
    <w:rsid w:val="00F34704"/>
    <w:rsid w:val="00F34790"/>
    <w:rsid w:val="00F35319"/>
    <w:rsid w:val="00F355D9"/>
    <w:rsid w:val="00F355FB"/>
    <w:rsid w:val="00F35BE0"/>
    <w:rsid w:val="00F36421"/>
    <w:rsid w:val="00F36943"/>
    <w:rsid w:val="00F36960"/>
    <w:rsid w:val="00F37C30"/>
    <w:rsid w:val="00F37C65"/>
    <w:rsid w:val="00F37E96"/>
    <w:rsid w:val="00F40047"/>
    <w:rsid w:val="00F401E3"/>
    <w:rsid w:val="00F407F5"/>
    <w:rsid w:val="00F40F90"/>
    <w:rsid w:val="00F40FA1"/>
    <w:rsid w:val="00F41013"/>
    <w:rsid w:val="00F4130E"/>
    <w:rsid w:val="00F415D5"/>
    <w:rsid w:val="00F4193B"/>
    <w:rsid w:val="00F4200C"/>
    <w:rsid w:val="00F42644"/>
    <w:rsid w:val="00F42DC5"/>
    <w:rsid w:val="00F42F81"/>
    <w:rsid w:val="00F435F5"/>
    <w:rsid w:val="00F43BBE"/>
    <w:rsid w:val="00F43F9E"/>
    <w:rsid w:val="00F45004"/>
    <w:rsid w:val="00F4548F"/>
    <w:rsid w:val="00F47220"/>
    <w:rsid w:val="00F50905"/>
    <w:rsid w:val="00F5107C"/>
    <w:rsid w:val="00F51246"/>
    <w:rsid w:val="00F51443"/>
    <w:rsid w:val="00F5171F"/>
    <w:rsid w:val="00F5211C"/>
    <w:rsid w:val="00F5229D"/>
    <w:rsid w:val="00F52644"/>
    <w:rsid w:val="00F527D7"/>
    <w:rsid w:val="00F52CCD"/>
    <w:rsid w:val="00F52D58"/>
    <w:rsid w:val="00F538F5"/>
    <w:rsid w:val="00F53C3E"/>
    <w:rsid w:val="00F547A5"/>
    <w:rsid w:val="00F54AA0"/>
    <w:rsid w:val="00F54DB2"/>
    <w:rsid w:val="00F5529D"/>
    <w:rsid w:val="00F5540C"/>
    <w:rsid w:val="00F55BBB"/>
    <w:rsid w:val="00F56221"/>
    <w:rsid w:val="00F5631A"/>
    <w:rsid w:val="00F565E1"/>
    <w:rsid w:val="00F573FB"/>
    <w:rsid w:val="00F574B3"/>
    <w:rsid w:val="00F5797B"/>
    <w:rsid w:val="00F57F20"/>
    <w:rsid w:val="00F60426"/>
    <w:rsid w:val="00F60CD9"/>
    <w:rsid w:val="00F60EB0"/>
    <w:rsid w:val="00F610BD"/>
    <w:rsid w:val="00F61DDD"/>
    <w:rsid w:val="00F62269"/>
    <w:rsid w:val="00F62DD0"/>
    <w:rsid w:val="00F62EE9"/>
    <w:rsid w:val="00F63581"/>
    <w:rsid w:val="00F641E4"/>
    <w:rsid w:val="00F64A26"/>
    <w:rsid w:val="00F64A2B"/>
    <w:rsid w:val="00F64DF2"/>
    <w:rsid w:val="00F65685"/>
    <w:rsid w:val="00F65E82"/>
    <w:rsid w:val="00F65F41"/>
    <w:rsid w:val="00F668BD"/>
    <w:rsid w:val="00F669CE"/>
    <w:rsid w:val="00F66E21"/>
    <w:rsid w:val="00F67661"/>
    <w:rsid w:val="00F67B21"/>
    <w:rsid w:val="00F70AF2"/>
    <w:rsid w:val="00F710E9"/>
    <w:rsid w:val="00F71600"/>
    <w:rsid w:val="00F718F4"/>
    <w:rsid w:val="00F7199D"/>
    <w:rsid w:val="00F71DDB"/>
    <w:rsid w:val="00F7210A"/>
    <w:rsid w:val="00F72185"/>
    <w:rsid w:val="00F72305"/>
    <w:rsid w:val="00F72D0F"/>
    <w:rsid w:val="00F73584"/>
    <w:rsid w:val="00F73EE7"/>
    <w:rsid w:val="00F74366"/>
    <w:rsid w:val="00F74B11"/>
    <w:rsid w:val="00F74F03"/>
    <w:rsid w:val="00F74FB7"/>
    <w:rsid w:val="00F755BC"/>
    <w:rsid w:val="00F758AC"/>
    <w:rsid w:val="00F759DF"/>
    <w:rsid w:val="00F75E67"/>
    <w:rsid w:val="00F77273"/>
    <w:rsid w:val="00F773A1"/>
    <w:rsid w:val="00F773AD"/>
    <w:rsid w:val="00F7760D"/>
    <w:rsid w:val="00F77C5A"/>
    <w:rsid w:val="00F77CF0"/>
    <w:rsid w:val="00F80251"/>
    <w:rsid w:val="00F80B2E"/>
    <w:rsid w:val="00F80C13"/>
    <w:rsid w:val="00F81B85"/>
    <w:rsid w:val="00F81E67"/>
    <w:rsid w:val="00F825D8"/>
    <w:rsid w:val="00F83281"/>
    <w:rsid w:val="00F83363"/>
    <w:rsid w:val="00F83550"/>
    <w:rsid w:val="00F83B65"/>
    <w:rsid w:val="00F83D1F"/>
    <w:rsid w:val="00F84519"/>
    <w:rsid w:val="00F848B2"/>
    <w:rsid w:val="00F84E10"/>
    <w:rsid w:val="00F8523E"/>
    <w:rsid w:val="00F85495"/>
    <w:rsid w:val="00F8572B"/>
    <w:rsid w:val="00F85CC7"/>
    <w:rsid w:val="00F86171"/>
    <w:rsid w:val="00F8655E"/>
    <w:rsid w:val="00F86676"/>
    <w:rsid w:val="00F86A89"/>
    <w:rsid w:val="00F87020"/>
    <w:rsid w:val="00F87F21"/>
    <w:rsid w:val="00F90101"/>
    <w:rsid w:val="00F90D06"/>
    <w:rsid w:val="00F91719"/>
    <w:rsid w:val="00F91A98"/>
    <w:rsid w:val="00F92322"/>
    <w:rsid w:val="00F928B2"/>
    <w:rsid w:val="00F92B14"/>
    <w:rsid w:val="00F92B2E"/>
    <w:rsid w:val="00F94516"/>
    <w:rsid w:val="00F94D53"/>
    <w:rsid w:val="00F94F34"/>
    <w:rsid w:val="00F95793"/>
    <w:rsid w:val="00F9598F"/>
    <w:rsid w:val="00F95F26"/>
    <w:rsid w:val="00F965D2"/>
    <w:rsid w:val="00F97567"/>
    <w:rsid w:val="00F97622"/>
    <w:rsid w:val="00F97C02"/>
    <w:rsid w:val="00F97C03"/>
    <w:rsid w:val="00F97D29"/>
    <w:rsid w:val="00FA0E3A"/>
    <w:rsid w:val="00FA179E"/>
    <w:rsid w:val="00FA196C"/>
    <w:rsid w:val="00FA1BF7"/>
    <w:rsid w:val="00FA1D33"/>
    <w:rsid w:val="00FA2641"/>
    <w:rsid w:val="00FA2847"/>
    <w:rsid w:val="00FA37BB"/>
    <w:rsid w:val="00FA40DA"/>
    <w:rsid w:val="00FA42B2"/>
    <w:rsid w:val="00FA4796"/>
    <w:rsid w:val="00FA48C8"/>
    <w:rsid w:val="00FA4D3E"/>
    <w:rsid w:val="00FA503F"/>
    <w:rsid w:val="00FA50F9"/>
    <w:rsid w:val="00FA528B"/>
    <w:rsid w:val="00FA529C"/>
    <w:rsid w:val="00FA5816"/>
    <w:rsid w:val="00FA59D3"/>
    <w:rsid w:val="00FA5EE9"/>
    <w:rsid w:val="00FA69EB"/>
    <w:rsid w:val="00FA6B08"/>
    <w:rsid w:val="00FA7D9A"/>
    <w:rsid w:val="00FB09BD"/>
    <w:rsid w:val="00FB0A82"/>
    <w:rsid w:val="00FB0D83"/>
    <w:rsid w:val="00FB0F56"/>
    <w:rsid w:val="00FB103E"/>
    <w:rsid w:val="00FB1A82"/>
    <w:rsid w:val="00FB1AD6"/>
    <w:rsid w:val="00FB2026"/>
    <w:rsid w:val="00FB20B8"/>
    <w:rsid w:val="00FB35B9"/>
    <w:rsid w:val="00FB4061"/>
    <w:rsid w:val="00FB54FF"/>
    <w:rsid w:val="00FB5651"/>
    <w:rsid w:val="00FB5901"/>
    <w:rsid w:val="00FB591E"/>
    <w:rsid w:val="00FB6939"/>
    <w:rsid w:val="00FB6A1E"/>
    <w:rsid w:val="00FB6E05"/>
    <w:rsid w:val="00FB7933"/>
    <w:rsid w:val="00FC002C"/>
    <w:rsid w:val="00FC0126"/>
    <w:rsid w:val="00FC0140"/>
    <w:rsid w:val="00FC04BC"/>
    <w:rsid w:val="00FC060B"/>
    <w:rsid w:val="00FC2B6A"/>
    <w:rsid w:val="00FC351A"/>
    <w:rsid w:val="00FC390B"/>
    <w:rsid w:val="00FC44A0"/>
    <w:rsid w:val="00FC4662"/>
    <w:rsid w:val="00FC4B12"/>
    <w:rsid w:val="00FC525E"/>
    <w:rsid w:val="00FC5810"/>
    <w:rsid w:val="00FC5DE5"/>
    <w:rsid w:val="00FC6014"/>
    <w:rsid w:val="00FC61A4"/>
    <w:rsid w:val="00FC6BBB"/>
    <w:rsid w:val="00FC71EA"/>
    <w:rsid w:val="00FD006B"/>
    <w:rsid w:val="00FD02B6"/>
    <w:rsid w:val="00FD03DB"/>
    <w:rsid w:val="00FD03F5"/>
    <w:rsid w:val="00FD0762"/>
    <w:rsid w:val="00FD0BD3"/>
    <w:rsid w:val="00FD14BC"/>
    <w:rsid w:val="00FD14F4"/>
    <w:rsid w:val="00FD1C59"/>
    <w:rsid w:val="00FD203C"/>
    <w:rsid w:val="00FD2812"/>
    <w:rsid w:val="00FD28F4"/>
    <w:rsid w:val="00FD3061"/>
    <w:rsid w:val="00FD342C"/>
    <w:rsid w:val="00FD3D06"/>
    <w:rsid w:val="00FD3FB8"/>
    <w:rsid w:val="00FD4393"/>
    <w:rsid w:val="00FD5432"/>
    <w:rsid w:val="00FD5730"/>
    <w:rsid w:val="00FD5A35"/>
    <w:rsid w:val="00FD68C4"/>
    <w:rsid w:val="00FD7A2E"/>
    <w:rsid w:val="00FD7EA4"/>
    <w:rsid w:val="00FD7FDF"/>
    <w:rsid w:val="00FE0280"/>
    <w:rsid w:val="00FE03A5"/>
    <w:rsid w:val="00FE09C0"/>
    <w:rsid w:val="00FE0B28"/>
    <w:rsid w:val="00FE0DD8"/>
    <w:rsid w:val="00FE0E4E"/>
    <w:rsid w:val="00FE0F3D"/>
    <w:rsid w:val="00FE10A5"/>
    <w:rsid w:val="00FE1625"/>
    <w:rsid w:val="00FE1831"/>
    <w:rsid w:val="00FE1B3D"/>
    <w:rsid w:val="00FE1C59"/>
    <w:rsid w:val="00FE1FBE"/>
    <w:rsid w:val="00FE2308"/>
    <w:rsid w:val="00FE326F"/>
    <w:rsid w:val="00FE36B1"/>
    <w:rsid w:val="00FE37C6"/>
    <w:rsid w:val="00FE3C71"/>
    <w:rsid w:val="00FE3CCA"/>
    <w:rsid w:val="00FE3CE2"/>
    <w:rsid w:val="00FE3E24"/>
    <w:rsid w:val="00FE4189"/>
    <w:rsid w:val="00FE4269"/>
    <w:rsid w:val="00FE48DC"/>
    <w:rsid w:val="00FE4ACC"/>
    <w:rsid w:val="00FE4BA6"/>
    <w:rsid w:val="00FE4E6D"/>
    <w:rsid w:val="00FE52B0"/>
    <w:rsid w:val="00FE52DF"/>
    <w:rsid w:val="00FE5478"/>
    <w:rsid w:val="00FE5BE9"/>
    <w:rsid w:val="00FE6054"/>
    <w:rsid w:val="00FE68EE"/>
    <w:rsid w:val="00FE6AB1"/>
    <w:rsid w:val="00FE6B87"/>
    <w:rsid w:val="00FE7075"/>
    <w:rsid w:val="00FE7198"/>
    <w:rsid w:val="00FE7DB2"/>
    <w:rsid w:val="00FE7F44"/>
    <w:rsid w:val="00FF10E0"/>
    <w:rsid w:val="00FF12D8"/>
    <w:rsid w:val="00FF16C4"/>
    <w:rsid w:val="00FF1E48"/>
    <w:rsid w:val="00FF39E4"/>
    <w:rsid w:val="00FF3AF1"/>
    <w:rsid w:val="00FF3D81"/>
    <w:rsid w:val="00FF3E3B"/>
    <w:rsid w:val="00FF3EDC"/>
    <w:rsid w:val="00FF4CE6"/>
    <w:rsid w:val="00FF4F22"/>
    <w:rsid w:val="00FF54A3"/>
    <w:rsid w:val="00FF5994"/>
    <w:rsid w:val="00FF5A2A"/>
    <w:rsid w:val="00FF660B"/>
    <w:rsid w:val="00FF6AD1"/>
    <w:rsid w:val="00FF6B38"/>
    <w:rsid w:val="00FF6B8A"/>
    <w:rsid w:val="00FF725E"/>
    <w:rsid w:val="00FF74A7"/>
    <w:rsid w:val="022243FE"/>
    <w:rsid w:val="03CA5669"/>
    <w:rsid w:val="05047C48"/>
    <w:rsid w:val="0AB45692"/>
    <w:rsid w:val="0C04CEE7"/>
    <w:rsid w:val="1308D43D"/>
    <w:rsid w:val="14B45311"/>
    <w:rsid w:val="19452A86"/>
    <w:rsid w:val="1A4FCB24"/>
    <w:rsid w:val="1B41B9F0"/>
    <w:rsid w:val="1F769D14"/>
    <w:rsid w:val="2136B006"/>
    <w:rsid w:val="218580CA"/>
    <w:rsid w:val="2793B797"/>
    <w:rsid w:val="2F9E3204"/>
    <w:rsid w:val="326C5601"/>
    <w:rsid w:val="36D30B5B"/>
    <w:rsid w:val="391C1060"/>
    <w:rsid w:val="3A63B663"/>
    <w:rsid w:val="48F69000"/>
    <w:rsid w:val="4B5E3A4A"/>
    <w:rsid w:val="4E565779"/>
    <w:rsid w:val="535B4D62"/>
    <w:rsid w:val="537171C3"/>
    <w:rsid w:val="57965857"/>
    <w:rsid w:val="602228E3"/>
    <w:rsid w:val="67ECD545"/>
    <w:rsid w:val="687C3A40"/>
    <w:rsid w:val="6D10187C"/>
    <w:rsid w:val="6ED527FC"/>
    <w:rsid w:val="745BC7F4"/>
    <w:rsid w:val="75C9C596"/>
    <w:rsid w:val="7C586189"/>
    <w:rsid w:val="7F4402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D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861"/>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
    <w:qFormat/>
    <w:rsid w:val="00A540AE"/>
    <w:pPr>
      <w:pBdr>
        <w:bottom w:val="single" w:sz="8" w:space="1" w:color="FFFFFF" w:themeColor="background1"/>
      </w:pBdr>
      <w:spacing w:before="3600" w:after="120" w:line="240" w:lineRule="auto"/>
      <w:contextualSpacing/>
      <w:outlineLvl w:val="0"/>
    </w:pPr>
    <w:rPr>
      <w:rFonts w:asciiTheme="majorHAnsi" w:eastAsiaTheme="majorEastAsia" w:hAnsiTheme="majorHAnsi" w:cstheme="majorBidi"/>
      <w:color w:val="FFFFFF" w:themeColor="background1"/>
      <w:spacing w:val="-10"/>
      <w:kern w:val="28"/>
      <w:sz w:val="72"/>
      <w:szCs w:val="72"/>
    </w:rPr>
  </w:style>
  <w:style w:type="character" w:customStyle="1" w:styleId="TitleChar">
    <w:name w:val="Title Char"/>
    <w:basedOn w:val="DefaultParagraphFont"/>
    <w:link w:val="Title"/>
    <w:uiPriority w:val="1"/>
    <w:rsid w:val="00A540AE"/>
    <w:rPr>
      <w:rFonts w:asciiTheme="majorHAnsi" w:eastAsiaTheme="majorEastAsia" w:hAnsiTheme="majorHAnsi" w:cstheme="majorBidi"/>
      <w:color w:val="FFFFFF" w:themeColor="background1"/>
      <w:spacing w:val="-10"/>
      <w:kern w:val="28"/>
      <w:sz w:val="72"/>
      <w:szCs w:val="72"/>
    </w:rPr>
  </w:style>
  <w:style w:type="paragraph" w:styleId="Subtitle">
    <w:name w:val="Subtitle"/>
    <w:basedOn w:val="Normal"/>
    <w:next w:val="Normal"/>
    <w:link w:val="SubtitleChar"/>
    <w:uiPriority w:val="11"/>
    <w:qFormat/>
    <w:rsid w:val="00A540AE"/>
    <w:pPr>
      <w:numPr>
        <w:ilvl w:val="1"/>
      </w:numPr>
    </w:pPr>
    <w:rPr>
      <w:rFonts w:eastAsiaTheme="minorEastAsia"/>
      <w:color w:val="FFFFFF" w:themeColor="background1"/>
      <w:sz w:val="40"/>
    </w:rPr>
  </w:style>
  <w:style w:type="character" w:customStyle="1" w:styleId="SubtitleChar">
    <w:name w:val="Subtitle Char"/>
    <w:basedOn w:val="DefaultParagraphFont"/>
    <w:link w:val="Subtitle"/>
    <w:uiPriority w:val="11"/>
    <w:rsid w:val="00A540AE"/>
    <w:rPr>
      <w:rFonts w:eastAsiaTheme="minorEastAsia"/>
      <w:color w:val="FFFFFF" w:themeColor="background1"/>
      <w:sz w:val="40"/>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1 heading,Bullet point,CV text,Dot point 1.5 line spacing,Dot pt,F5 List Paragraph,FooterText,L,List Paragraph - bullets,List Paragraph1,List Paragraph11,List Paragraph111,Listeafsnit1,NFP GP Bulleted List,Recommendation,bullet point list"/>
    <w:basedOn w:val="Normal"/>
    <w:link w:val="ListParagraphChar"/>
    <w:uiPriority w:val="34"/>
    <w:qFormat/>
    <w:rsid w:val="004632E9"/>
    <w:pPr>
      <w:numPr>
        <w:numId w:val="1"/>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5700A9"/>
    <w:pPr>
      <w:tabs>
        <w:tab w:val="right" w:leader="dot" w:pos="1046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FE7F44"/>
    <w:rPr>
      <w:szCs w:val="40"/>
    </w:rPr>
  </w:style>
  <w:style w:type="character" w:customStyle="1" w:styleId="AuthoranddateChar">
    <w:name w:val="Author and date Char"/>
    <w:basedOn w:val="SubtitleChar"/>
    <w:link w:val="Authoranddate"/>
    <w:rsid w:val="00FE7F44"/>
    <w:rPr>
      <w:rFonts w:eastAsiaTheme="minorEastAsia"/>
      <w:color w:val="FFFFFF" w:themeColor="background1"/>
      <w:sz w:val="40"/>
      <w:szCs w:val="40"/>
    </w:rPr>
  </w:style>
  <w:style w:type="paragraph" w:styleId="BodyText">
    <w:name w:val="Body Text"/>
    <w:basedOn w:val="Normal"/>
    <w:link w:val="BodyTextChar"/>
    <w:uiPriority w:val="99"/>
    <w:unhideWhenUsed/>
    <w:rsid w:val="00194E08"/>
    <w:pPr>
      <w:suppressAutoHyphens/>
      <w:spacing w:before="120" w:after="60" w:line="260" w:lineRule="atLeast"/>
    </w:pPr>
    <w:rPr>
      <w:color w:val="005677" w:themeColor="text2"/>
      <w:lang w:val="en-GB"/>
    </w:rPr>
  </w:style>
  <w:style w:type="character" w:customStyle="1" w:styleId="BodyTextChar">
    <w:name w:val="Body Text Char"/>
    <w:basedOn w:val="DefaultParagraphFont"/>
    <w:link w:val="BodyText"/>
    <w:uiPriority w:val="99"/>
    <w:rsid w:val="00194E08"/>
    <w:rPr>
      <w:color w:val="005677" w:themeColor="text2"/>
      <w:lang w:val="en-GB"/>
    </w:rPr>
  </w:style>
  <w:style w:type="paragraph" w:customStyle="1" w:styleId="Heading1smallspaceafter">
    <w:name w:val="Heading 1 small space after"/>
    <w:basedOn w:val="Heading1"/>
    <w:qFormat/>
    <w:rsid w:val="00BF67CD"/>
    <w:pPr>
      <w:suppressAutoHyphens/>
      <w:spacing w:before="300" w:after="600" w:line="380" w:lineRule="exact"/>
      <w:contextualSpacing/>
    </w:pPr>
    <w:rPr>
      <w:b/>
      <w:bCs/>
      <w:caps/>
      <w:sz w:val="38"/>
      <w:szCs w:val="28"/>
      <w:lang w:val="en-GB"/>
    </w:rPr>
  </w:style>
  <w:style w:type="character" w:customStyle="1" w:styleId="ListParagraphChar">
    <w:name w:val="List Paragraph Char"/>
    <w:aliases w:val="1 heading Char,Bullet point Char,CV text Char,Dot point 1.5 line spacing Char,Dot pt Char,F5 List Paragraph Char,FooterText Char,L Char,List Paragraph - bullets Char,List Paragraph1 Char,List Paragraph11 Char,List Paragraph111 Char"/>
    <w:link w:val="ListParagraph"/>
    <w:uiPriority w:val="34"/>
    <w:qFormat/>
    <w:locked/>
    <w:rsid w:val="00A10F21"/>
  </w:style>
  <w:style w:type="paragraph" w:styleId="FootnoteText">
    <w:name w:val="footnote text"/>
    <w:basedOn w:val="Normal"/>
    <w:link w:val="FootnoteTextChar"/>
    <w:uiPriority w:val="99"/>
    <w:semiHidden/>
    <w:unhideWhenUsed/>
    <w:rsid w:val="004C44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4BE"/>
    <w:rPr>
      <w:sz w:val="20"/>
      <w:szCs w:val="20"/>
    </w:rPr>
  </w:style>
  <w:style w:type="paragraph" w:customStyle="1" w:styleId="Heading2smallspaceatend">
    <w:name w:val="Heading 2 small space at end"/>
    <w:basedOn w:val="Normal"/>
    <w:link w:val="Heading2smallspaceatendChar"/>
    <w:qFormat/>
    <w:rsid w:val="00F54DB2"/>
    <w:pPr>
      <w:keepNext/>
      <w:spacing w:before="240" w:after="80" w:line="252" w:lineRule="auto"/>
      <w:outlineLvl w:val="0"/>
    </w:pPr>
    <w:rPr>
      <w:rFonts w:ascii="Arial" w:eastAsia="Times New Roman" w:hAnsi="Arial" w:cs="Arial"/>
      <w:color w:val="44546A"/>
      <w:kern w:val="36"/>
      <w:sz w:val="28"/>
      <w:szCs w:val="28"/>
      <w:lang w:eastAsia="en-AU"/>
    </w:rPr>
  </w:style>
  <w:style w:type="character" w:customStyle="1" w:styleId="Heading2smallspaceatendChar">
    <w:name w:val="Heading 2 small space at end Char"/>
    <w:basedOn w:val="DefaultParagraphFont"/>
    <w:link w:val="Heading2smallspaceatend"/>
    <w:rsid w:val="00F54DB2"/>
    <w:rPr>
      <w:rFonts w:ascii="Arial" w:eastAsia="Times New Roman" w:hAnsi="Arial" w:cs="Arial"/>
      <w:color w:val="44546A"/>
      <w:kern w:val="36"/>
      <w:sz w:val="28"/>
      <w:szCs w:val="28"/>
      <w:lang w:eastAsia="en-AU"/>
    </w:rPr>
  </w:style>
  <w:style w:type="paragraph" w:styleId="ListNumber2">
    <w:name w:val="List Number 2"/>
    <w:basedOn w:val="Normal"/>
    <w:uiPriority w:val="99"/>
    <w:rsid w:val="00F54DB2"/>
    <w:pPr>
      <w:numPr>
        <w:ilvl w:val="1"/>
        <w:numId w:val="2"/>
      </w:numPr>
      <w:spacing w:after="200" w:line="276" w:lineRule="auto"/>
    </w:pPr>
    <w:rPr>
      <w:rFonts w:ascii="Arial" w:eastAsia="Calibri" w:hAnsi="Arial" w:cs="Times New Roman"/>
    </w:rPr>
  </w:style>
  <w:style w:type="paragraph" w:styleId="ListNumber3">
    <w:name w:val="List Number 3"/>
    <w:basedOn w:val="Normal"/>
    <w:uiPriority w:val="99"/>
    <w:rsid w:val="00F54DB2"/>
    <w:pPr>
      <w:numPr>
        <w:ilvl w:val="2"/>
        <w:numId w:val="2"/>
      </w:numPr>
      <w:spacing w:after="200" w:line="276" w:lineRule="auto"/>
    </w:pPr>
    <w:rPr>
      <w:rFonts w:ascii="Arial" w:eastAsia="Calibri" w:hAnsi="Arial" w:cs="Times New Roman"/>
    </w:rPr>
  </w:style>
  <w:style w:type="paragraph" w:styleId="ListNumber4">
    <w:name w:val="List Number 4"/>
    <w:basedOn w:val="Normal"/>
    <w:uiPriority w:val="99"/>
    <w:rsid w:val="00F54DB2"/>
    <w:pPr>
      <w:numPr>
        <w:ilvl w:val="3"/>
        <w:numId w:val="2"/>
      </w:numPr>
      <w:spacing w:after="200" w:line="276" w:lineRule="auto"/>
    </w:pPr>
    <w:rPr>
      <w:rFonts w:ascii="Arial" w:eastAsia="Calibri" w:hAnsi="Arial" w:cs="Times New Roman"/>
    </w:rPr>
  </w:style>
  <w:style w:type="paragraph" w:styleId="ListNumber5">
    <w:name w:val="List Number 5"/>
    <w:basedOn w:val="Normal"/>
    <w:uiPriority w:val="99"/>
    <w:rsid w:val="00F54DB2"/>
    <w:pPr>
      <w:numPr>
        <w:ilvl w:val="4"/>
        <w:numId w:val="2"/>
      </w:numPr>
      <w:spacing w:after="200" w:line="276" w:lineRule="auto"/>
    </w:pPr>
    <w:rPr>
      <w:rFonts w:ascii="Arial" w:eastAsia="Calibri" w:hAnsi="Arial" w:cs="Times New Roman"/>
    </w:rPr>
  </w:style>
  <w:style w:type="character" w:customStyle="1" w:styleId="Advisorytext">
    <w:name w:val="Advisory text"/>
    <w:basedOn w:val="DefaultParagraphFont"/>
    <w:uiPriority w:val="99"/>
    <w:rsid w:val="00F54DB2"/>
    <w:rPr>
      <w:color w:val="FF0000"/>
    </w:rPr>
  </w:style>
  <w:style w:type="character" w:styleId="FootnoteReference">
    <w:name w:val="footnote reference"/>
    <w:basedOn w:val="DefaultParagraphFont"/>
    <w:uiPriority w:val="99"/>
    <w:semiHidden/>
    <w:unhideWhenUsed/>
    <w:rsid w:val="009512B4"/>
    <w:rPr>
      <w:vertAlign w:val="superscript"/>
    </w:rPr>
  </w:style>
  <w:style w:type="character" w:styleId="CommentReference">
    <w:name w:val="annotation reference"/>
    <w:basedOn w:val="DefaultParagraphFont"/>
    <w:uiPriority w:val="99"/>
    <w:semiHidden/>
    <w:unhideWhenUsed/>
    <w:rsid w:val="009714BE"/>
    <w:rPr>
      <w:sz w:val="16"/>
      <w:szCs w:val="16"/>
    </w:rPr>
  </w:style>
  <w:style w:type="paragraph" w:styleId="CommentText">
    <w:name w:val="annotation text"/>
    <w:basedOn w:val="Normal"/>
    <w:link w:val="CommentTextChar"/>
    <w:uiPriority w:val="99"/>
    <w:unhideWhenUsed/>
    <w:rsid w:val="009714BE"/>
    <w:pPr>
      <w:spacing w:line="240" w:lineRule="auto"/>
    </w:pPr>
    <w:rPr>
      <w:sz w:val="20"/>
      <w:szCs w:val="20"/>
    </w:rPr>
  </w:style>
  <w:style w:type="character" w:customStyle="1" w:styleId="CommentTextChar">
    <w:name w:val="Comment Text Char"/>
    <w:basedOn w:val="DefaultParagraphFont"/>
    <w:link w:val="CommentText"/>
    <w:uiPriority w:val="99"/>
    <w:rsid w:val="009714BE"/>
    <w:rPr>
      <w:sz w:val="20"/>
      <w:szCs w:val="20"/>
    </w:rPr>
  </w:style>
  <w:style w:type="paragraph" w:styleId="CommentSubject">
    <w:name w:val="annotation subject"/>
    <w:basedOn w:val="CommentText"/>
    <w:next w:val="CommentText"/>
    <w:link w:val="CommentSubjectChar"/>
    <w:uiPriority w:val="99"/>
    <w:semiHidden/>
    <w:unhideWhenUsed/>
    <w:rsid w:val="009714BE"/>
    <w:rPr>
      <w:b/>
      <w:bCs/>
    </w:rPr>
  </w:style>
  <w:style w:type="character" w:customStyle="1" w:styleId="CommentSubjectChar">
    <w:name w:val="Comment Subject Char"/>
    <w:basedOn w:val="CommentTextChar"/>
    <w:link w:val="CommentSubject"/>
    <w:uiPriority w:val="99"/>
    <w:semiHidden/>
    <w:rsid w:val="009714BE"/>
    <w:rPr>
      <w:b/>
      <w:bCs/>
      <w:sz w:val="20"/>
      <w:szCs w:val="20"/>
    </w:rPr>
  </w:style>
  <w:style w:type="paragraph" w:styleId="Revision">
    <w:name w:val="Revision"/>
    <w:hidden/>
    <w:uiPriority w:val="99"/>
    <w:semiHidden/>
    <w:rsid w:val="009714BE"/>
    <w:pPr>
      <w:spacing w:after="0" w:line="240" w:lineRule="auto"/>
    </w:pPr>
  </w:style>
  <w:style w:type="character" w:customStyle="1" w:styleId="fontsizemediumplus">
    <w:name w:val="fontsizemediumplus"/>
    <w:basedOn w:val="DefaultParagraphFont"/>
    <w:rsid w:val="00350B50"/>
  </w:style>
  <w:style w:type="character" w:styleId="FollowedHyperlink">
    <w:name w:val="FollowedHyperlink"/>
    <w:basedOn w:val="DefaultParagraphFont"/>
    <w:uiPriority w:val="99"/>
    <w:semiHidden/>
    <w:unhideWhenUsed/>
    <w:rsid w:val="00F90101"/>
    <w:rPr>
      <w:color w:val="551A8B" w:themeColor="followedHyperlink"/>
      <w:u w:val="single"/>
    </w:rPr>
  </w:style>
  <w:style w:type="paragraph" w:customStyle="1" w:styleId="Listone">
    <w:name w:val="List one"/>
    <w:basedOn w:val="EndnoteText"/>
    <w:qFormat/>
    <w:rsid w:val="00F90101"/>
    <w:pPr>
      <w:numPr>
        <w:numId w:val="3"/>
      </w:numPr>
      <w:tabs>
        <w:tab w:val="left" w:pos="567"/>
        <w:tab w:val="left" w:pos="1134"/>
        <w:tab w:val="left" w:pos="1440"/>
        <w:tab w:val="left" w:pos="2160"/>
        <w:tab w:val="left" w:pos="2592"/>
      </w:tabs>
      <w:spacing w:before="120" w:after="120"/>
    </w:pPr>
    <w:rPr>
      <w:rFonts w:eastAsia="Times New Roman" w:cstheme="minorHAnsi"/>
      <w:color w:val="000000" w:themeColor="text1"/>
      <w:sz w:val="22"/>
      <w:szCs w:val="24"/>
      <w:lang w:eastAsia="en-AU"/>
    </w:rPr>
  </w:style>
  <w:style w:type="paragraph" w:styleId="EndnoteText">
    <w:name w:val="endnote text"/>
    <w:basedOn w:val="Normal"/>
    <w:link w:val="EndnoteTextChar"/>
    <w:uiPriority w:val="99"/>
    <w:semiHidden/>
    <w:unhideWhenUsed/>
    <w:rsid w:val="00F901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0101"/>
    <w:rPr>
      <w:sz w:val="20"/>
      <w:szCs w:val="20"/>
    </w:rPr>
  </w:style>
  <w:style w:type="paragraph" w:customStyle="1" w:styleId="Default">
    <w:name w:val="Default"/>
    <w:rsid w:val="00ED02D9"/>
    <w:pPr>
      <w:autoSpaceDE w:val="0"/>
      <w:autoSpaceDN w:val="0"/>
      <w:adjustRightInd w:val="0"/>
      <w:spacing w:after="0" w:line="240" w:lineRule="auto"/>
    </w:pPr>
    <w:rPr>
      <w:rFonts w:ascii="Gotham Light" w:hAnsi="Gotham Light" w:cs="Gotham Light"/>
      <w:color w:val="000000"/>
      <w:sz w:val="24"/>
      <w:szCs w:val="24"/>
    </w:rPr>
  </w:style>
  <w:style w:type="paragraph" w:customStyle="1" w:styleId="Pa2">
    <w:name w:val="Pa2"/>
    <w:basedOn w:val="Default"/>
    <w:next w:val="Default"/>
    <w:uiPriority w:val="99"/>
    <w:rsid w:val="00ED02D9"/>
    <w:pPr>
      <w:spacing w:line="181" w:lineRule="atLeast"/>
    </w:pPr>
    <w:rPr>
      <w:rFonts w:cstheme="minorBidi"/>
      <w:color w:val="auto"/>
    </w:rPr>
  </w:style>
  <w:style w:type="paragraph" w:styleId="NormalWeb">
    <w:name w:val="Normal (Web)"/>
    <w:basedOn w:val="Normal"/>
    <w:uiPriority w:val="99"/>
    <w:unhideWhenUsed/>
    <w:rsid w:val="00A7071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9">
    <w:name w:val="A9"/>
    <w:uiPriority w:val="99"/>
    <w:rsid w:val="00D92293"/>
    <w:rPr>
      <w:rFonts w:cs="Gotham Narrow Bold"/>
      <w:b/>
      <w:bCs/>
      <w:color w:val="005F7C"/>
      <w:sz w:val="42"/>
      <w:szCs w:val="42"/>
    </w:rPr>
  </w:style>
  <w:style w:type="character" w:customStyle="1" w:styleId="A10">
    <w:name w:val="A10"/>
    <w:uiPriority w:val="99"/>
    <w:rsid w:val="00D92293"/>
    <w:rPr>
      <w:rFonts w:ascii="Gotham Narrow Medium" w:hAnsi="Gotham Narrow Medium" w:cs="Gotham Narrow Medium"/>
      <w:color w:val="211D1E"/>
      <w:sz w:val="30"/>
      <w:szCs w:val="30"/>
    </w:rPr>
  </w:style>
  <w:style w:type="character" w:customStyle="1" w:styleId="A11">
    <w:name w:val="A11"/>
    <w:uiPriority w:val="99"/>
    <w:rsid w:val="00D92293"/>
    <w:rPr>
      <w:rFonts w:ascii="Gotham Narrow Book" w:hAnsi="Gotham Narrow Book" w:cs="Gotham Narrow Book"/>
      <w:color w:val="211D1E"/>
      <w:sz w:val="16"/>
      <w:szCs w:val="16"/>
    </w:rPr>
  </w:style>
  <w:style w:type="paragraph" w:customStyle="1" w:styleId="Pa8">
    <w:name w:val="Pa8"/>
    <w:basedOn w:val="Default"/>
    <w:next w:val="Default"/>
    <w:uiPriority w:val="99"/>
    <w:rsid w:val="00D92293"/>
    <w:pPr>
      <w:spacing w:line="181" w:lineRule="atLeast"/>
    </w:pPr>
    <w:rPr>
      <w:rFonts w:ascii="Gotham Narrow Bold" w:hAnsi="Gotham Narrow Bold" w:cstheme="minorBidi"/>
      <w:color w:val="auto"/>
    </w:rPr>
  </w:style>
  <w:style w:type="character" w:customStyle="1" w:styleId="A8">
    <w:name w:val="A8"/>
    <w:uiPriority w:val="99"/>
    <w:rsid w:val="00D92293"/>
    <w:rPr>
      <w:rFonts w:ascii="Gotham Narrow Medium" w:hAnsi="Gotham Narrow Medium" w:cs="Gotham Narrow Medium"/>
      <w:color w:val="211D1E"/>
      <w:sz w:val="14"/>
      <w:szCs w:val="14"/>
    </w:rPr>
  </w:style>
  <w:style w:type="character" w:styleId="BookTitle">
    <w:name w:val="Book Title"/>
    <w:basedOn w:val="DefaultParagraphFont"/>
    <w:uiPriority w:val="33"/>
    <w:qFormat/>
    <w:rsid w:val="00112D65"/>
    <w:rPr>
      <w:b/>
      <w:bCs/>
      <w:i/>
      <w:iCs/>
      <w:spacing w:val="5"/>
    </w:rPr>
  </w:style>
  <w:style w:type="character" w:customStyle="1" w:styleId="UnresolvedMention1">
    <w:name w:val="Unresolved Mention1"/>
    <w:basedOn w:val="DefaultParagraphFont"/>
    <w:uiPriority w:val="99"/>
    <w:semiHidden/>
    <w:unhideWhenUsed/>
    <w:rsid w:val="00C011AF"/>
    <w:rPr>
      <w:color w:val="605E5C"/>
      <w:shd w:val="clear" w:color="auto" w:fill="E1DFDD"/>
    </w:rPr>
  </w:style>
  <w:style w:type="paragraph" w:customStyle="1" w:styleId="paragraph">
    <w:name w:val="paragraph"/>
    <w:basedOn w:val="Normal"/>
    <w:rsid w:val="00187E1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87E16"/>
  </w:style>
  <w:style w:type="character" w:customStyle="1" w:styleId="eop">
    <w:name w:val="eop"/>
    <w:basedOn w:val="DefaultParagraphFont"/>
    <w:rsid w:val="00187E16"/>
  </w:style>
  <w:style w:type="character" w:customStyle="1" w:styleId="UnresolvedMention2">
    <w:name w:val="Unresolved Mention2"/>
    <w:basedOn w:val="DefaultParagraphFont"/>
    <w:uiPriority w:val="99"/>
    <w:semiHidden/>
    <w:unhideWhenUsed/>
    <w:rsid w:val="00D62E5B"/>
    <w:rPr>
      <w:color w:val="605E5C"/>
      <w:shd w:val="clear" w:color="auto" w:fill="E1DFDD"/>
    </w:rPr>
  </w:style>
  <w:style w:type="paragraph" w:customStyle="1" w:styleId="Alldotpoints">
    <w:name w:val="All dot points"/>
    <w:basedOn w:val="Normal"/>
    <w:link w:val="AlldotpointsChar"/>
    <w:qFormat/>
    <w:rsid w:val="009F2DDD"/>
    <w:pPr>
      <w:numPr>
        <w:numId w:val="8"/>
      </w:numPr>
      <w:spacing w:before="120" w:after="120" w:line="240" w:lineRule="auto"/>
    </w:pPr>
    <w:rPr>
      <w:rFonts w:ascii="Calibri Light" w:hAnsi="Calibri Light"/>
      <w:color w:val="58595B"/>
      <w:kern w:val="20"/>
      <w:sz w:val="24"/>
      <w:lang w:val="en-US" w:eastAsia="ja-JP"/>
    </w:rPr>
  </w:style>
  <w:style w:type="character" w:customStyle="1" w:styleId="AlldotpointsChar">
    <w:name w:val="All dot points Char"/>
    <w:basedOn w:val="DefaultParagraphFont"/>
    <w:link w:val="Alldotpoints"/>
    <w:rsid w:val="009F2DDD"/>
    <w:rPr>
      <w:rFonts w:ascii="Calibri Light" w:hAnsi="Calibri Light"/>
      <w:color w:val="58595B"/>
      <w:kern w:val="20"/>
      <w:sz w:val="24"/>
      <w:lang w:val="en-US" w:eastAsia="ja-JP"/>
    </w:rPr>
  </w:style>
  <w:style w:type="paragraph" w:customStyle="1" w:styleId="Indenteddotpoint">
    <w:name w:val="Indented dot point"/>
    <w:basedOn w:val="Alldotpoints"/>
    <w:qFormat/>
    <w:rsid w:val="009F2DDD"/>
    <w:pPr>
      <w:numPr>
        <w:ilvl w:val="1"/>
      </w:numPr>
    </w:pPr>
    <w:rPr>
      <w:iCs/>
    </w:rPr>
  </w:style>
  <w:style w:type="character" w:customStyle="1" w:styleId="UnresolvedMention3">
    <w:name w:val="Unresolved Mention3"/>
    <w:basedOn w:val="DefaultParagraphFont"/>
    <w:uiPriority w:val="99"/>
    <w:semiHidden/>
    <w:unhideWhenUsed/>
    <w:rsid w:val="00C7459C"/>
    <w:rPr>
      <w:color w:val="605E5C"/>
      <w:shd w:val="clear" w:color="auto" w:fill="E1DFDD"/>
    </w:rPr>
  </w:style>
  <w:style w:type="character" w:customStyle="1" w:styleId="ui-provider">
    <w:name w:val="ui-provider"/>
    <w:basedOn w:val="DefaultParagraphFont"/>
    <w:rsid w:val="002B0091"/>
  </w:style>
  <w:style w:type="paragraph" w:customStyle="1" w:styleId="TableTextBase">
    <w:name w:val="Table Text Base"/>
    <w:basedOn w:val="Normal"/>
    <w:link w:val="TableTextBaseChar"/>
    <w:rsid w:val="002F04C0"/>
    <w:pPr>
      <w:spacing w:before="60" w:after="60" w:line="240" w:lineRule="auto"/>
    </w:pPr>
    <w:rPr>
      <w:rFonts w:ascii="Arial" w:hAnsi="Arial" w:cs="Arial"/>
      <w:sz w:val="18"/>
      <w:lang w:val="en-US"/>
    </w:rPr>
  </w:style>
  <w:style w:type="character" w:customStyle="1" w:styleId="TableTextBaseChar">
    <w:name w:val="Table Text Base Char"/>
    <w:link w:val="TableTextBase"/>
    <w:locked/>
    <w:rsid w:val="002F04C0"/>
    <w:rPr>
      <w:rFonts w:ascii="Arial" w:hAnsi="Arial" w:cs="Arial"/>
      <w:sz w:val="18"/>
      <w:lang w:val="en-US"/>
    </w:rPr>
  </w:style>
  <w:style w:type="paragraph" w:customStyle="1" w:styleId="ChartandTableFootnoteAlpha">
    <w:name w:val="Chart and Table Footnote Alpha"/>
    <w:basedOn w:val="Normal"/>
    <w:next w:val="Normal"/>
    <w:rsid w:val="00490364"/>
    <w:pPr>
      <w:keepNext/>
      <w:keepLines/>
      <w:spacing w:after="0" w:line="260" w:lineRule="exact"/>
      <w:ind w:left="360" w:hanging="360"/>
      <w:jc w:val="both"/>
    </w:pPr>
    <w:rPr>
      <w:rFonts w:ascii="Arial" w:eastAsia="Times New Roman" w:hAnsi="Arial" w:cs="Times New Roman"/>
      <w:sz w:val="16"/>
      <w:szCs w:val="20"/>
      <w:lang w:eastAsia="en-AU"/>
    </w:rPr>
  </w:style>
  <w:style w:type="character" w:styleId="SmartLink">
    <w:name w:val="Smart Link"/>
    <w:basedOn w:val="DefaultParagraphFont"/>
    <w:uiPriority w:val="99"/>
    <w:semiHidden/>
    <w:unhideWhenUsed/>
    <w:rsid w:val="00E610C1"/>
    <w:rPr>
      <w:color w:val="0000FF"/>
      <w:u w:val="single"/>
      <w:shd w:val="clear" w:color="auto" w:fill="F3F2F1"/>
    </w:rPr>
  </w:style>
  <w:style w:type="character" w:styleId="UnresolvedMention">
    <w:name w:val="Unresolved Mention"/>
    <w:basedOn w:val="DefaultParagraphFont"/>
    <w:uiPriority w:val="99"/>
    <w:semiHidden/>
    <w:unhideWhenUsed/>
    <w:rsid w:val="001356B0"/>
    <w:rPr>
      <w:color w:val="605E5C"/>
      <w:shd w:val="clear" w:color="auto" w:fill="E1DFDD"/>
    </w:rPr>
  </w:style>
  <w:style w:type="paragraph" w:customStyle="1" w:styleId="DotPoints">
    <w:name w:val="DotPoints"/>
    <w:basedOn w:val="ListParagraph"/>
    <w:qFormat/>
    <w:rsid w:val="00EC67CE"/>
    <w:pPr>
      <w:numPr>
        <w:numId w:val="17"/>
      </w:numPr>
      <w:spacing w:before="60" w:after="60" w:line="240" w:lineRule="auto"/>
    </w:pPr>
    <w:rPr>
      <w:sz w:val="20"/>
    </w:rPr>
  </w:style>
  <w:style w:type="character" w:customStyle="1" w:styleId="s2">
    <w:name w:val="s2"/>
    <w:basedOn w:val="DefaultParagraphFont"/>
    <w:rsid w:val="00B931BC"/>
  </w:style>
  <w:style w:type="paragraph" w:customStyle="1" w:styleId="pf0">
    <w:name w:val="pf0"/>
    <w:basedOn w:val="Normal"/>
    <w:rsid w:val="00207AE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xxmsolistparagraph">
    <w:name w:val="x_xxmsolistparagraph"/>
    <w:basedOn w:val="Normal"/>
    <w:rsid w:val="00D918AE"/>
    <w:pPr>
      <w:spacing w:line="252" w:lineRule="auto"/>
      <w:ind w:left="720" w:hanging="360"/>
    </w:pPr>
    <w:rPr>
      <w:rFonts w:ascii="Calibri" w:hAnsi="Calibri" w:cs="Calibri"/>
      <w:lang w:eastAsia="en-AU"/>
    </w:rPr>
  </w:style>
  <w:style w:type="character" w:styleId="EndnoteReference">
    <w:name w:val="endnote reference"/>
    <w:basedOn w:val="DefaultParagraphFont"/>
    <w:uiPriority w:val="99"/>
    <w:semiHidden/>
    <w:unhideWhenUsed/>
    <w:rsid w:val="003C67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513">
      <w:bodyDiv w:val="1"/>
      <w:marLeft w:val="0"/>
      <w:marRight w:val="0"/>
      <w:marTop w:val="0"/>
      <w:marBottom w:val="0"/>
      <w:divBdr>
        <w:top w:val="none" w:sz="0" w:space="0" w:color="auto"/>
        <w:left w:val="none" w:sz="0" w:space="0" w:color="auto"/>
        <w:bottom w:val="none" w:sz="0" w:space="0" w:color="auto"/>
        <w:right w:val="none" w:sz="0" w:space="0" w:color="auto"/>
      </w:divBdr>
    </w:div>
    <w:div w:id="14430030">
      <w:bodyDiv w:val="1"/>
      <w:marLeft w:val="0"/>
      <w:marRight w:val="0"/>
      <w:marTop w:val="0"/>
      <w:marBottom w:val="0"/>
      <w:divBdr>
        <w:top w:val="none" w:sz="0" w:space="0" w:color="auto"/>
        <w:left w:val="none" w:sz="0" w:space="0" w:color="auto"/>
        <w:bottom w:val="none" w:sz="0" w:space="0" w:color="auto"/>
        <w:right w:val="none" w:sz="0" w:space="0" w:color="auto"/>
      </w:divBdr>
    </w:div>
    <w:div w:id="27339423">
      <w:bodyDiv w:val="1"/>
      <w:marLeft w:val="0"/>
      <w:marRight w:val="0"/>
      <w:marTop w:val="0"/>
      <w:marBottom w:val="0"/>
      <w:divBdr>
        <w:top w:val="none" w:sz="0" w:space="0" w:color="auto"/>
        <w:left w:val="none" w:sz="0" w:space="0" w:color="auto"/>
        <w:bottom w:val="none" w:sz="0" w:space="0" w:color="auto"/>
        <w:right w:val="none" w:sz="0" w:space="0" w:color="auto"/>
      </w:divBdr>
    </w:div>
    <w:div w:id="51006481">
      <w:bodyDiv w:val="1"/>
      <w:marLeft w:val="0"/>
      <w:marRight w:val="0"/>
      <w:marTop w:val="0"/>
      <w:marBottom w:val="0"/>
      <w:divBdr>
        <w:top w:val="none" w:sz="0" w:space="0" w:color="auto"/>
        <w:left w:val="none" w:sz="0" w:space="0" w:color="auto"/>
        <w:bottom w:val="none" w:sz="0" w:space="0" w:color="auto"/>
        <w:right w:val="none" w:sz="0" w:space="0" w:color="auto"/>
      </w:divBdr>
    </w:div>
    <w:div w:id="54354872">
      <w:bodyDiv w:val="1"/>
      <w:marLeft w:val="0"/>
      <w:marRight w:val="0"/>
      <w:marTop w:val="0"/>
      <w:marBottom w:val="0"/>
      <w:divBdr>
        <w:top w:val="none" w:sz="0" w:space="0" w:color="auto"/>
        <w:left w:val="none" w:sz="0" w:space="0" w:color="auto"/>
        <w:bottom w:val="none" w:sz="0" w:space="0" w:color="auto"/>
        <w:right w:val="none" w:sz="0" w:space="0" w:color="auto"/>
      </w:divBdr>
    </w:div>
    <w:div w:id="98181928">
      <w:bodyDiv w:val="1"/>
      <w:marLeft w:val="0"/>
      <w:marRight w:val="0"/>
      <w:marTop w:val="0"/>
      <w:marBottom w:val="0"/>
      <w:divBdr>
        <w:top w:val="none" w:sz="0" w:space="0" w:color="auto"/>
        <w:left w:val="none" w:sz="0" w:space="0" w:color="auto"/>
        <w:bottom w:val="none" w:sz="0" w:space="0" w:color="auto"/>
        <w:right w:val="none" w:sz="0" w:space="0" w:color="auto"/>
      </w:divBdr>
    </w:div>
    <w:div w:id="113597755">
      <w:bodyDiv w:val="1"/>
      <w:marLeft w:val="0"/>
      <w:marRight w:val="0"/>
      <w:marTop w:val="0"/>
      <w:marBottom w:val="0"/>
      <w:divBdr>
        <w:top w:val="none" w:sz="0" w:space="0" w:color="auto"/>
        <w:left w:val="none" w:sz="0" w:space="0" w:color="auto"/>
        <w:bottom w:val="none" w:sz="0" w:space="0" w:color="auto"/>
        <w:right w:val="none" w:sz="0" w:space="0" w:color="auto"/>
      </w:divBdr>
    </w:div>
    <w:div w:id="136848256">
      <w:bodyDiv w:val="1"/>
      <w:marLeft w:val="0"/>
      <w:marRight w:val="0"/>
      <w:marTop w:val="0"/>
      <w:marBottom w:val="0"/>
      <w:divBdr>
        <w:top w:val="none" w:sz="0" w:space="0" w:color="auto"/>
        <w:left w:val="none" w:sz="0" w:space="0" w:color="auto"/>
        <w:bottom w:val="none" w:sz="0" w:space="0" w:color="auto"/>
        <w:right w:val="none" w:sz="0" w:space="0" w:color="auto"/>
      </w:divBdr>
    </w:div>
    <w:div w:id="158693669">
      <w:bodyDiv w:val="1"/>
      <w:marLeft w:val="0"/>
      <w:marRight w:val="0"/>
      <w:marTop w:val="0"/>
      <w:marBottom w:val="0"/>
      <w:divBdr>
        <w:top w:val="none" w:sz="0" w:space="0" w:color="auto"/>
        <w:left w:val="none" w:sz="0" w:space="0" w:color="auto"/>
        <w:bottom w:val="none" w:sz="0" w:space="0" w:color="auto"/>
        <w:right w:val="none" w:sz="0" w:space="0" w:color="auto"/>
      </w:divBdr>
    </w:div>
    <w:div w:id="206768151">
      <w:bodyDiv w:val="1"/>
      <w:marLeft w:val="0"/>
      <w:marRight w:val="0"/>
      <w:marTop w:val="0"/>
      <w:marBottom w:val="0"/>
      <w:divBdr>
        <w:top w:val="none" w:sz="0" w:space="0" w:color="auto"/>
        <w:left w:val="none" w:sz="0" w:space="0" w:color="auto"/>
        <w:bottom w:val="none" w:sz="0" w:space="0" w:color="auto"/>
        <w:right w:val="none" w:sz="0" w:space="0" w:color="auto"/>
      </w:divBdr>
    </w:div>
    <w:div w:id="217478157">
      <w:bodyDiv w:val="1"/>
      <w:marLeft w:val="0"/>
      <w:marRight w:val="0"/>
      <w:marTop w:val="0"/>
      <w:marBottom w:val="0"/>
      <w:divBdr>
        <w:top w:val="none" w:sz="0" w:space="0" w:color="auto"/>
        <w:left w:val="none" w:sz="0" w:space="0" w:color="auto"/>
        <w:bottom w:val="none" w:sz="0" w:space="0" w:color="auto"/>
        <w:right w:val="none" w:sz="0" w:space="0" w:color="auto"/>
      </w:divBdr>
    </w:div>
    <w:div w:id="251936692">
      <w:bodyDiv w:val="1"/>
      <w:marLeft w:val="0"/>
      <w:marRight w:val="0"/>
      <w:marTop w:val="0"/>
      <w:marBottom w:val="0"/>
      <w:divBdr>
        <w:top w:val="none" w:sz="0" w:space="0" w:color="auto"/>
        <w:left w:val="none" w:sz="0" w:space="0" w:color="auto"/>
        <w:bottom w:val="none" w:sz="0" w:space="0" w:color="auto"/>
        <w:right w:val="none" w:sz="0" w:space="0" w:color="auto"/>
      </w:divBdr>
    </w:div>
    <w:div w:id="305672370">
      <w:bodyDiv w:val="1"/>
      <w:marLeft w:val="0"/>
      <w:marRight w:val="0"/>
      <w:marTop w:val="0"/>
      <w:marBottom w:val="0"/>
      <w:divBdr>
        <w:top w:val="none" w:sz="0" w:space="0" w:color="auto"/>
        <w:left w:val="none" w:sz="0" w:space="0" w:color="auto"/>
        <w:bottom w:val="none" w:sz="0" w:space="0" w:color="auto"/>
        <w:right w:val="none" w:sz="0" w:space="0" w:color="auto"/>
      </w:divBdr>
    </w:div>
    <w:div w:id="341782314">
      <w:bodyDiv w:val="1"/>
      <w:marLeft w:val="0"/>
      <w:marRight w:val="0"/>
      <w:marTop w:val="0"/>
      <w:marBottom w:val="0"/>
      <w:divBdr>
        <w:top w:val="none" w:sz="0" w:space="0" w:color="auto"/>
        <w:left w:val="none" w:sz="0" w:space="0" w:color="auto"/>
        <w:bottom w:val="none" w:sz="0" w:space="0" w:color="auto"/>
        <w:right w:val="none" w:sz="0" w:space="0" w:color="auto"/>
      </w:divBdr>
    </w:div>
    <w:div w:id="357630039">
      <w:bodyDiv w:val="1"/>
      <w:marLeft w:val="0"/>
      <w:marRight w:val="0"/>
      <w:marTop w:val="0"/>
      <w:marBottom w:val="0"/>
      <w:divBdr>
        <w:top w:val="none" w:sz="0" w:space="0" w:color="auto"/>
        <w:left w:val="none" w:sz="0" w:space="0" w:color="auto"/>
        <w:bottom w:val="none" w:sz="0" w:space="0" w:color="auto"/>
        <w:right w:val="none" w:sz="0" w:space="0" w:color="auto"/>
      </w:divBdr>
    </w:div>
    <w:div w:id="360975917">
      <w:bodyDiv w:val="1"/>
      <w:marLeft w:val="0"/>
      <w:marRight w:val="0"/>
      <w:marTop w:val="0"/>
      <w:marBottom w:val="0"/>
      <w:divBdr>
        <w:top w:val="none" w:sz="0" w:space="0" w:color="auto"/>
        <w:left w:val="none" w:sz="0" w:space="0" w:color="auto"/>
        <w:bottom w:val="none" w:sz="0" w:space="0" w:color="auto"/>
        <w:right w:val="none" w:sz="0" w:space="0" w:color="auto"/>
      </w:divBdr>
    </w:div>
    <w:div w:id="413404962">
      <w:bodyDiv w:val="1"/>
      <w:marLeft w:val="0"/>
      <w:marRight w:val="0"/>
      <w:marTop w:val="0"/>
      <w:marBottom w:val="0"/>
      <w:divBdr>
        <w:top w:val="none" w:sz="0" w:space="0" w:color="auto"/>
        <w:left w:val="none" w:sz="0" w:space="0" w:color="auto"/>
        <w:bottom w:val="none" w:sz="0" w:space="0" w:color="auto"/>
        <w:right w:val="none" w:sz="0" w:space="0" w:color="auto"/>
      </w:divBdr>
    </w:div>
    <w:div w:id="419640777">
      <w:bodyDiv w:val="1"/>
      <w:marLeft w:val="0"/>
      <w:marRight w:val="0"/>
      <w:marTop w:val="0"/>
      <w:marBottom w:val="0"/>
      <w:divBdr>
        <w:top w:val="none" w:sz="0" w:space="0" w:color="auto"/>
        <w:left w:val="none" w:sz="0" w:space="0" w:color="auto"/>
        <w:bottom w:val="none" w:sz="0" w:space="0" w:color="auto"/>
        <w:right w:val="none" w:sz="0" w:space="0" w:color="auto"/>
      </w:divBdr>
    </w:div>
    <w:div w:id="423575640">
      <w:bodyDiv w:val="1"/>
      <w:marLeft w:val="0"/>
      <w:marRight w:val="0"/>
      <w:marTop w:val="0"/>
      <w:marBottom w:val="0"/>
      <w:divBdr>
        <w:top w:val="none" w:sz="0" w:space="0" w:color="auto"/>
        <w:left w:val="none" w:sz="0" w:space="0" w:color="auto"/>
        <w:bottom w:val="none" w:sz="0" w:space="0" w:color="auto"/>
        <w:right w:val="none" w:sz="0" w:space="0" w:color="auto"/>
      </w:divBdr>
    </w:div>
    <w:div w:id="428043468">
      <w:bodyDiv w:val="1"/>
      <w:marLeft w:val="0"/>
      <w:marRight w:val="0"/>
      <w:marTop w:val="0"/>
      <w:marBottom w:val="0"/>
      <w:divBdr>
        <w:top w:val="none" w:sz="0" w:space="0" w:color="auto"/>
        <w:left w:val="none" w:sz="0" w:space="0" w:color="auto"/>
        <w:bottom w:val="none" w:sz="0" w:space="0" w:color="auto"/>
        <w:right w:val="none" w:sz="0" w:space="0" w:color="auto"/>
      </w:divBdr>
    </w:div>
    <w:div w:id="452747417">
      <w:bodyDiv w:val="1"/>
      <w:marLeft w:val="0"/>
      <w:marRight w:val="0"/>
      <w:marTop w:val="0"/>
      <w:marBottom w:val="0"/>
      <w:divBdr>
        <w:top w:val="none" w:sz="0" w:space="0" w:color="auto"/>
        <w:left w:val="none" w:sz="0" w:space="0" w:color="auto"/>
        <w:bottom w:val="none" w:sz="0" w:space="0" w:color="auto"/>
        <w:right w:val="none" w:sz="0" w:space="0" w:color="auto"/>
      </w:divBdr>
    </w:div>
    <w:div w:id="472021857">
      <w:bodyDiv w:val="1"/>
      <w:marLeft w:val="0"/>
      <w:marRight w:val="0"/>
      <w:marTop w:val="0"/>
      <w:marBottom w:val="0"/>
      <w:divBdr>
        <w:top w:val="none" w:sz="0" w:space="0" w:color="auto"/>
        <w:left w:val="none" w:sz="0" w:space="0" w:color="auto"/>
        <w:bottom w:val="none" w:sz="0" w:space="0" w:color="auto"/>
        <w:right w:val="none" w:sz="0" w:space="0" w:color="auto"/>
      </w:divBdr>
      <w:divsChild>
        <w:div w:id="184098125">
          <w:marLeft w:val="0"/>
          <w:marRight w:val="0"/>
          <w:marTop w:val="0"/>
          <w:marBottom w:val="0"/>
          <w:divBdr>
            <w:top w:val="none" w:sz="0" w:space="0" w:color="auto"/>
            <w:left w:val="none" w:sz="0" w:space="0" w:color="auto"/>
            <w:bottom w:val="none" w:sz="0" w:space="0" w:color="auto"/>
            <w:right w:val="none" w:sz="0" w:space="0" w:color="auto"/>
          </w:divBdr>
          <w:divsChild>
            <w:div w:id="41252349">
              <w:marLeft w:val="0"/>
              <w:marRight w:val="0"/>
              <w:marTop w:val="0"/>
              <w:marBottom w:val="0"/>
              <w:divBdr>
                <w:top w:val="none" w:sz="0" w:space="0" w:color="auto"/>
                <w:left w:val="none" w:sz="0" w:space="0" w:color="auto"/>
                <w:bottom w:val="none" w:sz="0" w:space="0" w:color="auto"/>
                <w:right w:val="none" w:sz="0" w:space="0" w:color="auto"/>
              </w:divBdr>
            </w:div>
          </w:divsChild>
        </w:div>
        <w:div w:id="213006865">
          <w:marLeft w:val="0"/>
          <w:marRight w:val="0"/>
          <w:marTop w:val="0"/>
          <w:marBottom w:val="0"/>
          <w:divBdr>
            <w:top w:val="none" w:sz="0" w:space="0" w:color="auto"/>
            <w:left w:val="none" w:sz="0" w:space="0" w:color="auto"/>
            <w:bottom w:val="none" w:sz="0" w:space="0" w:color="auto"/>
            <w:right w:val="none" w:sz="0" w:space="0" w:color="auto"/>
          </w:divBdr>
        </w:div>
        <w:div w:id="637078900">
          <w:marLeft w:val="0"/>
          <w:marRight w:val="0"/>
          <w:marTop w:val="0"/>
          <w:marBottom w:val="0"/>
          <w:divBdr>
            <w:top w:val="none" w:sz="0" w:space="0" w:color="auto"/>
            <w:left w:val="none" w:sz="0" w:space="0" w:color="auto"/>
            <w:bottom w:val="none" w:sz="0" w:space="0" w:color="auto"/>
            <w:right w:val="none" w:sz="0" w:space="0" w:color="auto"/>
          </w:divBdr>
        </w:div>
        <w:div w:id="788276855">
          <w:marLeft w:val="0"/>
          <w:marRight w:val="0"/>
          <w:marTop w:val="0"/>
          <w:marBottom w:val="0"/>
          <w:divBdr>
            <w:top w:val="none" w:sz="0" w:space="0" w:color="auto"/>
            <w:left w:val="none" w:sz="0" w:space="0" w:color="auto"/>
            <w:bottom w:val="none" w:sz="0" w:space="0" w:color="auto"/>
            <w:right w:val="none" w:sz="0" w:space="0" w:color="auto"/>
          </w:divBdr>
        </w:div>
        <w:div w:id="1138449640">
          <w:marLeft w:val="0"/>
          <w:marRight w:val="0"/>
          <w:marTop w:val="0"/>
          <w:marBottom w:val="0"/>
          <w:divBdr>
            <w:top w:val="none" w:sz="0" w:space="0" w:color="auto"/>
            <w:left w:val="none" w:sz="0" w:space="0" w:color="auto"/>
            <w:bottom w:val="none" w:sz="0" w:space="0" w:color="auto"/>
            <w:right w:val="none" w:sz="0" w:space="0" w:color="auto"/>
          </w:divBdr>
        </w:div>
        <w:div w:id="1331055035">
          <w:marLeft w:val="0"/>
          <w:marRight w:val="0"/>
          <w:marTop w:val="0"/>
          <w:marBottom w:val="0"/>
          <w:divBdr>
            <w:top w:val="none" w:sz="0" w:space="0" w:color="auto"/>
            <w:left w:val="none" w:sz="0" w:space="0" w:color="auto"/>
            <w:bottom w:val="none" w:sz="0" w:space="0" w:color="auto"/>
            <w:right w:val="none" w:sz="0" w:space="0" w:color="auto"/>
          </w:divBdr>
        </w:div>
      </w:divsChild>
    </w:div>
    <w:div w:id="488714979">
      <w:bodyDiv w:val="1"/>
      <w:marLeft w:val="0"/>
      <w:marRight w:val="0"/>
      <w:marTop w:val="0"/>
      <w:marBottom w:val="0"/>
      <w:divBdr>
        <w:top w:val="none" w:sz="0" w:space="0" w:color="auto"/>
        <w:left w:val="none" w:sz="0" w:space="0" w:color="auto"/>
        <w:bottom w:val="none" w:sz="0" w:space="0" w:color="auto"/>
        <w:right w:val="none" w:sz="0" w:space="0" w:color="auto"/>
      </w:divBdr>
    </w:div>
    <w:div w:id="495608791">
      <w:bodyDiv w:val="1"/>
      <w:marLeft w:val="0"/>
      <w:marRight w:val="0"/>
      <w:marTop w:val="0"/>
      <w:marBottom w:val="0"/>
      <w:divBdr>
        <w:top w:val="none" w:sz="0" w:space="0" w:color="auto"/>
        <w:left w:val="none" w:sz="0" w:space="0" w:color="auto"/>
        <w:bottom w:val="none" w:sz="0" w:space="0" w:color="auto"/>
        <w:right w:val="none" w:sz="0" w:space="0" w:color="auto"/>
      </w:divBdr>
    </w:div>
    <w:div w:id="500238913">
      <w:bodyDiv w:val="1"/>
      <w:marLeft w:val="0"/>
      <w:marRight w:val="0"/>
      <w:marTop w:val="0"/>
      <w:marBottom w:val="0"/>
      <w:divBdr>
        <w:top w:val="none" w:sz="0" w:space="0" w:color="auto"/>
        <w:left w:val="none" w:sz="0" w:space="0" w:color="auto"/>
        <w:bottom w:val="none" w:sz="0" w:space="0" w:color="auto"/>
        <w:right w:val="none" w:sz="0" w:space="0" w:color="auto"/>
      </w:divBdr>
    </w:div>
    <w:div w:id="500242217">
      <w:bodyDiv w:val="1"/>
      <w:marLeft w:val="0"/>
      <w:marRight w:val="0"/>
      <w:marTop w:val="0"/>
      <w:marBottom w:val="0"/>
      <w:divBdr>
        <w:top w:val="none" w:sz="0" w:space="0" w:color="auto"/>
        <w:left w:val="none" w:sz="0" w:space="0" w:color="auto"/>
        <w:bottom w:val="none" w:sz="0" w:space="0" w:color="auto"/>
        <w:right w:val="none" w:sz="0" w:space="0" w:color="auto"/>
      </w:divBdr>
    </w:div>
    <w:div w:id="504903347">
      <w:bodyDiv w:val="1"/>
      <w:marLeft w:val="0"/>
      <w:marRight w:val="0"/>
      <w:marTop w:val="0"/>
      <w:marBottom w:val="0"/>
      <w:divBdr>
        <w:top w:val="none" w:sz="0" w:space="0" w:color="auto"/>
        <w:left w:val="none" w:sz="0" w:space="0" w:color="auto"/>
        <w:bottom w:val="none" w:sz="0" w:space="0" w:color="auto"/>
        <w:right w:val="none" w:sz="0" w:space="0" w:color="auto"/>
      </w:divBdr>
    </w:div>
    <w:div w:id="529299050">
      <w:bodyDiv w:val="1"/>
      <w:marLeft w:val="0"/>
      <w:marRight w:val="0"/>
      <w:marTop w:val="0"/>
      <w:marBottom w:val="0"/>
      <w:divBdr>
        <w:top w:val="none" w:sz="0" w:space="0" w:color="auto"/>
        <w:left w:val="none" w:sz="0" w:space="0" w:color="auto"/>
        <w:bottom w:val="none" w:sz="0" w:space="0" w:color="auto"/>
        <w:right w:val="none" w:sz="0" w:space="0" w:color="auto"/>
      </w:divBdr>
    </w:div>
    <w:div w:id="531847884">
      <w:bodyDiv w:val="1"/>
      <w:marLeft w:val="0"/>
      <w:marRight w:val="0"/>
      <w:marTop w:val="0"/>
      <w:marBottom w:val="0"/>
      <w:divBdr>
        <w:top w:val="none" w:sz="0" w:space="0" w:color="auto"/>
        <w:left w:val="none" w:sz="0" w:space="0" w:color="auto"/>
        <w:bottom w:val="none" w:sz="0" w:space="0" w:color="auto"/>
        <w:right w:val="none" w:sz="0" w:space="0" w:color="auto"/>
      </w:divBdr>
    </w:div>
    <w:div w:id="551766688">
      <w:bodyDiv w:val="1"/>
      <w:marLeft w:val="0"/>
      <w:marRight w:val="0"/>
      <w:marTop w:val="0"/>
      <w:marBottom w:val="0"/>
      <w:divBdr>
        <w:top w:val="none" w:sz="0" w:space="0" w:color="auto"/>
        <w:left w:val="none" w:sz="0" w:space="0" w:color="auto"/>
        <w:bottom w:val="none" w:sz="0" w:space="0" w:color="auto"/>
        <w:right w:val="none" w:sz="0" w:space="0" w:color="auto"/>
      </w:divBdr>
    </w:div>
    <w:div w:id="559295372">
      <w:bodyDiv w:val="1"/>
      <w:marLeft w:val="0"/>
      <w:marRight w:val="0"/>
      <w:marTop w:val="0"/>
      <w:marBottom w:val="0"/>
      <w:divBdr>
        <w:top w:val="none" w:sz="0" w:space="0" w:color="auto"/>
        <w:left w:val="none" w:sz="0" w:space="0" w:color="auto"/>
        <w:bottom w:val="none" w:sz="0" w:space="0" w:color="auto"/>
        <w:right w:val="none" w:sz="0" w:space="0" w:color="auto"/>
      </w:divBdr>
    </w:div>
    <w:div w:id="561528868">
      <w:bodyDiv w:val="1"/>
      <w:marLeft w:val="0"/>
      <w:marRight w:val="0"/>
      <w:marTop w:val="0"/>
      <w:marBottom w:val="0"/>
      <w:divBdr>
        <w:top w:val="none" w:sz="0" w:space="0" w:color="auto"/>
        <w:left w:val="none" w:sz="0" w:space="0" w:color="auto"/>
        <w:bottom w:val="none" w:sz="0" w:space="0" w:color="auto"/>
        <w:right w:val="none" w:sz="0" w:space="0" w:color="auto"/>
      </w:divBdr>
    </w:div>
    <w:div w:id="565647885">
      <w:bodyDiv w:val="1"/>
      <w:marLeft w:val="0"/>
      <w:marRight w:val="0"/>
      <w:marTop w:val="0"/>
      <w:marBottom w:val="0"/>
      <w:divBdr>
        <w:top w:val="none" w:sz="0" w:space="0" w:color="auto"/>
        <w:left w:val="none" w:sz="0" w:space="0" w:color="auto"/>
        <w:bottom w:val="none" w:sz="0" w:space="0" w:color="auto"/>
        <w:right w:val="none" w:sz="0" w:space="0" w:color="auto"/>
      </w:divBdr>
    </w:div>
    <w:div w:id="570502874">
      <w:bodyDiv w:val="1"/>
      <w:marLeft w:val="0"/>
      <w:marRight w:val="0"/>
      <w:marTop w:val="0"/>
      <w:marBottom w:val="0"/>
      <w:divBdr>
        <w:top w:val="none" w:sz="0" w:space="0" w:color="auto"/>
        <w:left w:val="none" w:sz="0" w:space="0" w:color="auto"/>
        <w:bottom w:val="none" w:sz="0" w:space="0" w:color="auto"/>
        <w:right w:val="none" w:sz="0" w:space="0" w:color="auto"/>
      </w:divBdr>
    </w:div>
    <w:div w:id="586573656">
      <w:bodyDiv w:val="1"/>
      <w:marLeft w:val="0"/>
      <w:marRight w:val="0"/>
      <w:marTop w:val="0"/>
      <w:marBottom w:val="0"/>
      <w:divBdr>
        <w:top w:val="none" w:sz="0" w:space="0" w:color="auto"/>
        <w:left w:val="none" w:sz="0" w:space="0" w:color="auto"/>
        <w:bottom w:val="none" w:sz="0" w:space="0" w:color="auto"/>
        <w:right w:val="none" w:sz="0" w:space="0" w:color="auto"/>
      </w:divBdr>
    </w:div>
    <w:div w:id="592394807">
      <w:bodyDiv w:val="1"/>
      <w:marLeft w:val="0"/>
      <w:marRight w:val="0"/>
      <w:marTop w:val="0"/>
      <w:marBottom w:val="0"/>
      <w:divBdr>
        <w:top w:val="none" w:sz="0" w:space="0" w:color="auto"/>
        <w:left w:val="none" w:sz="0" w:space="0" w:color="auto"/>
        <w:bottom w:val="none" w:sz="0" w:space="0" w:color="auto"/>
        <w:right w:val="none" w:sz="0" w:space="0" w:color="auto"/>
      </w:divBdr>
    </w:div>
    <w:div w:id="603537880">
      <w:bodyDiv w:val="1"/>
      <w:marLeft w:val="0"/>
      <w:marRight w:val="0"/>
      <w:marTop w:val="0"/>
      <w:marBottom w:val="0"/>
      <w:divBdr>
        <w:top w:val="none" w:sz="0" w:space="0" w:color="auto"/>
        <w:left w:val="none" w:sz="0" w:space="0" w:color="auto"/>
        <w:bottom w:val="none" w:sz="0" w:space="0" w:color="auto"/>
        <w:right w:val="none" w:sz="0" w:space="0" w:color="auto"/>
      </w:divBdr>
    </w:div>
    <w:div w:id="612789642">
      <w:bodyDiv w:val="1"/>
      <w:marLeft w:val="0"/>
      <w:marRight w:val="0"/>
      <w:marTop w:val="0"/>
      <w:marBottom w:val="0"/>
      <w:divBdr>
        <w:top w:val="none" w:sz="0" w:space="0" w:color="auto"/>
        <w:left w:val="none" w:sz="0" w:space="0" w:color="auto"/>
        <w:bottom w:val="none" w:sz="0" w:space="0" w:color="auto"/>
        <w:right w:val="none" w:sz="0" w:space="0" w:color="auto"/>
      </w:divBdr>
    </w:div>
    <w:div w:id="624509356">
      <w:bodyDiv w:val="1"/>
      <w:marLeft w:val="0"/>
      <w:marRight w:val="0"/>
      <w:marTop w:val="0"/>
      <w:marBottom w:val="0"/>
      <w:divBdr>
        <w:top w:val="none" w:sz="0" w:space="0" w:color="auto"/>
        <w:left w:val="none" w:sz="0" w:space="0" w:color="auto"/>
        <w:bottom w:val="none" w:sz="0" w:space="0" w:color="auto"/>
        <w:right w:val="none" w:sz="0" w:space="0" w:color="auto"/>
      </w:divBdr>
    </w:div>
    <w:div w:id="635185253">
      <w:bodyDiv w:val="1"/>
      <w:marLeft w:val="0"/>
      <w:marRight w:val="0"/>
      <w:marTop w:val="0"/>
      <w:marBottom w:val="0"/>
      <w:divBdr>
        <w:top w:val="none" w:sz="0" w:space="0" w:color="auto"/>
        <w:left w:val="none" w:sz="0" w:space="0" w:color="auto"/>
        <w:bottom w:val="none" w:sz="0" w:space="0" w:color="auto"/>
        <w:right w:val="none" w:sz="0" w:space="0" w:color="auto"/>
      </w:divBdr>
    </w:div>
    <w:div w:id="659777370">
      <w:bodyDiv w:val="1"/>
      <w:marLeft w:val="0"/>
      <w:marRight w:val="0"/>
      <w:marTop w:val="0"/>
      <w:marBottom w:val="0"/>
      <w:divBdr>
        <w:top w:val="none" w:sz="0" w:space="0" w:color="auto"/>
        <w:left w:val="none" w:sz="0" w:space="0" w:color="auto"/>
        <w:bottom w:val="none" w:sz="0" w:space="0" w:color="auto"/>
        <w:right w:val="none" w:sz="0" w:space="0" w:color="auto"/>
      </w:divBdr>
    </w:div>
    <w:div w:id="666442831">
      <w:bodyDiv w:val="1"/>
      <w:marLeft w:val="0"/>
      <w:marRight w:val="0"/>
      <w:marTop w:val="0"/>
      <w:marBottom w:val="0"/>
      <w:divBdr>
        <w:top w:val="none" w:sz="0" w:space="0" w:color="auto"/>
        <w:left w:val="none" w:sz="0" w:space="0" w:color="auto"/>
        <w:bottom w:val="none" w:sz="0" w:space="0" w:color="auto"/>
        <w:right w:val="none" w:sz="0" w:space="0" w:color="auto"/>
      </w:divBdr>
    </w:div>
    <w:div w:id="668019127">
      <w:bodyDiv w:val="1"/>
      <w:marLeft w:val="0"/>
      <w:marRight w:val="0"/>
      <w:marTop w:val="0"/>
      <w:marBottom w:val="0"/>
      <w:divBdr>
        <w:top w:val="none" w:sz="0" w:space="0" w:color="auto"/>
        <w:left w:val="none" w:sz="0" w:space="0" w:color="auto"/>
        <w:bottom w:val="none" w:sz="0" w:space="0" w:color="auto"/>
        <w:right w:val="none" w:sz="0" w:space="0" w:color="auto"/>
      </w:divBdr>
    </w:div>
    <w:div w:id="669529112">
      <w:bodyDiv w:val="1"/>
      <w:marLeft w:val="0"/>
      <w:marRight w:val="0"/>
      <w:marTop w:val="0"/>
      <w:marBottom w:val="0"/>
      <w:divBdr>
        <w:top w:val="none" w:sz="0" w:space="0" w:color="auto"/>
        <w:left w:val="none" w:sz="0" w:space="0" w:color="auto"/>
        <w:bottom w:val="none" w:sz="0" w:space="0" w:color="auto"/>
        <w:right w:val="none" w:sz="0" w:space="0" w:color="auto"/>
      </w:divBdr>
    </w:div>
    <w:div w:id="687752042">
      <w:bodyDiv w:val="1"/>
      <w:marLeft w:val="0"/>
      <w:marRight w:val="0"/>
      <w:marTop w:val="0"/>
      <w:marBottom w:val="0"/>
      <w:divBdr>
        <w:top w:val="none" w:sz="0" w:space="0" w:color="auto"/>
        <w:left w:val="none" w:sz="0" w:space="0" w:color="auto"/>
        <w:bottom w:val="none" w:sz="0" w:space="0" w:color="auto"/>
        <w:right w:val="none" w:sz="0" w:space="0" w:color="auto"/>
      </w:divBdr>
    </w:div>
    <w:div w:id="702753443">
      <w:bodyDiv w:val="1"/>
      <w:marLeft w:val="0"/>
      <w:marRight w:val="0"/>
      <w:marTop w:val="0"/>
      <w:marBottom w:val="0"/>
      <w:divBdr>
        <w:top w:val="none" w:sz="0" w:space="0" w:color="auto"/>
        <w:left w:val="none" w:sz="0" w:space="0" w:color="auto"/>
        <w:bottom w:val="none" w:sz="0" w:space="0" w:color="auto"/>
        <w:right w:val="none" w:sz="0" w:space="0" w:color="auto"/>
      </w:divBdr>
    </w:div>
    <w:div w:id="704714232">
      <w:bodyDiv w:val="1"/>
      <w:marLeft w:val="0"/>
      <w:marRight w:val="0"/>
      <w:marTop w:val="0"/>
      <w:marBottom w:val="0"/>
      <w:divBdr>
        <w:top w:val="none" w:sz="0" w:space="0" w:color="auto"/>
        <w:left w:val="none" w:sz="0" w:space="0" w:color="auto"/>
        <w:bottom w:val="none" w:sz="0" w:space="0" w:color="auto"/>
        <w:right w:val="none" w:sz="0" w:space="0" w:color="auto"/>
      </w:divBdr>
    </w:div>
    <w:div w:id="729381653">
      <w:bodyDiv w:val="1"/>
      <w:marLeft w:val="0"/>
      <w:marRight w:val="0"/>
      <w:marTop w:val="0"/>
      <w:marBottom w:val="0"/>
      <w:divBdr>
        <w:top w:val="none" w:sz="0" w:space="0" w:color="auto"/>
        <w:left w:val="none" w:sz="0" w:space="0" w:color="auto"/>
        <w:bottom w:val="none" w:sz="0" w:space="0" w:color="auto"/>
        <w:right w:val="none" w:sz="0" w:space="0" w:color="auto"/>
      </w:divBdr>
    </w:div>
    <w:div w:id="741022369">
      <w:bodyDiv w:val="1"/>
      <w:marLeft w:val="0"/>
      <w:marRight w:val="0"/>
      <w:marTop w:val="0"/>
      <w:marBottom w:val="0"/>
      <w:divBdr>
        <w:top w:val="none" w:sz="0" w:space="0" w:color="auto"/>
        <w:left w:val="none" w:sz="0" w:space="0" w:color="auto"/>
        <w:bottom w:val="none" w:sz="0" w:space="0" w:color="auto"/>
        <w:right w:val="none" w:sz="0" w:space="0" w:color="auto"/>
      </w:divBdr>
    </w:div>
    <w:div w:id="755128501">
      <w:bodyDiv w:val="1"/>
      <w:marLeft w:val="0"/>
      <w:marRight w:val="0"/>
      <w:marTop w:val="0"/>
      <w:marBottom w:val="0"/>
      <w:divBdr>
        <w:top w:val="none" w:sz="0" w:space="0" w:color="auto"/>
        <w:left w:val="none" w:sz="0" w:space="0" w:color="auto"/>
        <w:bottom w:val="none" w:sz="0" w:space="0" w:color="auto"/>
        <w:right w:val="none" w:sz="0" w:space="0" w:color="auto"/>
      </w:divBdr>
    </w:div>
    <w:div w:id="774130243">
      <w:bodyDiv w:val="1"/>
      <w:marLeft w:val="0"/>
      <w:marRight w:val="0"/>
      <w:marTop w:val="0"/>
      <w:marBottom w:val="0"/>
      <w:divBdr>
        <w:top w:val="none" w:sz="0" w:space="0" w:color="auto"/>
        <w:left w:val="none" w:sz="0" w:space="0" w:color="auto"/>
        <w:bottom w:val="none" w:sz="0" w:space="0" w:color="auto"/>
        <w:right w:val="none" w:sz="0" w:space="0" w:color="auto"/>
      </w:divBdr>
    </w:div>
    <w:div w:id="781388329">
      <w:bodyDiv w:val="1"/>
      <w:marLeft w:val="0"/>
      <w:marRight w:val="0"/>
      <w:marTop w:val="0"/>
      <w:marBottom w:val="0"/>
      <w:divBdr>
        <w:top w:val="none" w:sz="0" w:space="0" w:color="auto"/>
        <w:left w:val="none" w:sz="0" w:space="0" w:color="auto"/>
        <w:bottom w:val="none" w:sz="0" w:space="0" w:color="auto"/>
        <w:right w:val="none" w:sz="0" w:space="0" w:color="auto"/>
      </w:divBdr>
    </w:div>
    <w:div w:id="787313271">
      <w:bodyDiv w:val="1"/>
      <w:marLeft w:val="0"/>
      <w:marRight w:val="0"/>
      <w:marTop w:val="0"/>
      <w:marBottom w:val="0"/>
      <w:divBdr>
        <w:top w:val="none" w:sz="0" w:space="0" w:color="auto"/>
        <w:left w:val="none" w:sz="0" w:space="0" w:color="auto"/>
        <w:bottom w:val="none" w:sz="0" w:space="0" w:color="auto"/>
        <w:right w:val="none" w:sz="0" w:space="0" w:color="auto"/>
      </w:divBdr>
      <w:divsChild>
        <w:div w:id="898830638">
          <w:marLeft w:val="0"/>
          <w:marRight w:val="0"/>
          <w:marTop w:val="0"/>
          <w:marBottom w:val="336"/>
          <w:divBdr>
            <w:top w:val="none" w:sz="0" w:space="0" w:color="auto"/>
            <w:left w:val="none" w:sz="0" w:space="0" w:color="auto"/>
            <w:bottom w:val="none" w:sz="0" w:space="0" w:color="auto"/>
            <w:right w:val="none" w:sz="0" w:space="0" w:color="auto"/>
          </w:divBdr>
        </w:div>
      </w:divsChild>
    </w:div>
    <w:div w:id="803623534">
      <w:bodyDiv w:val="1"/>
      <w:marLeft w:val="0"/>
      <w:marRight w:val="0"/>
      <w:marTop w:val="0"/>
      <w:marBottom w:val="0"/>
      <w:divBdr>
        <w:top w:val="none" w:sz="0" w:space="0" w:color="auto"/>
        <w:left w:val="none" w:sz="0" w:space="0" w:color="auto"/>
        <w:bottom w:val="none" w:sz="0" w:space="0" w:color="auto"/>
        <w:right w:val="none" w:sz="0" w:space="0" w:color="auto"/>
      </w:divBdr>
    </w:div>
    <w:div w:id="803885574">
      <w:bodyDiv w:val="1"/>
      <w:marLeft w:val="0"/>
      <w:marRight w:val="0"/>
      <w:marTop w:val="0"/>
      <w:marBottom w:val="0"/>
      <w:divBdr>
        <w:top w:val="none" w:sz="0" w:space="0" w:color="auto"/>
        <w:left w:val="none" w:sz="0" w:space="0" w:color="auto"/>
        <w:bottom w:val="none" w:sz="0" w:space="0" w:color="auto"/>
        <w:right w:val="none" w:sz="0" w:space="0" w:color="auto"/>
      </w:divBdr>
    </w:div>
    <w:div w:id="809634508">
      <w:bodyDiv w:val="1"/>
      <w:marLeft w:val="0"/>
      <w:marRight w:val="0"/>
      <w:marTop w:val="0"/>
      <w:marBottom w:val="0"/>
      <w:divBdr>
        <w:top w:val="none" w:sz="0" w:space="0" w:color="auto"/>
        <w:left w:val="none" w:sz="0" w:space="0" w:color="auto"/>
        <w:bottom w:val="none" w:sz="0" w:space="0" w:color="auto"/>
        <w:right w:val="none" w:sz="0" w:space="0" w:color="auto"/>
      </w:divBdr>
    </w:div>
    <w:div w:id="816185739">
      <w:bodyDiv w:val="1"/>
      <w:marLeft w:val="0"/>
      <w:marRight w:val="0"/>
      <w:marTop w:val="0"/>
      <w:marBottom w:val="0"/>
      <w:divBdr>
        <w:top w:val="none" w:sz="0" w:space="0" w:color="auto"/>
        <w:left w:val="none" w:sz="0" w:space="0" w:color="auto"/>
        <w:bottom w:val="none" w:sz="0" w:space="0" w:color="auto"/>
        <w:right w:val="none" w:sz="0" w:space="0" w:color="auto"/>
      </w:divBdr>
    </w:div>
    <w:div w:id="820342946">
      <w:bodyDiv w:val="1"/>
      <w:marLeft w:val="0"/>
      <w:marRight w:val="0"/>
      <w:marTop w:val="0"/>
      <w:marBottom w:val="0"/>
      <w:divBdr>
        <w:top w:val="none" w:sz="0" w:space="0" w:color="auto"/>
        <w:left w:val="none" w:sz="0" w:space="0" w:color="auto"/>
        <w:bottom w:val="none" w:sz="0" w:space="0" w:color="auto"/>
        <w:right w:val="none" w:sz="0" w:space="0" w:color="auto"/>
      </w:divBdr>
      <w:divsChild>
        <w:div w:id="1383558456">
          <w:marLeft w:val="0"/>
          <w:marRight w:val="0"/>
          <w:marTop w:val="0"/>
          <w:marBottom w:val="0"/>
          <w:divBdr>
            <w:top w:val="none" w:sz="0" w:space="0" w:color="auto"/>
            <w:left w:val="none" w:sz="0" w:space="0" w:color="auto"/>
            <w:bottom w:val="none" w:sz="0" w:space="0" w:color="auto"/>
            <w:right w:val="none" w:sz="0" w:space="0" w:color="auto"/>
          </w:divBdr>
        </w:div>
      </w:divsChild>
    </w:div>
    <w:div w:id="827212560">
      <w:bodyDiv w:val="1"/>
      <w:marLeft w:val="0"/>
      <w:marRight w:val="0"/>
      <w:marTop w:val="0"/>
      <w:marBottom w:val="0"/>
      <w:divBdr>
        <w:top w:val="none" w:sz="0" w:space="0" w:color="auto"/>
        <w:left w:val="none" w:sz="0" w:space="0" w:color="auto"/>
        <w:bottom w:val="none" w:sz="0" w:space="0" w:color="auto"/>
        <w:right w:val="none" w:sz="0" w:space="0" w:color="auto"/>
      </w:divBdr>
    </w:div>
    <w:div w:id="831143975">
      <w:bodyDiv w:val="1"/>
      <w:marLeft w:val="0"/>
      <w:marRight w:val="0"/>
      <w:marTop w:val="0"/>
      <w:marBottom w:val="0"/>
      <w:divBdr>
        <w:top w:val="none" w:sz="0" w:space="0" w:color="auto"/>
        <w:left w:val="none" w:sz="0" w:space="0" w:color="auto"/>
        <w:bottom w:val="none" w:sz="0" w:space="0" w:color="auto"/>
        <w:right w:val="none" w:sz="0" w:space="0" w:color="auto"/>
      </w:divBdr>
    </w:div>
    <w:div w:id="836576556">
      <w:bodyDiv w:val="1"/>
      <w:marLeft w:val="0"/>
      <w:marRight w:val="0"/>
      <w:marTop w:val="0"/>
      <w:marBottom w:val="0"/>
      <w:divBdr>
        <w:top w:val="none" w:sz="0" w:space="0" w:color="auto"/>
        <w:left w:val="none" w:sz="0" w:space="0" w:color="auto"/>
        <w:bottom w:val="none" w:sz="0" w:space="0" w:color="auto"/>
        <w:right w:val="none" w:sz="0" w:space="0" w:color="auto"/>
      </w:divBdr>
    </w:div>
    <w:div w:id="852379934">
      <w:bodyDiv w:val="1"/>
      <w:marLeft w:val="0"/>
      <w:marRight w:val="0"/>
      <w:marTop w:val="0"/>
      <w:marBottom w:val="0"/>
      <w:divBdr>
        <w:top w:val="none" w:sz="0" w:space="0" w:color="auto"/>
        <w:left w:val="none" w:sz="0" w:space="0" w:color="auto"/>
        <w:bottom w:val="none" w:sz="0" w:space="0" w:color="auto"/>
        <w:right w:val="none" w:sz="0" w:space="0" w:color="auto"/>
      </w:divBdr>
    </w:div>
    <w:div w:id="900794245">
      <w:bodyDiv w:val="1"/>
      <w:marLeft w:val="0"/>
      <w:marRight w:val="0"/>
      <w:marTop w:val="0"/>
      <w:marBottom w:val="0"/>
      <w:divBdr>
        <w:top w:val="none" w:sz="0" w:space="0" w:color="auto"/>
        <w:left w:val="none" w:sz="0" w:space="0" w:color="auto"/>
        <w:bottom w:val="none" w:sz="0" w:space="0" w:color="auto"/>
        <w:right w:val="none" w:sz="0" w:space="0" w:color="auto"/>
      </w:divBdr>
    </w:div>
    <w:div w:id="902300730">
      <w:bodyDiv w:val="1"/>
      <w:marLeft w:val="0"/>
      <w:marRight w:val="0"/>
      <w:marTop w:val="0"/>
      <w:marBottom w:val="0"/>
      <w:divBdr>
        <w:top w:val="none" w:sz="0" w:space="0" w:color="auto"/>
        <w:left w:val="none" w:sz="0" w:space="0" w:color="auto"/>
        <w:bottom w:val="none" w:sz="0" w:space="0" w:color="auto"/>
        <w:right w:val="none" w:sz="0" w:space="0" w:color="auto"/>
      </w:divBdr>
    </w:div>
    <w:div w:id="913666161">
      <w:bodyDiv w:val="1"/>
      <w:marLeft w:val="0"/>
      <w:marRight w:val="0"/>
      <w:marTop w:val="0"/>
      <w:marBottom w:val="0"/>
      <w:divBdr>
        <w:top w:val="none" w:sz="0" w:space="0" w:color="auto"/>
        <w:left w:val="none" w:sz="0" w:space="0" w:color="auto"/>
        <w:bottom w:val="none" w:sz="0" w:space="0" w:color="auto"/>
        <w:right w:val="none" w:sz="0" w:space="0" w:color="auto"/>
      </w:divBdr>
      <w:divsChild>
        <w:div w:id="1087768194">
          <w:marLeft w:val="0"/>
          <w:marRight w:val="0"/>
          <w:marTop w:val="0"/>
          <w:marBottom w:val="0"/>
          <w:divBdr>
            <w:top w:val="none" w:sz="0" w:space="0" w:color="auto"/>
            <w:left w:val="none" w:sz="0" w:space="0" w:color="auto"/>
            <w:bottom w:val="none" w:sz="0" w:space="0" w:color="auto"/>
            <w:right w:val="none" w:sz="0" w:space="0" w:color="auto"/>
          </w:divBdr>
        </w:div>
      </w:divsChild>
    </w:div>
    <w:div w:id="916523233">
      <w:bodyDiv w:val="1"/>
      <w:marLeft w:val="0"/>
      <w:marRight w:val="0"/>
      <w:marTop w:val="0"/>
      <w:marBottom w:val="0"/>
      <w:divBdr>
        <w:top w:val="none" w:sz="0" w:space="0" w:color="auto"/>
        <w:left w:val="none" w:sz="0" w:space="0" w:color="auto"/>
        <w:bottom w:val="none" w:sz="0" w:space="0" w:color="auto"/>
        <w:right w:val="none" w:sz="0" w:space="0" w:color="auto"/>
      </w:divBdr>
    </w:div>
    <w:div w:id="922488084">
      <w:bodyDiv w:val="1"/>
      <w:marLeft w:val="0"/>
      <w:marRight w:val="0"/>
      <w:marTop w:val="0"/>
      <w:marBottom w:val="0"/>
      <w:divBdr>
        <w:top w:val="none" w:sz="0" w:space="0" w:color="auto"/>
        <w:left w:val="none" w:sz="0" w:space="0" w:color="auto"/>
        <w:bottom w:val="none" w:sz="0" w:space="0" w:color="auto"/>
        <w:right w:val="none" w:sz="0" w:space="0" w:color="auto"/>
      </w:divBdr>
    </w:div>
    <w:div w:id="939798712">
      <w:bodyDiv w:val="1"/>
      <w:marLeft w:val="0"/>
      <w:marRight w:val="0"/>
      <w:marTop w:val="0"/>
      <w:marBottom w:val="0"/>
      <w:divBdr>
        <w:top w:val="none" w:sz="0" w:space="0" w:color="auto"/>
        <w:left w:val="none" w:sz="0" w:space="0" w:color="auto"/>
        <w:bottom w:val="none" w:sz="0" w:space="0" w:color="auto"/>
        <w:right w:val="none" w:sz="0" w:space="0" w:color="auto"/>
      </w:divBdr>
    </w:div>
    <w:div w:id="953559576">
      <w:bodyDiv w:val="1"/>
      <w:marLeft w:val="0"/>
      <w:marRight w:val="0"/>
      <w:marTop w:val="0"/>
      <w:marBottom w:val="0"/>
      <w:divBdr>
        <w:top w:val="none" w:sz="0" w:space="0" w:color="auto"/>
        <w:left w:val="none" w:sz="0" w:space="0" w:color="auto"/>
        <w:bottom w:val="none" w:sz="0" w:space="0" w:color="auto"/>
        <w:right w:val="none" w:sz="0" w:space="0" w:color="auto"/>
      </w:divBdr>
    </w:div>
    <w:div w:id="954098268">
      <w:bodyDiv w:val="1"/>
      <w:marLeft w:val="0"/>
      <w:marRight w:val="0"/>
      <w:marTop w:val="0"/>
      <w:marBottom w:val="0"/>
      <w:divBdr>
        <w:top w:val="none" w:sz="0" w:space="0" w:color="auto"/>
        <w:left w:val="none" w:sz="0" w:space="0" w:color="auto"/>
        <w:bottom w:val="none" w:sz="0" w:space="0" w:color="auto"/>
        <w:right w:val="none" w:sz="0" w:space="0" w:color="auto"/>
      </w:divBdr>
    </w:div>
    <w:div w:id="962030815">
      <w:bodyDiv w:val="1"/>
      <w:marLeft w:val="0"/>
      <w:marRight w:val="0"/>
      <w:marTop w:val="0"/>
      <w:marBottom w:val="0"/>
      <w:divBdr>
        <w:top w:val="none" w:sz="0" w:space="0" w:color="auto"/>
        <w:left w:val="none" w:sz="0" w:space="0" w:color="auto"/>
        <w:bottom w:val="none" w:sz="0" w:space="0" w:color="auto"/>
        <w:right w:val="none" w:sz="0" w:space="0" w:color="auto"/>
      </w:divBdr>
      <w:divsChild>
        <w:div w:id="1107695309">
          <w:marLeft w:val="0"/>
          <w:marRight w:val="0"/>
          <w:marTop w:val="0"/>
          <w:marBottom w:val="0"/>
          <w:divBdr>
            <w:top w:val="none" w:sz="0" w:space="0" w:color="auto"/>
            <w:left w:val="none" w:sz="0" w:space="0" w:color="auto"/>
            <w:bottom w:val="none" w:sz="0" w:space="0" w:color="auto"/>
            <w:right w:val="none" w:sz="0" w:space="0" w:color="auto"/>
          </w:divBdr>
        </w:div>
      </w:divsChild>
    </w:div>
    <w:div w:id="977417571">
      <w:bodyDiv w:val="1"/>
      <w:marLeft w:val="0"/>
      <w:marRight w:val="0"/>
      <w:marTop w:val="0"/>
      <w:marBottom w:val="0"/>
      <w:divBdr>
        <w:top w:val="none" w:sz="0" w:space="0" w:color="auto"/>
        <w:left w:val="none" w:sz="0" w:space="0" w:color="auto"/>
        <w:bottom w:val="none" w:sz="0" w:space="0" w:color="auto"/>
        <w:right w:val="none" w:sz="0" w:space="0" w:color="auto"/>
      </w:divBdr>
    </w:div>
    <w:div w:id="982613381">
      <w:bodyDiv w:val="1"/>
      <w:marLeft w:val="0"/>
      <w:marRight w:val="0"/>
      <w:marTop w:val="0"/>
      <w:marBottom w:val="0"/>
      <w:divBdr>
        <w:top w:val="none" w:sz="0" w:space="0" w:color="auto"/>
        <w:left w:val="none" w:sz="0" w:space="0" w:color="auto"/>
        <w:bottom w:val="none" w:sz="0" w:space="0" w:color="auto"/>
        <w:right w:val="none" w:sz="0" w:space="0" w:color="auto"/>
      </w:divBdr>
    </w:div>
    <w:div w:id="1008294086">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59792326">
      <w:bodyDiv w:val="1"/>
      <w:marLeft w:val="0"/>
      <w:marRight w:val="0"/>
      <w:marTop w:val="0"/>
      <w:marBottom w:val="0"/>
      <w:divBdr>
        <w:top w:val="none" w:sz="0" w:space="0" w:color="auto"/>
        <w:left w:val="none" w:sz="0" w:space="0" w:color="auto"/>
        <w:bottom w:val="none" w:sz="0" w:space="0" w:color="auto"/>
        <w:right w:val="none" w:sz="0" w:space="0" w:color="auto"/>
      </w:divBdr>
    </w:div>
    <w:div w:id="1087920112">
      <w:bodyDiv w:val="1"/>
      <w:marLeft w:val="0"/>
      <w:marRight w:val="0"/>
      <w:marTop w:val="0"/>
      <w:marBottom w:val="0"/>
      <w:divBdr>
        <w:top w:val="none" w:sz="0" w:space="0" w:color="auto"/>
        <w:left w:val="none" w:sz="0" w:space="0" w:color="auto"/>
        <w:bottom w:val="none" w:sz="0" w:space="0" w:color="auto"/>
        <w:right w:val="none" w:sz="0" w:space="0" w:color="auto"/>
      </w:divBdr>
    </w:div>
    <w:div w:id="1100679521">
      <w:bodyDiv w:val="1"/>
      <w:marLeft w:val="0"/>
      <w:marRight w:val="0"/>
      <w:marTop w:val="0"/>
      <w:marBottom w:val="0"/>
      <w:divBdr>
        <w:top w:val="none" w:sz="0" w:space="0" w:color="auto"/>
        <w:left w:val="none" w:sz="0" w:space="0" w:color="auto"/>
        <w:bottom w:val="none" w:sz="0" w:space="0" w:color="auto"/>
        <w:right w:val="none" w:sz="0" w:space="0" w:color="auto"/>
      </w:divBdr>
    </w:div>
    <w:div w:id="1114714354">
      <w:bodyDiv w:val="1"/>
      <w:marLeft w:val="0"/>
      <w:marRight w:val="0"/>
      <w:marTop w:val="0"/>
      <w:marBottom w:val="0"/>
      <w:divBdr>
        <w:top w:val="none" w:sz="0" w:space="0" w:color="auto"/>
        <w:left w:val="none" w:sz="0" w:space="0" w:color="auto"/>
        <w:bottom w:val="none" w:sz="0" w:space="0" w:color="auto"/>
        <w:right w:val="none" w:sz="0" w:space="0" w:color="auto"/>
      </w:divBdr>
      <w:divsChild>
        <w:div w:id="1213812226">
          <w:marLeft w:val="274"/>
          <w:marRight w:val="0"/>
          <w:marTop w:val="0"/>
          <w:marBottom w:val="100"/>
          <w:divBdr>
            <w:top w:val="none" w:sz="0" w:space="0" w:color="auto"/>
            <w:left w:val="none" w:sz="0" w:space="0" w:color="auto"/>
            <w:bottom w:val="none" w:sz="0" w:space="0" w:color="auto"/>
            <w:right w:val="none" w:sz="0" w:space="0" w:color="auto"/>
          </w:divBdr>
        </w:div>
      </w:divsChild>
    </w:div>
    <w:div w:id="1119453047">
      <w:bodyDiv w:val="1"/>
      <w:marLeft w:val="0"/>
      <w:marRight w:val="0"/>
      <w:marTop w:val="0"/>
      <w:marBottom w:val="0"/>
      <w:divBdr>
        <w:top w:val="none" w:sz="0" w:space="0" w:color="auto"/>
        <w:left w:val="none" w:sz="0" w:space="0" w:color="auto"/>
        <w:bottom w:val="none" w:sz="0" w:space="0" w:color="auto"/>
        <w:right w:val="none" w:sz="0" w:space="0" w:color="auto"/>
      </w:divBdr>
    </w:div>
    <w:div w:id="1122115654">
      <w:bodyDiv w:val="1"/>
      <w:marLeft w:val="0"/>
      <w:marRight w:val="0"/>
      <w:marTop w:val="0"/>
      <w:marBottom w:val="0"/>
      <w:divBdr>
        <w:top w:val="none" w:sz="0" w:space="0" w:color="auto"/>
        <w:left w:val="none" w:sz="0" w:space="0" w:color="auto"/>
        <w:bottom w:val="none" w:sz="0" w:space="0" w:color="auto"/>
        <w:right w:val="none" w:sz="0" w:space="0" w:color="auto"/>
      </w:divBdr>
    </w:div>
    <w:div w:id="1125923757">
      <w:bodyDiv w:val="1"/>
      <w:marLeft w:val="0"/>
      <w:marRight w:val="0"/>
      <w:marTop w:val="0"/>
      <w:marBottom w:val="0"/>
      <w:divBdr>
        <w:top w:val="none" w:sz="0" w:space="0" w:color="auto"/>
        <w:left w:val="none" w:sz="0" w:space="0" w:color="auto"/>
        <w:bottom w:val="none" w:sz="0" w:space="0" w:color="auto"/>
        <w:right w:val="none" w:sz="0" w:space="0" w:color="auto"/>
      </w:divBdr>
    </w:div>
    <w:div w:id="1126891925">
      <w:bodyDiv w:val="1"/>
      <w:marLeft w:val="0"/>
      <w:marRight w:val="0"/>
      <w:marTop w:val="0"/>
      <w:marBottom w:val="0"/>
      <w:divBdr>
        <w:top w:val="none" w:sz="0" w:space="0" w:color="auto"/>
        <w:left w:val="none" w:sz="0" w:space="0" w:color="auto"/>
        <w:bottom w:val="none" w:sz="0" w:space="0" w:color="auto"/>
        <w:right w:val="none" w:sz="0" w:space="0" w:color="auto"/>
      </w:divBdr>
    </w:div>
    <w:div w:id="1155293560">
      <w:bodyDiv w:val="1"/>
      <w:marLeft w:val="0"/>
      <w:marRight w:val="0"/>
      <w:marTop w:val="0"/>
      <w:marBottom w:val="0"/>
      <w:divBdr>
        <w:top w:val="none" w:sz="0" w:space="0" w:color="auto"/>
        <w:left w:val="none" w:sz="0" w:space="0" w:color="auto"/>
        <w:bottom w:val="none" w:sz="0" w:space="0" w:color="auto"/>
        <w:right w:val="none" w:sz="0" w:space="0" w:color="auto"/>
      </w:divBdr>
    </w:div>
    <w:div w:id="1165436170">
      <w:bodyDiv w:val="1"/>
      <w:marLeft w:val="0"/>
      <w:marRight w:val="0"/>
      <w:marTop w:val="0"/>
      <w:marBottom w:val="0"/>
      <w:divBdr>
        <w:top w:val="none" w:sz="0" w:space="0" w:color="auto"/>
        <w:left w:val="none" w:sz="0" w:space="0" w:color="auto"/>
        <w:bottom w:val="none" w:sz="0" w:space="0" w:color="auto"/>
        <w:right w:val="none" w:sz="0" w:space="0" w:color="auto"/>
      </w:divBdr>
    </w:div>
    <w:div w:id="1171287940">
      <w:bodyDiv w:val="1"/>
      <w:marLeft w:val="0"/>
      <w:marRight w:val="0"/>
      <w:marTop w:val="0"/>
      <w:marBottom w:val="0"/>
      <w:divBdr>
        <w:top w:val="none" w:sz="0" w:space="0" w:color="auto"/>
        <w:left w:val="none" w:sz="0" w:space="0" w:color="auto"/>
        <w:bottom w:val="none" w:sz="0" w:space="0" w:color="auto"/>
        <w:right w:val="none" w:sz="0" w:space="0" w:color="auto"/>
      </w:divBdr>
    </w:div>
    <w:div w:id="1196578221">
      <w:bodyDiv w:val="1"/>
      <w:marLeft w:val="0"/>
      <w:marRight w:val="0"/>
      <w:marTop w:val="0"/>
      <w:marBottom w:val="0"/>
      <w:divBdr>
        <w:top w:val="none" w:sz="0" w:space="0" w:color="auto"/>
        <w:left w:val="none" w:sz="0" w:space="0" w:color="auto"/>
        <w:bottom w:val="none" w:sz="0" w:space="0" w:color="auto"/>
        <w:right w:val="none" w:sz="0" w:space="0" w:color="auto"/>
      </w:divBdr>
    </w:div>
    <w:div w:id="1218517191">
      <w:bodyDiv w:val="1"/>
      <w:marLeft w:val="0"/>
      <w:marRight w:val="0"/>
      <w:marTop w:val="0"/>
      <w:marBottom w:val="0"/>
      <w:divBdr>
        <w:top w:val="none" w:sz="0" w:space="0" w:color="auto"/>
        <w:left w:val="none" w:sz="0" w:space="0" w:color="auto"/>
        <w:bottom w:val="none" w:sz="0" w:space="0" w:color="auto"/>
        <w:right w:val="none" w:sz="0" w:space="0" w:color="auto"/>
      </w:divBdr>
    </w:div>
    <w:div w:id="1225945290">
      <w:bodyDiv w:val="1"/>
      <w:marLeft w:val="0"/>
      <w:marRight w:val="0"/>
      <w:marTop w:val="0"/>
      <w:marBottom w:val="0"/>
      <w:divBdr>
        <w:top w:val="none" w:sz="0" w:space="0" w:color="auto"/>
        <w:left w:val="none" w:sz="0" w:space="0" w:color="auto"/>
        <w:bottom w:val="none" w:sz="0" w:space="0" w:color="auto"/>
        <w:right w:val="none" w:sz="0" w:space="0" w:color="auto"/>
      </w:divBdr>
    </w:div>
    <w:div w:id="1228225749">
      <w:bodyDiv w:val="1"/>
      <w:marLeft w:val="0"/>
      <w:marRight w:val="0"/>
      <w:marTop w:val="0"/>
      <w:marBottom w:val="0"/>
      <w:divBdr>
        <w:top w:val="none" w:sz="0" w:space="0" w:color="auto"/>
        <w:left w:val="none" w:sz="0" w:space="0" w:color="auto"/>
        <w:bottom w:val="none" w:sz="0" w:space="0" w:color="auto"/>
        <w:right w:val="none" w:sz="0" w:space="0" w:color="auto"/>
      </w:divBdr>
    </w:div>
    <w:div w:id="1228800432">
      <w:bodyDiv w:val="1"/>
      <w:marLeft w:val="0"/>
      <w:marRight w:val="0"/>
      <w:marTop w:val="0"/>
      <w:marBottom w:val="0"/>
      <w:divBdr>
        <w:top w:val="none" w:sz="0" w:space="0" w:color="auto"/>
        <w:left w:val="none" w:sz="0" w:space="0" w:color="auto"/>
        <w:bottom w:val="none" w:sz="0" w:space="0" w:color="auto"/>
        <w:right w:val="none" w:sz="0" w:space="0" w:color="auto"/>
      </w:divBdr>
    </w:div>
    <w:div w:id="1230581339">
      <w:bodyDiv w:val="1"/>
      <w:marLeft w:val="0"/>
      <w:marRight w:val="0"/>
      <w:marTop w:val="0"/>
      <w:marBottom w:val="0"/>
      <w:divBdr>
        <w:top w:val="none" w:sz="0" w:space="0" w:color="auto"/>
        <w:left w:val="none" w:sz="0" w:space="0" w:color="auto"/>
        <w:bottom w:val="none" w:sz="0" w:space="0" w:color="auto"/>
        <w:right w:val="none" w:sz="0" w:space="0" w:color="auto"/>
      </w:divBdr>
    </w:div>
    <w:div w:id="1231382721">
      <w:bodyDiv w:val="1"/>
      <w:marLeft w:val="0"/>
      <w:marRight w:val="0"/>
      <w:marTop w:val="0"/>
      <w:marBottom w:val="0"/>
      <w:divBdr>
        <w:top w:val="none" w:sz="0" w:space="0" w:color="auto"/>
        <w:left w:val="none" w:sz="0" w:space="0" w:color="auto"/>
        <w:bottom w:val="none" w:sz="0" w:space="0" w:color="auto"/>
        <w:right w:val="none" w:sz="0" w:space="0" w:color="auto"/>
      </w:divBdr>
    </w:div>
    <w:div w:id="1244949854">
      <w:bodyDiv w:val="1"/>
      <w:marLeft w:val="0"/>
      <w:marRight w:val="0"/>
      <w:marTop w:val="0"/>
      <w:marBottom w:val="0"/>
      <w:divBdr>
        <w:top w:val="none" w:sz="0" w:space="0" w:color="auto"/>
        <w:left w:val="none" w:sz="0" w:space="0" w:color="auto"/>
        <w:bottom w:val="none" w:sz="0" w:space="0" w:color="auto"/>
        <w:right w:val="none" w:sz="0" w:space="0" w:color="auto"/>
      </w:divBdr>
    </w:div>
    <w:div w:id="1272275351">
      <w:bodyDiv w:val="1"/>
      <w:marLeft w:val="0"/>
      <w:marRight w:val="0"/>
      <w:marTop w:val="0"/>
      <w:marBottom w:val="0"/>
      <w:divBdr>
        <w:top w:val="none" w:sz="0" w:space="0" w:color="auto"/>
        <w:left w:val="none" w:sz="0" w:space="0" w:color="auto"/>
        <w:bottom w:val="none" w:sz="0" w:space="0" w:color="auto"/>
        <w:right w:val="none" w:sz="0" w:space="0" w:color="auto"/>
      </w:divBdr>
    </w:div>
    <w:div w:id="1276061310">
      <w:bodyDiv w:val="1"/>
      <w:marLeft w:val="0"/>
      <w:marRight w:val="0"/>
      <w:marTop w:val="0"/>
      <w:marBottom w:val="0"/>
      <w:divBdr>
        <w:top w:val="none" w:sz="0" w:space="0" w:color="auto"/>
        <w:left w:val="none" w:sz="0" w:space="0" w:color="auto"/>
        <w:bottom w:val="none" w:sz="0" w:space="0" w:color="auto"/>
        <w:right w:val="none" w:sz="0" w:space="0" w:color="auto"/>
      </w:divBdr>
    </w:div>
    <w:div w:id="1293710991">
      <w:bodyDiv w:val="1"/>
      <w:marLeft w:val="0"/>
      <w:marRight w:val="0"/>
      <w:marTop w:val="0"/>
      <w:marBottom w:val="0"/>
      <w:divBdr>
        <w:top w:val="none" w:sz="0" w:space="0" w:color="auto"/>
        <w:left w:val="none" w:sz="0" w:space="0" w:color="auto"/>
        <w:bottom w:val="none" w:sz="0" w:space="0" w:color="auto"/>
        <w:right w:val="none" w:sz="0" w:space="0" w:color="auto"/>
      </w:divBdr>
    </w:div>
    <w:div w:id="1304848428">
      <w:bodyDiv w:val="1"/>
      <w:marLeft w:val="0"/>
      <w:marRight w:val="0"/>
      <w:marTop w:val="0"/>
      <w:marBottom w:val="0"/>
      <w:divBdr>
        <w:top w:val="none" w:sz="0" w:space="0" w:color="auto"/>
        <w:left w:val="none" w:sz="0" w:space="0" w:color="auto"/>
        <w:bottom w:val="none" w:sz="0" w:space="0" w:color="auto"/>
        <w:right w:val="none" w:sz="0" w:space="0" w:color="auto"/>
      </w:divBdr>
    </w:div>
    <w:div w:id="1330058569">
      <w:bodyDiv w:val="1"/>
      <w:marLeft w:val="0"/>
      <w:marRight w:val="0"/>
      <w:marTop w:val="0"/>
      <w:marBottom w:val="0"/>
      <w:divBdr>
        <w:top w:val="none" w:sz="0" w:space="0" w:color="auto"/>
        <w:left w:val="none" w:sz="0" w:space="0" w:color="auto"/>
        <w:bottom w:val="none" w:sz="0" w:space="0" w:color="auto"/>
        <w:right w:val="none" w:sz="0" w:space="0" w:color="auto"/>
      </w:divBdr>
      <w:divsChild>
        <w:div w:id="1153793835">
          <w:marLeft w:val="0"/>
          <w:marRight w:val="0"/>
          <w:marTop w:val="0"/>
          <w:marBottom w:val="336"/>
          <w:divBdr>
            <w:top w:val="none" w:sz="0" w:space="0" w:color="auto"/>
            <w:left w:val="none" w:sz="0" w:space="0" w:color="auto"/>
            <w:bottom w:val="none" w:sz="0" w:space="0" w:color="auto"/>
            <w:right w:val="none" w:sz="0" w:space="0" w:color="auto"/>
          </w:divBdr>
        </w:div>
      </w:divsChild>
    </w:div>
    <w:div w:id="1333530442">
      <w:bodyDiv w:val="1"/>
      <w:marLeft w:val="0"/>
      <w:marRight w:val="0"/>
      <w:marTop w:val="0"/>
      <w:marBottom w:val="0"/>
      <w:divBdr>
        <w:top w:val="none" w:sz="0" w:space="0" w:color="auto"/>
        <w:left w:val="none" w:sz="0" w:space="0" w:color="auto"/>
        <w:bottom w:val="none" w:sz="0" w:space="0" w:color="auto"/>
        <w:right w:val="none" w:sz="0" w:space="0" w:color="auto"/>
      </w:divBdr>
    </w:div>
    <w:div w:id="1339650534">
      <w:bodyDiv w:val="1"/>
      <w:marLeft w:val="0"/>
      <w:marRight w:val="0"/>
      <w:marTop w:val="0"/>
      <w:marBottom w:val="0"/>
      <w:divBdr>
        <w:top w:val="none" w:sz="0" w:space="0" w:color="auto"/>
        <w:left w:val="none" w:sz="0" w:space="0" w:color="auto"/>
        <w:bottom w:val="none" w:sz="0" w:space="0" w:color="auto"/>
        <w:right w:val="none" w:sz="0" w:space="0" w:color="auto"/>
      </w:divBdr>
    </w:div>
    <w:div w:id="1359743855">
      <w:bodyDiv w:val="1"/>
      <w:marLeft w:val="0"/>
      <w:marRight w:val="0"/>
      <w:marTop w:val="0"/>
      <w:marBottom w:val="0"/>
      <w:divBdr>
        <w:top w:val="none" w:sz="0" w:space="0" w:color="auto"/>
        <w:left w:val="none" w:sz="0" w:space="0" w:color="auto"/>
        <w:bottom w:val="none" w:sz="0" w:space="0" w:color="auto"/>
        <w:right w:val="none" w:sz="0" w:space="0" w:color="auto"/>
      </w:divBdr>
    </w:div>
    <w:div w:id="1362389844">
      <w:bodyDiv w:val="1"/>
      <w:marLeft w:val="0"/>
      <w:marRight w:val="0"/>
      <w:marTop w:val="0"/>
      <w:marBottom w:val="0"/>
      <w:divBdr>
        <w:top w:val="none" w:sz="0" w:space="0" w:color="auto"/>
        <w:left w:val="none" w:sz="0" w:space="0" w:color="auto"/>
        <w:bottom w:val="none" w:sz="0" w:space="0" w:color="auto"/>
        <w:right w:val="none" w:sz="0" w:space="0" w:color="auto"/>
      </w:divBdr>
    </w:div>
    <w:div w:id="1374961804">
      <w:bodyDiv w:val="1"/>
      <w:marLeft w:val="0"/>
      <w:marRight w:val="0"/>
      <w:marTop w:val="0"/>
      <w:marBottom w:val="0"/>
      <w:divBdr>
        <w:top w:val="none" w:sz="0" w:space="0" w:color="auto"/>
        <w:left w:val="none" w:sz="0" w:space="0" w:color="auto"/>
        <w:bottom w:val="none" w:sz="0" w:space="0" w:color="auto"/>
        <w:right w:val="none" w:sz="0" w:space="0" w:color="auto"/>
      </w:divBdr>
    </w:div>
    <w:div w:id="1382630562">
      <w:bodyDiv w:val="1"/>
      <w:marLeft w:val="0"/>
      <w:marRight w:val="0"/>
      <w:marTop w:val="0"/>
      <w:marBottom w:val="0"/>
      <w:divBdr>
        <w:top w:val="none" w:sz="0" w:space="0" w:color="auto"/>
        <w:left w:val="none" w:sz="0" w:space="0" w:color="auto"/>
        <w:bottom w:val="none" w:sz="0" w:space="0" w:color="auto"/>
        <w:right w:val="none" w:sz="0" w:space="0" w:color="auto"/>
      </w:divBdr>
    </w:div>
    <w:div w:id="1383402090">
      <w:bodyDiv w:val="1"/>
      <w:marLeft w:val="0"/>
      <w:marRight w:val="0"/>
      <w:marTop w:val="0"/>
      <w:marBottom w:val="0"/>
      <w:divBdr>
        <w:top w:val="none" w:sz="0" w:space="0" w:color="auto"/>
        <w:left w:val="none" w:sz="0" w:space="0" w:color="auto"/>
        <w:bottom w:val="none" w:sz="0" w:space="0" w:color="auto"/>
        <w:right w:val="none" w:sz="0" w:space="0" w:color="auto"/>
      </w:divBdr>
    </w:div>
    <w:div w:id="1407996226">
      <w:bodyDiv w:val="1"/>
      <w:marLeft w:val="0"/>
      <w:marRight w:val="0"/>
      <w:marTop w:val="0"/>
      <w:marBottom w:val="0"/>
      <w:divBdr>
        <w:top w:val="none" w:sz="0" w:space="0" w:color="auto"/>
        <w:left w:val="none" w:sz="0" w:space="0" w:color="auto"/>
        <w:bottom w:val="none" w:sz="0" w:space="0" w:color="auto"/>
        <w:right w:val="none" w:sz="0" w:space="0" w:color="auto"/>
      </w:divBdr>
    </w:div>
    <w:div w:id="1421217275">
      <w:bodyDiv w:val="1"/>
      <w:marLeft w:val="0"/>
      <w:marRight w:val="0"/>
      <w:marTop w:val="0"/>
      <w:marBottom w:val="0"/>
      <w:divBdr>
        <w:top w:val="none" w:sz="0" w:space="0" w:color="auto"/>
        <w:left w:val="none" w:sz="0" w:space="0" w:color="auto"/>
        <w:bottom w:val="none" w:sz="0" w:space="0" w:color="auto"/>
        <w:right w:val="none" w:sz="0" w:space="0" w:color="auto"/>
      </w:divBdr>
    </w:div>
    <w:div w:id="1447193667">
      <w:bodyDiv w:val="1"/>
      <w:marLeft w:val="0"/>
      <w:marRight w:val="0"/>
      <w:marTop w:val="0"/>
      <w:marBottom w:val="0"/>
      <w:divBdr>
        <w:top w:val="none" w:sz="0" w:space="0" w:color="auto"/>
        <w:left w:val="none" w:sz="0" w:space="0" w:color="auto"/>
        <w:bottom w:val="none" w:sz="0" w:space="0" w:color="auto"/>
        <w:right w:val="none" w:sz="0" w:space="0" w:color="auto"/>
      </w:divBdr>
    </w:div>
    <w:div w:id="1447773441">
      <w:bodyDiv w:val="1"/>
      <w:marLeft w:val="0"/>
      <w:marRight w:val="0"/>
      <w:marTop w:val="0"/>
      <w:marBottom w:val="0"/>
      <w:divBdr>
        <w:top w:val="none" w:sz="0" w:space="0" w:color="auto"/>
        <w:left w:val="none" w:sz="0" w:space="0" w:color="auto"/>
        <w:bottom w:val="none" w:sz="0" w:space="0" w:color="auto"/>
        <w:right w:val="none" w:sz="0" w:space="0" w:color="auto"/>
      </w:divBdr>
    </w:div>
    <w:div w:id="1462457444">
      <w:bodyDiv w:val="1"/>
      <w:marLeft w:val="0"/>
      <w:marRight w:val="0"/>
      <w:marTop w:val="0"/>
      <w:marBottom w:val="0"/>
      <w:divBdr>
        <w:top w:val="none" w:sz="0" w:space="0" w:color="auto"/>
        <w:left w:val="none" w:sz="0" w:space="0" w:color="auto"/>
        <w:bottom w:val="none" w:sz="0" w:space="0" w:color="auto"/>
        <w:right w:val="none" w:sz="0" w:space="0" w:color="auto"/>
      </w:divBdr>
    </w:div>
    <w:div w:id="1465656992">
      <w:bodyDiv w:val="1"/>
      <w:marLeft w:val="0"/>
      <w:marRight w:val="0"/>
      <w:marTop w:val="0"/>
      <w:marBottom w:val="0"/>
      <w:divBdr>
        <w:top w:val="none" w:sz="0" w:space="0" w:color="auto"/>
        <w:left w:val="none" w:sz="0" w:space="0" w:color="auto"/>
        <w:bottom w:val="none" w:sz="0" w:space="0" w:color="auto"/>
        <w:right w:val="none" w:sz="0" w:space="0" w:color="auto"/>
      </w:divBdr>
    </w:div>
    <w:div w:id="1473712652">
      <w:bodyDiv w:val="1"/>
      <w:marLeft w:val="0"/>
      <w:marRight w:val="0"/>
      <w:marTop w:val="0"/>
      <w:marBottom w:val="0"/>
      <w:divBdr>
        <w:top w:val="none" w:sz="0" w:space="0" w:color="auto"/>
        <w:left w:val="none" w:sz="0" w:space="0" w:color="auto"/>
        <w:bottom w:val="none" w:sz="0" w:space="0" w:color="auto"/>
        <w:right w:val="none" w:sz="0" w:space="0" w:color="auto"/>
      </w:divBdr>
    </w:div>
    <w:div w:id="1475676431">
      <w:bodyDiv w:val="1"/>
      <w:marLeft w:val="0"/>
      <w:marRight w:val="0"/>
      <w:marTop w:val="0"/>
      <w:marBottom w:val="0"/>
      <w:divBdr>
        <w:top w:val="none" w:sz="0" w:space="0" w:color="auto"/>
        <w:left w:val="none" w:sz="0" w:space="0" w:color="auto"/>
        <w:bottom w:val="none" w:sz="0" w:space="0" w:color="auto"/>
        <w:right w:val="none" w:sz="0" w:space="0" w:color="auto"/>
      </w:divBdr>
    </w:div>
    <w:div w:id="1505243967">
      <w:bodyDiv w:val="1"/>
      <w:marLeft w:val="0"/>
      <w:marRight w:val="0"/>
      <w:marTop w:val="0"/>
      <w:marBottom w:val="0"/>
      <w:divBdr>
        <w:top w:val="none" w:sz="0" w:space="0" w:color="auto"/>
        <w:left w:val="none" w:sz="0" w:space="0" w:color="auto"/>
        <w:bottom w:val="none" w:sz="0" w:space="0" w:color="auto"/>
        <w:right w:val="none" w:sz="0" w:space="0" w:color="auto"/>
      </w:divBdr>
    </w:div>
    <w:div w:id="1545097939">
      <w:bodyDiv w:val="1"/>
      <w:marLeft w:val="0"/>
      <w:marRight w:val="0"/>
      <w:marTop w:val="0"/>
      <w:marBottom w:val="0"/>
      <w:divBdr>
        <w:top w:val="none" w:sz="0" w:space="0" w:color="auto"/>
        <w:left w:val="none" w:sz="0" w:space="0" w:color="auto"/>
        <w:bottom w:val="none" w:sz="0" w:space="0" w:color="auto"/>
        <w:right w:val="none" w:sz="0" w:space="0" w:color="auto"/>
      </w:divBdr>
    </w:div>
    <w:div w:id="1556163222">
      <w:bodyDiv w:val="1"/>
      <w:marLeft w:val="0"/>
      <w:marRight w:val="0"/>
      <w:marTop w:val="0"/>
      <w:marBottom w:val="0"/>
      <w:divBdr>
        <w:top w:val="none" w:sz="0" w:space="0" w:color="auto"/>
        <w:left w:val="none" w:sz="0" w:space="0" w:color="auto"/>
        <w:bottom w:val="none" w:sz="0" w:space="0" w:color="auto"/>
        <w:right w:val="none" w:sz="0" w:space="0" w:color="auto"/>
      </w:divBdr>
    </w:div>
    <w:div w:id="1563636671">
      <w:bodyDiv w:val="1"/>
      <w:marLeft w:val="0"/>
      <w:marRight w:val="0"/>
      <w:marTop w:val="0"/>
      <w:marBottom w:val="0"/>
      <w:divBdr>
        <w:top w:val="none" w:sz="0" w:space="0" w:color="auto"/>
        <w:left w:val="none" w:sz="0" w:space="0" w:color="auto"/>
        <w:bottom w:val="none" w:sz="0" w:space="0" w:color="auto"/>
        <w:right w:val="none" w:sz="0" w:space="0" w:color="auto"/>
      </w:divBdr>
      <w:divsChild>
        <w:div w:id="582766893">
          <w:marLeft w:val="0"/>
          <w:marRight w:val="0"/>
          <w:marTop w:val="0"/>
          <w:marBottom w:val="0"/>
          <w:divBdr>
            <w:top w:val="none" w:sz="0" w:space="0" w:color="auto"/>
            <w:left w:val="none" w:sz="0" w:space="0" w:color="auto"/>
            <w:bottom w:val="none" w:sz="0" w:space="0" w:color="auto"/>
            <w:right w:val="none" w:sz="0" w:space="0" w:color="auto"/>
          </w:divBdr>
        </w:div>
      </w:divsChild>
    </w:div>
    <w:div w:id="1579709312">
      <w:bodyDiv w:val="1"/>
      <w:marLeft w:val="0"/>
      <w:marRight w:val="0"/>
      <w:marTop w:val="0"/>
      <w:marBottom w:val="0"/>
      <w:divBdr>
        <w:top w:val="none" w:sz="0" w:space="0" w:color="auto"/>
        <w:left w:val="none" w:sz="0" w:space="0" w:color="auto"/>
        <w:bottom w:val="none" w:sz="0" w:space="0" w:color="auto"/>
        <w:right w:val="none" w:sz="0" w:space="0" w:color="auto"/>
      </w:divBdr>
    </w:div>
    <w:div w:id="1581524298">
      <w:bodyDiv w:val="1"/>
      <w:marLeft w:val="0"/>
      <w:marRight w:val="0"/>
      <w:marTop w:val="0"/>
      <w:marBottom w:val="0"/>
      <w:divBdr>
        <w:top w:val="none" w:sz="0" w:space="0" w:color="auto"/>
        <w:left w:val="none" w:sz="0" w:space="0" w:color="auto"/>
        <w:bottom w:val="none" w:sz="0" w:space="0" w:color="auto"/>
        <w:right w:val="none" w:sz="0" w:space="0" w:color="auto"/>
      </w:divBdr>
    </w:div>
    <w:div w:id="1590431063">
      <w:bodyDiv w:val="1"/>
      <w:marLeft w:val="0"/>
      <w:marRight w:val="0"/>
      <w:marTop w:val="0"/>
      <w:marBottom w:val="0"/>
      <w:divBdr>
        <w:top w:val="none" w:sz="0" w:space="0" w:color="auto"/>
        <w:left w:val="none" w:sz="0" w:space="0" w:color="auto"/>
        <w:bottom w:val="none" w:sz="0" w:space="0" w:color="auto"/>
        <w:right w:val="none" w:sz="0" w:space="0" w:color="auto"/>
      </w:divBdr>
    </w:div>
    <w:div w:id="1598096709">
      <w:bodyDiv w:val="1"/>
      <w:marLeft w:val="0"/>
      <w:marRight w:val="0"/>
      <w:marTop w:val="0"/>
      <w:marBottom w:val="0"/>
      <w:divBdr>
        <w:top w:val="none" w:sz="0" w:space="0" w:color="auto"/>
        <w:left w:val="none" w:sz="0" w:space="0" w:color="auto"/>
        <w:bottom w:val="none" w:sz="0" w:space="0" w:color="auto"/>
        <w:right w:val="none" w:sz="0" w:space="0" w:color="auto"/>
      </w:divBdr>
    </w:div>
    <w:div w:id="1613171809">
      <w:bodyDiv w:val="1"/>
      <w:marLeft w:val="0"/>
      <w:marRight w:val="0"/>
      <w:marTop w:val="0"/>
      <w:marBottom w:val="0"/>
      <w:divBdr>
        <w:top w:val="none" w:sz="0" w:space="0" w:color="auto"/>
        <w:left w:val="none" w:sz="0" w:space="0" w:color="auto"/>
        <w:bottom w:val="none" w:sz="0" w:space="0" w:color="auto"/>
        <w:right w:val="none" w:sz="0" w:space="0" w:color="auto"/>
      </w:divBdr>
    </w:div>
    <w:div w:id="1615593736">
      <w:bodyDiv w:val="1"/>
      <w:marLeft w:val="0"/>
      <w:marRight w:val="0"/>
      <w:marTop w:val="0"/>
      <w:marBottom w:val="0"/>
      <w:divBdr>
        <w:top w:val="none" w:sz="0" w:space="0" w:color="auto"/>
        <w:left w:val="none" w:sz="0" w:space="0" w:color="auto"/>
        <w:bottom w:val="none" w:sz="0" w:space="0" w:color="auto"/>
        <w:right w:val="none" w:sz="0" w:space="0" w:color="auto"/>
      </w:divBdr>
    </w:div>
    <w:div w:id="1644846050">
      <w:bodyDiv w:val="1"/>
      <w:marLeft w:val="0"/>
      <w:marRight w:val="0"/>
      <w:marTop w:val="0"/>
      <w:marBottom w:val="0"/>
      <w:divBdr>
        <w:top w:val="none" w:sz="0" w:space="0" w:color="auto"/>
        <w:left w:val="none" w:sz="0" w:space="0" w:color="auto"/>
        <w:bottom w:val="none" w:sz="0" w:space="0" w:color="auto"/>
        <w:right w:val="none" w:sz="0" w:space="0" w:color="auto"/>
      </w:divBdr>
    </w:div>
    <w:div w:id="1646857256">
      <w:bodyDiv w:val="1"/>
      <w:marLeft w:val="0"/>
      <w:marRight w:val="0"/>
      <w:marTop w:val="0"/>
      <w:marBottom w:val="0"/>
      <w:divBdr>
        <w:top w:val="none" w:sz="0" w:space="0" w:color="auto"/>
        <w:left w:val="none" w:sz="0" w:space="0" w:color="auto"/>
        <w:bottom w:val="none" w:sz="0" w:space="0" w:color="auto"/>
        <w:right w:val="none" w:sz="0" w:space="0" w:color="auto"/>
      </w:divBdr>
    </w:div>
    <w:div w:id="1658456162">
      <w:bodyDiv w:val="1"/>
      <w:marLeft w:val="0"/>
      <w:marRight w:val="0"/>
      <w:marTop w:val="0"/>
      <w:marBottom w:val="0"/>
      <w:divBdr>
        <w:top w:val="none" w:sz="0" w:space="0" w:color="auto"/>
        <w:left w:val="none" w:sz="0" w:space="0" w:color="auto"/>
        <w:bottom w:val="none" w:sz="0" w:space="0" w:color="auto"/>
        <w:right w:val="none" w:sz="0" w:space="0" w:color="auto"/>
      </w:divBdr>
    </w:div>
    <w:div w:id="1664968062">
      <w:bodyDiv w:val="1"/>
      <w:marLeft w:val="0"/>
      <w:marRight w:val="0"/>
      <w:marTop w:val="0"/>
      <w:marBottom w:val="0"/>
      <w:divBdr>
        <w:top w:val="none" w:sz="0" w:space="0" w:color="auto"/>
        <w:left w:val="none" w:sz="0" w:space="0" w:color="auto"/>
        <w:bottom w:val="none" w:sz="0" w:space="0" w:color="auto"/>
        <w:right w:val="none" w:sz="0" w:space="0" w:color="auto"/>
      </w:divBdr>
    </w:div>
    <w:div w:id="1666665425">
      <w:bodyDiv w:val="1"/>
      <w:marLeft w:val="0"/>
      <w:marRight w:val="0"/>
      <w:marTop w:val="0"/>
      <w:marBottom w:val="0"/>
      <w:divBdr>
        <w:top w:val="none" w:sz="0" w:space="0" w:color="auto"/>
        <w:left w:val="none" w:sz="0" w:space="0" w:color="auto"/>
        <w:bottom w:val="none" w:sz="0" w:space="0" w:color="auto"/>
        <w:right w:val="none" w:sz="0" w:space="0" w:color="auto"/>
      </w:divBdr>
    </w:div>
    <w:div w:id="1678188491">
      <w:bodyDiv w:val="1"/>
      <w:marLeft w:val="0"/>
      <w:marRight w:val="0"/>
      <w:marTop w:val="0"/>
      <w:marBottom w:val="0"/>
      <w:divBdr>
        <w:top w:val="none" w:sz="0" w:space="0" w:color="auto"/>
        <w:left w:val="none" w:sz="0" w:space="0" w:color="auto"/>
        <w:bottom w:val="none" w:sz="0" w:space="0" w:color="auto"/>
        <w:right w:val="none" w:sz="0" w:space="0" w:color="auto"/>
      </w:divBdr>
    </w:div>
    <w:div w:id="1685522099">
      <w:bodyDiv w:val="1"/>
      <w:marLeft w:val="0"/>
      <w:marRight w:val="0"/>
      <w:marTop w:val="0"/>
      <w:marBottom w:val="0"/>
      <w:divBdr>
        <w:top w:val="none" w:sz="0" w:space="0" w:color="auto"/>
        <w:left w:val="none" w:sz="0" w:space="0" w:color="auto"/>
        <w:bottom w:val="none" w:sz="0" w:space="0" w:color="auto"/>
        <w:right w:val="none" w:sz="0" w:space="0" w:color="auto"/>
      </w:divBdr>
    </w:div>
    <w:div w:id="1701928763">
      <w:bodyDiv w:val="1"/>
      <w:marLeft w:val="0"/>
      <w:marRight w:val="0"/>
      <w:marTop w:val="0"/>
      <w:marBottom w:val="0"/>
      <w:divBdr>
        <w:top w:val="none" w:sz="0" w:space="0" w:color="auto"/>
        <w:left w:val="none" w:sz="0" w:space="0" w:color="auto"/>
        <w:bottom w:val="none" w:sz="0" w:space="0" w:color="auto"/>
        <w:right w:val="none" w:sz="0" w:space="0" w:color="auto"/>
      </w:divBdr>
    </w:div>
    <w:div w:id="1707680921">
      <w:bodyDiv w:val="1"/>
      <w:marLeft w:val="0"/>
      <w:marRight w:val="0"/>
      <w:marTop w:val="0"/>
      <w:marBottom w:val="0"/>
      <w:divBdr>
        <w:top w:val="none" w:sz="0" w:space="0" w:color="auto"/>
        <w:left w:val="none" w:sz="0" w:space="0" w:color="auto"/>
        <w:bottom w:val="none" w:sz="0" w:space="0" w:color="auto"/>
        <w:right w:val="none" w:sz="0" w:space="0" w:color="auto"/>
      </w:divBdr>
    </w:div>
    <w:div w:id="1718046778">
      <w:bodyDiv w:val="1"/>
      <w:marLeft w:val="0"/>
      <w:marRight w:val="0"/>
      <w:marTop w:val="0"/>
      <w:marBottom w:val="0"/>
      <w:divBdr>
        <w:top w:val="none" w:sz="0" w:space="0" w:color="auto"/>
        <w:left w:val="none" w:sz="0" w:space="0" w:color="auto"/>
        <w:bottom w:val="none" w:sz="0" w:space="0" w:color="auto"/>
        <w:right w:val="none" w:sz="0" w:space="0" w:color="auto"/>
      </w:divBdr>
    </w:div>
    <w:div w:id="1723365665">
      <w:bodyDiv w:val="1"/>
      <w:marLeft w:val="0"/>
      <w:marRight w:val="0"/>
      <w:marTop w:val="0"/>
      <w:marBottom w:val="0"/>
      <w:divBdr>
        <w:top w:val="none" w:sz="0" w:space="0" w:color="auto"/>
        <w:left w:val="none" w:sz="0" w:space="0" w:color="auto"/>
        <w:bottom w:val="none" w:sz="0" w:space="0" w:color="auto"/>
        <w:right w:val="none" w:sz="0" w:space="0" w:color="auto"/>
      </w:divBdr>
    </w:div>
    <w:div w:id="1733120766">
      <w:bodyDiv w:val="1"/>
      <w:marLeft w:val="0"/>
      <w:marRight w:val="0"/>
      <w:marTop w:val="0"/>
      <w:marBottom w:val="0"/>
      <w:divBdr>
        <w:top w:val="none" w:sz="0" w:space="0" w:color="auto"/>
        <w:left w:val="none" w:sz="0" w:space="0" w:color="auto"/>
        <w:bottom w:val="none" w:sz="0" w:space="0" w:color="auto"/>
        <w:right w:val="none" w:sz="0" w:space="0" w:color="auto"/>
      </w:divBdr>
    </w:div>
    <w:div w:id="1735617220">
      <w:bodyDiv w:val="1"/>
      <w:marLeft w:val="0"/>
      <w:marRight w:val="0"/>
      <w:marTop w:val="0"/>
      <w:marBottom w:val="0"/>
      <w:divBdr>
        <w:top w:val="none" w:sz="0" w:space="0" w:color="auto"/>
        <w:left w:val="none" w:sz="0" w:space="0" w:color="auto"/>
        <w:bottom w:val="none" w:sz="0" w:space="0" w:color="auto"/>
        <w:right w:val="none" w:sz="0" w:space="0" w:color="auto"/>
      </w:divBdr>
    </w:div>
    <w:div w:id="1744911247">
      <w:bodyDiv w:val="1"/>
      <w:marLeft w:val="0"/>
      <w:marRight w:val="0"/>
      <w:marTop w:val="0"/>
      <w:marBottom w:val="0"/>
      <w:divBdr>
        <w:top w:val="none" w:sz="0" w:space="0" w:color="auto"/>
        <w:left w:val="none" w:sz="0" w:space="0" w:color="auto"/>
        <w:bottom w:val="none" w:sz="0" w:space="0" w:color="auto"/>
        <w:right w:val="none" w:sz="0" w:space="0" w:color="auto"/>
      </w:divBdr>
    </w:div>
    <w:div w:id="1757437727">
      <w:bodyDiv w:val="1"/>
      <w:marLeft w:val="0"/>
      <w:marRight w:val="0"/>
      <w:marTop w:val="0"/>
      <w:marBottom w:val="0"/>
      <w:divBdr>
        <w:top w:val="none" w:sz="0" w:space="0" w:color="auto"/>
        <w:left w:val="none" w:sz="0" w:space="0" w:color="auto"/>
        <w:bottom w:val="none" w:sz="0" w:space="0" w:color="auto"/>
        <w:right w:val="none" w:sz="0" w:space="0" w:color="auto"/>
      </w:divBdr>
    </w:div>
    <w:div w:id="1759209171">
      <w:bodyDiv w:val="1"/>
      <w:marLeft w:val="0"/>
      <w:marRight w:val="0"/>
      <w:marTop w:val="0"/>
      <w:marBottom w:val="0"/>
      <w:divBdr>
        <w:top w:val="none" w:sz="0" w:space="0" w:color="auto"/>
        <w:left w:val="none" w:sz="0" w:space="0" w:color="auto"/>
        <w:bottom w:val="none" w:sz="0" w:space="0" w:color="auto"/>
        <w:right w:val="none" w:sz="0" w:space="0" w:color="auto"/>
      </w:divBdr>
    </w:div>
    <w:div w:id="1763187926">
      <w:bodyDiv w:val="1"/>
      <w:marLeft w:val="0"/>
      <w:marRight w:val="0"/>
      <w:marTop w:val="0"/>
      <w:marBottom w:val="0"/>
      <w:divBdr>
        <w:top w:val="none" w:sz="0" w:space="0" w:color="auto"/>
        <w:left w:val="none" w:sz="0" w:space="0" w:color="auto"/>
        <w:bottom w:val="none" w:sz="0" w:space="0" w:color="auto"/>
        <w:right w:val="none" w:sz="0" w:space="0" w:color="auto"/>
      </w:divBdr>
    </w:div>
    <w:div w:id="1785807753">
      <w:bodyDiv w:val="1"/>
      <w:marLeft w:val="0"/>
      <w:marRight w:val="0"/>
      <w:marTop w:val="0"/>
      <w:marBottom w:val="0"/>
      <w:divBdr>
        <w:top w:val="none" w:sz="0" w:space="0" w:color="auto"/>
        <w:left w:val="none" w:sz="0" w:space="0" w:color="auto"/>
        <w:bottom w:val="none" w:sz="0" w:space="0" w:color="auto"/>
        <w:right w:val="none" w:sz="0" w:space="0" w:color="auto"/>
      </w:divBdr>
    </w:div>
    <w:div w:id="1788892824">
      <w:bodyDiv w:val="1"/>
      <w:marLeft w:val="0"/>
      <w:marRight w:val="0"/>
      <w:marTop w:val="0"/>
      <w:marBottom w:val="0"/>
      <w:divBdr>
        <w:top w:val="none" w:sz="0" w:space="0" w:color="auto"/>
        <w:left w:val="none" w:sz="0" w:space="0" w:color="auto"/>
        <w:bottom w:val="none" w:sz="0" w:space="0" w:color="auto"/>
        <w:right w:val="none" w:sz="0" w:space="0" w:color="auto"/>
      </w:divBdr>
    </w:div>
    <w:div w:id="1839614029">
      <w:bodyDiv w:val="1"/>
      <w:marLeft w:val="0"/>
      <w:marRight w:val="0"/>
      <w:marTop w:val="0"/>
      <w:marBottom w:val="0"/>
      <w:divBdr>
        <w:top w:val="none" w:sz="0" w:space="0" w:color="auto"/>
        <w:left w:val="none" w:sz="0" w:space="0" w:color="auto"/>
        <w:bottom w:val="none" w:sz="0" w:space="0" w:color="auto"/>
        <w:right w:val="none" w:sz="0" w:space="0" w:color="auto"/>
      </w:divBdr>
    </w:div>
    <w:div w:id="1843740471">
      <w:bodyDiv w:val="1"/>
      <w:marLeft w:val="0"/>
      <w:marRight w:val="0"/>
      <w:marTop w:val="0"/>
      <w:marBottom w:val="0"/>
      <w:divBdr>
        <w:top w:val="none" w:sz="0" w:space="0" w:color="auto"/>
        <w:left w:val="none" w:sz="0" w:space="0" w:color="auto"/>
        <w:bottom w:val="none" w:sz="0" w:space="0" w:color="auto"/>
        <w:right w:val="none" w:sz="0" w:space="0" w:color="auto"/>
      </w:divBdr>
    </w:div>
    <w:div w:id="1860580332">
      <w:bodyDiv w:val="1"/>
      <w:marLeft w:val="0"/>
      <w:marRight w:val="0"/>
      <w:marTop w:val="0"/>
      <w:marBottom w:val="0"/>
      <w:divBdr>
        <w:top w:val="none" w:sz="0" w:space="0" w:color="auto"/>
        <w:left w:val="none" w:sz="0" w:space="0" w:color="auto"/>
        <w:bottom w:val="none" w:sz="0" w:space="0" w:color="auto"/>
        <w:right w:val="none" w:sz="0" w:space="0" w:color="auto"/>
      </w:divBdr>
      <w:divsChild>
        <w:div w:id="827014908">
          <w:marLeft w:val="274"/>
          <w:marRight w:val="0"/>
          <w:marTop w:val="0"/>
          <w:marBottom w:val="160"/>
          <w:divBdr>
            <w:top w:val="none" w:sz="0" w:space="0" w:color="auto"/>
            <w:left w:val="none" w:sz="0" w:space="0" w:color="auto"/>
            <w:bottom w:val="none" w:sz="0" w:space="0" w:color="auto"/>
            <w:right w:val="none" w:sz="0" w:space="0" w:color="auto"/>
          </w:divBdr>
        </w:div>
      </w:divsChild>
    </w:div>
    <w:div w:id="1877501595">
      <w:bodyDiv w:val="1"/>
      <w:marLeft w:val="0"/>
      <w:marRight w:val="0"/>
      <w:marTop w:val="0"/>
      <w:marBottom w:val="0"/>
      <w:divBdr>
        <w:top w:val="none" w:sz="0" w:space="0" w:color="auto"/>
        <w:left w:val="none" w:sz="0" w:space="0" w:color="auto"/>
        <w:bottom w:val="none" w:sz="0" w:space="0" w:color="auto"/>
        <w:right w:val="none" w:sz="0" w:space="0" w:color="auto"/>
      </w:divBdr>
    </w:div>
    <w:div w:id="1882401962">
      <w:bodyDiv w:val="1"/>
      <w:marLeft w:val="0"/>
      <w:marRight w:val="0"/>
      <w:marTop w:val="0"/>
      <w:marBottom w:val="0"/>
      <w:divBdr>
        <w:top w:val="none" w:sz="0" w:space="0" w:color="auto"/>
        <w:left w:val="none" w:sz="0" w:space="0" w:color="auto"/>
        <w:bottom w:val="none" w:sz="0" w:space="0" w:color="auto"/>
        <w:right w:val="none" w:sz="0" w:space="0" w:color="auto"/>
      </w:divBdr>
    </w:div>
    <w:div w:id="1897204311">
      <w:bodyDiv w:val="1"/>
      <w:marLeft w:val="0"/>
      <w:marRight w:val="0"/>
      <w:marTop w:val="0"/>
      <w:marBottom w:val="0"/>
      <w:divBdr>
        <w:top w:val="none" w:sz="0" w:space="0" w:color="auto"/>
        <w:left w:val="none" w:sz="0" w:space="0" w:color="auto"/>
        <w:bottom w:val="none" w:sz="0" w:space="0" w:color="auto"/>
        <w:right w:val="none" w:sz="0" w:space="0" w:color="auto"/>
      </w:divBdr>
    </w:div>
    <w:div w:id="1915125061">
      <w:bodyDiv w:val="1"/>
      <w:marLeft w:val="0"/>
      <w:marRight w:val="0"/>
      <w:marTop w:val="0"/>
      <w:marBottom w:val="0"/>
      <w:divBdr>
        <w:top w:val="none" w:sz="0" w:space="0" w:color="auto"/>
        <w:left w:val="none" w:sz="0" w:space="0" w:color="auto"/>
        <w:bottom w:val="none" w:sz="0" w:space="0" w:color="auto"/>
        <w:right w:val="none" w:sz="0" w:space="0" w:color="auto"/>
      </w:divBdr>
    </w:div>
    <w:div w:id="1955942134">
      <w:bodyDiv w:val="1"/>
      <w:marLeft w:val="0"/>
      <w:marRight w:val="0"/>
      <w:marTop w:val="0"/>
      <w:marBottom w:val="0"/>
      <w:divBdr>
        <w:top w:val="none" w:sz="0" w:space="0" w:color="auto"/>
        <w:left w:val="none" w:sz="0" w:space="0" w:color="auto"/>
        <w:bottom w:val="none" w:sz="0" w:space="0" w:color="auto"/>
        <w:right w:val="none" w:sz="0" w:space="0" w:color="auto"/>
      </w:divBdr>
    </w:div>
    <w:div w:id="1977756144">
      <w:bodyDiv w:val="1"/>
      <w:marLeft w:val="0"/>
      <w:marRight w:val="0"/>
      <w:marTop w:val="0"/>
      <w:marBottom w:val="0"/>
      <w:divBdr>
        <w:top w:val="none" w:sz="0" w:space="0" w:color="auto"/>
        <w:left w:val="none" w:sz="0" w:space="0" w:color="auto"/>
        <w:bottom w:val="none" w:sz="0" w:space="0" w:color="auto"/>
        <w:right w:val="none" w:sz="0" w:space="0" w:color="auto"/>
      </w:divBdr>
    </w:div>
    <w:div w:id="2025593225">
      <w:bodyDiv w:val="1"/>
      <w:marLeft w:val="0"/>
      <w:marRight w:val="0"/>
      <w:marTop w:val="0"/>
      <w:marBottom w:val="0"/>
      <w:divBdr>
        <w:top w:val="none" w:sz="0" w:space="0" w:color="auto"/>
        <w:left w:val="none" w:sz="0" w:space="0" w:color="auto"/>
        <w:bottom w:val="none" w:sz="0" w:space="0" w:color="auto"/>
        <w:right w:val="none" w:sz="0" w:space="0" w:color="auto"/>
      </w:divBdr>
    </w:div>
    <w:div w:id="2033219607">
      <w:bodyDiv w:val="1"/>
      <w:marLeft w:val="0"/>
      <w:marRight w:val="0"/>
      <w:marTop w:val="0"/>
      <w:marBottom w:val="0"/>
      <w:divBdr>
        <w:top w:val="none" w:sz="0" w:space="0" w:color="auto"/>
        <w:left w:val="none" w:sz="0" w:space="0" w:color="auto"/>
        <w:bottom w:val="none" w:sz="0" w:space="0" w:color="auto"/>
        <w:right w:val="none" w:sz="0" w:space="0" w:color="auto"/>
      </w:divBdr>
    </w:div>
    <w:div w:id="2036150867">
      <w:bodyDiv w:val="1"/>
      <w:marLeft w:val="0"/>
      <w:marRight w:val="0"/>
      <w:marTop w:val="0"/>
      <w:marBottom w:val="0"/>
      <w:divBdr>
        <w:top w:val="none" w:sz="0" w:space="0" w:color="auto"/>
        <w:left w:val="none" w:sz="0" w:space="0" w:color="auto"/>
        <w:bottom w:val="none" w:sz="0" w:space="0" w:color="auto"/>
        <w:right w:val="none" w:sz="0" w:space="0" w:color="auto"/>
      </w:divBdr>
    </w:div>
    <w:div w:id="2050522857">
      <w:bodyDiv w:val="1"/>
      <w:marLeft w:val="0"/>
      <w:marRight w:val="0"/>
      <w:marTop w:val="0"/>
      <w:marBottom w:val="0"/>
      <w:divBdr>
        <w:top w:val="none" w:sz="0" w:space="0" w:color="auto"/>
        <w:left w:val="none" w:sz="0" w:space="0" w:color="auto"/>
        <w:bottom w:val="none" w:sz="0" w:space="0" w:color="auto"/>
        <w:right w:val="none" w:sz="0" w:space="0" w:color="auto"/>
      </w:divBdr>
    </w:div>
    <w:div w:id="2060933501">
      <w:bodyDiv w:val="1"/>
      <w:marLeft w:val="0"/>
      <w:marRight w:val="0"/>
      <w:marTop w:val="0"/>
      <w:marBottom w:val="0"/>
      <w:divBdr>
        <w:top w:val="none" w:sz="0" w:space="0" w:color="auto"/>
        <w:left w:val="none" w:sz="0" w:space="0" w:color="auto"/>
        <w:bottom w:val="none" w:sz="0" w:space="0" w:color="auto"/>
        <w:right w:val="none" w:sz="0" w:space="0" w:color="auto"/>
      </w:divBdr>
    </w:div>
    <w:div w:id="2090497297">
      <w:bodyDiv w:val="1"/>
      <w:marLeft w:val="0"/>
      <w:marRight w:val="0"/>
      <w:marTop w:val="0"/>
      <w:marBottom w:val="0"/>
      <w:divBdr>
        <w:top w:val="none" w:sz="0" w:space="0" w:color="auto"/>
        <w:left w:val="none" w:sz="0" w:space="0" w:color="auto"/>
        <w:bottom w:val="none" w:sz="0" w:space="0" w:color="auto"/>
        <w:right w:val="none" w:sz="0" w:space="0" w:color="auto"/>
      </w:divBdr>
    </w:div>
    <w:div w:id="2091806087">
      <w:bodyDiv w:val="1"/>
      <w:marLeft w:val="0"/>
      <w:marRight w:val="0"/>
      <w:marTop w:val="0"/>
      <w:marBottom w:val="0"/>
      <w:divBdr>
        <w:top w:val="none" w:sz="0" w:space="0" w:color="auto"/>
        <w:left w:val="none" w:sz="0" w:space="0" w:color="auto"/>
        <w:bottom w:val="none" w:sz="0" w:space="0" w:color="auto"/>
        <w:right w:val="none" w:sz="0" w:space="0" w:color="auto"/>
      </w:divBdr>
    </w:div>
    <w:div w:id="2099519705">
      <w:bodyDiv w:val="1"/>
      <w:marLeft w:val="0"/>
      <w:marRight w:val="0"/>
      <w:marTop w:val="0"/>
      <w:marBottom w:val="0"/>
      <w:divBdr>
        <w:top w:val="none" w:sz="0" w:space="0" w:color="auto"/>
        <w:left w:val="none" w:sz="0" w:space="0" w:color="auto"/>
        <w:bottom w:val="none" w:sz="0" w:space="0" w:color="auto"/>
        <w:right w:val="none" w:sz="0" w:space="0" w:color="auto"/>
      </w:divBdr>
    </w:div>
    <w:div w:id="2110927620">
      <w:bodyDiv w:val="1"/>
      <w:marLeft w:val="0"/>
      <w:marRight w:val="0"/>
      <w:marTop w:val="0"/>
      <w:marBottom w:val="0"/>
      <w:divBdr>
        <w:top w:val="none" w:sz="0" w:space="0" w:color="auto"/>
        <w:left w:val="none" w:sz="0" w:space="0" w:color="auto"/>
        <w:bottom w:val="none" w:sz="0" w:space="0" w:color="auto"/>
        <w:right w:val="none" w:sz="0" w:space="0" w:color="auto"/>
      </w:divBdr>
    </w:div>
    <w:div w:id="2142964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ndustry.gov.au/publications/inclusion-strategy-2021-2023/introducing-our-strategy" TargetMode="External"/><Relationship Id="rId18" Type="http://schemas.openxmlformats.org/officeDocument/2006/relationships/hyperlink" Target="https://www.finance.gov.au/government/comcover/risk-services/manageme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echcouncil.com.au/wp-content/uploads/2022/03/2022-Tech-Jobs-Opportunity-report.pdf" TargetMode="External"/><Relationship Id="rId7" Type="http://schemas.openxmlformats.org/officeDocument/2006/relationships/endnotes" Target="endnotes.xml"/><Relationship Id="rId12" Type="http://schemas.openxmlformats.org/officeDocument/2006/relationships/hyperlink" Target="https://www.ga.gov.au/" TargetMode="External"/><Relationship Id="rId17" Type="http://schemas.openxmlformats.org/officeDocument/2006/relationships/hyperlink" Target="https://www.industry.gov.au/data-and-publications/data-strategy-2021-2024"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ta.gov.au/digital-government-strategy" TargetMode="External"/><Relationship Id="rId20" Type="http://schemas.openxmlformats.org/officeDocument/2006/relationships/hyperlink" Target="https://www.regulatoryreform.gov.au/priorities/regulator-best-practice-and-performance/regulator-stocktake?portfolio=Industry%2C+Science%2C+Energy+and+Resources&amp;regulator=&amp;type=All&amp;msoe=All&amp;rsi=Al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to.gov.au/" TargetMode="External"/><Relationship Id="rId24" Type="http://schemas.openxmlformats.org/officeDocument/2006/relationships/hyperlink" Target="https://creativecommons.org/licenses/by/4.0/legalcod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usiness.gov.au/" TargetMode="External"/><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dustry.gov.au/publications/safety-health-and-wellbeing-strategy-2020-2023" TargetMode="External"/><Relationship Id="rId22" Type="http://schemas.openxmlformats.org/officeDocument/2006/relationships/hyperlink" Target="https://www.industry.gov.au/publications/stem-equity-monitor/methodology" TargetMode="External"/><Relationship Id="rId27" Type="http://schemas.openxmlformats.org/officeDocument/2006/relationships/header" Target="header2.xml"/><Relationship Id="rId30" Type="http://schemas.openxmlformats.org/officeDocument/2006/relationships/header" Target="header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89A52-361D-4152-AC09-237864E3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9832</Words>
  <Characters>56043</Characters>
  <Application>Microsoft Office Word</Application>
  <DocSecurity>4</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Industry, Science and Resources Corporate Plan 2023–24</dc:title>
  <dc:subject/>
  <dc:creator/>
  <cp:keywords/>
  <dc:description/>
  <cp:lastModifiedBy/>
  <cp:revision>1</cp:revision>
  <dcterms:created xsi:type="dcterms:W3CDTF">2023-08-30T23:24:00Z</dcterms:created>
  <dcterms:modified xsi:type="dcterms:W3CDTF">2023-08-30T23:24:00Z</dcterms:modified>
</cp:coreProperties>
</file>