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21897909" w:displacedByCustomXml="next"/>
    <w:bookmarkStart w:id="2" w:name="_Toc121898024" w:displacedByCustomXml="next"/>
    <w:bookmarkStart w:id="3" w:name="_Toc121898077"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3" w:displacedByCustomXml="prev"/>
        <w:bookmarkEnd w:id="2" w:displacedByCustomXml="prev"/>
        <w:bookmarkEnd w:id="1" w:displacedByCustomXml="prev"/>
        <w:bookmarkEnd w:id="0" w:displacedByCustomXml="prev"/>
        <w:p w14:paraId="35087E69" w14:textId="58F5A051" w:rsidR="00964571" w:rsidRDefault="00964571" w:rsidP="00964571">
          <w:pPr>
            <w:pStyle w:val="Title"/>
          </w:pPr>
          <w:r>
            <w:t xml:space="preserve">Junior Minerals Exploration Incentive - 2018-19 </w:t>
          </w:r>
          <w:r w:rsidR="00720C43">
            <w:t>A</w:t>
          </w:r>
          <w:r>
            <w:t xml:space="preserve">nnual </w:t>
          </w:r>
          <w:r w:rsidR="00720C43">
            <w:t>I</w:t>
          </w:r>
          <w:r>
            <w:t xml:space="preserve">mpact </w:t>
          </w:r>
          <w:r w:rsidR="00720C43">
            <w:t>A</w:t>
          </w:r>
          <w:r>
            <w:t>ssessment</w:t>
          </w:r>
        </w:p>
        <w:p w14:paraId="21E648BB" w14:textId="77777777" w:rsidR="00964571" w:rsidRDefault="00964571" w:rsidP="00964571">
          <w:pPr>
            <w:pStyle w:val="Subtitle"/>
          </w:pPr>
        </w:p>
        <w:p w14:paraId="1A80E575" w14:textId="7BC3B413" w:rsidR="00964571" w:rsidRPr="002B3A3A" w:rsidRDefault="00507953" w:rsidP="00964571">
          <w:pPr>
            <w:pStyle w:val="Authoranddate"/>
          </w:pPr>
          <w:r>
            <w:t xml:space="preserve">October </w:t>
          </w:r>
          <w:r w:rsidR="00964571">
            <w:t>2023</w:t>
          </w:r>
        </w:p>
        <w:p w14:paraId="5DEF83D5" w14:textId="77777777" w:rsidR="00964571" w:rsidRPr="00806473" w:rsidRDefault="00964571" w:rsidP="00964571">
          <w:r w:rsidRPr="00806473">
            <w:br w:type="page"/>
          </w:r>
        </w:p>
        <w:p w14:paraId="48A16369" w14:textId="77777777" w:rsidR="00964571" w:rsidRDefault="00964571" w:rsidP="00964571">
          <w:pPr>
            <w:pStyle w:val="Heading2"/>
          </w:pPr>
          <w:bookmarkStart w:id="4" w:name="_Toc19023739"/>
          <w:bookmarkStart w:id="5" w:name="_Toc19289802"/>
          <w:bookmarkStart w:id="6" w:name="_Toc121897910"/>
          <w:bookmarkStart w:id="7" w:name="_Toc121898025"/>
          <w:bookmarkStart w:id="8" w:name="_Toc121898078"/>
          <w:r w:rsidRPr="001D216A">
            <w:lastRenderedPageBreak/>
            <w:t>Copyright</w:t>
          </w:r>
          <w:bookmarkEnd w:id="4"/>
          <w:bookmarkEnd w:id="5"/>
          <w:bookmarkEnd w:id="6"/>
          <w:bookmarkEnd w:id="7"/>
          <w:bookmarkEnd w:id="8"/>
        </w:p>
        <w:p w14:paraId="726F9599" w14:textId="77777777" w:rsidR="00964571" w:rsidRPr="0068286F" w:rsidRDefault="00964571" w:rsidP="00964571">
          <w:pPr>
            <w:rPr>
              <w:rStyle w:val="Strong"/>
            </w:rPr>
          </w:pPr>
          <w:r w:rsidRPr="0068286F">
            <w:rPr>
              <w:rStyle w:val="Strong"/>
            </w:rPr>
            <w:t xml:space="preserve">© Commonwealth of </w:t>
          </w:r>
          <w:r w:rsidRPr="000F2564">
            <w:rPr>
              <w:rStyle w:val="Strong"/>
            </w:rPr>
            <w:t>Australia 20</w:t>
          </w:r>
          <w:r>
            <w:rPr>
              <w:rStyle w:val="Strong"/>
            </w:rPr>
            <w:t>23</w:t>
          </w:r>
        </w:p>
        <w:p w14:paraId="3DCB0259" w14:textId="77777777" w:rsidR="00964571" w:rsidRPr="0068286F" w:rsidRDefault="00964571" w:rsidP="00964571">
          <w:pPr>
            <w:rPr>
              <w:rStyle w:val="Strong"/>
            </w:rPr>
          </w:pPr>
          <w:r w:rsidRPr="0068286F">
            <w:rPr>
              <w:rStyle w:val="Strong"/>
            </w:rPr>
            <w:t>Ownership of intellectual property rights</w:t>
          </w:r>
        </w:p>
        <w:p w14:paraId="3025DC3C" w14:textId="77777777" w:rsidR="00964571" w:rsidRDefault="00964571" w:rsidP="00964571">
          <w:r>
            <w:t>Unless otherwise noted, copyright (and any other intellectual property rights, if any) in this publication is owned by the Commonwealth of Australia.</w:t>
          </w:r>
        </w:p>
        <w:p w14:paraId="377EC3B6" w14:textId="77777777" w:rsidR="00964571" w:rsidRDefault="00964571" w:rsidP="00964571">
          <w:pPr>
            <w:rPr>
              <w:rStyle w:val="Strong"/>
            </w:rPr>
          </w:pPr>
          <w:r w:rsidRPr="0068286F">
            <w:rPr>
              <w:rStyle w:val="Strong"/>
            </w:rPr>
            <w:t>Creative Commons licence</w:t>
          </w:r>
        </w:p>
        <w:p w14:paraId="1526F5C3" w14:textId="77777777" w:rsidR="00964571" w:rsidRPr="0068286F" w:rsidRDefault="00964571" w:rsidP="00964571">
          <w:pPr>
            <w:rPr>
              <w:rStyle w:val="Strong"/>
            </w:rPr>
          </w:pPr>
          <w:r>
            <w:rPr>
              <w:b/>
              <w:noProof/>
              <w:lang w:eastAsia="en-AU"/>
            </w:rPr>
            <w:drawing>
              <wp:inline distT="0" distB="0" distL="0" distR="0" wp14:anchorId="4CCE2ABF" wp14:editId="1C4AB0BD">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12AEE8C0" w14:textId="77777777" w:rsidR="00964571" w:rsidRPr="001D216A" w:rsidRDefault="00964571" w:rsidP="00964571">
          <w:pPr>
            <w:rPr>
              <w:rStyle w:val="Strong"/>
            </w:rPr>
          </w:pPr>
          <w:r w:rsidRPr="001D216A">
            <w:rPr>
              <w:rStyle w:val="Strong"/>
            </w:rPr>
            <w:t xml:space="preserve">Attribution </w:t>
          </w:r>
        </w:p>
        <w:p w14:paraId="5B23B5FC" w14:textId="77777777" w:rsidR="00964571" w:rsidRPr="001D216A" w:rsidRDefault="00964571" w:rsidP="00964571">
          <w:pPr>
            <w:rPr>
              <w:rStyle w:val="Strong"/>
            </w:rPr>
          </w:pPr>
          <w:r w:rsidRPr="001D216A">
            <w:rPr>
              <w:rStyle w:val="Strong"/>
            </w:rPr>
            <w:t>CC BY</w:t>
          </w:r>
        </w:p>
        <w:p w14:paraId="04097325" w14:textId="77777777" w:rsidR="00964571" w:rsidRDefault="00964571" w:rsidP="00964571">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799309CF" w14:textId="77777777" w:rsidR="00964571" w:rsidRDefault="00964571" w:rsidP="00964571">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2" w:history="1">
            <w:r w:rsidRPr="00DB39DE">
              <w:rPr>
                <w:rStyle w:val="Hyperlink"/>
              </w:rPr>
              <w:t>https://creativecommons.org/licenses/by/4.0/</w:t>
            </w:r>
          </w:hyperlink>
        </w:p>
        <w:p w14:paraId="18EC5352" w14:textId="77777777" w:rsidR="00964571" w:rsidRDefault="00964571" w:rsidP="00964571">
          <w:r>
            <w:t xml:space="preserve">The full licence terms are available from </w:t>
          </w:r>
          <w:hyperlink r:id="rId13" w:history="1">
            <w:r w:rsidRPr="00DB39DE">
              <w:rPr>
                <w:rStyle w:val="Hyperlink"/>
              </w:rPr>
              <w:t>https://creativecommons.org/licenses/by/4.0/legalcode</w:t>
            </w:r>
          </w:hyperlink>
        </w:p>
        <w:p w14:paraId="3D4533DA" w14:textId="77777777" w:rsidR="00964571" w:rsidRDefault="00964571" w:rsidP="00964571">
          <w:r>
            <w:t xml:space="preserve">Content contained herein should be attributed as </w:t>
          </w:r>
          <w:r w:rsidRPr="0046678C">
            <w:rPr>
              <w:i/>
            </w:rPr>
            <w:t>Report title</w:t>
          </w:r>
          <w:r w:rsidRPr="000F2564">
            <w:rPr>
              <w:i/>
            </w:rPr>
            <w:t>, Australian Government Department of Industry, Science</w:t>
          </w:r>
          <w:r>
            <w:rPr>
              <w:i/>
            </w:rPr>
            <w:t xml:space="preserve"> and Resources</w:t>
          </w:r>
          <w:r w:rsidRPr="000F2564">
            <w:t>.</w:t>
          </w:r>
        </w:p>
        <w:p w14:paraId="78D64385" w14:textId="77777777" w:rsidR="00964571" w:rsidRPr="001D216A" w:rsidRDefault="00964571" w:rsidP="00964571">
          <w:pPr>
            <w:pStyle w:val="Heading2"/>
          </w:pPr>
          <w:bookmarkStart w:id="9" w:name="_Toc19023740"/>
          <w:bookmarkStart w:id="10" w:name="_Toc19289803"/>
          <w:bookmarkStart w:id="11" w:name="_Toc121897911"/>
          <w:bookmarkStart w:id="12" w:name="_Toc121898026"/>
          <w:bookmarkStart w:id="13" w:name="_Toc121898079"/>
          <w:r w:rsidRPr="001D216A">
            <w:t>Disclaimer</w:t>
          </w:r>
          <w:bookmarkEnd w:id="9"/>
          <w:bookmarkEnd w:id="10"/>
          <w:bookmarkEnd w:id="11"/>
          <w:bookmarkEnd w:id="12"/>
          <w:bookmarkEnd w:id="13"/>
        </w:p>
        <w:p w14:paraId="4EE93B1A" w14:textId="0C9598A9" w:rsidR="00964571" w:rsidRDefault="00964571" w:rsidP="00964571">
          <w:r>
            <w:t xml:space="preserve">The Australian Government as represented by the Department of Industry, Science and Resources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w:t>
          </w:r>
          <w:r w:rsidR="007B03DB">
            <w:t>expense,</w:t>
          </w:r>
          <w:r>
            <w:t xml:space="preserve"> or cost incurred by any person as a result of accessing, </w:t>
          </w:r>
          <w:r w:rsidR="007B03DB">
            <w:t>using,</w:t>
          </w:r>
          <w:r>
            <w:t xml:space="preserve"> or relying upon any of the information or data in this publication to the maximum extent permitted by law. No representation expressed or implied is made as to the currency, accuracy, </w:t>
          </w:r>
          <w:r w:rsidR="007B03DB">
            <w:t>reliability,</w:t>
          </w:r>
          <w:r>
            <w:t xml:space="preserve">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648D42F6" w14:textId="77777777" w:rsidR="00964571" w:rsidRDefault="00964571" w:rsidP="00964571">
          <w:r>
            <w:br w:type="page"/>
          </w:r>
        </w:p>
        <w:p w14:paraId="1A4ED480" w14:textId="77777777" w:rsidR="00964571" w:rsidRDefault="00964571" w:rsidP="00964571">
          <w:pPr>
            <w:pStyle w:val="Heading1"/>
          </w:pPr>
          <w:bookmarkStart w:id="14" w:name="_Toc19289804"/>
          <w:bookmarkStart w:id="15" w:name="_Toc121897912"/>
          <w:bookmarkStart w:id="16" w:name="_Toc121898027"/>
          <w:bookmarkStart w:id="17" w:name="_Toc121898080"/>
          <w:r>
            <w:lastRenderedPageBreak/>
            <w:t>Contents</w:t>
          </w:r>
          <w:bookmarkEnd w:id="14"/>
          <w:bookmarkEnd w:id="15"/>
          <w:bookmarkEnd w:id="16"/>
          <w:bookmarkEnd w:id="17"/>
        </w:p>
        <w:p w14:paraId="5D3AF303" w14:textId="0BF34C83" w:rsidR="00964571" w:rsidRDefault="00964571" w:rsidP="00964571">
          <w:pPr>
            <w:pStyle w:val="TOC1"/>
            <w:rPr>
              <w:rFonts w:eastAsiaTheme="minorEastAsia"/>
              <w:noProof/>
              <w:lang w:eastAsia="en-AU"/>
            </w:rPr>
          </w:pPr>
          <w:r>
            <w:fldChar w:fldCharType="begin"/>
          </w:r>
          <w:r>
            <w:instrText xml:space="preserve"> TOC \o "1-3" \h \z \u </w:instrText>
          </w:r>
          <w:r>
            <w:fldChar w:fldCharType="separate"/>
          </w:r>
          <w:hyperlink w:anchor="_Toc121898081" w:history="1">
            <w:r w:rsidRPr="00FD6F42">
              <w:rPr>
                <w:rStyle w:val="Hyperlink"/>
                <w:noProof/>
              </w:rPr>
              <w:t>1. Introduction</w:t>
            </w:r>
            <w:r>
              <w:rPr>
                <w:noProof/>
                <w:webHidden/>
              </w:rPr>
              <w:tab/>
            </w:r>
            <w:r>
              <w:rPr>
                <w:noProof/>
                <w:webHidden/>
              </w:rPr>
              <w:fldChar w:fldCharType="begin"/>
            </w:r>
            <w:r>
              <w:rPr>
                <w:noProof/>
                <w:webHidden/>
              </w:rPr>
              <w:instrText xml:space="preserve"> PAGEREF _Toc121898081 \h </w:instrText>
            </w:r>
            <w:r>
              <w:rPr>
                <w:noProof/>
                <w:webHidden/>
              </w:rPr>
            </w:r>
            <w:r>
              <w:rPr>
                <w:noProof/>
                <w:webHidden/>
              </w:rPr>
              <w:fldChar w:fldCharType="separate"/>
            </w:r>
            <w:r w:rsidR="00836B96">
              <w:rPr>
                <w:noProof/>
                <w:webHidden/>
              </w:rPr>
              <w:t>3</w:t>
            </w:r>
            <w:r>
              <w:rPr>
                <w:noProof/>
                <w:webHidden/>
              </w:rPr>
              <w:fldChar w:fldCharType="end"/>
            </w:r>
          </w:hyperlink>
        </w:p>
        <w:p w14:paraId="3989A2FD" w14:textId="6B671BE4" w:rsidR="00964571" w:rsidRDefault="00507953" w:rsidP="00964571">
          <w:pPr>
            <w:pStyle w:val="TOC1"/>
            <w:rPr>
              <w:rFonts w:eastAsiaTheme="minorEastAsia"/>
              <w:noProof/>
              <w:lang w:eastAsia="en-AU"/>
            </w:rPr>
          </w:pPr>
          <w:hyperlink w:anchor="_Toc121898082" w:history="1">
            <w:r w:rsidR="00964571" w:rsidRPr="00FD6F42">
              <w:rPr>
                <w:rStyle w:val="Hyperlink"/>
                <w:noProof/>
              </w:rPr>
              <w:t xml:space="preserve">2. Key </w:t>
            </w:r>
            <w:r w:rsidR="00B43AAC">
              <w:rPr>
                <w:rStyle w:val="Hyperlink"/>
                <w:noProof/>
              </w:rPr>
              <w:t>p</w:t>
            </w:r>
            <w:r w:rsidR="00964571" w:rsidRPr="00FD6F42">
              <w:rPr>
                <w:rStyle w:val="Hyperlink"/>
                <w:noProof/>
              </w:rPr>
              <w:t xml:space="preserve">rogram </w:t>
            </w:r>
            <w:r w:rsidR="00B43AAC">
              <w:rPr>
                <w:rStyle w:val="Hyperlink"/>
                <w:noProof/>
              </w:rPr>
              <w:t>d</w:t>
            </w:r>
            <w:r w:rsidR="00964571" w:rsidRPr="00FD6F42">
              <w:rPr>
                <w:rStyle w:val="Hyperlink"/>
                <w:noProof/>
              </w:rPr>
              <w:t>ata</w:t>
            </w:r>
            <w:r w:rsidR="00964571">
              <w:rPr>
                <w:noProof/>
                <w:webHidden/>
              </w:rPr>
              <w:tab/>
            </w:r>
            <w:r w:rsidR="00964571">
              <w:rPr>
                <w:noProof/>
                <w:webHidden/>
              </w:rPr>
              <w:fldChar w:fldCharType="begin"/>
            </w:r>
            <w:r w:rsidR="00964571">
              <w:rPr>
                <w:noProof/>
                <w:webHidden/>
              </w:rPr>
              <w:instrText xml:space="preserve"> PAGEREF _Toc121898082 \h </w:instrText>
            </w:r>
            <w:r w:rsidR="00964571">
              <w:rPr>
                <w:noProof/>
                <w:webHidden/>
              </w:rPr>
            </w:r>
            <w:r w:rsidR="00964571">
              <w:rPr>
                <w:noProof/>
                <w:webHidden/>
              </w:rPr>
              <w:fldChar w:fldCharType="separate"/>
            </w:r>
            <w:r w:rsidR="00836B96">
              <w:rPr>
                <w:noProof/>
                <w:webHidden/>
              </w:rPr>
              <w:t>4</w:t>
            </w:r>
            <w:r w:rsidR="00964571">
              <w:rPr>
                <w:noProof/>
                <w:webHidden/>
              </w:rPr>
              <w:fldChar w:fldCharType="end"/>
            </w:r>
          </w:hyperlink>
        </w:p>
        <w:p w14:paraId="703EA923" w14:textId="29813415" w:rsidR="00964571" w:rsidRDefault="00507953" w:rsidP="00964571">
          <w:pPr>
            <w:pStyle w:val="TOC2"/>
            <w:tabs>
              <w:tab w:val="right" w:leader="dot" w:pos="9016"/>
            </w:tabs>
            <w:rPr>
              <w:rFonts w:eastAsiaTheme="minorEastAsia"/>
              <w:noProof/>
              <w:lang w:eastAsia="en-AU"/>
            </w:rPr>
          </w:pPr>
          <w:hyperlink w:anchor="_Toc121898083" w:history="1">
            <w:r w:rsidR="00964571" w:rsidRPr="00FD6F42">
              <w:rPr>
                <w:rStyle w:val="Hyperlink"/>
                <w:noProof/>
              </w:rPr>
              <w:t>2.1 Reporting requirements by the Commissioner</w:t>
            </w:r>
            <w:r w:rsidR="00964571">
              <w:rPr>
                <w:noProof/>
                <w:webHidden/>
              </w:rPr>
              <w:tab/>
            </w:r>
            <w:r w:rsidR="00964571">
              <w:rPr>
                <w:noProof/>
                <w:webHidden/>
              </w:rPr>
              <w:fldChar w:fldCharType="begin"/>
            </w:r>
            <w:r w:rsidR="00964571">
              <w:rPr>
                <w:noProof/>
                <w:webHidden/>
              </w:rPr>
              <w:instrText xml:space="preserve"> PAGEREF _Toc121898083 \h </w:instrText>
            </w:r>
            <w:r w:rsidR="00964571">
              <w:rPr>
                <w:noProof/>
                <w:webHidden/>
              </w:rPr>
            </w:r>
            <w:r w:rsidR="00964571">
              <w:rPr>
                <w:noProof/>
                <w:webHidden/>
              </w:rPr>
              <w:fldChar w:fldCharType="separate"/>
            </w:r>
            <w:r w:rsidR="00836B96">
              <w:rPr>
                <w:noProof/>
                <w:webHidden/>
              </w:rPr>
              <w:t>5</w:t>
            </w:r>
            <w:r w:rsidR="00964571">
              <w:rPr>
                <w:noProof/>
                <w:webHidden/>
              </w:rPr>
              <w:fldChar w:fldCharType="end"/>
            </w:r>
          </w:hyperlink>
        </w:p>
        <w:p w14:paraId="2EEB8CC4" w14:textId="2F0BA10B" w:rsidR="00964571" w:rsidRDefault="00507953" w:rsidP="00964571">
          <w:pPr>
            <w:pStyle w:val="TOC2"/>
            <w:tabs>
              <w:tab w:val="right" w:leader="dot" w:pos="9016"/>
            </w:tabs>
            <w:rPr>
              <w:rFonts w:eastAsiaTheme="minorEastAsia"/>
              <w:noProof/>
              <w:lang w:eastAsia="en-AU"/>
            </w:rPr>
          </w:pPr>
          <w:hyperlink w:anchor="_Toc121898084" w:history="1">
            <w:r w:rsidR="00964571" w:rsidRPr="00FD6F42">
              <w:rPr>
                <w:rStyle w:val="Hyperlink"/>
                <w:noProof/>
              </w:rPr>
              <w:t>2.2 Reporting requirements by applicants to the Commissioner</w:t>
            </w:r>
            <w:r w:rsidR="00964571">
              <w:rPr>
                <w:noProof/>
                <w:webHidden/>
              </w:rPr>
              <w:tab/>
            </w:r>
            <w:r w:rsidR="00964571">
              <w:rPr>
                <w:noProof/>
                <w:webHidden/>
              </w:rPr>
              <w:fldChar w:fldCharType="begin"/>
            </w:r>
            <w:r w:rsidR="00964571">
              <w:rPr>
                <w:noProof/>
                <w:webHidden/>
              </w:rPr>
              <w:instrText xml:space="preserve"> PAGEREF _Toc121898084 \h </w:instrText>
            </w:r>
            <w:r w:rsidR="00964571">
              <w:rPr>
                <w:noProof/>
                <w:webHidden/>
              </w:rPr>
            </w:r>
            <w:r w:rsidR="00964571">
              <w:rPr>
                <w:noProof/>
                <w:webHidden/>
              </w:rPr>
              <w:fldChar w:fldCharType="separate"/>
            </w:r>
            <w:r w:rsidR="00836B96">
              <w:rPr>
                <w:noProof/>
                <w:webHidden/>
              </w:rPr>
              <w:t>6</w:t>
            </w:r>
            <w:r w:rsidR="00964571">
              <w:rPr>
                <w:noProof/>
                <w:webHidden/>
              </w:rPr>
              <w:fldChar w:fldCharType="end"/>
            </w:r>
          </w:hyperlink>
        </w:p>
        <w:p w14:paraId="1D840828" w14:textId="7C4B2899" w:rsidR="00964571" w:rsidRDefault="00507953" w:rsidP="00964571">
          <w:pPr>
            <w:pStyle w:val="TOC3"/>
            <w:tabs>
              <w:tab w:val="right" w:leader="dot" w:pos="9016"/>
            </w:tabs>
            <w:rPr>
              <w:rFonts w:eastAsiaTheme="minorEastAsia"/>
              <w:noProof/>
              <w:lang w:eastAsia="en-AU"/>
            </w:rPr>
          </w:pPr>
          <w:hyperlink w:anchor="_Toc121898085" w:history="1">
            <w:r w:rsidR="00964571" w:rsidRPr="00FD6F42">
              <w:rPr>
                <w:rStyle w:val="Hyperlink"/>
                <w:noProof/>
              </w:rPr>
              <w:t>2.2.1 Notification of the issue or expiry of exploration credits</w:t>
            </w:r>
            <w:r w:rsidR="00964571">
              <w:rPr>
                <w:noProof/>
                <w:webHidden/>
              </w:rPr>
              <w:tab/>
            </w:r>
            <w:r w:rsidR="00964571">
              <w:rPr>
                <w:noProof/>
                <w:webHidden/>
              </w:rPr>
              <w:fldChar w:fldCharType="begin"/>
            </w:r>
            <w:r w:rsidR="00964571">
              <w:rPr>
                <w:noProof/>
                <w:webHidden/>
              </w:rPr>
              <w:instrText xml:space="preserve"> PAGEREF _Toc121898085 \h </w:instrText>
            </w:r>
            <w:r w:rsidR="00964571">
              <w:rPr>
                <w:noProof/>
                <w:webHidden/>
              </w:rPr>
            </w:r>
            <w:r w:rsidR="00964571">
              <w:rPr>
                <w:noProof/>
                <w:webHidden/>
              </w:rPr>
              <w:fldChar w:fldCharType="separate"/>
            </w:r>
            <w:r w:rsidR="00836B96">
              <w:rPr>
                <w:noProof/>
                <w:webHidden/>
              </w:rPr>
              <w:t>7</w:t>
            </w:r>
            <w:r w:rsidR="00964571">
              <w:rPr>
                <w:noProof/>
                <w:webHidden/>
              </w:rPr>
              <w:fldChar w:fldCharType="end"/>
            </w:r>
          </w:hyperlink>
        </w:p>
        <w:p w14:paraId="6D39AEE9" w14:textId="12FFFC09" w:rsidR="00964571" w:rsidRDefault="00507953" w:rsidP="00964571">
          <w:pPr>
            <w:pStyle w:val="TOC3"/>
            <w:tabs>
              <w:tab w:val="right" w:leader="dot" w:pos="9016"/>
            </w:tabs>
            <w:rPr>
              <w:rFonts w:eastAsiaTheme="minorEastAsia"/>
              <w:noProof/>
              <w:lang w:eastAsia="en-AU"/>
            </w:rPr>
          </w:pPr>
          <w:hyperlink w:anchor="_Toc121898086" w:history="1">
            <w:r w:rsidR="00964571" w:rsidRPr="00FD6F42">
              <w:rPr>
                <w:rStyle w:val="Hyperlink"/>
                <w:noProof/>
              </w:rPr>
              <w:t xml:space="preserve">2.2.2 Annual Investment Income Report (AIIR) </w:t>
            </w:r>
            <w:r w:rsidR="00B43AAC">
              <w:rPr>
                <w:rStyle w:val="Hyperlink"/>
                <w:noProof/>
              </w:rPr>
              <w:t>l</w:t>
            </w:r>
            <w:r w:rsidR="00964571" w:rsidRPr="00FD6F42">
              <w:rPr>
                <w:rStyle w:val="Hyperlink"/>
                <w:noProof/>
              </w:rPr>
              <w:t>odgements</w:t>
            </w:r>
            <w:r w:rsidR="00964571">
              <w:rPr>
                <w:noProof/>
                <w:webHidden/>
              </w:rPr>
              <w:tab/>
            </w:r>
            <w:r w:rsidR="00964571">
              <w:rPr>
                <w:noProof/>
                <w:webHidden/>
              </w:rPr>
              <w:fldChar w:fldCharType="begin"/>
            </w:r>
            <w:r w:rsidR="00964571">
              <w:rPr>
                <w:noProof/>
                <w:webHidden/>
              </w:rPr>
              <w:instrText xml:space="preserve"> PAGEREF _Toc121898086 \h </w:instrText>
            </w:r>
            <w:r w:rsidR="00964571">
              <w:rPr>
                <w:noProof/>
                <w:webHidden/>
              </w:rPr>
            </w:r>
            <w:r w:rsidR="00964571">
              <w:rPr>
                <w:noProof/>
                <w:webHidden/>
              </w:rPr>
              <w:fldChar w:fldCharType="separate"/>
            </w:r>
            <w:r w:rsidR="00836B96">
              <w:rPr>
                <w:noProof/>
                <w:webHidden/>
              </w:rPr>
              <w:t>7</w:t>
            </w:r>
            <w:r w:rsidR="00964571">
              <w:rPr>
                <w:noProof/>
                <w:webHidden/>
              </w:rPr>
              <w:fldChar w:fldCharType="end"/>
            </w:r>
          </w:hyperlink>
        </w:p>
        <w:p w14:paraId="58F80C51" w14:textId="5A43CE41" w:rsidR="00964571" w:rsidRDefault="00507953" w:rsidP="00964571">
          <w:pPr>
            <w:pStyle w:val="TOC3"/>
            <w:tabs>
              <w:tab w:val="right" w:leader="dot" w:pos="9016"/>
            </w:tabs>
            <w:rPr>
              <w:rFonts w:eastAsiaTheme="minorEastAsia"/>
              <w:noProof/>
              <w:lang w:eastAsia="en-AU"/>
            </w:rPr>
          </w:pPr>
          <w:hyperlink w:anchor="_Toc121898087" w:history="1">
            <w:r w:rsidR="00964571" w:rsidRPr="00FD6F42">
              <w:rPr>
                <w:rStyle w:val="Hyperlink"/>
                <w:noProof/>
              </w:rPr>
              <w:t>2.2.3. Excess exploration credit tax return</w:t>
            </w:r>
            <w:r w:rsidR="00964571">
              <w:rPr>
                <w:noProof/>
                <w:webHidden/>
              </w:rPr>
              <w:tab/>
            </w:r>
            <w:r w:rsidR="00964571">
              <w:rPr>
                <w:noProof/>
                <w:webHidden/>
              </w:rPr>
              <w:fldChar w:fldCharType="begin"/>
            </w:r>
            <w:r w:rsidR="00964571">
              <w:rPr>
                <w:noProof/>
                <w:webHidden/>
              </w:rPr>
              <w:instrText xml:space="preserve"> PAGEREF _Toc121898087 \h </w:instrText>
            </w:r>
            <w:r w:rsidR="00964571">
              <w:rPr>
                <w:noProof/>
                <w:webHidden/>
              </w:rPr>
            </w:r>
            <w:r w:rsidR="00964571">
              <w:rPr>
                <w:noProof/>
                <w:webHidden/>
              </w:rPr>
              <w:fldChar w:fldCharType="separate"/>
            </w:r>
            <w:r w:rsidR="00836B96">
              <w:rPr>
                <w:noProof/>
                <w:webHidden/>
              </w:rPr>
              <w:t>8</w:t>
            </w:r>
            <w:r w:rsidR="00964571">
              <w:rPr>
                <w:noProof/>
                <w:webHidden/>
              </w:rPr>
              <w:fldChar w:fldCharType="end"/>
            </w:r>
          </w:hyperlink>
        </w:p>
        <w:p w14:paraId="3EFD5A04" w14:textId="313AF396" w:rsidR="00964571" w:rsidRDefault="00507953" w:rsidP="00964571">
          <w:pPr>
            <w:pStyle w:val="TOC1"/>
            <w:rPr>
              <w:rFonts w:eastAsiaTheme="minorEastAsia"/>
              <w:noProof/>
              <w:lang w:eastAsia="en-AU"/>
            </w:rPr>
          </w:pPr>
          <w:hyperlink w:anchor="_Toc121898088" w:history="1">
            <w:r w:rsidR="00964571" w:rsidRPr="00FD6F42">
              <w:rPr>
                <w:rStyle w:val="Hyperlink"/>
                <w:noProof/>
              </w:rPr>
              <w:t>3. Additional exploration or prospecting attributable to JMEI for the 2018-19 round</w:t>
            </w:r>
            <w:r w:rsidR="00964571">
              <w:rPr>
                <w:noProof/>
                <w:webHidden/>
              </w:rPr>
              <w:tab/>
            </w:r>
            <w:r w:rsidR="00964571">
              <w:rPr>
                <w:noProof/>
                <w:webHidden/>
              </w:rPr>
              <w:fldChar w:fldCharType="begin"/>
            </w:r>
            <w:r w:rsidR="00964571">
              <w:rPr>
                <w:noProof/>
                <w:webHidden/>
              </w:rPr>
              <w:instrText xml:space="preserve"> PAGEREF _Toc121898088 \h </w:instrText>
            </w:r>
            <w:r w:rsidR="00964571">
              <w:rPr>
                <w:noProof/>
                <w:webHidden/>
              </w:rPr>
            </w:r>
            <w:r w:rsidR="00964571">
              <w:rPr>
                <w:noProof/>
                <w:webHidden/>
              </w:rPr>
              <w:fldChar w:fldCharType="separate"/>
            </w:r>
            <w:r w:rsidR="00836B96">
              <w:rPr>
                <w:noProof/>
                <w:webHidden/>
              </w:rPr>
              <w:t>8</w:t>
            </w:r>
            <w:r w:rsidR="00964571">
              <w:rPr>
                <w:noProof/>
                <w:webHidden/>
              </w:rPr>
              <w:fldChar w:fldCharType="end"/>
            </w:r>
          </w:hyperlink>
        </w:p>
        <w:p w14:paraId="18731616" w14:textId="6FB03918" w:rsidR="00964571" w:rsidRDefault="00507953" w:rsidP="00964571">
          <w:pPr>
            <w:pStyle w:val="TOC1"/>
            <w:rPr>
              <w:rFonts w:eastAsiaTheme="minorEastAsia"/>
              <w:noProof/>
              <w:lang w:eastAsia="en-AU"/>
            </w:rPr>
          </w:pPr>
          <w:hyperlink w:anchor="_Toc121898089" w:history="1">
            <w:r w:rsidR="00964571" w:rsidRPr="00FD6F42">
              <w:rPr>
                <w:rStyle w:val="Hyperlink"/>
                <w:noProof/>
              </w:rPr>
              <w:t xml:space="preserve">4. Public </w:t>
            </w:r>
            <w:r w:rsidR="00B43AAC">
              <w:rPr>
                <w:rStyle w:val="Hyperlink"/>
                <w:noProof/>
              </w:rPr>
              <w:t>c</w:t>
            </w:r>
            <w:r w:rsidR="00964571" w:rsidRPr="00FD6F42">
              <w:rPr>
                <w:rStyle w:val="Hyperlink"/>
                <w:noProof/>
              </w:rPr>
              <w:t>onsultation</w:t>
            </w:r>
            <w:r w:rsidR="00964571">
              <w:rPr>
                <w:noProof/>
                <w:webHidden/>
              </w:rPr>
              <w:tab/>
            </w:r>
            <w:r w:rsidR="00964571">
              <w:rPr>
                <w:noProof/>
                <w:webHidden/>
              </w:rPr>
              <w:fldChar w:fldCharType="begin"/>
            </w:r>
            <w:r w:rsidR="00964571">
              <w:rPr>
                <w:noProof/>
                <w:webHidden/>
              </w:rPr>
              <w:instrText xml:space="preserve"> PAGEREF _Toc121898089 \h </w:instrText>
            </w:r>
            <w:r w:rsidR="00964571">
              <w:rPr>
                <w:noProof/>
                <w:webHidden/>
              </w:rPr>
            </w:r>
            <w:r w:rsidR="00964571">
              <w:rPr>
                <w:noProof/>
                <w:webHidden/>
              </w:rPr>
              <w:fldChar w:fldCharType="separate"/>
            </w:r>
            <w:r w:rsidR="00836B96">
              <w:rPr>
                <w:noProof/>
                <w:webHidden/>
              </w:rPr>
              <w:t>9</w:t>
            </w:r>
            <w:r w:rsidR="00964571">
              <w:rPr>
                <w:noProof/>
                <w:webHidden/>
              </w:rPr>
              <w:fldChar w:fldCharType="end"/>
            </w:r>
          </w:hyperlink>
        </w:p>
        <w:p w14:paraId="1222FA2D" w14:textId="353FA1CD" w:rsidR="00964571" w:rsidRDefault="00507953" w:rsidP="00964571">
          <w:pPr>
            <w:pStyle w:val="TOC2"/>
            <w:tabs>
              <w:tab w:val="right" w:leader="dot" w:pos="9016"/>
            </w:tabs>
            <w:rPr>
              <w:rFonts w:eastAsiaTheme="minorEastAsia"/>
              <w:noProof/>
              <w:lang w:eastAsia="en-AU"/>
            </w:rPr>
          </w:pPr>
          <w:hyperlink w:anchor="_Toc121898090" w:history="1">
            <w:r w:rsidR="00964571" w:rsidRPr="00FD6F42">
              <w:rPr>
                <w:rStyle w:val="Hyperlink"/>
                <w:noProof/>
              </w:rPr>
              <w:t xml:space="preserve">4.1 Stakeholder </w:t>
            </w:r>
            <w:r w:rsidR="00B43AAC">
              <w:rPr>
                <w:rStyle w:val="Hyperlink"/>
                <w:noProof/>
              </w:rPr>
              <w:t>f</w:t>
            </w:r>
            <w:r w:rsidR="00964571" w:rsidRPr="00FD6F42">
              <w:rPr>
                <w:rStyle w:val="Hyperlink"/>
                <w:noProof/>
              </w:rPr>
              <w:t>eedback</w:t>
            </w:r>
            <w:r w:rsidR="00964571">
              <w:rPr>
                <w:noProof/>
                <w:webHidden/>
              </w:rPr>
              <w:tab/>
            </w:r>
            <w:r w:rsidR="00964571">
              <w:rPr>
                <w:noProof/>
                <w:webHidden/>
              </w:rPr>
              <w:fldChar w:fldCharType="begin"/>
            </w:r>
            <w:r w:rsidR="00964571">
              <w:rPr>
                <w:noProof/>
                <w:webHidden/>
              </w:rPr>
              <w:instrText xml:space="preserve"> PAGEREF _Toc121898090 \h </w:instrText>
            </w:r>
            <w:r w:rsidR="00964571">
              <w:rPr>
                <w:noProof/>
                <w:webHidden/>
              </w:rPr>
            </w:r>
            <w:r w:rsidR="00964571">
              <w:rPr>
                <w:noProof/>
                <w:webHidden/>
              </w:rPr>
              <w:fldChar w:fldCharType="separate"/>
            </w:r>
            <w:r w:rsidR="00836B96">
              <w:rPr>
                <w:noProof/>
                <w:webHidden/>
              </w:rPr>
              <w:t>9</w:t>
            </w:r>
            <w:r w:rsidR="00964571">
              <w:rPr>
                <w:noProof/>
                <w:webHidden/>
              </w:rPr>
              <w:fldChar w:fldCharType="end"/>
            </w:r>
          </w:hyperlink>
        </w:p>
        <w:p w14:paraId="62E43BF4" w14:textId="77777777" w:rsidR="00964571" w:rsidRDefault="00964571" w:rsidP="00964571">
          <w:r>
            <w:fldChar w:fldCharType="end"/>
          </w:r>
        </w:p>
        <w:p w14:paraId="68DCF4E7" w14:textId="77777777" w:rsidR="00964571" w:rsidRDefault="00507953" w:rsidP="00964571"/>
      </w:sdtContent>
    </w:sdt>
    <w:p w14:paraId="7FAC2605" w14:textId="77777777" w:rsidR="00964571" w:rsidRDefault="00964571" w:rsidP="00964571">
      <w:pPr>
        <w:pStyle w:val="Heading1"/>
      </w:pPr>
    </w:p>
    <w:p w14:paraId="0A3B816F" w14:textId="77777777" w:rsidR="00964571" w:rsidRPr="00630EE8" w:rsidRDefault="00964571" w:rsidP="00964571"/>
    <w:p w14:paraId="27E13D4B" w14:textId="77777777" w:rsidR="00964571" w:rsidRPr="00630EE8" w:rsidRDefault="00964571" w:rsidP="00964571"/>
    <w:p w14:paraId="06F9220B" w14:textId="77777777" w:rsidR="00964571" w:rsidRPr="00630EE8" w:rsidRDefault="00964571" w:rsidP="00964571"/>
    <w:p w14:paraId="1E9BB187" w14:textId="77777777" w:rsidR="00964571" w:rsidRPr="00630EE8" w:rsidRDefault="00964571" w:rsidP="00964571"/>
    <w:p w14:paraId="55F63DFE" w14:textId="77777777" w:rsidR="00964571" w:rsidRPr="00630EE8" w:rsidRDefault="00964571" w:rsidP="00964571"/>
    <w:p w14:paraId="62B50AB8" w14:textId="77777777" w:rsidR="00964571" w:rsidRPr="00630EE8" w:rsidRDefault="00964571" w:rsidP="00964571"/>
    <w:p w14:paraId="56691FB1" w14:textId="77777777" w:rsidR="00964571" w:rsidRPr="00630EE8" w:rsidRDefault="00964571" w:rsidP="00964571"/>
    <w:p w14:paraId="19F1A3E4" w14:textId="77777777" w:rsidR="00964571" w:rsidRPr="00630EE8" w:rsidRDefault="00964571" w:rsidP="00964571"/>
    <w:p w14:paraId="66292C74" w14:textId="77777777" w:rsidR="00964571" w:rsidRPr="00630EE8" w:rsidRDefault="00964571" w:rsidP="00964571"/>
    <w:p w14:paraId="549B5B0C" w14:textId="77777777" w:rsidR="00964571" w:rsidRPr="00630EE8" w:rsidRDefault="00964571" w:rsidP="00964571"/>
    <w:p w14:paraId="6700AD54" w14:textId="77777777" w:rsidR="00964571" w:rsidRPr="00630EE8" w:rsidRDefault="00964571" w:rsidP="00964571"/>
    <w:p w14:paraId="200664C8" w14:textId="77777777" w:rsidR="00964571" w:rsidRPr="00630EE8" w:rsidRDefault="00964571" w:rsidP="00964571"/>
    <w:p w14:paraId="30550A66" w14:textId="77777777" w:rsidR="00964571" w:rsidRPr="00630EE8" w:rsidRDefault="00964571" w:rsidP="00964571"/>
    <w:p w14:paraId="497CB84E" w14:textId="77777777" w:rsidR="00964571" w:rsidRPr="00630EE8" w:rsidRDefault="00964571" w:rsidP="00964571"/>
    <w:p w14:paraId="50B76C97" w14:textId="77777777" w:rsidR="00964571" w:rsidRPr="00630EE8" w:rsidRDefault="00964571" w:rsidP="00964571"/>
    <w:p w14:paraId="27CDB80C" w14:textId="77777777" w:rsidR="00964571" w:rsidRDefault="00964571" w:rsidP="00964571">
      <w:pPr>
        <w:pStyle w:val="Heading1"/>
      </w:pPr>
    </w:p>
    <w:p w14:paraId="1A1A5A03" w14:textId="77777777" w:rsidR="00964571" w:rsidRDefault="00964571" w:rsidP="00964571">
      <w:pPr>
        <w:pStyle w:val="Heading1"/>
      </w:pPr>
      <w:r w:rsidRPr="00630EE8">
        <w:br w:type="page"/>
      </w:r>
      <w:bookmarkStart w:id="18" w:name="_Toc121898081"/>
      <w:r w:rsidRPr="004316FC">
        <w:lastRenderedPageBreak/>
        <w:t>1.</w:t>
      </w:r>
      <w:r>
        <w:t xml:space="preserve"> Introduction</w:t>
      </w:r>
      <w:bookmarkEnd w:id="18"/>
    </w:p>
    <w:p w14:paraId="7FFBDAA9" w14:textId="33371701" w:rsidR="00964571" w:rsidRDefault="00964571" w:rsidP="00964571">
      <w:pPr>
        <w:pStyle w:val="Body"/>
        <w:spacing w:before="120"/>
        <w:rPr>
          <w:rFonts w:asciiTheme="minorHAnsi" w:hAnsiTheme="minorHAnsi" w:cstheme="minorHAnsi"/>
        </w:rPr>
      </w:pPr>
      <w:r w:rsidRPr="006F10DD">
        <w:rPr>
          <w:rFonts w:asciiTheme="minorHAnsi" w:hAnsiTheme="minorHAnsi" w:cstheme="minorHAnsi"/>
        </w:rPr>
        <w:t xml:space="preserve">The Junior Minerals Exploration Incentive (JMEI) commenced in 2018. </w:t>
      </w:r>
      <w:r w:rsidRPr="00AE3CF7">
        <w:rPr>
          <w:rFonts w:asciiTheme="minorHAnsi" w:hAnsiTheme="minorHAnsi" w:cstheme="minorHAnsi"/>
        </w:rPr>
        <w:t xml:space="preserve">The </w:t>
      </w:r>
      <w:r>
        <w:rPr>
          <w:rFonts w:asciiTheme="minorHAnsi" w:hAnsiTheme="minorHAnsi" w:cstheme="minorHAnsi"/>
        </w:rPr>
        <w:t>JMEI</w:t>
      </w:r>
      <w:r w:rsidRPr="00AE3CF7">
        <w:rPr>
          <w:rFonts w:asciiTheme="minorHAnsi" w:hAnsiTheme="minorHAnsi" w:cstheme="minorHAnsi"/>
        </w:rPr>
        <w:t xml:space="preserve"> aims to increase the amount of investment in junior minerals exploration companies</w:t>
      </w:r>
      <w:r>
        <w:rPr>
          <w:rStyle w:val="FootnoteReference"/>
          <w:rFonts w:asciiTheme="minorHAnsi" w:hAnsiTheme="minorHAnsi" w:cstheme="minorHAnsi"/>
        </w:rPr>
        <w:footnoteReference w:id="2"/>
      </w:r>
      <w:r w:rsidRPr="00AE3CF7">
        <w:rPr>
          <w:rFonts w:asciiTheme="minorHAnsi" w:hAnsiTheme="minorHAnsi" w:cstheme="minorHAnsi"/>
        </w:rPr>
        <w:t xml:space="preserve"> to support more</w:t>
      </w:r>
      <w:r>
        <w:rPr>
          <w:rFonts w:asciiTheme="minorHAnsi" w:hAnsiTheme="minorHAnsi" w:cstheme="minorHAnsi"/>
        </w:rPr>
        <w:t xml:space="preserve"> </w:t>
      </w:r>
      <w:r w:rsidRPr="00AE3CF7">
        <w:rPr>
          <w:rFonts w:asciiTheme="minorHAnsi" w:hAnsiTheme="minorHAnsi" w:cstheme="minorHAnsi"/>
        </w:rPr>
        <w:t>greenfields exploration</w:t>
      </w:r>
      <w:r>
        <w:rPr>
          <w:rStyle w:val="FootnoteReference"/>
          <w:rFonts w:asciiTheme="minorHAnsi" w:hAnsiTheme="minorHAnsi" w:cstheme="minorHAnsi"/>
        </w:rPr>
        <w:footnoteReference w:id="3"/>
      </w:r>
      <w:r w:rsidRPr="00AE3CF7">
        <w:rPr>
          <w:rFonts w:asciiTheme="minorHAnsi" w:hAnsiTheme="minorHAnsi" w:cstheme="minorHAnsi"/>
        </w:rPr>
        <w:t xml:space="preserve"> activity</w:t>
      </w:r>
      <w:r>
        <w:rPr>
          <w:rFonts w:asciiTheme="minorHAnsi" w:hAnsiTheme="minorHAnsi" w:cstheme="minorHAnsi"/>
        </w:rPr>
        <w:t xml:space="preserve"> in Australia</w:t>
      </w:r>
      <w:r w:rsidRPr="00AE3CF7">
        <w:rPr>
          <w:rFonts w:asciiTheme="minorHAnsi" w:hAnsiTheme="minorHAnsi" w:cstheme="minorHAnsi"/>
        </w:rPr>
        <w:t>.</w:t>
      </w:r>
    </w:p>
    <w:p w14:paraId="7C0080B9" w14:textId="41BD4BC3" w:rsidR="00964571" w:rsidRDefault="00964571" w:rsidP="00964571">
      <w:pPr>
        <w:pStyle w:val="Body"/>
        <w:spacing w:before="120"/>
        <w:rPr>
          <w:rFonts w:asciiTheme="minorHAnsi" w:hAnsiTheme="minorHAnsi" w:cstheme="minorHAnsi"/>
        </w:rPr>
      </w:pPr>
      <w:r>
        <w:rPr>
          <w:rFonts w:asciiTheme="minorHAnsi" w:hAnsiTheme="minorHAnsi" w:cstheme="minorHAnsi"/>
        </w:rPr>
        <w:t xml:space="preserve">Exploration and discovery of new mineral resources </w:t>
      </w:r>
      <w:r w:rsidR="00D81953">
        <w:rPr>
          <w:rFonts w:asciiTheme="minorHAnsi" w:hAnsiTheme="minorHAnsi" w:cstheme="minorHAnsi"/>
        </w:rPr>
        <w:t xml:space="preserve">is </w:t>
      </w:r>
      <w:r>
        <w:rPr>
          <w:rFonts w:asciiTheme="minorHAnsi" w:hAnsiTheme="minorHAnsi" w:cstheme="minorHAnsi"/>
        </w:rPr>
        <w:t>vital to the Australian economy. It</w:t>
      </w:r>
      <w:r w:rsidRPr="000C5F29">
        <w:rPr>
          <w:rFonts w:asciiTheme="minorHAnsi" w:hAnsiTheme="minorHAnsi" w:cstheme="minorHAnsi"/>
        </w:rPr>
        <w:t xml:space="preserve"> often involves significant expenditure and risks. </w:t>
      </w:r>
      <w:r>
        <w:rPr>
          <w:rFonts w:asciiTheme="minorHAnsi" w:hAnsiTheme="minorHAnsi" w:cstheme="minorHAnsi"/>
        </w:rPr>
        <w:t>L</w:t>
      </w:r>
      <w:r w:rsidRPr="000C5F29">
        <w:rPr>
          <w:rFonts w:asciiTheme="minorHAnsi" w:hAnsiTheme="minorHAnsi" w:cstheme="minorHAnsi"/>
        </w:rPr>
        <w:t xml:space="preserve">arger, established mining companies are generally able to fund </w:t>
      </w:r>
      <w:r>
        <w:rPr>
          <w:rFonts w:asciiTheme="minorHAnsi" w:hAnsiTheme="minorHAnsi" w:cstheme="minorHAnsi"/>
        </w:rPr>
        <w:t>exploration activities</w:t>
      </w:r>
      <w:r w:rsidRPr="000C5F29">
        <w:rPr>
          <w:rFonts w:asciiTheme="minorHAnsi" w:hAnsiTheme="minorHAnsi" w:cstheme="minorHAnsi"/>
        </w:rPr>
        <w:t xml:space="preserve"> from their own profits</w:t>
      </w:r>
      <w:r>
        <w:rPr>
          <w:rFonts w:asciiTheme="minorHAnsi" w:hAnsiTheme="minorHAnsi" w:cstheme="minorHAnsi"/>
        </w:rPr>
        <w:t>.</w:t>
      </w:r>
      <w:r w:rsidRPr="000C5F29">
        <w:rPr>
          <w:rFonts w:asciiTheme="minorHAnsi" w:hAnsiTheme="minorHAnsi" w:cstheme="minorHAnsi"/>
        </w:rPr>
        <w:t xml:space="preserve"> </w:t>
      </w:r>
      <w:r w:rsidR="00D81953">
        <w:rPr>
          <w:rFonts w:asciiTheme="minorHAnsi" w:hAnsiTheme="minorHAnsi" w:cstheme="minorHAnsi"/>
        </w:rPr>
        <w:t>However, s</w:t>
      </w:r>
      <w:r w:rsidRPr="000C5F29">
        <w:rPr>
          <w:rFonts w:asciiTheme="minorHAnsi" w:hAnsiTheme="minorHAnsi" w:cstheme="minorHAnsi"/>
        </w:rPr>
        <w:t>maller companies focus</w:t>
      </w:r>
      <w:r>
        <w:rPr>
          <w:rFonts w:asciiTheme="minorHAnsi" w:hAnsiTheme="minorHAnsi" w:cstheme="minorHAnsi"/>
        </w:rPr>
        <w:t>ing</w:t>
      </w:r>
      <w:r w:rsidRPr="000C5F29">
        <w:rPr>
          <w:rFonts w:asciiTheme="minorHAnsi" w:hAnsiTheme="minorHAnsi" w:cstheme="minorHAnsi"/>
        </w:rPr>
        <w:t xml:space="preserve"> solely on exploration are dependent on attracting investment to fund their activities. </w:t>
      </w:r>
      <w:r w:rsidR="00D81953">
        <w:rPr>
          <w:rFonts w:asciiTheme="minorHAnsi" w:hAnsiTheme="minorHAnsi" w:cstheme="minorHAnsi"/>
        </w:rPr>
        <w:t>S</w:t>
      </w:r>
      <w:r w:rsidRPr="000C5F29">
        <w:rPr>
          <w:rFonts w:asciiTheme="minorHAnsi" w:hAnsiTheme="minorHAnsi" w:cstheme="minorHAnsi"/>
        </w:rPr>
        <w:t>maller companies are also more likely to engage in more speculative minerals exploration in greenfields areas rather than focusing on the development of existing resources.</w:t>
      </w:r>
      <w:r w:rsidR="00DE0B4E">
        <w:rPr>
          <w:rStyle w:val="FootnoteReference"/>
          <w:rFonts w:asciiTheme="minorHAnsi" w:hAnsiTheme="minorHAnsi" w:cstheme="minorHAnsi"/>
        </w:rPr>
        <w:footnoteReference w:id="4"/>
      </w:r>
    </w:p>
    <w:p w14:paraId="3A5738D0" w14:textId="30476F44" w:rsidR="00964571" w:rsidRDefault="00964571" w:rsidP="00964571">
      <w:pPr>
        <w:pStyle w:val="Dash"/>
        <w:numPr>
          <w:ilvl w:val="0"/>
          <w:numId w:val="0"/>
        </w:numPr>
        <w:spacing w:before="120" w:line="259" w:lineRule="auto"/>
        <w:rPr>
          <w:rFonts w:cstheme="minorHAnsi"/>
        </w:rPr>
      </w:pPr>
      <w:r w:rsidRPr="006F10DD">
        <w:rPr>
          <w:rFonts w:cstheme="minorHAnsi"/>
        </w:rPr>
        <w:t xml:space="preserve">The JMEI was </w:t>
      </w:r>
      <w:r>
        <w:rPr>
          <w:rFonts w:cstheme="minorHAnsi"/>
        </w:rPr>
        <w:t xml:space="preserve">initially </w:t>
      </w:r>
      <w:r w:rsidRPr="006F10DD">
        <w:rPr>
          <w:rFonts w:cstheme="minorHAnsi"/>
        </w:rPr>
        <w:t xml:space="preserve">allocated $100 million, capped over four years from 2017–18. </w:t>
      </w:r>
      <w:r w:rsidR="00B43AAC">
        <w:rPr>
          <w:rFonts w:cstheme="minorHAnsi"/>
        </w:rPr>
        <w:t>The 2021-22 Budget provided a</w:t>
      </w:r>
      <w:r>
        <w:rPr>
          <w:rFonts w:cstheme="minorHAnsi"/>
        </w:rPr>
        <w:t xml:space="preserve">n additional $100 million in fiscal balance terms </w:t>
      </w:r>
      <w:r w:rsidRPr="006F10DD">
        <w:rPr>
          <w:rFonts w:cstheme="minorHAnsi"/>
        </w:rPr>
        <w:t xml:space="preserve">to extend the JMEI for a further </w:t>
      </w:r>
      <w:r w:rsidR="000D48BB">
        <w:rPr>
          <w:rFonts w:cstheme="minorHAnsi"/>
        </w:rPr>
        <w:t xml:space="preserve">four </w:t>
      </w:r>
      <w:r w:rsidRPr="006F10DD">
        <w:rPr>
          <w:rFonts w:cstheme="minorHAnsi"/>
        </w:rPr>
        <w:t>years</w:t>
      </w:r>
      <w:r>
        <w:rPr>
          <w:rFonts w:cstheme="minorHAnsi"/>
        </w:rPr>
        <w:t xml:space="preserve"> until June 2025</w:t>
      </w:r>
      <w:r w:rsidRPr="006F10DD">
        <w:rPr>
          <w:rFonts w:cstheme="minorHAnsi"/>
        </w:rPr>
        <w:t xml:space="preserve">. </w:t>
      </w:r>
    </w:p>
    <w:p w14:paraId="3F2B43ED" w14:textId="77777777" w:rsidR="00964571" w:rsidRPr="006F10DD" w:rsidRDefault="00964571" w:rsidP="00964571">
      <w:pPr>
        <w:pStyle w:val="Dash"/>
        <w:numPr>
          <w:ilvl w:val="0"/>
          <w:numId w:val="0"/>
        </w:numPr>
        <w:spacing w:before="120" w:line="259" w:lineRule="auto"/>
        <w:rPr>
          <w:rFonts w:eastAsia="Calibri" w:cstheme="minorHAnsi"/>
        </w:rPr>
      </w:pPr>
      <w:r w:rsidRPr="006F10DD">
        <w:rPr>
          <w:rFonts w:eastAsia="Calibri" w:cstheme="minorHAnsi"/>
        </w:rPr>
        <w:t xml:space="preserve">The </w:t>
      </w:r>
      <w:r>
        <w:rPr>
          <w:rFonts w:eastAsia="Calibri" w:cstheme="minorHAnsi"/>
        </w:rPr>
        <w:t>JMEI</w:t>
      </w:r>
      <w:r w:rsidRPr="006F10DD">
        <w:rPr>
          <w:rFonts w:eastAsia="Calibri" w:cstheme="minorHAnsi"/>
        </w:rPr>
        <w:t xml:space="preserve"> allows junior minerals exploration companies to generate tax credits. Companies can choose to give up a portion of their income tax losses from greenfields exploration expenditure in an income year.</w:t>
      </w:r>
      <w:r w:rsidRPr="006F10DD">
        <w:rPr>
          <w:rFonts w:cstheme="minorHAnsi"/>
        </w:rPr>
        <w:t xml:space="preserve"> </w:t>
      </w:r>
      <w:r w:rsidRPr="006F10DD">
        <w:rPr>
          <w:rFonts w:eastAsia="Calibri" w:cstheme="minorHAnsi"/>
        </w:rPr>
        <w:t>JMEI works on a pre-approval basis and broadly operates as follows:</w:t>
      </w:r>
    </w:p>
    <w:p w14:paraId="79D9B60F" w14:textId="77777777" w:rsidR="00964571" w:rsidRPr="006F10DD" w:rsidRDefault="00964571" w:rsidP="00964571">
      <w:pPr>
        <w:pStyle w:val="Bullet"/>
        <w:numPr>
          <w:ilvl w:val="0"/>
          <w:numId w:val="18"/>
        </w:numPr>
        <w:spacing w:after="0" w:line="240" w:lineRule="auto"/>
        <w:rPr>
          <w:rFonts w:asciiTheme="minorHAnsi" w:eastAsia="Calibri" w:hAnsiTheme="minorHAnsi" w:cstheme="minorHAnsi"/>
        </w:rPr>
      </w:pPr>
      <w:r w:rsidRPr="006F10DD">
        <w:rPr>
          <w:rFonts w:asciiTheme="minorHAnsi" w:eastAsia="Calibri" w:hAnsiTheme="minorHAnsi" w:cstheme="minorHAnsi"/>
        </w:rPr>
        <w:t xml:space="preserve">Junior minerals exploration company applies to the Commissioner of Taxation (‘Commissioner’) for an allocation of available exploration credits (‘JMEI round’); </w:t>
      </w:r>
    </w:p>
    <w:p w14:paraId="302A4AEC" w14:textId="77777777" w:rsidR="00964571" w:rsidRPr="006F10DD" w:rsidRDefault="00964571" w:rsidP="00964571">
      <w:pPr>
        <w:pStyle w:val="Bullet"/>
        <w:numPr>
          <w:ilvl w:val="0"/>
          <w:numId w:val="18"/>
        </w:numPr>
        <w:spacing w:after="0" w:line="240" w:lineRule="auto"/>
        <w:rPr>
          <w:rFonts w:asciiTheme="minorHAnsi" w:eastAsia="Calibri" w:hAnsiTheme="minorHAnsi" w:cstheme="minorHAnsi"/>
        </w:rPr>
      </w:pPr>
      <w:r w:rsidRPr="006F10DD">
        <w:rPr>
          <w:rFonts w:asciiTheme="minorHAnsi" w:eastAsia="Calibri" w:hAnsiTheme="minorHAnsi" w:cstheme="minorHAnsi"/>
        </w:rPr>
        <w:t>Commissioner allocates exploration credits on a first-come first-serve</w:t>
      </w:r>
      <w:r>
        <w:rPr>
          <w:rFonts w:asciiTheme="minorHAnsi" w:eastAsia="Calibri" w:hAnsiTheme="minorHAnsi" w:cstheme="minorHAnsi"/>
        </w:rPr>
        <w:t>d</w:t>
      </w:r>
      <w:r w:rsidRPr="006F10DD">
        <w:rPr>
          <w:rFonts w:asciiTheme="minorHAnsi" w:eastAsia="Calibri" w:hAnsiTheme="minorHAnsi" w:cstheme="minorHAnsi"/>
        </w:rPr>
        <w:t xml:space="preserve"> basis;</w:t>
      </w:r>
    </w:p>
    <w:p w14:paraId="618901BF" w14:textId="77777777" w:rsidR="00964571" w:rsidRPr="006F10DD" w:rsidRDefault="00964571" w:rsidP="00964571">
      <w:pPr>
        <w:pStyle w:val="Bullet"/>
        <w:numPr>
          <w:ilvl w:val="0"/>
          <w:numId w:val="18"/>
        </w:numPr>
        <w:spacing w:after="0" w:line="240" w:lineRule="auto"/>
        <w:rPr>
          <w:rFonts w:asciiTheme="minorHAnsi" w:eastAsia="Calibri" w:hAnsiTheme="minorHAnsi" w:cstheme="minorHAnsi"/>
        </w:rPr>
      </w:pPr>
      <w:r w:rsidRPr="006F10DD">
        <w:rPr>
          <w:rFonts w:asciiTheme="minorHAnsi" w:eastAsia="Calibri" w:hAnsiTheme="minorHAnsi" w:cstheme="minorHAnsi"/>
        </w:rPr>
        <w:t xml:space="preserve">Junior minerals exploration company raises capital on the market (e.g. via the </w:t>
      </w:r>
      <w:r w:rsidRPr="006F10DD">
        <w:rPr>
          <w:rFonts w:asciiTheme="minorHAnsi" w:hAnsiTheme="minorHAnsi" w:cstheme="minorHAnsi"/>
        </w:rPr>
        <w:t>Australian Securities Exchange (ASX)</w:t>
      </w:r>
      <w:r w:rsidRPr="006F10DD">
        <w:rPr>
          <w:rFonts w:asciiTheme="minorHAnsi" w:eastAsia="Calibri" w:hAnsiTheme="minorHAnsi" w:cstheme="minorHAnsi"/>
        </w:rPr>
        <w:t>);</w:t>
      </w:r>
    </w:p>
    <w:p w14:paraId="6014D733" w14:textId="77777777" w:rsidR="00964571" w:rsidRPr="006F10DD" w:rsidRDefault="00964571" w:rsidP="00964571">
      <w:pPr>
        <w:pStyle w:val="Bullet"/>
        <w:numPr>
          <w:ilvl w:val="0"/>
          <w:numId w:val="18"/>
        </w:numPr>
        <w:spacing w:after="0" w:line="240" w:lineRule="auto"/>
        <w:rPr>
          <w:rFonts w:asciiTheme="minorHAnsi" w:eastAsia="Calibri" w:hAnsiTheme="minorHAnsi" w:cstheme="minorHAnsi"/>
        </w:rPr>
      </w:pPr>
      <w:r w:rsidRPr="006F10DD">
        <w:rPr>
          <w:rFonts w:asciiTheme="minorHAnsi" w:eastAsia="Calibri" w:hAnsiTheme="minorHAnsi" w:cstheme="minorHAnsi"/>
        </w:rPr>
        <w:t>Junior minerals exploration company uses the funds raised to conduct exploration activity (i.e. greenfields minerals expenditure). It generally has two years including the year in which it raises the capital to use the funds for exploration activity;</w:t>
      </w:r>
      <w:r>
        <w:rPr>
          <w:rFonts w:asciiTheme="minorHAnsi" w:eastAsia="Calibri" w:hAnsiTheme="minorHAnsi" w:cstheme="minorHAnsi"/>
        </w:rPr>
        <w:t xml:space="preserve"> </w:t>
      </w:r>
    </w:p>
    <w:p w14:paraId="1A909F10" w14:textId="77777777" w:rsidR="00964571" w:rsidRPr="006F10DD" w:rsidRDefault="00964571" w:rsidP="00964571">
      <w:pPr>
        <w:pStyle w:val="Bullet"/>
        <w:numPr>
          <w:ilvl w:val="0"/>
          <w:numId w:val="18"/>
        </w:numPr>
        <w:spacing w:after="0" w:line="240" w:lineRule="auto"/>
        <w:rPr>
          <w:rFonts w:asciiTheme="minorHAnsi" w:eastAsia="Calibri" w:hAnsiTheme="minorHAnsi" w:cstheme="minorHAnsi"/>
        </w:rPr>
      </w:pPr>
      <w:r w:rsidRPr="006F10DD">
        <w:rPr>
          <w:rFonts w:asciiTheme="minorHAnsi" w:eastAsia="Calibri" w:hAnsiTheme="minorHAnsi" w:cstheme="minorHAnsi"/>
        </w:rPr>
        <w:t xml:space="preserve">Junior minerals exploration company creates exploration credits based on their </w:t>
      </w:r>
      <w:r>
        <w:rPr>
          <w:rFonts w:asciiTheme="minorHAnsi" w:eastAsia="Calibri" w:hAnsiTheme="minorHAnsi" w:cstheme="minorHAnsi"/>
        </w:rPr>
        <w:t xml:space="preserve">income </w:t>
      </w:r>
      <w:r w:rsidRPr="006F10DD">
        <w:rPr>
          <w:rFonts w:asciiTheme="minorHAnsi" w:eastAsia="Calibri" w:hAnsiTheme="minorHAnsi" w:cstheme="minorHAnsi"/>
        </w:rPr>
        <w:t>tax loss and greenfields minerals expenditure for the year;</w:t>
      </w:r>
    </w:p>
    <w:p w14:paraId="3932F2FE" w14:textId="77777777" w:rsidR="00964571" w:rsidRPr="006F10DD" w:rsidRDefault="00964571" w:rsidP="00964571">
      <w:pPr>
        <w:pStyle w:val="Bullet"/>
        <w:numPr>
          <w:ilvl w:val="0"/>
          <w:numId w:val="18"/>
        </w:numPr>
        <w:spacing w:after="120" w:line="240" w:lineRule="auto"/>
        <w:rPr>
          <w:rFonts w:asciiTheme="minorHAnsi" w:eastAsia="Calibri" w:hAnsiTheme="minorHAnsi" w:cstheme="minorHAnsi"/>
        </w:rPr>
      </w:pPr>
      <w:r w:rsidRPr="006F10DD">
        <w:rPr>
          <w:rFonts w:asciiTheme="minorHAnsi" w:eastAsia="Calibri" w:hAnsiTheme="minorHAnsi" w:cstheme="minorHAnsi"/>
        </w:rPr>
        <w:t xml:space="preserve">Junior minerals exploration company issues these exploration credits to investors who contributed to the capital raising. This effectively converts the tax losses of the junior explorer into tax offsets for the investors (for Australian tax residents). </w:t>
      </w:r>
    </w:p>
    <w:p w14:paraId="72A0CD5E" w14:textId="1CDDED12" w:rsidR="00964571" w:rsidRPr="006F10DD" w:rsidRDefault="00964571" w:rsidP="00964571">
      <w:pPr>
        <w:pStyle w:val="Body"/>
        <w:spacing w:before="120"/>
        <w:rPr>
          <w:rFonts w:asciiTheme="minorHAnsi" w:hAnsiTheme="minorHAnsi" w:cstheme="minorHAnsi"/>
        </w:rPr>
      </w:pPr>
      <w:r w:rsidRPr="006F10DD">
        <w:rPr>
          <w:rFonts w:asciiTheme="minorHAnsi" w:hAnsiTheme="minorHAnsi" w:cstheme="minorHAnsi"/>
        </w:rPr>
        <w:t xml:space="preserve">Section 418-190 of the </w:t>
      </w:r>
      <w:r w:rsidRPr="006F10DD">
        <w:rPr>
          <w:rFonts w:asciiTheme="minorHAnsi" w:hAnsiTheme="minorHAnsi" w:cstheme="minorHAnsi"/>
          <w:i/>
        </w:rPr>
        <w:t>Income Tax Assessment Act 1997</w:t>
      </w:r>
      <w:r w:rsidRPr="006F10DD">
        <w:rPr>
          <w:rFonts w:asciiTheme="minorHAnsi" w:hAnsiTheme="minorHAnsi" w:cstheme="minorHAnsi"/>
        </w:rPr>
        <w:t xml:space="preserve"> (the ITAA</w:t>
      </w:r>
      <w:r>
        <w:rPr>
          <w:rFonts w:asciiTheme="minorHAnsi" w:hAnsiTheme="minorHAnsi" w:cstheme="minorHAnsi"/>
        </w:rPr>
        <w:t xml:space="preserve"> </w:t>
      </w:r>
      <w:r w:rsidRPr="006F10DD">
        <w:rPr>
          <w:rFonts w:asciiTheme="minorHAnsi" w:hAnsiTheme="minorHAnsi" w:cstheme="minorHAnsi"/>
        </w:rPr>
        <w:t>1997) require</w:t>
      </w:r>
      <w:r>
        <w:rPr>
          <w:rFonts w:asciiTheme="minorHAnsi" w:hAnsiTheme="minorHAnsi" w:cstheme="minorHAnsi"/>
        </w:rPr>
        <w:t>s</w:t>
      </w:r>
      <w:r w:rsidRPr="006F10DD">
        <w:rPr>
          <w:rFonts w:asciiTheme="minorHAnsi" w:hAnsiTheme="minorHAnsi" w:cstheme="minorHAnsi"/>
        </w:rPr>
        <w:t xml:space="preserve"> an impact assessment of the additional exploration or prospecting attributable to the JMEI round. Impact assessments </w:t>
      </w:r>
      <w:r>
        <w:rPr>
          <w:rFonts w:asciiTheme="minorHAnsi" w:hAnsiTheme="minorHAnsi" w:cstheme="minorHAnsi"/>
        </w:rPr>
        <w:t>must be</w:t>
      </w:r>
      <w:r w:rsidRPr="006F10DD">
        <w:rPr>
          <w:rFonts w:asciiTheme="minorHAnsi" w:hAnsiTheme="minorHAnsi" w:cstheme="minorHAnsi"/>
        </w:rPr>
        <w:t xml:space="preserve"> conducted </w:t>
      </w:r>
      <w:r>
        <w:rPr>
          <w:rFonts w:asciiTheme="minorHAnsi" w:hAnsiTheme="minorHAnsi" w:cstheme="minorHAnsi"/>
        </w:rPr>
        <w:t xml:space="preserve">for each of the 2017-18, 2018-19, </w:t>
      </w:r>
      <w:r w:rsidR="00085184">
        <w:rPr>
          <w:rFonts w:asciiTheme="minorHAnsi" w:hAnsiTheme="minorHAnsi" w:cstheme="minorHAnsi"/>
        </w:rPr>
        <w:t>2019-20 and 2020-21</w:t>
      </w:r>
      <w:r w:rsidR="0037633E">
        <w:rPr>
          <w:rFonts w:asciiTheme="minorHAnsi" w:hAnsiTheme="minorHAnsi" w:cstheme="minorHAnsi"/>
        </w:rPr>
        <w:t xml:space="preserve"> </w:t>
      </w:r>
      <w:r w:rsidR="00085184">
        <w:rPr>
          <w:rFonts w:asciiTheme="minorHAnsi" w:hAnsiTheme="minorHAnsi" w:cstheme="minorHAnsi"/>
        </w:rPr>
        <w:t>income</w:t>
      </w:r>
      <w:r>
        <w:rPr>
          <w:rFonts w:asciiTheme="minorHAnsi" w:hAnsiTheme="minorHAnsi" w:cstheme="minorHAnsi"/>
        </w:rPr>
        <w:t xml:space="preserve"> years, and must be conducted</w:t>
      </w:r>
      <w:r w:rsidRPr="006F10DD">
        <w:rPr>
          <w:rFonts w:asciiTheme="minorHAnsi" w:hAnsiTheme="minorHAnsi" w:cstheme="minorHAnsi"/>
        </w:rPr>
        <w:t xml:space="preserve"> as soon as practicable after the end of each income year covered by a JMEI round</w:t>
      </w:r>
      <w:r>
        <w:rPr>
          <w:rFonts w:asciiTheme="minorHAnsi" w:hAnsiTheme="minorHAnsi" w:cstheme="minorHAnsi"/>
        </w:rPr>
        <w:t>.</w:t>
      </w:r>
      <w:r w:rsidRPr="006F10DD">
        <w:rPr>
          <w:rFonts w:asciiTheme="minorHAnsi" w:hAnsiTheme="minorHAnsi" w:cstheme="minorHAnsi"/>
        </w:rPr>
        <w:t xml:space="preserve"> Each impact assessment must make provision for public consultation, including consultation with </w:t>
      </w:r>
      <w:r>
        <w:rPr>
          <w:rFonts w:asciiTheme="minorHAnsi" w:hAnsiTheme="minorHAnsi" w:cstheme="minorHAnsi"/>
        </w:rPr>
        <w:t xml:space="preserve">the </w:t>
      </w:r>
      <w:r w:rsidRPr="006F10DD">
        <w:rPr>
          <w:rFonts w:asciiTheme="minorHAnsi" w:hAnsiTheme="minorHAnsi" w:cstheme="minorHAnsi"/>
        </w:rPr>
        <w:t xml:space="preserve">industry. </w:t>
      </w:r>
    </w:p>
    <w:p w14:paraId="1F4DEEA6" w14:textId="77777777" w:rsidR="007E669C" w:rsidRDefault="00964571" w:rsidP="00964571">
      <w:pPr>
        <w:pStyle w:val="Body"/>
        <w:spacing w:before="120"/>
        <w:rPr>
          <w:rFonts w:asciiTheme="minorHAnsi" w:hAnsiTheme="minorHAnsi" w:cstheme="minorHAnsi"/>
        </w:rPr>
      </w:pPr>
      <w:r w:rsidRPr="006F10DD">
        <w:rPr>
          <w:rFonts w:asciiTheme="minorHAnsi" w:hAnsiTheme="minorHAnsi" w:cstheme="minorHAnsi"/>
        </w:rPr>
        <w:t>The ITAA</w:t>
      </w:r>
      <w:r>
        <w:rPr>
          <w:rFonts w:asciiTheme="minorHAnsi" w:hAnsiTheme="minorHAnsi" w:cstheme="minorHAnsi"/>
        </w:rPr>
        <w:t xml:space="preserve"> </w:t>
      </w:r>
      <w:r w:rsidRPr="006F10DD">
        <w:rPr>
          <w:rFonts w:asciiTheme="minorHAnsi" w:hAnsiTheme="minorHAnsi" w:cstheme="minorHAnsi"/>
        </w:rPr>
        <w:t xml:space="preserve">1997 further requires that each impact assessment must produce a report. The report must include any information made publicly available by the Commissioner of Taxation under </w:t>
      </w:r>
      <w:r w:rsidRPr="006F10DD">
        <w:rPr>
          <w:rFonts w:asciiTheme="minorHAnsi" w:hAnsiTheme="minorHAnsi" w:cstheme="minorHAnsi"/>
        </w:rPr>
        <w:lastRenderedPageBreak/>
        <w:t xml:space="preserve">section 3F of the </w:t>
      </w:r>
      <w:r w:rsidRPr="006F10DD">
        <w:rPr>
          <w:rFonts w:asciiTheme="minorHAnsi" w:hAnsiTheme="minorHAnsi" w:cstheme="minorHAnsi"/>
          <w:i/>
        </w:rPr>
        <w:t>Taxation Administration Act 1953</w:t>
      </w:r>
      <w:r w:rsidRPr="006F10DD">
        <w:rPr>
          <w:rFonts w:asciiTheme="minorHAnsi" w:hAnsiTheme="minorHAnsi" w:cstheme="minorHAnsi"/>
        </w:rPr>
        <w:t xml:space="preserve"> (the TAA</w:t>
      </w:r>
      <w:r>
        <w:rPr>
          <w:rFonts w:asciiTheme="minorHAnsi" w:hAnsiTheme="minorHAnsi" w:cstheme="minorHAnsi"/>
        </w:rPr>
        <w:t xml:space="preserve"> </w:t>
      </w:r>
      <w:r w:rsidRPr="006F10DD">
        <w:rPr>
          <w:rFonts w:asciiTheme="minorHAnsi" w:hAnsiTheme="minorHAnsi" w:cstheme="minorHAnsi"/>
        </w:rPr>
        <w:t>1953) in relation to exploration credits allocated for the income year</w:t>
      </w:r>
      <w:r w:rsidRPr="00181536">
        <w:rPr>
          <w:rFonts w:asciiTheme="minorHAnsi" w:hAnsiTheme="minorHAnsi" w:cstheme="minorHAnsi"/>
        </w:rPr>
        <w:t xml:space="preserve">. </w:t>
      </w:r>
    </w:p>
    <w:p w14:paraId="1DF379D9" w14:textId="3F844C89" w:rsidR="00964571" w:rsidRPr="00085184" w:rsidRDefault="00964571" w:rsidP="00964571">
      <w:pPr>
        <w:pStyle w:val="Body"/>
        <w:spacing w:before="120"/>
        <w:rPr>
          <w:rFonts w:asciiTheme="minorHAnsi" w:hAnsiTheme="minorHAnsi" w:cstheme="minorHAnsi"/>
        </w:rPr>
      </w:pPr>
      <w:r w:rsidRPr="00181536">
        <w:rPr>
          <w:rFonts w:asciiTheme="minorHAnsi" w:hAnsiTheme="minorHAnsi" w:cstheme="minorHAnsi"/>
        </w:rPr>
        <w:t>There is a lag in data collection for each round of the JMEI</w:t>
      </w:r>
      <w:r w:rsidR="0033119B">
        <w:rPr>
          <w:rFonts w:asciiTheme="minorHAnsi" w:hAnsiTheme="minorHAnsi" w:cstheme="minorHAnsi"/>
        </w:rPr>
        <w:t>. A</w:t>
      </w:r>
      <w:r w:rsidRPr="00181536">
        <w:rPr>
          <w:rFonts w:asciiTheme="minorHAnsi" w:hAnsiTheme="minorHAnsi" w:cstheme="minorHAnsi"/>
        </w:rPr>
        <w:t xml:space="preserve">lthough participants have one year to raise capital, </w:t>
      </w:r>
      <w:r w:rsidR="002D6880">
        <w:rPr>
          <w:rFonts w:asciiTheme="minorHAnsi" w:hAnsiTheme="minorHAnsi" w:cstheme="minorHAnsi"/>
        </w:rPr>
        <w:t>they</w:t>
      </w:r>
      <w:r w:rsidRPr="00181536">
        <w:rPr>
          <w:rFonts w:asciiTheme="minorHAnsi" w:hAnsiTheme="minorHAnsi" w:cstheme="minorHAnsi"/>
        </w:rPr>
        <w:t xml:space="preserve"> have two years to incur eligible greenfields minerals exploration expenses. </w:t>
      </w:r>
      <w:r w:rsidR="005A4AAF">
        <w:rPr>
          <w:rFonts w:asciiTheme="minorHAnsi" w:hAnsiTheme="minorHAnsi" w:cstheme="minorHAnsi"/>
        </w:rPr>
        <w:t>Participants</w:t>
      </w:r>
      <w:r w:rsidR="00125C37">
        <w:rPr>
          <w:rFonts w:asciiTheme="minorHAnsi" w:hAnsiTheme="minorHAnsi" w:cstheme="minorHAnsi"/>
        </w:rPr>
        <w:t xml:space="preserve"> need to have lodged their income tax return and have been assessed before they can </w:t>
      </w:r>
      <w:r w:rsidR="00C34961">
        <w:rPr>
          <w:rFonts w:asciiTheme="minorHAnsi" w:hAnsiTheme="minorHAnsi" w:cstheme="minorHAnsi"/>
        </w:rPr>
        <w:t xml:space="preserve">create and </w:t>
      </w:r>
      <w:r w:rsidR="00125C37">
        <w:rPr>
          <w:rFonts w:asciiTheme="minorHAnsi" w:hAnsiTheme="minorHAnsi" w:cstheme="minorHAnsi"/>
        </w:rPr>
        <w:t xml:space="preserve">issue credits to eligible investors and subsequently report to the ATO. </w:t>
      </w:r>
      <w:r w:rsidRPr="00181536">
        <w:rPr>
          <w:rFonts w:asciiTheme="minorHAnsi" w:hAnsiTheme="minorHAnsi" w:cstheme="minorHAnsi"/>
        </w:rPr>
        <w:t>This report</w:t>
      </w:r>
      <w:r w:rsidRPr="006F10DD">
        <w:rPr>
          <w:rFonts w:asciiTheme="minorHAnsi" w:hAnsiTheme="minorHAnsi" w:cstheme="minorHAnsi"/>
        </w:rPr>
        <w:t xml:space="preserve"> satisfies </w:t>
      </w:r>
      <w:r w:rsidRPr="00085184">
        <w:rPr>
          <w:rFonts w:asciiTheme="minorHAnsi" w:hAnsiTheme="minorHAnsi" w:cstheme="minorHAnsi"/>
        </w:rPr>
        <w:t xml:space="preserve">the legislative requirements for the 2018-19 income year impact assessment. </w:t>
      </w:r>
    </w:p>
    <w:p w14:paraId="115FEE93" w14:textId="2296C09F" w:rsidR="008B580E" w:rsidRPr="00085184" w:rsidRDefault="00964571" w:rsidP="00964571">
      <w:pPr>
        <w:pStyle w:val="Body"/>
        <w:spacing w:before="120"/>
        <w:rPr>
          <w:rFonts w:asciiTheme="minorHAnsi" w:hAnsiTheme="minorHAnsi" w:cstheme="minorHAnsi"/>
        </w:rPr>
      </w:pPr>
      <w:r w:rsidRPr="00085184">
        <w:rPr>
          <w:rFonts w:asciiTheme="minorHAnsi" w:hAnsiTheme="minorHAnsi" w:cstheme="minorHAnsi"/>
        </w:rPr>
        <w:t>A copy of the 2017-18 impact assessment can be found at:</w:t>
      </w:r>
      <w:r w:rsidR="00085184" w:rsidRPr="00085184">
        <w:rPr>
          <w:rFonts w:asciiTheme="minorHAnsi" w:hAnsiTheme="minorHAnsi" w:cstheme="minorHAnsi"/>
        </w:rPr>
        <w:t xml:space="preserve"> </w:t>
      </w:r>
      <w:hyperlink r:id="rId14" w:history="1">
        <w:r w:rsidR="00085184" w:rsidRPr="00085184">
          <w:rPr>
            <w:rStyle w:val="Hyperlink"/>
            <w:rFonts w:asciiTheme="minorHAnsi" w:hAnsiTheme="minorHAnsi" w:cstheme="minorHAnsi"/>
          </w:rPr>
          <w:t>https://www.industry.gov.au/publications/junior-minerals-exploration-incentive-2017-18-annual-impact-assessment</w:t>
        </w:r>
      </w:hyperlink>
      <w:r w:rsidR="008B580E" w:rsidRPr="00085184">
        <w:rPr>
          <w:rFonts w:asciiTheme="minorHAnsi" w:hAnsiTheme="minorHAnsi" w:cstheme="minorHAnsi"/>
        </w:rPr>
        <w:t xml:space="preserve">. </w:t>
      </w:r>
    </w:p>
    <w:p w14:paraId="608D6E2A" w14:textId="130C72D1" w:rsidR="00964571" w:rsidRDefault="00964571" w:rsidP="00964571">
      <w:pPr>
        <w:pStyle w:val="Heading1"/>
      </w:pPr>
      <w:bookmarkStart w:id="19" w:name="_Toc121898082"/>
      <w:r>
        <w:t xml:space="preserve">2. Key </w:t>
      </w:r>
      <w:r w:rsidR="00C604D7">
        <w:t>p</w:t>
      </w:r>
      <w:r>
        <w:t xml:space="preserve">rogram </w:t>
      </w:r>
      <w:r w:rsidR="00C604D7">
        <w:t>d</w:t>
      </w:r>
      <w:r>
        <w:t>ata</w:t>
      </w:r>
      <w:bookmarkEnd w:id="19"/>
    </w:p>
    <w:p w14:paraId="3FB12E0F" w14:textId="77777777" w:rsidR="00B43AAC" w:rsidRDefault="00964571" w:rsidP="00964571">
      <w:pPr>
        <w:spacing w:before="120"/>
        <w:rPr>
          <w:rFonts w:cstheme="minorHAnsi"/>
        </w:rPr>
      </w:pPr>
      <w:r>
        <w:rPr>
          <w:rFonts w:cstheme="minorHAnsi"/>
        </w:rPr>
        <w:t>T</w:t>
      </w:r>
      <w:r w:rsidRPr="00E40524">
        <w:rPr>
          <w:rFonts w:cstheme="minorHAnsi"/>
        </w:rPr>
        <w:t>he full amount of exploration credits available for allocation for the 2018-19 round was $31,532,069</w:t>
      </w:r>
      <w:r w:rsidR="00B43AAC">
        <w:rPr>
          <w:rFonts w:cstheme="minorHAnsi"/>
        </w:rPr>
        <w:t>:</w:t>
      </w:r>
    </w:p>
    <w:p w14:paraId="38110F3C" w14:textId="36D051B0" w:rsidR="00B43AAC" w:rsidRDefault="00964571" w:rsidP="00B43AAC">
      <w:pPr>
        <w:pStyle w:val="ListParagraph"/>
        <w:numPr>
          <w:ilvl w:val="0"/>
          <w:numId w:val="27"/>
        </w:numPr>
        <w:spacing w:before="120"/>
        <w:rPr>
          <w:rFonts w:cstheme="minorHAnsi"/>
        </w:rPr>
      </w:pPr>
      <w:r w:rsidRPr="00B43AAC">
        <w:rPr>
          <w:rFonts w:cstheme="minorHAnsi"/>
        </w:rPr>
        <w:t>$25,000,000 available exploration credits for the 2018–19 income year round</w:t>
      </w:r>
      <w:r w:rsidR="00005118">
        <w:rPr>
          <w:rFonts w:cstheme="minorHAnsi"/>
        </w:rPr>
        <w:t>.</w:t>
      </w:r>
    </w:p>
    <w:p w14:paraId="7C9056BD" w14:textId="79D169D0" w:rsidR="00B43AAC" w:rsidRDefault="00964571" w:rsidP="00B43AAC">
      <w:pPr>
        <w:pStyle w:val="ListParagraph"/>
        <w:numPr>
          <w:ilvl w:val="0"/>
          <w:numId w:val="27"/>
        </w:numPr>
        <w:spacing w:before="120"/>
        <w:rPr>
          <w:rFonts w:cstheme="minorHAnsi"/>
        </w:rPr>
      </w:pPr>
      <w:r w:rsidRPr="00B43AAC">
        <w:rPr>
          <w:rFonts w:cstheme="minorHAnsi"/>
        </w:rPr>
        <w:t xml:space="preserve">$6,532,069 unallocated credits carried forward from the 2017-18 </w:t>
      </w:r>
      <w:r w:rsidR="00C80DF7">
        <w:rPr>
          <w:rFonts w:cstheme="minorHAnsi"/>
        </w:rPr>
        <w:t xml:space="preserve">income </w:t>
      </w:r>
      <w:r w:rsidRPr="00B43AAC">
        <w:rPr>
          <w:rFonts w:cstheme="minorHAnsi"/>
        </w:rPr>
        <w:t xml:space="preserve">year round. </w:t>
      </w:r>
    </w:p>
    <w:p w14:paraId="2CC81A46" w14:textId="7EDDEFA8" w:rsidR="00964571" w:rsidRPr="00B43AAC" w:rsidRDefault="00964571" w:rsidP="00B43AAC">
      <w:pPr>
        <w:spacing w:before="120"/>
        <w:rPr>
          <w:rFonts w:cstheme="minorHAnsi"/>
        </w:rPr>
      </w:pPr>
      <w:r w:rsidRPr="00B43AAC">
        <w:rPr>
          <w:rFonts w:cstheme="minorHAnsi"/>
        </w:rPr>
        <w:t>The 2018-19 year was over-subscribed. In total 63 companies submitted applications to the Commissioner of Taxation under this round, of which 46 were successful. The 17 unsuccessful applications were due to the annual cap being reached</w:t>
      </w:r>
      <w:r w:rsidR="00B43AAC">
        <w:rPr>
          <w:rFonts w:cstheme="minorHAnsi"/>
        </w:rPr>
        <w:t>. This is</w:t>
      </w:r>
      <w:r w:rsidRPr="00B43AAC">
        <w:rPr>
          <w:rFonts w:cstheme="minorHAnsi"/>
        </w:rPr>
        <w:t xml:space="preserve"> consistent with the first-</w:t>
      </w:r>
      <w:r w:rsidR="004834C5" w:rsidRPr="00B43AAC">
        <w:rPr>
          <w:rFonts w:cstheme="minorHAnsi"/>
        </w:rPr>
        <w:t>come</w:t>
      </w:r>
      <w:r w:rsidRPr="00B43AAC">
        <w:rPr>
          <w:rFonts w:cstheme="minorHAnsi"/>
        </w:rPr>
        <w:t xml:space="preserve">, first-served design of the </w:t>
      </w:r>
      <w:r w:rsidR="006A1577" w:rsidRPr="00B43AAC">
        <w:rPr>
          <w:rFonts w:cstheme="minorHAnsi"/>
        </w:rPr>
        <w:t>incentive</w:t>
      </w:r>
      <w:r w:rsidRPr="00B43AAC">
        <w:rPr>
          <w:rFonts w:cstheme="minorHAnsi"/>
        </w:rPr>
        <w:t>. The full amount of exploration credits totalling $31,532,069 were allocated in the 2018-19 round to these 46 companies. This information is summarised in Table 1.</w:t>
      </w:r>
    </w:p>
    <w:p w14:paraId="13A4C12E" w14:textId="4012D360" w:rsidR="00964571" w:rsidRPr="00E40524" w:rsidRDefault="00964571" w:rsidP="00964571">
      <w:pPr>
        <w:pStyle w:val="Caption"/>
        <w:rPr>
          <w:rFonts w:cstheme="minorHAnsi"/>
        </w:rP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00005118">
        <w:rPr>
          <w:noProof/>
        </w:rPr>
        <w:t>:</w:t>
      </w:r>
      <w:r w:rsidRPr="004316FC">
        <w:t xml:space="preserve"> JMEI applications and exploration credits allocated</w:t>
      </w:r>
      <w:r w:rsidR="00A53665">
        <w:t>.</w:t>
      </w:r>
    </w:p>
    <w:tbl>
      <w:tblPr>
        <w:tblStyle w:val="GridTable4"/>
        <w:tblW w:w="0" w:type="auto"/>
        <w:tblLook w:val="04A0" w:firstRow="1" w:lastRow="0" w:firstColumn="1" w:lastColumn="0" w:noHBand="0" w:noVBand="1"/>
        <w:tblCaption w:val="JMEI applications and exploration credits allocated"/>
      </w:tblPr>
      <w:tblGrid>
        <w:gridCol w:w="5949"/>
        <w:gridCol w:w="3067"/>
      </w:tblGrid>
      <w:tr w:rsidR="00964571" w14:paraId="31503C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3293BBB5" w14:textId="77777777" w:rsidR="00964571" w:rsidRDefault="00964571">
            <w:r w:rsidRPr="00E40524">
              <w:rPr>
                <w:rFonts w:cstheme="minorHAnsi"/>
              </w:rPr>
              <w:t>Income Year</w:t>
            </w:r>
          </w:p>
        </w:tc>
        <w:tc>
          <w:tcPr>
            <w:tcW w:w="3067" w:type="dxa"/>
            <w:vAlign w:val="bottom"/>
          </w:tcPr>
          <w:p w14:paraId="6894D8DB" w14:textId="77777777" w:rsidR="00964571" w:rsidRDefault="00964571">
            <w:pPr>
              <w:jc w:val="right"/>
              <w:cnfStyle w:val="100000000000" w:firstRow="1" w:lastRow="0" w:firstColumn="0" w:lastColumn="0" w:oddVBand="0" w:evenVBand="0" w:oddHBand="0" w:evenHBand="0" w:firstRowFirstColumn="0" w:firstRowLastColumn="0" w:lastRowFirstColumn="0" w:lastRowLastColumn="0"/>
            </w:pPr>
            <w:r w:rsidRPr="00E40524">
              <w:rPr>
                <w:rFonts w:cstheme="minorHAnsi"/>
              </w:rPr>
              <w:t>2018-19</w:t>
            </w:r>
          </w:p>
        </w:tc>
      </w:tr>
      <w:tr w:rsidR="00964571" w14:paraId="1A8AAF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6E1C872D" w14:textId="77777777" w:rsidR="00964571" w:rsidRDefault="00964571">
            <w:r w:rsidRPr="00E40524">
              <w:rPr>
                <w:rFonts w:cstheme="minorHAnsi"/>
                <w:lang w:eastAsia="en-AU"/>
              </w:rPr>
              <w:t>Participation forms submitted</w:t>
            </w:r>
          </w:p>
        </w:tc>
        <w:tc>
          <w:tcPr>
            <w:tcW w:w="3067" w:type="dxa"/>
            <w:vAlign w:val="bottom"/>
          </w:tcPr>
          <w:p w14:paraId="577ABBFD"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E40524">
              <w:rPr>
                <w:rFonts w:cstheme="minorHAnsi"/>
                <w:lang w:eastAsia="en-AU"/>
              </w:rPr>
              <w:t>63</w:t>
            </w:r>
          </w:p>
        </w:tc>
      </w:tr>
      <w:tr w:rsidR="00964571" w14:paraId="79AAF06D" w14:textId="77777777">
        <w:tc>
          <w:tcPr>
            <w:cnfStyle w:val="001000000000" w:firstRow="0" w:lastRow="0" w:firstColumn="1" w:lastColumn="0" w:oddVBand="0" w:evenVBand="0" w:oddHBand="0" w:evenHBand="0" w:firstRowFirstColumn="0" w:firstRowLastColumn="0" w:lastRowFirstColumn="0" w:lastRowLastColumn="0"/>
            <w:tcW w:w="5949" w:type="dxa"/>
            <w:vAlign w:val="bottom"/>
          </w:tcPr>
          <w:p w14:paraId="5579C71C" w14:textId="77777777" w:rsidR="00964571" w:rsidRDefault="00964571">
            <w:r w:rsidRPr="00E40524">
              <w:rPr>
                <w:rFonts w:cstheme="minorHAnsi"/>
                <w:lang w:eastAsia="en-AU"/>
              </w:rPr>
              <w:t>Participation forms successful</w:t>
            </w:r>
          </w:p>
        </w:tc>
        <w:tc>
          <w:tcPr>
            <w:tcW w:w="3067" w:type="dxa"/>
            <w:vAlign w:val="bottom"/>
          </w:tcPr>
          <w:p w14:paraId="3BD8726F"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E40524">
              <w:rPr>
                <w:rFonts w:cstheme="minorHAnsi"/>
                <w:lang w:eastAsia="en-AU"/>
              </w:rPr>
              <w:t>46</w:t>
            </w:r>
          </w:p>
        </w:tc>
      </w:tr>
      <w:tr w:rsidR="00964571" w14:paraId="2ACC56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2DD67937" w14:textId="77777777" w:rsidR="00964571" w:rsidRDefault="00964571">
            <w:r w:rsidRPr="00E40524">
              <w:rPr>
                <w:rFonts w:cstheme="minorHAnsi"/>
                <w:iCs/>
                <w:lang w:eastAsia="en-AU"/>
              </w:rPr>
              <w:t>Annual exploration credits cap</w:t>
            </w:r>
            <w:r w:rsidRPr="00E40524">
              <w:rPr>
                <w:rStyle w:val="FootnoteReference"/>
                <w:rFonts w:eastAsia="Times New Roman" w:cstheme="minorHAnsi"/>
                <w:iCs/>
                <w:color w:val="000000"/>
                <w:lang w:eastAsia="en-AU"/>
              </w:rPr>
              <w:footnoteReference w:id="5"/>
            </w:r>
          </w:p>
        </w:tc>
        <w:tc>
          <w:tcPr>
            <w:tcW w:w="3067" w:type="dxa"/>
            <w:vAlign w:val="bottom"/>
          </w:tcPr>
          <w:p w14:paraId="17F4F0F3"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E40524">
              <w:rPr>
                <w:rFonts w:cstheme="minorHAnsi"/>
                <w:lang w:eastAsia="en-AU"/>
              </w:rPr>
              <w:t>$25,000,000</w:t>
            </w:r>
          </w:p>
        </w:tc>
      </w:tr>
      <w:tr w:rsidR="00964571" w14:paraId="59134EE0" w14:textId="77777777">
        <w:tc>
          <w:tcPr>
            <w:cnfStyle w:val="001000000000" w:firstRow="0" w:lastRow="0" w:firstColumn="1" w:lastColumn="0" w:oddVBand="0" w:evenVBand="0" w:oddHBand="0" w:evenHBand="0" w:firstRowFirstColumn="0" w:firstRowLastColumn="0" w:lastRowFirstColumn="0" w:lastRowLastColumn="0"/>
            <w:tcW w:w="5949" w:type="dxa"/>
            <w:vAlign w:val="bottom"/>
          </w:tcPr>
          <w:p w14:paraId="7C0EC86D" w14:textId="77777777" w:rsidR="00964571" w:rsidRDefault="00964571">
            <w:r w:rsidRPr="00E40524">
              <w:rPr>
                <w:rFonts w:cstheme="minorHAnsi"/>
                <w:lang w:eastAsia="en-AU"/>
              </w:rPr>
              <w:t>Unallocated credits carried forward from prior year (2017-18)</w:t>
            </w:r>
          </w:p>
        </w:tc>
        <w:tc>
          <w:tcPr>
            <w:tcW w:w="3067" w:type="dxa"/>
            <w:vAlign w:val="bottom"/>
          </w:tcPr>
          <w:p w14:paraId="5E2C0045"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E40524">
              <w:rPr>
                <w:rFonts w:cstheme="minorHAnsi"/>
                <w:lang w:eastAsia="en-AU"/>
              </w:rPr>
              <w:t>$6,532,069</w:t>
            </w:r>
          </w:p>
        </w:tc>
      </w:tr>
      <w:tr w:rsidR="00964571" w14:paraId="6837C1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54C5D239" w14:textId="77777777" w:rsidR="00964571" w:rsidRDefault="00964571">
            <w:r w:rsidRPr="00E40524">
              <w:rPr>
                <w:rFonts w:cstheme="minorHAnsi"/>
                <w:lang w:eastAsia="en-AU"/>
              </w:rPr>
              <w:t>Exploration credits plus any carry forward</w:t>
            </w:r>
          </w:p>
        </w:tc>
        <w:tc>
          <w:tcPr>
            <w:tcW w:w="3067" w:type="dxa"/>
            <w:vAlign w:val="bottom"/>
          </w:tcPr>
          <w:p w14:paraId="441EAF4C"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E40524">
              <w:rPr>
                <w:rFonts w:cstheme="minorHAnsi"/>
                <w:lang w:eastAsia="en-AU"/>
              </w:rPr>
              <w:t xml:space="preserve">$31,532,069 </w:t>
            </w:r>
          </w:p>
        </w:tc>
      </w:tr>
      <w:tr w:rsidR="00964571" w14:paraId="0F638CB0" w14:textId="77777777">
        <w:tc>
          <w:tcPr>
            <w:cnfStyle w:val="001000000000" w:firstRow="0" w:lastRow="0" w:firstColumn="1" w:lastColumn="0" w:oddVBand="0" w:evenVBand="0" w:oddHBand="0" w:evenHBand="0" w:firstRowFirstColumn="0" w:firstRowLastColumn="0" w:lastRowFirstColumn="0" w:lastRowLastColumn="0"/>
            <w:tcW w:w="5949" w:type="dxa"/>
            <w:vAlign w:val="bottom"/>
          </w:tcPr>
          <w:p w14:paraId="3DFD17B4" w14:textId="77777777" w:rsidR="00964571" w:rsidRDefault="00964571">
            <w:r w:rsidRPr="00E40524">
              <w:rPr>
                <w:rFonts w:cstheme="minorHAnsi"/>
                <w:lang w:eastAsia="en-AU"/>
              </w:rPr>
              <w:t xml:space="preserve">Credits allocated to successful participants </w:t>
            </w:r>
          </w:p>
        </w:tc>
        <w:tc>
          <w:tcPr>
            <w:tcW w:w="3067" w:type="dxa"/>
            <w:vAlign w:val="bottom"/>
          </w:tcPr>
          <w:p w14:paraId="3183265D"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E40524">
              <w:rPr>
                <w:rFonts w:cstheme="minorHAnsi"/>
                <w:lang w:eastAsia="en-AU"/>
              </w:rPr>
              <w:t>$31,532,069</w:t>
            </w:r>
          </w:p>
        </w:tc>
      </w:tr>
      <w:tr w:rsidR="00964571" w14:paraId="08EE74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7918F9AD" w14:textId="77777777" w:rsidR="00964571" w:rsidRDefault="00964571">
            <w:r w:rsidRPr="00E40524">
              <w:rPr>
                <w:rFonts w:cstheme="minorHAnsi"/>
                <w:lang w:eastAsia="en-AU"/>
              </w:rPr>
              <w:t>Exploration credits remainder</w:t>
            </w:r>
            <w:r w:rsidRPr="00E40524">
              <w:rPr>
                <w:rStyle w:val="FootnoteReference"/>
                <w:rFonts w:eastAsia="Times New Roman" w:cstheme="minorHAnsi"/>
                <w:color w:val="000000"/>
                <w:lang w:eastAsia="en-AU"/>
              </w:rPr>
              <w:footnoteReference w:id="6"/>
            </w:r>
            <w:r w:rsidRPr="00E40524">
              <w:rPr>
                <w:rFonts w:cstheme="minorHAnsi"/>
                <w:lang w:eastAsia="en-AU"/>
              </w:rPr>
              <w:t xml:space="preserve"> </w:t>
            </w:r>
          </w:p>
        </w:tc>
        <w:tc>
          <w:tcPr>
            <w:tcW w:w="3067" w:type="dxa"/>
            <w:vAlign w:val="bottom"/>
          </w:tcPr>
          <w:p w14:paraId="4E2F5576"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Pr>
                <w:rFonts w:cstheme="minorHAnsi"/>
                <w:lang w:eastAsia="en-AU"/>
              </w:rPr>
              <w:t>$0</w:t>
            </w:r>
          </w:p>
        </w:tc>
      </w:tr>
    </w:tbl>
    <w:p w14:paraId="3EEC8452" w14:textId="2D43D16F" w:rsidR="00964571" w:rsidRPr="00835773" w:rsidRDefault="00964571" w:rsidP="00964571">
      <w:pPr>
        <w:rPr>
          <w:i/>
          <w:sz w:val="20"/>
          <w:szCs w:val="20"/>
        </w:rPr>
      </w:pPr>
      <w:r w:rsidRPr="00835773">
        <w:rPr>
          <w:i/>
          <w:sz w:val="20"/>
          <w:szCs w:val="20"/>
        </w:rPr>
        <w:t>Source: Australian Taxation Office</w:t>
      </w:r>
      <w:r w:rsidR="00A53665">
        <w:rPr>
          <w:i/>
          <w:sz w:val="20"/>
          <w:szCs w:val="20"/>
        </w:rPr>
        <w:t>.</w:t>
      </w:r>
    </w:p>
    <w:p w14:paraId="129D15AF" w14:textId="77777777" w:rsidR="00964571" w:rsidRDefault="00964571" w:rsidP="00964571">
      <w:pPr>
        <w:spacing w:before="160"/>
        <w:rPr>
          <w:rFonts w:cstheme="minorHAnsi"/>
        </w:rPr>
      </w:pPr>
      <w:r w:rsidRPr="00E40524">
        <w:rPr>
          <w:rFonts w:cstheme="minorHAnsi"/>
        </w:rPr>
        <w:t xml:space="preserve">The application period for applying for JMEI credits in the 2018-19 round is shown in Table 2. </w:t>
      </w:r>
    </w:p>
    <w:p w14:paraId="2F559086" w14:textId="1DC654B6" w:rsidR="00964571" w:rsidRDefault="00964571" w:rsidP="00964571">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00005118">
        <w:rPr>
          <w:noProof/>
        </w:rPr>
        <w:t>:</w:t>
      </w:r>
      <w:r>
        <w:t xml:space="preserve"> </w:t>
      </w:r>
      <w:r w:rsidRPr="00291529">
        <w:t>Application period</w:t>
      </w:r>
      <w:r w:rsidR="00A53665">
        <w:t>.</w:t>
      </w:r>
    </w:p>
    <w:tbl>
      <w:tblPr>
        <w:tblStyle w:val="GridTable4"/>
        <w:tblW w:w="0" w:type="auto"/>
        <w:tblLook w:val="04A0" w:firstRow="1" w:lastRow="0" w:firstColumn="1" w:lastColumn="0" w:noHBand="0" w:noVBand="1"/>
      </w:tblPr>
      <w:tblGrid>
        <w:gridCol w:w="2263"/>
        <w:gridCol w:w="3261"/>
        <w:gridCol w:w="3492"/>
      </w:tblGrid>
      <w:tr w:rsidR="00964571" w14:paraId="0C3050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0963622" w14:textId="77777777" w:rsidR="00964571" w:rsidRDefault="00964571">
            <w:r w:rsidRPr="00136633">
              <w:rPr>
                <w:rFonts w:cstheme="minorHAnsi"/>
              </w:rPr>
              <w:t>Income Year</w:t>
            </w:r>
          </w:p>
        </w:tc>
        <w:tc>
          <w:tcPr>
            <w:tcW w:w="3261" w:type="dxa"/>
            <w:vAlign w:val="center"/>
          </w:tcPr>
          <w:p w14:paraId="1DA7547A" w14:textId="77777777" w:rsidR="00964571" w:rsidRDefault="00964571">
            <w:pPr>
              <w:cnfStyle w:val="100000000000" w:firstRow="1" w:lastRow="0" w:firstColumn="0" w:lastColumn="0" w:oddVBand="0" w:evenVBand="0" w:oddHBand="0" w:evenHBand="0" w:firstRowFirstColumn="0" w:firstRowLastColumn="0" w:lastRowFirstColumn="0" w:lastRowLastColumn="0"/>
            </w:pPr>
            <w:r w:rsidRPr="00136633">
              <w:rPr>
                <w:rFonts w:cstheme="minorHAnsi"/>
              </w:rPr>
              <w:t>Application period opened</w:t>
            </w:r>
          </w:p>
        </w:tc>
        <w:tc>
          <w:tcPr>
            <w:tcW w:w="3492" w:type="dxa"/>
            <w:vAlign w:val="center"/>
          </w:tcPr>
          <w:p w14:paraId="3760808C" w14:textId="77777777" w:rsidR="00964571" w:rsidRDefault="00964571">
            <w:pPr>
              <w:cnfStyle w:val="100000000000" w:firstRow="1" w:lastRow="0" w:firstColumn="0" w:lastColumn="0" w:oddVBand="0" w:evenVBand="0" w:oddHBand="0" w:evenHBand="0" w:firstRowFirstColumn="0" w:firstRowLastColumn="0" w:lastRowFirstColumn="0" w:lastRowLastColumn="0"/>
            </w:pPr>
            <w:r w:rsidRPr="00136633">
              <w:rPr>
                <w:rFonts w:cstheme="minorHAnsi"/>
              </w:rPr>
              <w:t>Application period closed</w:t>
            </w:r>
          </w:p>
        </w:tc>
      </w:tr>
      <w:tr w:rsidR="00964571" w14:paraId="33FDAC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49FDF10" w14:textId="77777777" w:rsidR="00964571" w:rsidRDefault="00964571">
            <w:r w:rsidRPr="00136633">
              <w:rPr>
                <w:rFonts w:cstheme="minorHAnsi"/>
              </w:rPr>
              <w:t>2018-19</w:t>
            </w:r>
          </w:p>
        </w:tc>
        <w:tc>
          <w:tcPr>
            <w:tcW w:w="3261" w:type="dxa"/>
            <w:vAlign w:val="center"/>
          </w:tcPr>
          <w:p w14:paraId="743D4AE4"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136633">
              <w:rPr>
                <w:rFonts w:cstheme="minorHAnsi"/>
              </w:rPr>
              <w:t>9.00am AEST on 1 June 2018</w:t>
            </w:r>
          </w:p>
        </w:tc>
        <w:tc>
          <w:tcPr>
            <w:tcW w:w="3492" w:type="dxa"/>
            <w:vAlign w:val="center"/>
          </w:tcPr>
          <w:p w14:paraId="6E6F041D"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136633">
              <w:rPr>
                <w:rFonts w:cstheme="minorHAnsi"/>
              </w:rPr>
              <w:t>11:59pm AEST on 30 June 2018</w:t>
            </w:r>
          </w:p>
        </w:tc>
      </w:tr>
    </w:tbl>
    <w:p w14:paraId="25E1773E" w14:textId="77777777" w:rsidR="00964571" w:rsidRDefault="00964571" w:rsidP="00964571">
      <w:pPr>
        <w:rPr>
          <w:i/>
          <w:sz w:val="20"/>
          <w:szCs w:val="20"/>
        </w:rPr>
      </w:pPr>
      <w:r w:rsidRPr="00835773">
        <w:rPr>
          <w:i/>
          <w:sz w:val="20"/>
          <w:szCs w:val="20"/>
        </w:rPr>
        <w:t>Source: Australian Taxation Office</w:t>
      </w:r>
    </w:p>
    <w:p w14:paraId="55A8547F" w14:textId="77777777" w:rsidR="00964571" w:rsidRDefault="00964571" w:rsidP="00964571">
      <w:pPr>
        <w:rPr>
          <w:rFonts w:ascii="Calibri" w:hAnsi="Calibri" w:cs="Calibri"/>
          <w:color w:val="000000"/>
        </w:rPr>
      </w:pPr>
      <w:r>
        <w:rPr>
          <w:rFonts w:ascii="Calibri" w:hAnsi="Calibri" w:cs="Calibri"/>
          <w:color w:val="000000"/>
        </w:rPr>
        <w:t xml:space="preserve">The annual exploration credit cap and credits that have been allocated, carried forward and added by regulation for the </w:t>
      </w:r>
      <w:r w:rsidRPr="002F77E5">
        <w:rPr>
          <w:rFonts w:ascii="Calibri" w:hAnsi="Calibri" w:cs="Calibri"/>
          <w:color w:val="000000"/>
        </w:rPr>
        <w:t>first</w:t>
      </w:r>
      <w:r>
        <w:rPr>
          <w:rFonts w:ascii="Calibri" w:hAnsi="Calibri" w:cs="Calibri"/>
          <w:color w:val="000000"/>
        </w:rPr>
        <w:t xml:space="preserve"> four years of JMEI’s operation are shown in Table 3.</w:t>
      </w:r>
    </w:p>
    <w:p w14:paraId="35BE7736" w14:textId="618034B3" w:rsidR="00964571" w:rsidRDefault="00964571" w:rsidP="00964571">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sidR="00C80DF7">
        <w:rPr>
          <w:noProof/>
        </w:rPr>
        <w:t>:</w:t>
      </w:r>
      <w:r w:rsidRPr="00D87215">
        <w:t xml:space="preserve"> </w:t>
      </w:r>
      <w:r>
        <w:t>Overview of JMEI credits over the first four years</w:t>
      </w:r>
      <w:r w:rsidR="00A53665">
        <w:t>.</w:t>
      </w:r>
    </w:p>
    <w:tbl>
      <w:tblPr>
        <w:tblStyle w:val="GridTable4"/>
        <w:tblW w:w="0" w:type="auto"/>
        <w:tblLook w:val="04A0" w:firstRow="1" w:lastRow="0" w:firstColumn="1" w:lastColumn="0" w:noHBand="0" w:noVBand="1"/>
      </w:tblPr>
      <w:tblGrid>
        <w:gridCol w:w="3536"/>
        <w:gridCol w:w="1363"/>
        <w:gridCol w:w="1333"/>
        <w:gridCol w:w="1418"/>
        <w:gridCol w:w="1366"/>
      </w:tblGrid>
      <w:tr w:rsidR="00964571" w14:paraId="65CCC1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vAlign w:val="bottom"/>
          </w:tcPr>
          <w:p w14:paraId="66F01BBF" w14:textId="77777777" w:rsidR="00964571" w:rsidRDefault="00964571">
            <w:r w:rsidRPr="00E40524">
              <w:rPr>
                <w:rFonts w:cstheme="minorHAnsi"/>
              </w:rPr>
              <w:t>Income Year</w:t>
            </w:r>
          </w:p>
        </w:tc>
        <w:tc>
          <w:tcPr>
            <w:tcW w:w="1363" w:type="dxa"/>
            <w:vAlign w:val="bottom"/>
          </w:tcPr>
          <w:p w14:paraId="24655304" w14:textId="77777777" w:rsidR="00964571" w:rsidRDefault="00964571">
            <w:pPr>
              <w:cnfStyle w:val="100000000000" w:firstRow="1" w:lastRow="0" w:firstColumn="0" w:lastColumn="0" w:oddVBand="0" w:evenVBand="0" w:oddHBand="0" w:evenHBand="0" w:firstRowFirstColumn="0" w:firstRowLastColumn="0" w:lastRowFirstColumn="0" w:lastRowLastColumn="0"/>
            </w:pPr>
            <w:r>
              <w:t>2017-18</w:t>
            </w:r>
          </w:p>
        </w:tc>
        <w:tc>
          <w:tcPr>
            <w:tcW w:w="1333" w:type="dxa"/>
          </w:tcPr>
          <w:p w14:paraId="5E2E981E" w14:textId="77777777" w:rsidR="00964571" w:rsidRPr="00E40524" w:rsidRDefault="00964571">
            <w:pPr>
              <w:cnfStyle w:val="100000000000" w:firstRow="1" w:lastRow="0" w:firstColumn="0" w:lastColumn="0" w:oddVBand="0" w:evenVBand="0" w:oddHBand="0" w:evenHBand="0" w:firstRowFirstColumn="0" w:firstRowLastColumn="0" w:lastRowFirstColumn="0" w:lastRowLastColumn="0"/>
              <w:rPr>
                <w:rFonts w:cstheme="minorHAnsi"/>
              </w:rPr>
            </w:pPr>
            <w:r w:rsidRPr="00E40524">
              <w:rPr>
                <w:rFonts w:cstheme="minorHAnsi"/>
              </w:rPr>
              <w:t>2018-19</w:t>
            </w:r>
          </w:p>
        </w:tc>
        <w:tc>
          <w:tcPr>
            <w:tcW w:w="1418" w:type="dxa"/>
          </w:tcPr>
          <w:p w14:paraId="3C8EA4AB" w14:textId="77777777" w:rsidR="00964571" w:rsidRPr="00E40524" w:rsidRDefault="00964571">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2019-20</w:t>
            </w:r>
          </w:p>
        </w:tc>
        <w:tc>
          <w:tcPr>
            <w:tcW w:w="1366" w:type="dxa"/>
          </w:tcPr>
          <w:p w14:paraId="475011EE" w14:textId="77777777" w:rsidR="00964571" w:rsidRPr="00E40524" w:rsidRDefault="00964571">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2020-21</w:t>
            </w:r>
          </w:p>
        </w:tc>
      </w:tr>
      <w:tr w:rsidR="00964571" w14:paraId="44A1C3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vAlign w:val="bottom"/>
          </w:tcPr>
          <w:p w14:paraId="7B1C0D39" w14:textId="77777777" w:rsidR="00964571" w:rsidRDefault="00964571">
            <w:r>
              <w:rPr>
                <w:rFonts w:ascii="Calibri" w:hAnsi="Calibri" w:cs="Calibri"/>
                <w:color w:val="000000"/>
              </w:rPr>
              <w:t>Annual exploration credit cap</w:t>
            </w:r>
          </w:p>
        </w:tc>
        <w:tc>
          <w:tcPr>
            <w:tcW w:w="1363" w:type="dxa"/>
            <w:vAlign w:val="bottom"/>
          </w:tcPr>
          <w:p w14:paraId="7E344C26" w14:textId="77777777" w:rsidR="00964571" w:rsidRPr="00F203FD" w:rsidRDefault="00964571">
            <w:pPr>
              <w:jc w:val="right"/>
              <w:cnfStyle w:val="000000100000" w:firstRow="0" w:lastRow="0" w:firstColumn="0" w:lastColumn="0" w:oddVBand="0" w:evenVBand="0" w:oddHBand="1" w:evenHBand="0" w:firstRowFirstColumn="0" w:firstRowLastColumn="0" w:lastRowFirstColumn="0" w:lastRowLastColumn="0"/>
            </w:pPr>
            <w:r>
              <w:t>$</w:t>
            </w:r>
            <w:r w:rsidRPr="00F203FD">
              <w:t>15,000,000</w:t>
            </w:r>
          </w:p>
        </w:tc>
        <w:tc>
          <w:tcPr>
            <w:tcW w:w="1333" w:type="dxa"/>
            <w:vAlign w:val="bottom"/>
          </w:tcPr>
          <w:p w14:paraId="375A452B" w14:textId="77777777" w:rsidR="00964571" w:rsidRPr="002E4CBD" w:rsidRDefault="00964571">
            <w:pPr>
              <w:jc w:val="right"/>
              <w:cnfStyle w:val="000000100000" w:firstRow="0" w:lastRow="0" w:firstColumn="0" w:lastColumn="0" w:oddVBand="0" w:evenVBand="0" w:oddHBand="1" w:evenHBand="0" w:firstRowFirstColumn="0" w:firstRowLastColumn="0" w:lastRowFirstColumn="0" w:lastRowLastColumn="0"/>
              <w:rPr>
                <w:b/>
              </w:rPr>
            </w:pPr>
            <w:r w:rsidRPr="002E4CBD">
              <w:rPr>
                <w:b/>
              </w:rPr>
              <w:t>$25,000,000</w:t>
            </w:r>
          </w:p>
        </w:tc>
        <w:tc>
          <w:tcPr>
            <w:tcW w:w="1418" w:type="dxa"/>
            <w:vAlign w:val="bottom"/>
          </w:tcPr>
          <w:p w14:paraId="1D1C43BC" w14:textId="77777777" w:rsidR="00964571" w:rsidRPr="00F203FD" w:rsidRDefault="00964571">
            <w:pPr>
              <w:jc w:val="right"/>
              <w:cnfStyle w:val="000000100000" w:firstRow="0" w:lastRow="0" w:firstColumn="0" w:lastColumn="0" w:oddVBand="0" w:evenVBand="0" w:oddHBand="1" w:evenHBand="0" w:firstRowFirstColumn="0" w:firstRowLastColumn="0" w:lastRowFirstColumn="0" w:lastRowLastColumn="0"/>
            </w:pPr>
            <w:r>
              <w:t>$</w:t>
            </w:r>
            <w:r w:rsidRPr="00F203FD">
              <w:t>30,000,000</w:t>
            </w:r>
          </w:p>
        </w:tc>
        <w:tc>
          <w:tcPr>
            <w:tcW w:w="1366" w:type="dxa"/>
            <w:vAlign w:val="bottom"/>
          </w:tcPr>
          <w:p w14:paraId="605F5737" w14:textId="77777777" w:rsidR="00964571" w:rsidRPr="00F203FD" w:rsidRDefault="00964571">
            <w:pPr>
              <w:jc w:val="right"/>
              <w:cnfStyle w:val="000000100000" w:firstRow="0" w:lastRow="0" w:firstColumn="0" w:lastColumn="0" w:oddVBand="0" w:evenVBand="0" w:oddHBand="1" w:evenHBand="0" w:firstRowFirstColumn="0" w:firstRowLastColumn="0" w:lastRowFirstColumn="0" w:lastRowLastColumn="0"/>
            </w:pPr>
            <w:r>
              <w:t>$</w:t>
            </w:r>
            <w:r w:rsidRPr="00F203FD">
              <w:t>30,000,000</w:t>
            </w:r>
          </w:p>
        </w:tc>
      </w:tr>
      <w:tr w:rsidR="00964571" w14:paraId="322A4181" w14:textId="77777777">
        <w:tc>
          <w:tcPr>
            <w:cnfStyle w:val="001000000000" w:firstRow="0" w:lastRow="0" w:firstColumn="1" w:lastColumn="0" w:oddVBand="0" w:evenVBand="0" w:oddHBand="0" w:evenHBand="0" w:firstRowFirstColumn="0" w:firstRowLastColumn="0" w:lastRowFirstColumn="0" w:lastRowLastColumn="0"/>
            <w:tcW w:w="3536" w:type="dxa"/>
            <w:vAlign w:val="bottom"/>
          </w:tcPr>
          <w:p w14:paraId="0CD9D6FF" w14:textId="77777777" w:rsidR="00964571" w:rsidRDefault="00964571">
            <w:r>
              <w:rPr>
                <w:rFonts w:ascii="Calibri" w:hAnsi="Calibri" w:cs="Calibri"/>
                <w:color w:val="000000"/>
              </w:rPr>
              <w:t>Credits carried forward</w:t>
            </w:r>
          </w:p>
        </w:tc>
        <w:tc>
          <w:tcPr>
            <w:tcW w:w="1363" w:type="dxa"/>
            <w:vAlign w:val="bottom"/>
          </w:tcPr>
          <w:p w14:paraId="1C19A545" w14:textId="53D14273" w:rsidR="00964571" w:rsidRPr="00F203FD" w:rsidRDefault="00D00350">
            <w:pPr>
              <w:jc w:val="right"/>
              <w:cnfStyle w:val="000000000000" w:firstRow="0" w:lastRow="0" w:firstColumn="0" w:lastColumn="0" w:oddVBand="0" w:evenVBand="0" w:oddHBand="0" w:evenHBand="0" w:firstRowFirstColumn="0" w:firstRowLastColumn="0" w:lastRowFirstColumn="0" w:lastRowLastColumn="0"/>
            </w:pPr>
            <w:r>
              <w:t>$</w:t>
            </w:r>
            <w:r w:rsidR="00964571">
              <w:t>0</w:t>
            </w:r>
          </w:p>
        </w:tc>
        <w:tc>
          <w:tcPr>
            <w:tcW w:w="1333" w:type="dxa"/>
            <w:vAlign w:val="bottom"/>
          </w:tcPr>
          <w:p w14:paraId="1EE5F720" w14:textId="77777777" w:rsidR="00964571" w:rsidRPr="002E4CBD" w:rsidRDefault="00964571">
            <w:pPr>
              <w:jc w:val="right"/>
              <w:cnfStyle w:val="000000000000" w:firstRow="0" w:lastRow="0" w:firstColumn="0" w:lastColumn="0" w:oddVBand="0" w:evenVBand="0" w:oddHBand="0" w:evenHBand="0" w:firstRowFirstColumn="0" w:firstRowLastColumn="0" w:lastRowFirstColumn="0" w:lastRowLastColumn="0"/>
              <w:rPr>
                <w:b/>
              </w:rPr>
            </w:pPr>
            <w:r w:rsidRPr="002E4CBD">
              <w:rPr>
                <w:b/>
              </w:rPr>
              <w:t>$6,532,069</w:t>
            </w:r>
          </w:p>
        </w:tc>
        <w:tc>
          <w:tcPr>
            <w:tcW w:w="1418" w:type="dxa"/>
            <w:vAlign w:val="bottom"/>
          </w:tcPr>
          <w:p w14:paraId="77463CCC" w14:textId="1DEF1684" w:rsidR="00964571" w:rsidRPr="00F203FD" w:rsidRDefault="00D00350">
            <w:pPr>
              <w:jc w:val="right"/>
              <w:cnfStyle w:val="000000000000" w:firstRow="0" w:lastRow="0" w:firstColumn="0" w:lastColumn="0" w:oddVBand="0" w:evenVBand="0" w:oddHBand="0" w:evenHBand="0" w:firstRowFirstColumn="0" w:firstRowLastColumn="0" w:lastRowFirstColumn="0" w:lastRowLastColumn="0"/>
            </w:pPr>
            <w:r>
              <w:t>$</w:t>
            </w:r>
            <w:r w:rsidR="00964571">
              <w:t>0</w:t>
            </w:r>
          </w:p>
        </w:tc>
        <w:tc>
          <w:tcPr>
            <w:tcW w:w="1366" w:type="dxa"/>
            <w:vAlign w:val="bottom"/>
          </w:tcPr>
          <w:p w14:paraId="5C974476" w14:textId="77777777" w:rsidR="00964571" w:rsidRPr="00F203FD" w:rsidRDefault="00964571">
            <w:pPr>
              <w:jc w:val="right"/>
              <w:cnfStyle w:val="000000000000" w:firstRow="0" w:lastRow="0" w:firstColumn="0" w:lastColumn="0" w:oddVBand="0" w:evenVBand="0" w:oddHBand="0" w:evenHBand="0" w:firstRowFirstColumn="0" w:firstRowLastColumn="0" w:lastRowFirstColumn="0" w:lastRowLastColumn="0"/>
            </w:pPr>
            <w:r w:rsidRPr="00F203FD">
              <w:t>$5,000,000</w:t>
            </w:r>
            <w:r>
              <w:rPr>
                <w:rStyle w:val="FootnoteReference"/>
              </w:rPr>
              <w:footnoteReference w:id="7"/>
            </w:r>
          </w:p>
        </w:tc>
      </w:tr>
      <w:tr w:rsidR="00964571" w14:paraId="6E7F0F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vAlign w:val="bottom"/>
          </w:tcPr>
          <w:p w14:paraId="1A1FB527" w14:textId="77777777" w:rsidR="00964571" w:rsidRDefault="00964571">
            <w:pPr>
              <w:rPr>
                <w:rFonts w:ascii="Calibri" w:hAnsi="Calibri" w:cs="Calibri"/>
                <w:color w:val="000000"/>
              </w:rPr>
            </w:pPr>
            <w:r>
              <w:rPr>
                <w:rFonts w:ascii="Calibri" w:hAnsi="Calibri" w:cs="Calibri"/>
                <w:color w:val="000000"/>
              </w:rPr>
              <w:t>Credits plus carry forward</w:t>
            </w:r>
          </w:p>
        </w:tc>
        <w:tc>
          <w:tcPr>
            <w:tcW w:w="1363" w:type="dxa"/>
            <w:vAlign w:val="bottom"/>
          </w:tcPr>
          <w:p w14:paraId="4D7550FD" w14:textId="77777777" w:rsidR="00964571" w:rsidRPr="00F203FD" w:rsidRDefault="00964571">
            <w:pPr>
              <w:jc w:val="right"/>
              <w:cnfStyle w:val="000000100000" w:firstRow="0" w:lastRow="0" w:firstColumn="0" w:lastColumn="0" w:oddVBand="0" w:evenVBand="0" w:oddHBand="1" w:evenHBand="0" w:firstRowFirstColumn="0" w:firstRowLastColumn="0" w:lastRowFirstColumn="0" w:lastRowLastColumn="0"/>
            </w:pPr>
            <w:r w:rsidRPr="00F203FD">
              <w:t>$15,000,000</w:t>
            </w:r>
          </w:p>
        </w:tc>
        <w:tc>
          <w:tcPr>
            <w:tcW w:w="1333" w:type="dxa"/>
            <w:vAlign w:val="bottom"/>
          </w:tcPr>
          <w:p w14:paraId="28B0E01D" w14:textId="77777777" w:rsidR="00964571" w:rsidRPr="002E4CBD" w:rsidRDefault="00964571">
            <w:pPr>
              <w:jc w:val="right"/>
              <w:cnfStyle w:val="000000100000" w:firstRow="0" w:lastRow="0" w:firstColumn="0" w:lastColumn="0" w:oddVBand="0" w:evenVBand="0" w:oddHBand="1" w:evenHBand="0" w:firstRowFirstColumn="0" w:firstRowLastColumn="0" w:lastRowFirstColumn="0" w:lastRowLastColumn="0"/>
              <w:rPr>
                <w:b/>
              </w:rPr>
            </w:pPr>
            <w:r w:rsidRPr="002E4CBD">
              <w:rPr>
                <w:b/>
              </w:rPr>
              <w:t>$31,532,069</w:t>
            </w:r>
          </w:p>
        </w:tc>
        <w:tc>
          <w:tcPr>
            <w:tcW w:w="1418" w:type="dxa"/>
            <w:vAlign w:val="bottom"/>
          </w:tcPr>
          <w:p w14:paraId="24928916" w14:textId="77777777" w:rsidR="00964571" w:rsidRPr="00F203FD" w:rsidRDefault="00964571">
            <w:pPr>
              <w:jc w:val="right"/>
              <w:cnfStyle w:val="000000100000" w:firstRow="0" w:lastRow="0" w:firstColumn="0" w:lastColumn="0" w:oddVBand="0" w:evenVBand="0" w:oddHBand="1" w:evenHBand="0" w:firstRowFirstColumn="0" w:firstRowLastColumn="0" w:lastRowFirstColumn="0" w:lastRowLastColumn="0"/>
            </w:pPr>
            <w:r w:rsidRPr="00F203FD">
              <w:t>$30,000,000</w:t>
            </w:r>
          </w:p>
        </w:tc>
        <w:tc>
          <w:tcPr>
            <w:tcW w:w="1366" w:type="dxa"/>
            <w:vAlign w:val="bottom"/>
          </w:tcPr>
          <w:p w14:paraId="24A1CE96" w14:textId="77777777" w:rsidR="00964571" w:rsidRPr="00F203FD" w:rsidRDefault="00964571">
            <w:pPr>
              <w:jc w:val="right"/>
              <w:cnfStyle w:val="000000100000" w:firstRow="0" w:lastRow="0" w:firstColumn="0" w:lastColumn="0" w:oddVBand="0" w:evenVBand="0" w:oddHBand="1" w:evenHBand="0" w:firstRowFirstColumn="0" w:firstRowLastColumn="0" w:lastRowFirstColumn="0" w:lastRowLastColumn="0"/>
            </w:pPr>
            <w:r w:rsidRPr="00F203FD">
              <w:t>$35,000,000</w:t>
            </w:r>
          </w:p>
        </w:tc>
      </w:tr>
      <w:tr w:rsidR="00964571" w14:paraId="501A83DE" w14:textId="77777777">
        <w:tc>
          <w:tcPr>
            <w:cnfStyle w:val="001000000000" w:firstRow="0" w:lastRow="0" w:firstColumn="1" w:lastColumn="0" w:oddVBand="0" w:evenVBand="0" w:oddHBand="0" w:evenHBand="0" w:firstRowFirstColumn="0" w:firstRowLastColumn="0" w:lastRowFirstColumn="0" w:lastRowLastColumn="0"/>
            <w:tcW w:w="3536" w:type="dxa"/>
            <w:vAlign w:val="bottom"/>
          </w:tcPr>
          <w:p w14:paraId="1B8E3E56" w14:textId="77777777" w:rsidR="00964571" w:rsidRDefault="00964571">
            <w:pPr>
              <w:rPr>
                <w:rFonts w:ascii="Calibri" w:hAnsi="Calibri" w:cs="Calibri"/>
                <w:color w:val="000000"/>
              </w:rPr>
            </w:pPr>
            <w:r>
              <w:rPr>
                <w:rFonts w:ascii="Calibri" w:hAnsi="Calibri" w:cs="Calibri"/>
                <w:color w:val="000000"/>
              </w:rPr>
              <w:t>Credits allocated</w:t>
            </w:r>
          </w:p>
        </w:tc>
        <w:tc>
          <w:tcPr>
            <w:tcW w:w="1363" w:type="dxa"/>
            <w:vAlign w:val="bottom"/>
          </w:tcPr>
          <w:p w14:paraId="3AFA1D51" w14:textId="77777777" w:rsidR="00964571" w:rsidRPr="00F203FD" w:rsidRDefault="00964571">
            <w:pPr>
              <w:jc w:val="right"/>
              <w:cnfStyle w:val="000000000000" w:firstRow="0" w:lastRow="0" w:firstColumn="0" w:lastColumn="0" w:oddVBand="0" w:evenVBand="0" w:oddHBand="0" w:evenHBand="0" w:firstRowFirstColumn="0" w:firstRowLastColumn="0" w:lastRowFirstColumn="0" w:lastRowLastColumn="0"/>
            </w:pPr>
            <w:r w:rsidRPr="00F203FD">
              <w:t>$8,467,931</w:t>
            </w:r>
          </w:p>
        </w:tc>
        <w:tc>
          <w:tcPr>
            <w:tcW w:w="1333" w:type="dxa"/>
            <w:vAlign w:val="bottom"/>
          </w:tcPr>
          <w:p w14:paraId="28438F7C" w14:textId="77777777" w:rsidR="00964571" w:rsidRPr="002E4CBD" w:rsidRDefault="00964571">
            <w:pPr>
              <w:jc w:val="right"/>
              <w:cnfStyle w:val="000000000000" w:firstRow="0" w:lastRow="0" w:firstColumn="0" w:lastColumn="0" w:oddVBand="0" w:evenVBand="0" w:oddHBand="0" w:evenHBand="0" w:firstRowFirstColumn="0" w:firstRowLastColumn="0" w:lastRowFirstColumn="0" w:lastRowLastColumn="0"/>
              <w:rPr>
                <w:b/>
              </w:rPr>
            </w:pPr>
            <w:r w:rsidRPr="002E4CBD">
              <w:rPr>
                <w:b/>
              </w:rPr>
              <w:t>$31,532,069</w:t>
            </w:r>
          </w:p>
        </w:tc>
        <w:tc>
          <w:tcPr>
            <w:tcW w:w="1418" w:type="dxa"/>
            <w:vAlign w:val="bottom"/>
          </w:tcPr>
          <w:p w14:paraId="42E44078" w14:textId="77777777" w:rsidR="00964571" w:rsidRPr="00F203FD" w:rsidRDefault="00964571">
            <w:pPr>
              <w:jc w:val="right"/>
              <w:cnfStyle w:val="000000000000" w:firstRow="0" w:lastRow="0" w:firstColumn="0" w:lastColumn="0" w:oddVBand="0" w:evenVBand="0" w:oddHBand="0" w:evenHBand="0" w:firstRowFirstColumn="0" w:firstRowLastColumn="0" w:lastRowFirstColumn="0" w:lastRowLastColumn="0"/>
            </w:pPr>
            <w:r w:rsidRPr="00F203FD">
              <w:t>$30,000,000</w:t>
            </w:r>
          </w:p>
        </w:tc>
        <w:tc>
          <w:tcPr>
            <w:tcW w:w="1366" w:type="dxa"/>
            <w:vAlign w:val="bottom"/>
          </w:tcPr>
          <w:p w14:paraId="498A0CD1" w14:textId="77777777" w:rsidR="00964571" w:rsidRPr="00F203FD" w:rsidRDefault="00964571">
            <w:pPr>
              <w:jc w:val="right"/>
              <w:cnfStyle w:val="000000000000" w:firstRow="0" w:lastRow="0" w:firstColumn="0" w:lastColumn="0" w:oddVBand="0" w:evenVBand="0" w:oddHBand="0" w:evenHBand="0" w:firstRowFirstColumn="0" w:firstRowLastColumn="0" w:lastRowFirstColumn="0" w:lastRowLastColumn="0"/>
            </w:pPr>
            <w:r w:rsidRPr="00F203FD">
              <w:t>$35,000,000</w:t>
            </w:r>
          </w:p>
        </w:tc>
      </w:tr>
      <w:tr w:rsidR="00964571" w14:paraId="455682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vAlign w:val="bottom"/>
          </w:tcPr>
          <w:p w14:paraId="2441C29A" w14:textId="77777777" w:rsidR="00964571" w:rsidRDefault="00964571">
            <w:pPr>
              <w:rPr>
                <w:rFonts w:ascii="Calibri" w:hAnsi="Calibri" w:cs="Calibri"/>
                <w:color w:val="000000"/>
              </w:rPr>
            </w:pPr>
            <w:r>
              <w:rPr>
                <w:rFonts w:ascii="Calibri" w:hAnsi="Calibri" w:cs="Calibri"/>
                <w:color w:val="000000"/>
              </w:rPr>
              <w:t>Credits remainder</w:t>
            </w:r>
          </w:p>
        </w:tc>
        <w:tc>
          <w:tcPr>
            <w:tcW w:w="1363" w:type="dxa"/>
            <w:vAlign w:val="bottom"/>
          </w:tcPr>
          <w:p w14:paraId="09D35774" w14:textId="77777777" w:rsidR="00964571" w:rsidRPr="00F203FD" w:rsidRDefault="00964571">
            <w:pPr>
              <w:jc w:val="right"/>
              <w:cnfStyle w:val="000000100000" w:firstRow="0" w:lastRow="0" w:firstColumn="0" w:lastColumn="0" w:oddVBand="0" w:evenVBand="0" w:oddHBand="1" w:evenHBand="0" w:firstRowFirstColumn="0" w:firstRowLastColumn="0" w:lastRowFirstColumn="0" w:lastRowLastColumn="0"/>
            </w:pPr>
            <w:r w:rsidRPr="00F203FD">
              <w:t>$6,532,069</w:t>
            </w:r>
          </w:p>
        </w:tc>
        <w:tc>
          <w:tcPr>
            <w:tcW w:w="1333" w:type="dxa"/>
            <w:vAlign w:val="bottom"/>
          </w:tcPr>
          <w:p w14:paraId="0BCEB7E3" w14:textId="6523C8C6" w:rsidR="00964571" w:rsidRPr="00136D42" w:rsidRDefault="00D00350">
            <w:pPr>
              <w:jc w:val="right"/>
              <w:cnfStyle w:val="000000100000" w:firstRow="0" w:lastRow="0" w:firstColumn="0" w:lastColumn="0" w:oddVBand="0" w:evenVBand="0" w:oddHBand="1" w:evenHBand="0" w:firstRowFirstColumn="0" w:firstRowLastColumn="0" w:lastRowFirstColumn="0" w:lastRowLastColumn="0"/>
            </w:pPr>
            <w:r>
              <w:t>$</w:t>
            </w:r>
            <w:r w:rsidR="00964571" w:rsidRPr="00136D42">
              <w:t>0</w:t>
            </w:r>
          </w:p>
        </w:tc>
        <w:tc>
          <w:tcPr>
            <w:tcW w:w="1418" w:type="dxa"/>
            <w:vAlign w:val="bottom"/>
          </w:tcPr>
          <w:p w14:paraId="14714287" w14:textId="36B1FC2B" w:rsidR="00964571" w:rsidRPr="00F203FD" w:rsidRDefault="00D00350">
            <w:pPr>
              <w:jc w:val="right"/>
              <w:cnfStyle w:val="000000100000" w:firstRow="0" w:lastRow="0" w:firstColumn="0" w:lastColumn="0" w:oddVBand="0" w:evenVBand="0" w:oddHBand="1" w:evenHBand="0" w:firstRowFirstColumn="0" w:firstRowLastColumn="0" w:lastRowFirstColumn="0" w:lastRowLastColumn="0"/>
            </w:pPr>
            <w:r>
              <w:t>$</w:t>
            </w:r>
            <w:r w:rsidR="00964571">
              <w:t>0</w:t>
            </w:r>
          </w:p>
        </w:tc>
        <w:tc>
          <w:tcPr>
            <w:tcW w:w="1366" w:type="dxa"/>
            <w:vAlign w:val="bottom"/>
          </w:tcPr>
          <w:p w14:paraId="5811FE52" w14:textId="783F7D2C" w:rsidR="00964571" w:rsidRPr="00F203FD" w:rsidRDefault="00D00350">
            <w:pPr>
              <w:jc w:val="right"/>
              <w:cnfStyle w:val="000000100000" w:firstRow="0" w:lastRow="0" w:firstColumn="0" w:lastColumn="0" w:oddVBand="0" w:evenVBand="0" w:oddHBand="1" w:evenHBand="0" w:firstRowFirstColumn="0" w:firstRowLastColumn="0" w:lastRowFirstColumn="0" w:lastRowLastColumn="0"/>
            </w:pPr>
            <w:r>
              <w:t>$</w:t>
            </w:r>
            <w:r w:rsidR="00964571">
              <w:t>0</w:t>
            </w:r>
          </w:p>
        </w:tc>
      </w:tr>
    </w:tbl>
    <w:p w14:paraId="22D3AC7C" w14:textId="77777777" w:rsidR="00964571" w:rsidRDefault="00964571" w:rsidP="00964571">
      <w:pPr>
        <w:rPr>
          <w:i/>
          <w:sz w:val="20"/>
          <w:szCs w:val="20"/>
        </w:rPr>
      </w:pPr>
      <w:r w:rsidRPr="00390E4D">
        <w:rPr>
          <w:i/>
          <w:sz w:val="20"/>
          <w:szCs w:val="20"/>
        </w:rPr>
        <w:t xml:space="preserve"> </w:t>
      </w:r>
      <w:r w:rsidRPr="00835773">
        <w:rPr>
          <w:i/>
          <w:sz w:val="20"/>
          <w:szCs w:val="20"/>
        </w:rPr>
        <w:t>Source: Australian Taxation Office</w:t>
      </w:r>
    </w:p>
    <w:p w14:paraId="0F7576A9" w14:textId="77777777" w:rsidR="00964571" w:rsidRDefault="00964571" w:rsidP="00964571">
      <w:pPr>
        <w:pStyle w:val="Heading2"/>
      </w:pPr>
      <w:bookmarkStart w:id="20" w:name="_Toc121898083"/>
      <w:r>
        <w:t>2.1 Reporting requirements by the Commissioner</w:t>
      </w:r>
      <w:bookmarkEnd w:id="20"/>
    </w:p>
    <w:p w14:paraId="2855F1E9" w14:textId="77777777" w:rsidR="00964571" w:rsidRPr="00291529" w:rsidRDefault="00964571" w:rsidP="00964571">
      <w:pPr>
        <w:keepLines/>
        <w:spacing w:before="120"/>
      </w:pPr>
      <w:r w:rsidRPr="00136633">
        <w:rPr>
          <w:rFonts w:cstheme="minorHAnsi"/>
        </w:rPr>
        <w:t>Section 3F of the TAA</w:t>
      </w:r>
      <w:r>
        <w:rPr>
          <w:rFonts w:cstheme="minorHAnsi"/>
        </w:rPr>
        <w:t xml:space="preserve"> </w:t>
      </w:r>
      <w:r w:rsidRPr="00136633">
        <w:rPr>
          <w:rFonts w:cstheme="minorHAnsi"/>
        </w:rPr>
        <w:t>1953 requires that the Commissioner make publicly available information on entities that have been allocated exploration credits in an income year relating to the ABN and name of the entity, and the amount of exploration credits allocated to the entity for the inco</w:t>
      </w:r>
      <w:r>
        <w:rPr>
          <w:rFonts w:cstheme="minorHAnsi"/>
        </w:rPr>
        <w:t>me year. Information on the 2018-19</w:t>
      </w:r>
      <w:r w:rsidRPr="00136633">
        <w:rPr>
          <w:rFonts w:cstheme="minorHAnsi"/>
        </w:rPr>
        <w:t xml:space="preserve"> round is provided at Table </w:t>
      </w:r>
      <w:r>
        <w:rPr>
          <w:rFonts w:cstheme="minorHAnsi"/>
        </w:rPr>
        <w:t>4</w:t>
      </w:r>
      <w:r w:rsidRPr="00136633">
        <w:rPr>
          <w:rFonts w:cstheme="minorHAnsi"/>
        </w:rPr>
        <w:t>.</w:t>
      </w:r>
    </w:p>
    <w:p w14:paraId="042E3A2F" w14:textId="5CAC853C" w:rsidR="00964571" w:rsidRDefault="00964571" w:rsidP="00964571">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sidR="00005118">
        <w:rPr>
          <w:noProof/>
        </w:rPr>
        <w:t>:</w:t>
      </w:r>
      <w:r w:rsidRPr="00291529">
        <w:t xml:space="preserve"> Junior Minerals Exploration Incentive 2018-19 </w:t>
      </w:r>
      <w:r>
        <w:t xml:space="preserve">round </w:t>
      </w:r>
      <w:r w:rsidRPr="00291529">
        <w:t>– Successful Applicants</w:t>
      </w:r>
      <w:r w:rsidR="00A53665">
        <w:t>.</w:t>
      </w:r>
    </w:p>
    <w:tbl>
      <w:tblPr>
        <w:tblStyle w:val="GridTable4"/>
        <w:tblW w:w="0" w:type="auto"/>
        <w:tblLook w:val="04A0" w:firstRow="1" w:lastRow="0" w:firstColumn="1" w:lastColumn="0" w:noHBand="0" w:noVBand="1"/>
      </w:tblPr>
      <w:tblGrid>
        <w:gridCol w:w="6065"/>
        <w:gridCol w:w="1443"/>
        <w:gridCol w:w="1508"/>
      </w:tblGrid>
      <w:tr w:rsidR="00964571" w14:paraId="2D0DD4E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65" w:type="dxa"/>
          </w:tcPr>
          <w:p w14:paraId="7C7ADBF0" w14:textId="77777777" w:rsidR="00964571" w:rsidRDefault="00964571">
            <w:r w:rsidRPr="009875BF">
              <w:rPr>
                <w:rFonts w:cstheme="minorHAnsi"/>
                <w:color w:val="auto"/>
              </w:rPr>
              <w:t>Name</w:t>
            </w:r>
          </w:p>
        </w:tc>
        <w:tc>
          <w:tcPr>
            <w:tcW w:w="1443" w:type="dxa"/>
          </w:tcPr>
          <w:p w14:paraId="10546F3D" w14:textId="77777777" w:rsidR="00964571" w:rsidRDefault="00964571">
            <w:pPr>
              <w:cnfStyle w:val="100000000000" w:firstRow="1" w:lastRow="0" w:firstColumn="0" w:lastColumn="0" w:oddVBand="0" w:evenVBand="0" w:oddHBand="0" w:evenHBand="0" w:firstRowFirstColumn="0" w:firstRowLastColumn="0" w:lastRowFirstColumn="0" w:lastRowLastColumn="0"/>
            </w:pPr>
            <w:r w:rsidRPr="009875BF">
              <w:rPr>
                <w:rFonts w:cstheme="minorHAnsi"/>
                <w:color w:val="auto"/>
              </w:rPr>
              <w:t xml:space="preserve">ABN </w:t>
            </w:r>
          </w:p>
        </w:tc>
        <w:tc>
          <w:tcPr>
            <w:tcW w:w="1508" w:type="dxa"/>
          </w:tcPr>
          <w:p w14:paraId="123C441D" w14:textId="77777777" w:rsidR="00964571" w:rsidRDefault="00964571">
            <w:pPr>
              <w:jc w:val="right"/>
              <w:cnfStyle w:val="100000000000" w:firstRow="1" w:lastRow="0" w:firstColumn="0" w:lastColumn="0" w:oddVBand="0" w:evenVBand="0" w:oddHBand="0" w:evenHBand="0" w:firstRowFirstColumn="0" w:firstRowLastColumn="0" w:lastRowFirstColumn="0" w:lastRowLastColumn="0"/>
            </w:pPr>
            <w:r w:rsidRPr="009875BF">
              <w:rPr>
                <w:rFonts w:cstheme="minorHAnsi"/>
                <w:color w:val="auto"/>
              </w:rPr>
              <w:t>Allocation ($)</w:t>
            </w:r>
          </w:p>
        </w:tc>
      </w:tr>
      <w:tr w:rsidR="00964571" w14:paraId="73F9FE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06AE00AF" w14:textId="77777777" w:rsidR="00964571" w:rsidRPr="00291529" w:rsidRDefault="00964571">
            <w:r w:rsidRPr="00291529">
              <w:rPr>
                <w:rFonts w:eastAsia="Times New Roman" w:cstheme="minorHAnsi"/>
                <w:color w:val="000000"/>
                <w:lang w:eastAsia="en-AU"/>
              </w:rPr>
              <w:t>Accelerate Resources Limited</w:t>
            </w:r>
          </w:p>
        </w:tc>
        <w:tc>
          <w:tcPr>
            <w:tcW w:w="1443" w:type="dxa"/>
          </w:tcPr>
          <w:p w14:paraId="5C5CEDB9"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33617821771</w:t>
            </w:r>
          </w:p>
        </w:tc>
        <w:tc>
          <w:tcPr>
            <w:tcW w:w="1508" w:type="dxa"/>
          </w:tcPr>
          <w:p w14:paraId="7418BC3A" w14:textId="26E906DB"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600,000</w:t>
            </w:r>
            <w:r w:rsidR="008B580E">
              <w:rPr>
                <w:rFonts w:eastAsia="Times New Roman" w:cstheme="minorHAnsi"/>
                <w:color w:val="000000"/>
                <w:lang w:eastAsia="en-AU"/>
              </w:rPr>
              <w:t xml:space="preserve">        </w:t>
            </w:r>
            <w:r w:rsidRPr="009875BF">
              <w:rPr>
                <w:rFonts w:eastAsia="Times New Roman" w:cstheme="minorHAnsi"/>
                <w:color w:val="000000"/>
                <w:lang w:eastAsia="en-AU"/>
              </w:rPr>
              <w:t xml:space="preserve"> </w:t>
            </w:r>
          </w:p>
        </w:tc>
      </w:tr>
      <w:tr w:rsidR="00964571" w14:paraId="7DDB8A33" w14:textId="77777777">
        <w:tc>
          <w:tcPr>
            <w:cnfStyle w:val="001000000000" w:firstRow="0" w:lastRow="0" w:firstColumn="1" w:lastColumn="0" w:oddVBand="0" w:evenVBand="0" w:oddHBand="0" w:evenHBand="0" w:firstRowFirstColumn="0" w:firstRowLastColumn="0" w:lastRowFirstColumn="0" w:lastRowLastColumn="0"/>
            <w:tcW w:w="6065" w:type="dxa"/>
          </w:tcPr>
          <w:p w14:paraId="5895D6D4" w14:textId="77777777" w:rsidR="00964571" w:rsidRPr="00291529" w:rsidRDefault="00964571">
            <w:r w:rsidRPr="00291529">
              <w:rPr>
                <w:rFonts w:eastAsia="Times New Roman" w:cstheme="minorHAnsi"/>
                <w:color w:val="000000"/>
                <w:lang w:eastAsia="en-AU"/>
              </w:rPr>
              <w:t>Alchemy Resources Limited</w:t>
            </w:r>
          </w:p>
        </w:tc>
        <w:tc>
          <w:tcPr>
            <w:tcW w:w="1443" w:type="dxa"/>
          </w:tcPr>
          <w:p w14:paraId="075F6374"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17124444122</w:t>
            </w:r>
          </w:p>
        </w:tc>
        <w:tc>
          <w:tcPr>
            <w:tcW w:w="1508" w:type="dxa"/>
          </w:tcPr>
          <w:p w14:paraId="717703D9"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330,000 </w:t>
            </w:r>
          </w:p>
        </w:tc>
      </w:tr>
      <w:tr w:rsidR="00964571" w14:paraId="6210D1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6A51B5CB" w14:textId="77777777" w:rsidR="00964571" w:rsidRPr="00291529" w:rsidRDefault="00964571">
            <w:r w:rsidRPr="00291529">
              <w:rPr>
                <w:rFonts w:eastAsia="Times New Roman" w:cstheme="minorHAnsi"/>
                <w:color w:val="000000"/>
                <w:lang w:eastAsia="en-AU"/>
              </w:rPr>
              <w:t>Alligator Energy Ltd</w:t>
            </w:r>
          </w:p>
        </w:tc>
        <w:tc>
          <w:tcPr>
            <w:tcW w:w="1443" w:type="dxa"/>
          </w:tcPr>
          <w:p w14:paraId="5BB822E8"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79140575604</w:t>
            </w:r>
          </w:p>
        </w:tc>
        <w:tc>
          <w:tcPr>
            <w:tcW w:w="1508" w:type="dxa"/>
          </w:tcPr>
          <w:p w14:paraId="42200947"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467,500 </w:t>
            </w:r>
          </w:p>
        </w:tc>
      </w:tr>
      <w:tr w:rsidR="00964571" w14:paraId="56B74747" w14:textId="77777777">
        <w:tc>
          <w:tcPr>
            <w:cnfStyle w:val="001000000000" w:firstRow="0" w:lastRow="0" w:firstColumn="1" w:lastColumn="0" w:oddVBand="0" w:evenVBand="0" w:oddHBand="0" w:evenHBand="0" w:firstRowFirstColumn="0" w:firstRowLastColumn="0" w:lastRowFirstColumn="0" w:lastRowLastColumn="0"/>
            <w:tcW w:w="6065" w:type="dxa"/>
          </w:tcPr>
          <w:p w14:paraId="3A3AF92D" w14:textId="77777777" w:rsidR="00964571" w:rsidRPr="00291529" w:rsidRDefault="00964571">
            <w:r w:rsidRPr="00291529">
              <w:rPr>
                <w:rFonts w:eastAsia="Times New Roman" w:cstheme="minorHAnsi"/>
                <w:color w:val="000000"/>
                <w:lang w:eastAsia="en-AU"/>
              </w:rPr>
              <w:t>Alloy Resources Limited (</w:t>
            </w:r>
            <w:r w:rsidRPr="00291529">
              <w:rPr>
                <w:rFonts w:eastAsia="Times New Roman" w:cstheme="minorHAnsi"/>
                <w:i/>
                <w:color w:val="000000"/>
                <w:lang w:eastAsia="en-AU"/>
              </w:rPr>
              <w:t>now Strickland Metals Limited</w:t>
            </w:r>
            <w:r w:rsidRPr="00291529">
              <w:rPr>
                <w:rFonts w:cstheme="minorHAnsi"/>
              </w:rPr>
              <w:t xml:space="preserve">) </w:t>
            </w:r>
          </w:p>
        </w:tc>
        <w:tc>
          <w:tcPr>
            <w:tcW w:w="1443" w:type="dxa"/>
          </w:tcPr>
          <w:p w14:paraId="03760AA5"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20109361195</w:t>
            </w:r>
          </w:p>
        </w:tc>
        <w:tc>
          <w:tcPr>
            <w:tcW w:w="1508" w:type="dxa"/>
          </w:tcPr>
          <w:p w14:paraId="62830081"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756,250 </w:t>
            </w:r>
          </w:p>
        </w:tc>
      </w:tr>
      <w:tr w:rsidR="00964571" w14:paraId="2E3FCC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503656A5" w14:textId="77777777" w:rsidR="00964571" w:rsidRPr="00291529" w:rsidRDefault="00964571">
            <w:r w:rsidRPr="00291529">
              <w:rPr>
                <w:rFonts w:eastAsia="Times New Roman" w:cstheme="minorHAnsi"/>
                <w:color w:val="000000"/>
                <w:lang w:eastAsia="en-AU"/>
              </w:rPr>
              <w:t>Apollo Consolidated Limited</w:t>
            </w:r>
          </w:p>
        </w:tc>
        <w:tc>
          <w:tcPr>
            <w:tcW w:w="1443" w:type="dxa"/>
          </w:tcPr>
          <w:p w14:paraId="4FA6C857"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13102084917</w:t>
            </w:r>
          </w:p>
        </w:tc>
        <w:tc>
          <w:tcPr>
            <w:tcW w:w="1508" w:type="dxa"/>
          </w:tcPr>
          <w:p w14:paraId="4C60879F"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580,250 </w:t>
            </w:r>
          </w:p>
        </w:tc>
      </w:tr>
      <w:tr w:rsidR="00964571" w14:paraId="46417151" w14:textId="77777777">
        <w:tc>
          <w:tcPr>
            <w:cnfStyle w:val="001000000000" w:firstRow="0" w:lastRow="0" w:firstColumn="1" w:lastColumn="0" w:oddVBand="0" w:evenVBand="0" w:oddHBand="0" w:evenHBand="0" w:firstRowFirstColumn="0" w:firstRowLastColumn="0" w:lastRowFirstColumn="0" w:lastRowLastColumn="0"/>
            <w:tcW w:w="6065" w:type="dxa"/>
          </w:tcPr>
          <w:p w14:paraId="609C1AF5" w14:textId="77777777" w:rsidR="00964571" w:rsidRPr="00291529" w:rsidRDefault="00964571">
            <w:r w:rsidRPr="00291529">
              <w:rPr>
                <w:rFonts w:eastAsia="Times New Roman" w:cstheme="minorHAnsi"/>
                <w:color w:val="000000"/>
                <w:lang w:eastAsia="en-AU"/>
              </w:rPr>
              <w:t>Archer Exploration Limited (</w:t>
            </w:r>
            <w:r w:rsidRPr="00291529">
              <w:rPr>
                <w:rFonts w:eastAsia="Times New Roman" w:cstheme="minorHAnsi"/>
                <w:i/>
                <w:color w:val="000000"/>
                <w:lang w:eastAsia="en-AU"/>
              </w:rPr>
              <w:t>now Archer Materials Limited</w:t>
            </w:r>
            <w:r w:rsidRPr="00291529">
              <w:rPr>
                <w:rFonts w:eastAsia="Times New Roman" w:cstheme="minorHAnsi"/>
                <w:color w:val="000000"/>
                <w:lang w:eastAsia="en-AU"/>
              </w:rPr>
              <w:t xml:space="preserve">) </w:t>
            </w:r>
          </w:p>
        </w:tc>
        <w:tc>
          <w:tcPr>
            <w:tcW w:w="1443" w:type="dxa"/>
          </w:tcPr>
          <w:p w14:paraId="5FC30A7C"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64123993233</w:t>
            </w:r>
          </w:p>
        </w:tc>
        <w:tc>
          <w:tcPr>
            <w:tcW w:w="1508" w:type="dxa"/>
          </w:tcPr>
          <w:p w14:paraId="58761CF3"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390,000 </w:t>
            </w:r>
          </w:p>
        </w:tc>
      </w:tr>
      <w:tr w:rsidR="00964571" w14:paraId="1CAA5F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57A4FE80" w14:textId="77777777" w:rsidR="00964571" w:rsidRPr="00291529" w:rsidRDefault="00964571">
            <w:r w:rsidRPr="00291529">
              <w:rPr>
                <w:rFonts w:eastAsia="Times New Roman" w:cstheme="minorHAnsi"/>
                <w:color w:val="000000"/>
                <w:lang w:eastAsia="en-AU"/>
              </w:rPr>
              <w:t>Auris Minerals Limited</w:t>
            </w:r>
          </w:p>
        </w:tc>
        <w:tc>
          <w:tcPr>
            <w:tcW w:w="1443" w:type="dxa"/>
          </w:tcPr>
          <w:p w14:paraId="6FC458AD"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77085806284</w:t>
            </w:r>
          </w:p>
        </w:tc>
        <w:tc>
          <w:tcPr>
            <w:tcW w:w="1508" w:type="dxa"/>
          </w:tcPr>
          <w:p w14:paraId="5A8ADF6E"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825,000 </w:t>
            </w:r>
          </w:p>
        </w:tc>
      </w:tr>
      <w:tr w:rsidR="00964571" w14:paraId="7607F40E" w14:textId="77777777">
        <w:tc>
          <w:tcPr>
            <w:cnfStyle w:val="001000000000" w:firstRow="0" w:lastRow="0" w:firstColumn="1" w:lastColumn="0" w:oddVBand="0" w:evenVBand="0" w:oddHBand="0" w:evenHBand="0" w:firstRowFirstColumn="0" w:firstRowLastColumn="0" w:lastRowFirstColumn="0" w:lastRowLastColumn="0"/>
            <w:tcW w:w="6065" w:type="dxa"/>
          </w:tcPr>
          <w:p w14:paraId="4F0EF748" w14:textId="77777777" w:rsidR="00964571" w:rsidRPr="00291529" w:rsidRDefault="00964571">
            <w:r w:rsidRPr="00291529">
              <w:rPr>
                <w:rFonts w:eastAsia="Times New Roman" w:cstheme="minorHAnsi"/>
                <w:color w:val="000000"/>
                <w:lang w:eastAsia="en-AU"/>
              </w:rPr>
              <w:t>Ballista Resources Limited</w:t>
            </w:r>
          </w:p>
        </w:tc>
        <w:tc>
          <w:tcPr>
            <w:tcW w:w="1443" w:type="dxa"/>
          </w:tcPr>
          <w:p w14:paraId="0C315DA6"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49626158352</w:t>
            </w:r>
          </w:p>
        </w:tc>
        <w:tc>
          <w:tcPr>
            <w:tcW w:w="1508" w:type="dxa"/>
          </w:tcPr>
          <w:p w14:paraId="5CE270A3"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390,000 </w:t>
            </w:r>
          </w:p>
        </w:tc>
      </w:tr>
      <w:tr w:rsidR="00964571" w14:paraId="3D66D0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2A2AAAEF" w14:textId="77777777" w:rsidR="00964571" w:rsidRPr="00291529" w:rsidRDefault="00964571">
            <w:r w:rsidRPr="00291529">
              <w:rPr>
                <w:rFonts w:eastAsia="Times New Roman" w:cstheme="minorHAnsi"/>
                <w:color w:val="000000"/>
                <w:lang w:eastAsia="en-AU"/>
              </w:rPr>
              <w:t>Black Cat Syndicate Limited</w:t>
            </w:r>
          </w:p>
        </w:tc>
        <w:tc>
          <w:tcPr>
            <w:tcW w:w="1443" w:type="dxa"/>
          </w:tcPr>
          <w:p w14:paraId="41EC5164"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63620896282</w:t>
            </w:r>
          </w:p>
        </w:tc>
        <w:tc>
          <w:tcPr>
            <w:tcW w:w="1508" w:type="dxa"/>
          </w:tcPr>
          <w:p w14:paraId="21FB3682"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687,500 </w:t>
            </w:r>
          </w:p>
        </w:tc>
      </w:tr>
      <w:tr w:rsidR="00964571" w14:paraId="1F048CC7" w14:textId="77777777">
        <w:tc>
          <w:tcPr>
            <w:cnfStyle w:val="001000000000" w:firstRow="0" w:lastRow="0" w:firstColumn="1" w:lastColumn="0" w:oddVBand="0" w:evenVBand="0" w:oddHBand="0" w:evenHBand="0" w:firstRowFirstColumn="0" w:firstRowLastColumn="0" w:lastRowFirstColumn="0" w:lastRowLastColumn="0"/>
            <w:tcW w:w="6065" w:type="dxa"/>
          </w:tcPr>
          <w:p w14:paraId="2C4C211D" w14:textId="77777777" w:rsidR="00964571" w:rsidRPr="00291529" w:rsidRDefault="00964571">
            <w:r w:rsidRPr="00291529">
              <w:rPr>
                <w:rFonts w:eastAsia="Times New Roman" w:cstheme="minorHAnsi"/>
                <w:color w:val="000000"/>
                <w:lang w:eastAsia="en-AU"/>
              </w:rPr>
              <w:t>Bryah Resources Limited</w:t>
            </w:r>
          </w:p>
        </w:tc>
        <w:tc>
          <w:tcPr>
            <w:tcW w:w="1443" w:type="dxa"/>
          </w:tcPr>
          <w:p w14:paraId="7F9F312B"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59616795245</w:t>
            </w:r>
          </w:p>
        </w:tc>
        <w:tc>
          <w:tcPr>
            <w:tcW w:w="1508" w:type="dxa"/>
          </w:tcPr>
          <w:p w14:paraId="192E4472"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550,000 </w:t>
            </w:r>
          </w:p>
        </w:tc>
      </w:tr>
      <w:tr w:rsidR="00964571" w14:paraId="2CF05B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0C996D16" w14:textId="77777777" w:rsidR="00964571" w:rsidRPr="00291529" w:rsidRDefault="00964571">
            <w:r w:rsidRPr="00291529">
              <w:rPr>
                <w:rFonts w:eastAsia="Times New Roman" w:cstheme="minorHAnsi"/>
                <w:color w:val="000000"/>
                <w:lang w:eastAsia="en-AU"/>
              </w:rPr>
              <w:t>Chalice Gold Mines Limited (</w:t>
            </w:r>
            <w:r w:rsidRPr="00291529">
              <w:rPr>
                <w:rFonts w:eastAsia="Times New Roman" w:cstheme="minorHAnsi"/>
                <w:i/>
                <w:color w:val="000000"/>
                <w:lang w:eastAsia="en-AU"/>
              </w:rPr>
              <w:t>now</w:t>
            </w:r>
            <w:r w:rsidRPr="00291529">
              <w:rPr>
                <w:rFonts w:eastAsia="Times New Roman" w:cstheme="minorHAnsi"/>
                <w:color w:val="000000"/>
                <w:lang w:eastAsia="en-AU"/>
              </w:rPr>
              <w:t xml:space="preserve"> </w:t>
            </w:r>
            <w:r w:rsidRPr="00291529">
              <w:rPr>
                <w:rFonts w:eastAsia="Times New Roman" w:cstheme="minorHAnsi"/>
                <w:i/>
                <w:color w:val="000000"/>
                <w:lang w:eastAsia="en-AU"/>
              </w:rPr>
              <w:t>Chalice Mining Limited</w:t>
            </w:r>
            <w:r w:rsidRPr="00291529">
              <w:rPr>
                <w:rFonts w:eastAsia="Times New Roman" w:cstheme="minorHAnsi"/>
                <w:color w:val="000000"/>
                <w:lang w:eastAsia="en-AU"/>
              </w:rPr>
              <w:t>)</w:t>
            </w:r>
            <w:r w:rsidRPr="00291529">
              <w:rPr>
                <w:rFonts w:cstheme="minorHAnsi"/>
              </w:rPr>
              <w:t xml:space="preserve"> </w:t>
            </w:r>
          </w:p>
        </w:tc>
        <w:tc>
          <w:tcPr>
            <w:tcW w:w="1443" w:type="dxa"/>
          </w:tcPr>
          <w:p w14:paraId="74FAA0B5"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47116648956</w:t>
            </w:r>
          </w:p>
        </w:tc>
        <w:tc>
          <w:tcPr>
            <w:tcW w:w="1508" w:type="dxa"/>
          </w:tcPr>
          <w:p w14:paraId="4DF4370A"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1,375,000 </w:t>
            </w:r>
          </w:p>
        </w:tc>
      </w:tr>
      <w:tr w:rsidR="00964571" w14:paraId="6D6FFCF4" w14:textId="77777777">
        <w:tc>
          <w:tcPr>
            <w:cnfStyle w:val="001000000000" w:firstRow="0" w:lastRow="0" w:firstColumn="1" w:lastColumn="0" w:oddVBand="0" w:evenVBand="0" w:oddHBand="0" w:evenHBand="0" w:firstRowFirstColumn="0" w:firstRowLastColumn="0" w:lastRowFirstColumn="0" w:lastRowLastColumn="0"/>
            <w:tcW w:w="6065" w:type="dxa"/>
          </w:tcPr>
          <w:p w14:paraId="1BE26C40" w14:textId="74067523" w:rsidR="00964571" w:rsidRPr="00291529" w:rsidRDefault="00964571">
            <w:r w:rsidRPr="00232EAF">
              <w:rPr>
                <w:rFonts w:eastAsia="Times New Roman" w:cstheme="minorHAnsi"/>
                <w:color w:val="000000"/>
                <w:lang w:eastAsia="en-AU"/>
              </w:rPr>
              <w:t>Coolabah Minerals Pty Ltd</w:t>
            </w:r>
            <w:r w:rsidR="00F41A36" w:rsidRPr="00232EAF">
              <w:rPr>
                <w:rFonts w:eastAsia="Times New Roman" w:cstheme="minorHAnsi"/>
                <w:color w:val="000000"/>
                <w:lang w:eastAsia="en-AU"/>
              </w:rPr>
              <w:t xml:space="preserve"> </w:t>
            </w:r>
          </w:p>
        </w:tc>
        <w:tc>
          <w:tcPr>
            <w:tcW w:w="1443" w:type="dxa"/>
          </w:tcPr>
          <w:p w14:paraId="585F9B41"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91625587555</w:t>
            </w:r>
          </w:p>
        </w:tc>
        <w:tc>
          <w:tcPr>
            <w:tcW w:w="1508" w:type="dxa"/>
          </w:tcPr>
          <w:p w14:paraId="66D3FBCE"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1,200,000 </w:t>
            </w:r>
          </w:p>
        </w:tc>
      </w:tr>
      <w:tr w:rsidR="00964571" w14:paraId="3A05AE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7C4804CA" w14:textId="77777777" w:rsidR="00964571" w:rsidRPr="00291529" w:rsidRDefault="00964571">
            <w:r w:rsidRPr="00291529">
              <w:rPr>
                <w:rFonts w:eastAsia="Times New Roman" w:cstheme="minorHAnsi"/>
                <w:color w:val="000000"/>
                <w:lang w:eastAsia="en-AU"/>
              </w:rPr>
              <w:t>Core Exploration Limited (</w:t>
            </w:r>
            <w:r w:rsidRPr="00291529">
              <w:rPr>
                <w:rFonts w:eastAsia="Times New Roman" w:cstheme="minorHAnsi"/>
                <w:i/>
                <w:color w:val="000000"/>
                <w:lang w:eastAsia="en-AU"/>
              </w:rPr>
              <w:t>now Core Lithium Ltd</w:t>
            </w:r>
            <w:r w:rsidRPr="00291529">
              <w:rPr>
                <w:rFonts w:eastAsia="Times New Roman" w:cstheme="minorHAnsi"/>
                <w:color w:val="000000"/>
                <w:lang w:eastAsia="en-AU"/>
              </w:rPr>
              <w:t xml:space="preserve">) </w:t>
            </w:r>
          </w:p>
        </w:tc>
        <w:tc>
          <w:tcPr>
            <w:tcW w:w="1443" w:type="dxa"/>
          </w:tcPr>
          <w:p w14:paraId="71ECA5CD"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80146287809</w:t>
            </w:r>
          </w:p>
        </w:tc>
        <w:tc>
          <w:tcPr>
            <w:tcW w:w="1508" w:type="dxa"/>
          </w:tcPr>
          <w:p w14:paraId="1EA1A362"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1,375,000 </w:t>
            </w:r>
          </w:p>
        </w:tc>
      </w:tr>
      <w:tr w:rsidR="00964571" w14:paraId="7749F964" w14:textId="77777777">
        <w:tc>
          <w:tcPr>
            <w:cnfStyle w:val="001000000000" w:firstRow="0" w:lastRow="0" w:firstColumn="1" w:lastColumn="0" w:oddVBand="0" w:evenVBand="0" w:oddHBand="0" w:evenHBand="0" w:firstRowFirstColumn="0" w:firstRowLastColumn="0" w:lastRowFirstColumn="0" w:lastRowLastColumn="0"/>
            <w:tcW w:w="6065" w:type="dxa"/>
          </w:tcPr>
          <w:p w14:paraId="07029FC4" w14:textId="77777777" w:rsidR="00964571" w:rsidRPr="00291529" w:rsidRDefault="00964571">
            <w:r w:rsidRPr="00291529">
              <w:rPr>
                <w:rFonts w:eastAsia="Times New Roman" w:cstheme="minorHAnsi"/>
                <w:color w:val="000000"/>
                <w:lang w:eastAsia="en-AU"/>
              </w:rPr>
              <w:t>Devex Resources Limited</w:t>
            </w:r>
          </w:p>
        </w:tc>
        <w:tc>
          <w:tcPr>
            <w:tcW w:w="1443" w:type="dxa"/>
          </w:tcPr>
          <w:p w14:paraId="0AB7CCD7"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74009799553</w:t>
            </w:r>
          </w:p>
        </w:tc>
        <w:tc>
          <w:tcPr>
            <w:tcW w:w="1508" w:type="dxa"/>
          </w:tcPr>
          <w:p w14:paraId="483A1525"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646,250 </w:t>
            </w:r>
          </w:p>
        </w:tc>
      </w:tr>
      <w:tr w:rsidR="00964571" w14:paraId="61C967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6BF16012" w14:textId="77777777" w:rsidR="00964571" w:rsidRPr="00291529" w:rsidRDefault="00964571">
            <w:r w:rsidRPr="00291529">
              <w:rPr>
                <w:rFonts w:eastAsia="Times New Roman" w:cstheme="minorHAnsi"/>
                <w:color w:val="000000"/>
                <w:lang w:eastAsia="en-AU"/>
              </w:rPr>
              <w:t>Emmerson Resources Limited</w:t>
            </w:r>
          </w:p>
        </w:tc>
        <w:tc>
          <w:tcPr>
            <w:tcW w:w="1443" w:type="dxa"/>
          </w:tcPr>
          <w:p w14:paraId="25FF7E5D"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53117086745</w:t>
            </w:r>
          </w:p>
        </w:tc>
        <w:tc>
          <w:tcPr>
            <w:tcW w:w="1508" w:type="dxa"/>
          </w:tcPr>
          <w:p w14:paraId="559F77F2"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809,600 </w:t>
            </w:r>
          </w:p>
        </w:tc>
      </w:tr>
      <w:tr w:rsidR="00964571" w14:paraId="3012D5C5" w14:textId="77777777">
        <w:tc>
          <w:tcPr>
            <w:cnfStyle w:val="001000000000" w:firstRow="0" w:lastRow="0" w:firstColumn="1" w:lastColumn="0" w:oddVBand="0" w:evenVBand="0" w:oddHBand="0" w:evenHBand="0" w:firstRowFirstColumn="0" w:firstRowLastColumn="0" w:lastRowFirstColumn="0" w:lastRowLastColumn="0"/>
            <w:tcW w:w="6065" w:type="dxa"/>
          </w:tcPr>
          <w:p w14:paraId="069ABC0E" w14:textId="77777777" w:rsidR="00964571" w:rsidRPr="00291529" w:rsidRDefault="00964571">
            <w:r w:rsidRPr="00291529">
              <w:rPr>
                <w:rFonts w:eastAsia="Times New Roman" w:cstheme="minorHAnsi"/>
                <w:color w:val="000000"/>
                <w:lang w:eastAsia="en-AU"/>
              </w:rPr>
              <w:t>Encounter</w:t>
            </w:r>
            <w:r>
              <w:rPr>
                <w:rFonts w:eastAsia="Times New Roman" w:cstheme="minorHAnsi"/>
                <w:color w:val="000000"/>
                <w:lang w:eastAsia="en-AU"/>
              </w:rPr>
              <w:t xml:space="preserve"> </w:t>
            </w:r>
            <w:r w:rsidRPr="00291529">
              <w:rPr>
                <w:rFonts w:eastAsia="Times New Roman" w:cstheme="minorHAnsi"/>
                <w:color w:val="000000"/>
                <w:lang w:eastAsia="en-AU"/>
              </w:rPr>
              <w:t>Resources Limited</w:t>
            </w:r>
          </w:p>
        </w:tc>
        <w:tc>
          <w:tcPr>
            <w:tcW w:w="1443" w:type="dxa"/>
          </w:tcPr>
          <w:p w14:paraId="792D09A6"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47109815796</w:t>
            </w:r>
          </w:p>
        </w:tc>
        <w:tc>
          <w:tcPr>
            <w:tcW w:w="1508" w:type="dxa"/>
          </w:tcPr>
          <w:p w14:paraId="4FD817B8"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1,237,500 </w:t>
            </w:r>
          </w:p>
        </w:tc>
      </w:tr>
      <w:tr w:rsidR="00964571" w14:paraId="017EE6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5D9FBDEE" w14:textId="77777777" w:rsidR="00964571" w:rsidRPr="00291529" w:rsidRDefault="00964571">
            <w:r w:rsidRPr="00291529">
              <w:rPr>
                <w:rFonts w:eastAsia="Times New Roman" w:cstheme="minorHAnsi"/>
                <w:color w:val="000000"/>
                <w:lang w:eastAsia="en-AU"/>
              </w:rPr>
              <w:t>Estrella Resources Limited</w:t>
            </w:r>
          </w:p>
        </w:tc>
        <w:tc>
          <w:tcPr>
            <w:tcW w:w="1443" w:type="dxa"/>
          </w:tcPr>
          <w:p w14:paraId="54464BB8"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39151155207</w:t>
            </w:r>
          </w:p>
        </w:tc>
        <w:tc>
          <w:tcPr>
            <w:tcW w:w="1508" w:type="dxa"/>
          </w:tcPr>
          <w:p w14:paraId="27D3C024"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550,000 </w:t>
            </w:r>
          </w:p>
        </w:tc>
      </w:tr>
      <w:tr w:rsidR="00964571" w14:paraId="05234F6F" w14:textId="77777777">
        <w:tc>
          <w:tcPr>
            <w:cnfStyle w:val="001000000000" w:firstRow="0" w:lastRow="0" w:firstColumn="1" w:lastColumn="0" w:oddVBand="0" w:evenVBand="0" w:oddHBand="0" w:evenHBand="0" w:firstRowFirstColumn="0" w:firstRowLastColumn="0" w:lastRowFirstColumn="0" w:lastRowLastColumn="0"/>
            <w:tcW w:w="6065" w:type="dxa"/>
          </w:tcPr>
          <w:p w14:paraId="7C6E786D" w14:textId="7E8C082C" w:rsidR="00964571" w:rsidRPr="00291529" w:rsidRDefault="00964571">
            <w:r w:rsidRPr="00291529">
              <w:rPr>
                <w:rFonts w:eastAsia="Times New Roman" w:cstheme="minorHAnsi"/>
                <w:color w:val="000000"/>
                <w:lang w:eastAsia="en-AU"/>
              </w:rPr>
              <w:t>Hammer Metals L</w:t>
            </w:r>
            <w:r w:rsidR="00F41A36">
              <w:rPr>
                <w:rFonts w:eastAsia="Times New Roman" w:cstheme="minorHAnsi"/>
                <w:color w:val="000000"/>
                <w:lang w:eastAsia="en-AU"/>
              </w:rPr>
              <w:t>imi</w:t>
            </w:r>
            <w:r w:rsidRPr="00291529">
              <w:rPr>
                <w:rFonts w:eastAsia="Times New Roman" w:cstheme="minorHAnsi"/>
                <w:color w:val="000000"/>
                <w:lang w:eastAsia="en-AU"/>
              </w:rPr>
              <w:t>t</w:t>
            </w:r>
            <w:r w:rsidR="00F41A36">
              <w:rPr>
                <w:rFonts w:eastAsia="Times New Roman" w:cstheme="minorHAnsi"/>
                <w:color w:val="000000"/>
                <w:lang w:eastAsia="en-AU"/>
              </w:rPr>
              <w:t>e</w:t>
            </w:r>
            <w:r w:rsidRPr="00291529">
              <w:rPr>
                <w:rFonts w:eastAsia="Times New Roman" w:cstheme="minorHAnsi"/>
                <w:color w:val="000000"/>
                <w:lang w:eastAsia="en-AU"/>
              </w:rPr>
              <w:t>d</w:t>
            </w:r>
          </w:p>
        </w:tc>
        <w:tc>
          <w:tcPr>
            <w:tcW w:w="1443" w:type="dxa"/>
          </w:tcPr>
          <w:p w14:paraId="350ED560"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87095092158</w:t>
            </w:r>
          </w:p>
        </w:tc>
        <w:tc>
          <w:tcPr>
            <w:tcW w:w="1508" w:type="dxa"/>
          </w:tcPr>
          <w:p w14:paraId="151C98EC"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275,000 </w:t>
            </w:r>
          </w:p>
        </w:tc>
      </w:tr>
      <w:tr w:rsidR="00964571" w14:paraId="7C7DA1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36AB038E" w14:textId="22D95A3A" w:rsidR="00964571" w:rsidRPr="00291529" w:rsidRDefault="00964571">
            <w:r w:rsidRPr="00291529">
              <w:rPr>
                <w:rFonts w:eastAsia="Times New Roman" w:cstheme="minorHAnsi"/>
                <w:color w:val="000000"/>
                <w:lang w:eastAsia="en-AU"/>
              </w:rPr>
              <w:t>Impact Minerals L</w:t>
            </w:r>
            <w:r w:rsidR="00F41A36">
              <w:rPr>
                <w:rFonts w:eastAsia="Times New Roman" w:cstheme="minorHAnsi"/>
                <w:color w:val="000000"/>
                <w:lang w:eastAsia="en-AU"/>
              </w:rPr>
              <w:t>imi</w:t>
            </w:r>
            <w:r w:rsidRPr="00291529">
              <w:rPr>
                <w:rFonts w:eastAsia="Times New Roman" w:cstheme="minorHAnsi"/>
                <w:color w:val="000000"/>
                <w:lang w:eastAsia="en-AU"/>
              </w:rPr>
              <w:t>t</w:t>
            </w:r>
            <w:r w:rsidR="00F41A36">
              <w:rPr>
                <w:rFonts w:eastAsia="Times New Roman" w:cstheme="minorHAnsi"/>
                <w:color w:val="000000"/>
                <w:lang w:eastAsia="en-AU"/>
              </w:rPr>
              <w:t>e</w:t>
            </w:r>
            <w:r w:rsidRPr="00291529">
              <w:rPr>
                <w:rFonts w:eastAsia="Times New Roman" w:cstheme="minorHAnsi"/>
                <w:color w:val="000000"/>
                <w:lang w:eastAsia="en-AU"/>
              </w:rPr>
              <w:t>d</w:t>
            </w:r>
          </w:p>
        </w:tc>
        <w:tc>
          <w:tcPr>
            <w:tcW w:w="1443" w:type="dxa"/>
          </w:tcPr>
          <w:p w14:paraId="59B43B32"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52119062261</w:t>
            </w:r>
          </w:p>
        </w:tc>
        <w:tc>
          <w:tcPr>
            <w:tcW w:w="1508" w:type="dxa"/>
          </w:tcPr>
          <w:p w14:paraId="724FDA7B"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825,000 </w:t>
            </w:r>
          </w:p>
        </w:tc>
      </w:tr>
      <w:tr w:rsidR="00964571" w14:paraId="47C7CAC6" w14:textId="77777777">
        <w:tc>
          <w:tcPr>
            <w:cnfStyle w:val="001000000000" w:firstRow="0" w:lastRow="0" w:firstColumn="1" w:lastColumn="0" w:oddVBand="0" w:evenVBand="0" w:oddHBand="0" w:evenHBand="0" w:firstRowFirstColumn="0" w:firstRowLastColumn="0" w:lastRowFirstColumn="0" w:lastRowLastColumn="0"/>
            <w:tcW w:w="6065" w:type="dxa"/>
          </w:tcPr>
          <w:p w14:paraId="7AA61561" w14:textId="0954326D" w:rsidR="00964571" w:rsidRPr="00291529" w:rsidRDefault="00964571">
            <w:r w:rsidRPr="00291529">
              <w:rPr>
                <w:rFonts w:eastAsia="Times New Roman" w:cstheme="minorHAnsi"/>
                <w:color w:val="000000"/>
                <w:lang w:eastAsia="en-AU"/>
              </w:rPr>
              <w:t>Investigator Resources L</w:t>
            </w:r>
            <w:r w:rsidR="00F41A36">
              <w:rPr>
                <w:rFonts w:eastAsia="Times New Roman" w:cstheme="minorHAnsi"/>
                <w:color w:val="000000"/>
                <w:lang w:eastAsia="en-AU"/>
              </w:rPr>
              <w:t>imi</w:t>
            </w:r>
            <w:r w:rsidRPr="00291529">
              <w:rPr>
                <w:rFonts w:eastAsia="Times New Roman" w:cstheme="minorHAnsi"/>
                <w:color w:val="000000"/>
                <w:lang w:eastAsia="en-AU"/>
              </w:rPr>
              <w:t>t</w:t>
            </w:r>
            <w:r w:rsidR="00F41A36">
              <w:rPr>
                <w:rFonts w:eastAsia="Times New Roman" w:cstheme="minorHAnsi"/>
                <w:color w:val="000000"/>
                <w:lang w:eastAsia="en-AU"/>
              </w:rPr>
              <w:t>e</w:t>
            </w:r>
            <w:r w:rsidRPr="00291529">
              <w:rPr>
                <w:rFonts w:eastAsia="Times New Roman" w:cstheme="minorHAnsi"/>
                <w:color w:val="000000"/>
                <w:lang w:eastAsia="en-AU"/>
              </w:rPr>
              <w:t>d</w:t>
            </w:r>
          </w:p>
        </w:tc>
        <w:tc>
          <w:tcPr>
            <w:tcW w:w="1443" w:type="dxa"/>
          </w:tcPr>
          <w:p w14:paraId="508F1B28"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90115338979</w:t>
            </w:r>
          </w:p>
        </w:tc>
        <w:tc>
          <w:tcPr>
            <w:tcW w:w="1508" w:type="dxa"/>
          </w:tcPr>
          <w:p w14:paraId="1D119D2F"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687,500 </w:t>
            </w:r>
          </w:p>
        </w:tc>
      </w:tr>
      <w:tr w:rsidR="00964571" w14:paraId="28DC20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56BAD855" w14:textId="77777777" w:rsidR="00964571" w:rsidRPr="00291529" w:rsidRDefault="00964571">
            <w:r w:rsidRPr="00291529">
              <w:rPr>
                <w:rFonts w:eastAsia="Times New Roman" w:cstheme="minorHAnsi"/>
                <w:color w:val="000000"/>
                <w:lang w:eastAsia="en-AU"/>
              </w:rPr>
              <w:t>Jindalee Resources Limited</w:t>
            </w:r>
          </w:p>
        </w:tc>
        <w:tc>
          <w:tcPr>
            <w:tcW w:w="1443" w:type="dxa"/>
          </w:tcPr>
          <w:p w14:paraId="590A1CE1"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52064121133</w:t>
            </w:r>
          </w:p>
        </w:tc>
        <w:tc>
          <w:tcPr>
            <w:tcW w:w="1508" w:type="dxa"/>
          </w:tcPr>
          <w:p w14:paraId="7402C212"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515,625 </w:t>
            </w:r>
          </w:p>
        </w:tc>
      </w:tr>
      <w:tr w:rsidR="00964571" w14:paraId="344675D0" w14:textId="77777777">
        <w:tc>
          <w:tcPr>
            <w:cnfStyle w:val="001000000000" w:firstRow="0" w:lastRow="0" w:firstColumn="1" w:lastColumn="0" w:oddVBand="0" w:evenVBand="0" w:oddHBand="0" w:evenHBand="0" w:firstRowFirstColumn="0" w:firstRowLastColumn="0" w:lastRowFirstColumn="0" w:lastRowLastColumn="0"/>
            <w:tcW w:w="6065" w:type="dxa"/>
          </w:tcPr>
          <w:p w14:paraId="1FDE7BAB" w14:textId="07C098E9" w:rsidR="00964571" w:rsidRPr="00291529" w:rsidRDefault="00964571">
            <w:r w:rsidRPr="00291529">
              <w:rPr>
                <w:rFonts w:eastAsia="Times New Roman" w:cstheme="minorHAnsi"/>
                <w:color w:val="000000"/>
                <w:lang w:eastAsia="en-AU"/>
              </w:rPr>
              <w:t>Kalamazoo Resources L</w:t>
            </w:r>
            <w:r w:rsidR="00F41A36">
              <w:rPr>
                <w:rFonts w:eastAsia="Times New Roman" w:cstheme="minorHAnsi"/>
                <w:color w:val="000000"/>
                <w:lang w:eastAsia="en-AU"/>
              </w:rPr>
              <w:t>imi</w:t>
            </w:r>
            <w:r w:rsidRPr="00291529">
              <w:rPr>
                <w:rFonts w:eastAsia="Times New Roman" w:cstheme="minorHAnsi"/>
                <w:color w:val="000000"/>
                <w:lang w:eastAsia="en-AU"/>
              </w:rPr>
              <w:t>t</w:t>
            </w:r>
            <w:r w:rsidR="00F41A36">
              <w:rPr>
                <w:rFonts w:eastAsia="Times New Roman" w:cstheme="minorHAnsi"/>
                <w:color w:val="000000"/>
                <w:lang w:eastAsia="en-AU"/>
              </w:rPr>
              <w:t>e</w:t>
            </w:r>
            <w:r w:rsidRPr="00291529">
              <w:rPr>
                <w:rFonts w:eastAsia="Times New Roman" w:cstheme="minorHAnsi"/>
                <w:color w:val="000000"/>
                <w:lang w:eastAsia="en-AU"/>
              </w:rPr>
              <w:t>d</w:t>
            </w:r>
          </w:p>
        </w:tc>
        <w:tc>
          <w:tcPr>
            <w:tcW w:w="1443" w:type="dxa"/>
          </w:tcPr>
          <w:p w14:paraId="353B1B66"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33150026850</w:t>
            </w:r>
          </w:p>
        </w:tc>
        <w:tc>
          <w:tcPr>
            <w:tcW w:w="1508" w:type="dxa"/>
          </w:tcPr>
          <w:p w14:paraId="3796EE73"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412,500 </w:t>
            </w:r>
          </w:p>
        </w:tc>
      </w:tr>
      <w:tr w:rsidR="00964571" w14:paraId="3A040C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0E2283B5" w14:textId="77777777" w:rsidR="00964571" w:rsidRPr="00291529" w:rsidRDefault="00964571">
            <w:r w:rsidRPr="00291529">
              <w:rPr>
                <w:rFonts w:eastAsia="Times New Roman" w:cstheme="minorHAnsi"/>
                <w:color w:val="000000"/>
                <w:lang w:eastAsia="en-AU"/>
              </w:rPr>
              <w:t>King River Copper Limited (</w:t>
            </w:r>
            <w:r w:rsidRPr="00291529">
              <w:rPr>
                <w:rFonts w:eastAsia="Times New Roman" w:cstheme="minorHAnsi"/>
                <w:i/>
                <w:color w:val="000000"/>
                <w:lang w:eastAsia="en-AU"/>
              </w:rPr>
              <w:t>now King River Resources Limited</w:t>
            </w:r>
            <w:r w:rsidRPr="00291529">
              <w:rPr>
                <w:rFonts w:eastAsia="Times New Roman" w:cstheme="minorHAnsi"/>
                <w:color w:val="000000"/>
                <w:lang w:eastAsia="en-AU"/>
              </w:rPr>
              <w:t xml:space="preserve">) </w:t>
            </w:r>
          </w:p>
        </w:tc>
        <w:tc>
          <w:tcPr>
            <w:tcW w:w="1443" w:type="dxa"/>
          </w:tcPr>
          <w:p w14:paraId="5D2373BE"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67100714181</w:t>
            </w:r>
          </w:p>
        </w:tc>
        <w:tc>
          <w:tcPr>
            <w:tcW w:w="1508" w:type="dxa"/>
          </w:tcPr>
          <w:p w14:paraId="341C3AAF"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1,058,750 </w:t>
            </w:r>
          </w:p>
        </w:tc>
      </w:tr>
      <w:tr w:rsidR="00964571" w14:paraId="4E8AAB9F" w14:textId="77777777">
        <w:tc>
          <w:tcPr>
            <w:cnfStyle w:val="001000000000" w:firstRow="0" w:lastRow="0" w:firstColumn="1" w:lastColumn="0" w:oddVBand="0" w:evenVBand="0" w:oddHBand="0" w:evenHBand="0" w:firstRowFirstColumn="0" w:firstRowLastColumn="0" w:lastRowFirstColumn="0" w:lastRowLastColumn="0"/>
            <w:tcW w:w="6065" w:type="dxa"/>
          </w:tcPr>
          <w:p w14:paraId="48593081" w14:textId="77777777" w:rsidR="00964571" w:rsidRPr="00291529" w:rsidRDefault="00964571">
            <w:r w:rsidRPr="00291529">
              <w:rPr>
                <w:rFonts w:eastAsia="Times New Roman" w:cstheme="minorHAnsi"/>
                <w:color w:val="000000"/>
                <w:lang w:eastAsia="en-AU"/>
              </w:rPr>
              <w:t>Liontown Resources Limited</w:t>
            </w:r>
          </w:p>
        </w:tc>
        <w:tc>
          <w:tcPr>
            <w:tcW w:w="1443" w:type="dxa"/>
          </w:tcPr>
          <w:p w14:paraId="20A69DBB"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39118153825</w:t>
            </w:r>
          </w:p>
        </w:tc>
        <w:tc>
          <w:tcPr>
            <w:tcW w:w="1508" w:type="dxa"/>
          </w:tcPr>
          <w:p w14:paraId="32FDD2BF"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1,127,500 </w:t>
            </w:r>
          </w:p>
        </w:tc>
      </w:tr>
      <w:tr w:rsidR="00964571" w14:paraId="608105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38E6E27B" w14:textId="77777777" w:rsidR="00964571" w:rsidRPr="00291529" w:rsidRDefault="00964571">
            <w:r w:rsidRPr="00291529">
              <w:rPr>
                <w:rFonts w:eastAsia="Times New Roman" w:cstheme="minorHAnsi"/>
                <w:color w:val="000000"/>
                <w:lang w:eastAsia="en-AU"/>
              </w:rPr>
              <w:t>Marmota Limited</w:t>
            </w:r>
          </w:p>
        </w:tc>
        <w:tc>
          <w:tcPr>
            <w:tcW w:w="1443" w:type="dxa"/>
          </w:tcPr>
          <w:p w14:paraId="0C8B5BDC"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38119270816</w:t>
            </w:r>
          </w:p>
        </w:tc>
        <w:tc>
          <w:tcPr>
            <w:tcW w:w="1508" w:type="dxa"/>
          </w:tcPr>
          <w:p w14:paraId="594FABDC"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541,107 </w:t>
            </w:r>
          </w:p>
        </w:tc>
      </w:tr>
      <w:tr w:rsidR="00964571" w14:paraId="52E3B996" w14:textId="77777777">
        <w:tc>
          <w:tcPr>
            <w:cnfStyle w:val="001000000000" w:firstRow="0" w:lastRow="0" w:firstColumn="1" w:lastColumn="0" w:oddVBand="0" w:evenVBand="0" w:oddHBand="0" w:evenHBand="0" w:firstRowFirstColumn="0" w:firstRowLastColumn="0" w:lastRowFirstColumn="0" w:lastRowLastColumn="0"/>
            <w:tcW w:w="6065" w:type="dxa"/>
          </w:tcPr>
          <w:p w14:paraId="50C8F62C" w14:textId="77777777" w:rsidR="00964571" w:rsidRPr="00291529" w:rsidRDefault="00964571">
            <w:r w:rsidRPr="00291529">
              <w:rPr>
                <w:rFonts w:eastAsia="Times New Roman" w:cstheme="minorHAnsi"/>
                <w:color w:val="000000"/>
                <w:lang w:eastAsia="en-AU"/>
              </w:rPr>
              <w:t>Maximus Resources Limited</w:t>
            </w:r>
          </w:p>
        </w:tc>
        <w:tc>
          <w:tcPr>
            <w:tcW w:w="1443" w:type="dxa"/>
          </w:tcPr>
          <w:p w14:paraId="4898C841"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74111977354</w:t>
            </w:r>
          </w:p>
        </w:tc>
        <w:tc>
          <w:tcPr>
            <w:tcW w:w="1508" w:type="dxa"/>
          </w:tcPr>
          <w:p w14:paraId="28475063"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123,750 </w:t>
            </w:r>
          </w:p>
        </w:tc>
      </w:tr>
      <w:tr w:rsidR="00964571" w14:paraId="7909F4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05537E3F" w14:textId="52287BA4" w:rsidR="00964571" w:rsidRPr="00291529" w:rsidRDefault="00964571">
            <w:r w:rsidRPr="00291529">
              <w:rPr>
                <w:rFonts w:eastAsia="Times New Roman" w:cstheme="minorHAnsi"/>
                <w:color w:val="000000"/>
                <w:lang w:eastAsia="en-AU"/>
              </w:rPr>
              <w:t>Metals Australia L</w:t>
            </w:r>
            <w:r w:rsidR="00F41A36">
              <w:rPr>
                <w:rFonts w:eastAsia="Times New Roman" w:cstheme="minorHAnsi"/>
                <w:color w:val="000000"/>
                <w:lang w:eastAsia="en-AU"/>
              </w:rPr>
              <w:t>imi</w:t>
            </w:r>
            <w:r w:rsidRPr="00291529">
              <w:rPr>
                <w:rFonts w:eastAsia="Times New Roman" w:cstheme="minorHAnsi"/>
                <w:color w:val="000000"/>
                <w:lang w:eastAsia="en-AU"/>
              </w:rPr>
              <w:t>t</w:t>
            </w:r>
            <w:r w:rsidR="00F41A36">
              <w:rPr>
                <w:rFonts w:eastAsia="Times New Roman" w:cstheme="minorHAnsi"/>
                <w:color w:val="000000"/>
                <w:lang w:eastAsia="en-AU"/>
              </w:rPr>
              <w:t>e</w:t>
            </w:r>
            <w:r w:rsidRPr="00291529">
              <w:rPr>
                <w:rFonts w:eastAsia="Times New Roman" w:cstheme="minorHAnsi"/>
                <w:color w:val="000000"/>
                <w:lang w:eastAsia="en-AU"/>
              </w:rPr>
              <w:t>d</w:t>
            </w:r>
          </w:p>
        </w:tc>
        <w:tc>
          <w:tcPr>
            <w:tcW w:w="1443" w:type="dxa"/>
          </w:tcPr>
          <w:p w14:paraId="6F1EE6B0"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38008982474</w:t>
            </w:r>
          </w:p>
        </w:tc>
        <w:tc>
          <w:tcPr>
            <w:tcW w:w="1508" w:type="dxa"/>
          </w:tcPr>
          <w:p w14:paraId="0F84E9CC"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137,500 </w:t>
            </w:r>
          </w:p>
        </w:tc>
      </w:tr>
      <w:tr w:rsidR="00964571" w14:paraId="7A3C8B20" w14:textId="77777777">
        <w:tc>
          <w:tcPr>
            <w:cnfStyle w:val="001000000000" w:firstRow="0" w:lastRow="0" w:firstColumn="1" w:lastColumn="0" w:oddVBand="0" w:evenVBand="0" w:oddHBand="0" w:evenHBand="0" w:firstRowFirstColumn="0" w:firstRowLastColumn="0" w:lastRowFirstColumn="0" w:lastRowLastColumn="0"/>
            <w:tcW w:w="6065" w:type="dxa"/>
          </w:tcPr>
          <w:p w14:paraId="0DEEFD5B" w14:textId="43105095" w:rsidR="00964571" w:rsidRPr="00291529" w:rsidRDefault="00964571">
            <w:r w:rsidRPr="00291529">
              <w:rPr>
                <w:rFonts w:eastAsia="Times New Roman" w:cstheme="minorHAnsi"/>
                <w:color w:val="000000"/>
                <w:lang w:eastAsia="en-AU"/>
              </w:rPr>
              <w:t>Minotaur Exploration L</w:t>
            </w:r>
            <w:r w:rsidR="00D33358">
              <w:rPr>
                <w:rFonts w:eastAsia="Times New Roman" w:cstheme="minorHAnsi"/>
                <w:color w:val="000000"/>
                <w:lang w:eastAsia="en-AU"/>
              </w:rPr>
              <w:t>imi</w:t>
            </w:r>
            <w:r w:rsidRPr="00291529">
              <w:rPr>
                <w:rFonts w:eastAsia="Times New Roman" w:cstheme="minorHAnsi"/>
                <w:color w:val="000000"/>
                <w:lang w:eastAsia="en-AU"/>
              </w:rPr>
              <w:t>t</w:t>
            </w:r>
            <w:r w:rsidR="00D33358">
              <w:rPr>
                <w:rFonts w:eastAsia="Times New Roman" w:cstheme="minorHAnsi"/>
                <w:color w:val="000000"/>
                <w:lang w:eastAsia="en-AU"/>
              </w:rPr>
              <w:t>e</w:t>
            </w:r>
            <w:r w:rsidRPr="00291529">
              <w:rPr>
                <w:rFonts w:eastAsia="Times New Roman" w:cstheme="minorHAnsi"/>
                <w:color w:val="000000"/>
                <w:lang w:eastAsia="en-AU"/>
              </w:rPr>
              <w:t>d</w:t>
            </w:r>
          </w:p>
        </w:tc>
        <w:tc>
          <w:tcPr>
            <w:tcW w:w="1443" w:type="dxa"/>
          </w:tcPr>
          <w:p w14:paraId="247A406F"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35108483601</w:t>
            </w:r>
          </w:p>
        </w:tc>
        <w:tc>
          <w:tcPr>
            <w:tcW w:w="1508" w:type="dxa"/>
          </w:tcPr>
          <w:p w14:paraId="0106BAE5"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581,607 </w:t>
            </w:r>
          </w:p>
        </w:tc>
      </w:tr>
      <w:tr w:rsidR="00964571" w14:paraId="58E721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7FB243B5" w14:textId="77777777" w:rsidR="00964571" w:rsidRPr="00291529" w:rsidRDefault="00964571">
            <w:r w:rsidRPr="00291529">
              <w:rPr>
                <w:rFonts w:eastAsia="Times New Roman" w:cstheme="minorHAnsi"/>
                <w:color w:val="000000"/>
                <w:lang w:eastAsia="en-AU"/>
              </w:rPr>
              <w:t>Monax Mining Limited (</w:t>
            </w:r>
            <w:r w:rsidRPr="00291529">
              <w:rPr>
                <w:rFonts w:eastAsia="Times New Roman" w:cstheme="minorHAnsi"/>
                <w:i/>
                <w:color w:val="000000"/>
                <w:lang w:eastAsia="en-AU"/>
              </w:rPr>
              <w:t>now Auteco Minerals Ltd</w:t>
            </w:r>
            <w:r w:rsidRPr="00291529">
              <w:rPr>
                <w:rFonts w:eastAsia="Times New Roman" w:cstheme="minorHAnsi"/>
                <w:color w:val="000000"/>
                <w:lang w:eastAsia="en-AU"/>
              </w:rPr>
              <w:t xml:space="preserve">) </w:t>
            </w:r>
          </w:p>
        </w:tc>
        <w:tc>
          <w:tcPr>
            <w:tcW w:w="1443" w:type="dxa"/>
          </w:tcPr>
          <w:p w14:paraId="74DC7082"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96110336733</w:t>
            </w:r>
          </w:p>
        </w:tc>
        <w:tc>
          <w:tcPr>
            <w:tcW w:w="1508" w:type="dxa"/>
          </w:tcPr>
          <w:p w14:paraId="47D531DF"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137,500 </w:t>
            </w:r>
          </w:p>
        </w:tc>
      </w:tr>
      <w:tr w:rsidR="00964571" w14:paraId="3559432A" w14:textId="77777777">
        <w:tc>
          <w:tcPr>
            <w:cnfStyle w:val="001000000000" w:firstRow="0" w:lastRow="0" w:firstColumn="1" w:lastColumn="0" w:oddVBand="0" w:evenVBand="0" w:oddHBand="0" w:evenHBand="0" w:firstRowFirstColumn="0" w:firstRowLastColumn="0" w:lastRowFirstColumn="0" w:lastRowLastColumn="0"/>
            <w:tcW w:w="6065" w:type="dxa"/>
          </w:tcPr>
          <w:p w14:paraId="36004EB6" w14:textId="77777777" w:rsidR="00964571" w:rsidRPr="00291529" w:rsidRDefault="00964571">
            <w:r w:rsidRPr="00291529">
              <w:rPr>
                <w:rFonts w:eastAsia="Times New Roman" w:cstheme="minorHAnsi"/>
                <w:color w:val="000000"/>
                <w:lang w:eastAsia="en-AU"/>
              </w:rPr>
              <w:lastRenderedPageBreak/>
              <w:t>Navarre Minerals Limited</w:t>
            </w:r>
          </w:p>
        </w:tc>
        <w:tc>
          <w:tcPr>
            <w:tcW w:w="1443" w:type="dxa"/>
          </w:tcPr>
          <w:p w14:paraId="44D86014"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66125140105</w:t>
            </w:r>
          </w:p>
        </w:tc>
        <w:tc>
          <w:tcPr>
            <w:tcW w:w="1508" w:type="dxa"/>
          </w:tcPr>
          <w:p w14:paraId="3BEAAF71"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1,576,603 </w:t>
            </w:r>
          </w:p>
        </w:tc>
      </w:tr>
      <w:tr w:rsidR="00964571" w14:paraId="656B70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3C72762E" w14:textId="77777777" w:rsidR="00964571" w:rsidRPr="00291529" w:rsidRDefault="00964571">
            <w:r w:rsidRPr="00291529">
              <w:rPr>
                <w:rFonts w:eastAsia="Times New Roman" w:cstheme="minorHAnsi"/>
                <w:color w:val="000000"/>
                <w:lang w:eastAsia="en-AU"/>
              </w:rPr>
              <w:t>Northern Cobalt Limited (</w:t>
            </w:r>
            <w:r w:rsidRPr="00291529">
              <w:rPr>
                <w:rFonts w:eastAsia="Times New Roman" w:cstheme="minorHAnsi"/>
                <w:i/>
                <w:color w:val="000000"/>
                <w:lang w:eastAsia="en-AU"/>
              </w:rPr>
              <w:t>now</w:t>
            </w:r>
            <w:r w:rsidRPr="00291529">
              <w:rPr>
                <w:rFonts w:eastAsia="Times New Roman" w:cstheme="minorHAnsi"/>
                <w:color w:val="000000"/>
                <w:lang w:eastAsia="en-AU"/>
              </w:rPr>
              <w:t xml:space="preserve"> </w:t>
            </w:r>
            <w:r w:rsidRPr="00291529">
              <w:rPr>
                <w:rFonts w:eastAsia="Times New Roman" w:cstheme="minorHAnsi"/>
                <w:i/>
                <w:color w:val="000000"/>
                <w:lang w:eastAsia="en-AU"/>
              </w:rPr>
              <w:t>Resolution Minerals Ltd</w:t>
            </w:r>
            <w:r w:rsidRPr="00291529">
              <w:rPr>
                <w:rFonts w:eastAsia="Times New Roman" w:cstheme="minorHAnsi"/>
                <w:color w:val="000000"/>
                <w:lang w:eastAsia="en-AU"/>
              </w:rPr>
              <w:t>)</w:t>
            </w:r>
          </w:p>
        </w:tc>
        <w:tc>
          <w:tcPr>
            <w:tcW w:w="1443" w:type="dxa"/>
          </w:tcPr>
          <w:p w14:paraId="0E2C86F9"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99617789732</w:t>
            </w:r>
          </w:p>
        </w:tc>
        <w:tc>
          <w:tcPr>
            <w:tcW w:w="1508" w:type="dxa"/>
          </w:tcPr>
          <w:p w14:paraId="5D42C424"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1,375,000 </w:t>
            </w:r>
          </w:p>
        </w:tc>
      </w:tr>
      <w:tr w:rsidR="00964571" w14:paraId="0749B589" w14:textId="77777777">
        <w:tc>
          <w:tcPr>
            <w:cnfStyle w:val="001000000000" w:firstRow="0" w:lastRow="0" w:firstColumn="1" w:lastColumn="0" w:oddVBand="0" w:evenVBand="0" w:oddHBand="0" w:evenHBand="0" w:firstRowFirstColumn="0" w:firstRowLastColumn="0" w:lastRowFirstColumn="0" w:lastRowLastColumn="0"/>
            <w:tcW w:w="6065" w:type="dxa"/>
          </w:tcPr>
          <w:p w14:paraId="65B737F5" w14:textId="77777777" w:rsidR="00964571" w:rsidRPr="00291529" w:rsidRDefault="00964571">
            <w:r w:rsidRPr="00291529">
              <w:rPr>
                <w:rFonts w:eastAsia="Times New Roman" w:cstheme="minorHAnsi"/>
                <w:color w:val="000000"/>
                <w:lang w:eastAsia="en-AU"/>
              </w:rPr>
              <w:t>PNX Metals Limited</w:t>
            </w:r>
          </w:p>
        </w:tc>
        <w:tc>
          <w:tcPr>
            <w:tcW w:w="1443" w:type="dxa"/>
          </w:tcPr>
          <w:p w14:paraId="40EA8E8A"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67127446271</w:t>
            </w:r>
          </w:p>
        </w:tc>
        <w:tc>
          <w:tcPr>
            <w:tcW w:w="1508" w:type="dxa"/>
          </w:tcPr>
          <w:p w14:paraId="016B2A7D"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275,000 </w:t>
            </w:r>
          </w:p>
        </w:tc>
      </w:tr>
      <w:tr w:rsidR="00964571" w14:paraId="49B5B4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31C5FE1F" w14:textId="77777777" w:rsidR="00964571" w:rsidRPr="00291529" w:rsidRDefault="00964571">
            <w:r w:rsidRPr="00291529">
              <w:rPr>
                <w:rFonts w:eastAsia="Times New Roman" w:cstheme="minorHAnsi"/>
                <w:color w:val="000000"/>
                <w:lang w:eastAsia="en-AU"/>
              </w:rPr>
              <w:t>Prodigy Gold NL</w:t>
            </w:r>
          </w:p>
        </w:tc>
        <w:tc>
          <w:tcPr>
            <w:tcW w:w="1443" w:type="dxa"/>
          </w:tcPr>
          <w:p w14:paraId="13B2B6D4"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58009127020</w:t>
            </w:r>
          </w:p>
        </w:tc>
        <w:tc>
          <w:tcPr>
            <w:tcW w:w="1508" w:type="dxa"/>
          </w:tcPr>
          <w:p w14:paraId="4A1CB0C1"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1,576,603 </w:t>
            </w:r>
          </w:p>
        </w:tc>
      </w:tr>
      <w:tr w:rsidR="00964571" w14:paraId="21A49277" w14:textId="77777777">
        <w:tc>
          <w:tcPr>
            <w:cnfStyle w:val="001000000000" w:firstRow="0" w:lastRow="0" w:firstColumn="1" w:lastColumn="0" w:oddVBand="0" w:evenVBand="0" w:oddHBand="0" w:evenHBand="0" w:firstRowFirstColumn="0" w:firstRowLastColumn="0" w:lastRowFirstColumn="0" w:lastRowLastColumn="0"/>
            <w:tcW w:w="6065" w:type="dxa"/>
          </w:tcPr>
          <w:p w14:paraId="5ACBB684" w14:textId="19F8E7A0" w:rsidR="00964571" w:rsidRPr="00291529" w:rsidRDefault="00964571">
            <w:r w:rsidRPr="00291529">
              <w:rPr>
                <w:rFonts w:eastAsia="Times New Roman" w:cstheme="minorHAnsi"/>
                <w:color w:val="000000"/>
                <w:lang w:eastAsia="en-AU"/>
              </w:rPr>
              <w:t>Queensland Energy &amp; Minerals Pty L</w:t>
            </w:r>
            <w:r w:rsidR="00D33358">
              <w:rPr>
                <w:rFonts w:eastAsia="Times New Roman" w:cstheme="minorHAnsi"/>
                <w:color w:val="000000"/>
                <w:lang w:eastAsia="en-AU"/>
              </w:rPr>
              <w:t>imi</w:t>
            </w:r>
            <w:r w:rsidRPr="00291529">
              <w:rPr>
                <w:rFonts w:eastAsia="Times New Roman" w:cstheme="minorHAnsi"/>
                <w:color w:val="000000"/>
                <w:lang w:eastAsia="en-AU"/>
              </w:rPr>
              <w:t>t</w:t>
            </w:r>
            <w:r w:rsidR="00D33358">
              <w:rPr>
                <w:rFonts w:eastAsia="Times New Roman" w:cstheme="minorHAnsi"/>
                <w:color w:val="000000"/>
                <w:lang w:eastAsia="en-AU"/>
              </w:rPr>
              <w:t>e</w:t>
            </w:r>
            <w:r w:rsidRPr="00291529">
              <w:rPr>
                <w:rFonts w:eastAsia="Times New Roman" w:cstheme="minorHAnsi"/>
                <w:color w:val="000000"/>
                <w:lang w:eastAsia="en-AU"/>
              </w:rPr>
              <w:t>d (</w:t>
            </w:r>
            <w:r w:rsidRPr="00291529">
              <w:rPr>
                <w:rFonts w:eastAsia="Times New Roman" w:cstheme="minorHAnsi"/>
                <w:i/>
                <w:color w:val="000000"/>
                <w:lang w:eastAsia="en-AU"/>
              </w:rPr>
              <w:t>now QEM Limited</w:t>
            </w:r>
            <w:r w:rsidRPr="00291529">
              <w:rPr>
                <w:rFonts w:eastAsia="Times New Roman" w:cstheme="minorHAnsi"/>
                <w:color w:val="000000"/>
                <w:lang w:eastAsia="en-AU"/>
              </w:rPr>
              <w:t xml:space="preserve">) </w:t>
            </w:r>
          </w:p>
        </w:tc>
        <w:tc>
          <w:tcPr>
            <w:tcW w:w="1443" w:type="dxa"/>
          </w:tcPr>
          <w:p w14:paraId="5425DB11"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13167966770</w:t>
            </w:r>
          </w:p>
        </w:tc>
        <w:tc>
          <w:tcPr>
            <w:tcW w:w="1508" w:type="dxa"/>
          </w:tcPr>
          <w:p w14:paraId="4B51F158"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82,500 </w:t>
            </w:r>
          </w:p>
        </w:tc>
      </w:tr>
      <w:tr w:rsidR="00964571" w14:paraId="794FEB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41939C5F" w14:textId="68C613B2" w:rsidR="00964571" w:rsidRPr="00291529" w:rsidRDefault="00964571">
            <w:r w:rsidRPr="00291529">
              <w:rPr>
                <w:rFonts w:eastAsia="Times New Roman" w:cstheme="minorHAnsi"/>
                <w:color w:val="000000"/>
                <w:lang w:eastAsia="en-AU"/>
              </w:rPr>
              <w:t>Riversgold L</w:t>
            </w:r>
            <w:r w:rsidR="00D33358">
              <w:rPr>
                <w:rFonts w:eastAsia="Times New Roman" w:cstheme="minorHAnsi"/>
                <w:color w:val="000000"/>
                <w:lang w:eastAsia="en-AU"/>
              </w:rPr>
              <w:t>imi</w:t>
            </w:r>
            <w:r w:rsidRPr="00291529">
              <w:rPr>
                <w:rFonts w:eastAsia="Times New Roman" w:cstheme="minorHAnsi"/>
                <w:color w:val="000000"/>
                <w:lang w:eastAsia="en-AU"/>
              </w:rPr>
              <w:t>t</w:t>
            </w:r>
            <w:r w:rsidR="00D33358">
              <w:rPr>
                <w:rFonts w:eastAsia="Times New Roman" w:cstheme="minorHAnsi"/>
                <w:color w:val="000000"/>
                <w:lang w:eastAsia="en-AU"/>
              </w:rPr>
              <w:t>e</w:t>
            </w:r>
            <w:r w:rsidRPr="00291529">
              <w:rPr>
                <w:rFonts w:eastAsia="Times New Roman" w:cstheme="minorHAnsi"/>
                <w:color w:val="000000"/>
                <w:lang w:eastAsia="en-AU"/>
              </w:rPr>
              <w:t>d</w:t>
            </w:r>
          </w:p>
        </w:tc>
        <w:tc>
          <w:tcPr>
            <w:tcW w:w="1443" w:type="dxa"/>
          </w:tcPr>
          <w:p w14:paraId="56E2CABE"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64617614598</w:t>
            </w:r>
          </w:p>
        </w:tc>
        <w:tc>
          <w:tcPr>
            <w:tcW w:w="1508" w:type="dxa"/>
          </w:tcPr>
          <w:p w14:paraId="5588B9E2"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550,000 </w:t>
            </w:r>
          </w:p>
        </w:tc>
      </w:tr>
      <w:tr w:rsidR="00964571" w14:paraId="6FB73455" w14:textId="77777777">
        <w:tc>
          <w:tcPr>
            <w:cnfStyle w:val="001000000000" w:firstRow="0" w:lastRow="0" w:firstColumn="1" w:lastColumn="0" w:oddVBand="0" w:evenVBand="0" w:oddHBand="0" w:evenHBand="0" w:firstRowFirstColumn="0" w:firstRowLastColumn="0" w:lastRowFirstColumn="0" w:lastRowLastColumn="0"/>
            <w:tcW w:w="6065" w:type="dxa"/>
          </w:tcPr>
          <w:p w14:paraId="0A026E12" w14:textId="222F0457" w:rsidR="00964571" w:rsidRPr="00291529" w:rsidRDefault="00964571">
            <w:r w:rsidRPr="00291529">
              <w:rPr>
                <w:rFonts w:eastAsia="Times New Roman" w:cstheme="minorHAnsi"/>
                <w:color w:val="000000"/>
                <w:lang w:eastAsia="en-AU"/>
              </w:rPr>
              <w:t>Sabre Resources L</w:t>
            </w:r>
            <w:r w:rsidR="00D33358">
              <w:rPr>
                <w:rFonts w:eastAsia="Times New Roman" w:cstheme="minorHAnsi"/>
                <w:color w:val="000000"/>
                <w:lang w:eastAsia="en-AU"/>
              </w:rPr>
              <w:t>imi</w:t>
            </w:r>
            <w:r w:rsidRPr="00291529">
              <w:rPr>
                <w:rFonts w:eastAsia="Times New Roman" w:cstheme="minorHAnsi"/>
                <w:color w:val="000000"/>
                <w:lang w:eastAsia="en-AU"/>
              </w:rPr>
              <w:t>t</w:t>
            </w:r>
            <w:r w:rsidR="00D33358">
              <w:rPr>
                <w:rFonts w:eastAsia="Times New Roman" w:cstheme="minorHAnsi"/>
                <w:color w:val="000000"/>
                <w:lang w:eastAsia="en-AU"/>
              </w:rPr>
              <w:t>e</w:t>
            </w:r>
            <w:r w:rsidRPr="00291529">
              <w:rPr>
                <w:rFonts w:eastAsia="Times New Roman" w:cstheme="minorHAnsi"/>
                <w:color w:val="000000"/>
                <w:lang w:eastAsia="en-AU"/>
              </w:rPr>
              <w:t>d</w:t>
            </w:r>
          </w:p>
        </w:tc>
        <w:tc>
          <w:tcPr>
            <w:tcW w:w="1443" w:type="dxa"/>
          </w:tcPr>
          <w:p w14:paraId="1A456981"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68003043570</w:t>
            </w:r>
          </w:p>
        </w:tc>
        <w:tc>
          <w:tcPr>
            <w:tcW w:w="1508" w:type="dxa"/>
          </w:tcPr>
          <w:p w14:paraId="73ED3FD8"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220,000 </w:t>
            </w:r>
          </w:p>
        </w:tc>
      </w:tr>
      <w:tr w:rsidR="00964571" w14:paraId="119A1A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625F8C40" w14:textId="77777777" w:rsidR="00964571" w:rsidRPr="00291529" w:rsidRDefault="00964571">
            <w:r w:rsidRPr="00291529">
              <w:rPr>
                <w:rFonts w:eastAsia="Times New Roman" w:cstheme="minorHAnsi"/>
                <w:color w:val="000000"/>
                <w:lang w:eastAsia="en-AU"/>
              </w:rPr>
              <w:t>Serena Minerals Limited</w:t>
            </w:r>
          </w:p>
        </w:tc>
        <w:tc>
          <w:tcPr>
            <w:tcW w:w="1443" w:type="dxa"/>
          </w:tcPr>
          <w:p w14:paraId="06945855"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49158164204</w:t>
            </w:r>
          </w:p>
        </w:tc>
        <w:tc>
          <w:tcPr>
            <w:tcW w:w="1508" w:type="dxa"/>
          </w:tcPr>
          <w:p w14:paraId="040D69A2"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803,000 </w:t>
            </w:r>
          </w:p>
        </w:tc>
      </w:tr>
      <w:tr w:rsidR="00964571" w14:paraId="4E0CD6A9" w14:textId="77777777">
        <w:tc>
          <w:tcPr>
            <w:cnfStyle w:val="001000000000" w:firstRow="0" w:lastRow="0" w:firstColumn="1" w:lastColumn="0" w:oddVBand="0" w:evenVBand="0" w:oddHBand="0" w:evenHBand="0" w:firstRowFirstColumn="0" w:firstRowLastColumn="0" w:lastRowFirstColumn="0" w:lastRowLastColumn="0"/>
            <w:tcW w:w="6065" w:type="dxa"/>
          </w:tcPr>
          <w:p w14:paraId="5FF8B376" w14:textId="77777777" w:rsidR="00964571" w:rsidRPr="00291529" w:rsidRDefault="00964571">
            <w:r w:rsidRPr="00291529">
              <w:rPr>
                <w:rFonts w:eastAsia="Times New Roman" w:cstheme="minorHAnsi"/>
                <w:color w:val="000000"/>
                <w:lang w:eastAsia="en-AU"/>
              </w:rPr>
              <w:t>Sipa Resources Limited</w:t>
            </w:r>
          </w:p>
        </w:tc>
        <w:tc>
          <w:tcPr>
            <w:tcW w:w="1443" w:type="dxa"/>
          </w:tcPr>
          <w:p w14:paraId="6309B0D3"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26009448980</w:t>
            </w:r>
          </w:p>
        </w:tc>
        <w:tc>
          <w:tcPr>
            <w:tcW w:w="1508" w:type="dxa"/>
          </w:tcPr>
          <w:p w14:paraId="05D16B45"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550,000 </w:t>
            </w:r>
          </w:p>
        </w:tc>
      </w:tr>
      <w:tr w:rsidR="00964571" w14:paraId="0361E5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5D93EBC2" w14:textId="77777777" w:rsidR="00964571" w:rsidRPr="00291529" w:rsidRDefault="00964571">
            <w:r w:rsidRPr="00291529">
              <w:rPr>
                <w:rFonts w:eastAsia="Times New Roman" w:cstheme="minorHAnsi"/>
                <w:color w:val="000000"/>
                <w:lang w:eastAsia="en-AU"/>
              </w:rPr>
              <w:t>Spitfire Materials Limited (</w:t>
            </w:r>
            <w:r w:rsidRPr="00291529">
              <w:rPr>
                <w:rFonts w:eastAsia="Times New Roman" w:cstheme="minorHAnsi"/>
                <w:i/>
                <w:color w:val="000000"/>
                <w:lang w:eastAsia="en-AU"/>
              </w:rPr>
              <w:t>now Bardoc Gold Limited</w:t>
            </w:r>
            <w:r w:rsidRPr="00291529">
              <w:rPr>
                <w:rFonts w:eastAsia="Times New Roman" w:cstheme="minorHAnsi"/>
                <w:color w:val="000000"/>
                <w:lang w:eastAsia="en-AU"/>
              </w:rPr>
              <w:t xml:space="preserve">) </w:t>
            </w:r>
          </w:p>
        </w:tc>
        <w:tc>
          <w:tcPr>
            <w:tcW w:w="1443" w:type="dxa"/>
          </w:tcPr>
          <w:p w14:paraId="0EC84D91"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40125578743</w:t>
            </w:r>
          </w:p>
        </w:tc>
        <w:tc>
          <w:tcPr>
            <w:tcW w:w="1508" w:type="dxa"/>
          </w:tcPr>
          <w:p w14:paraId="35547038"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412,500 </w:t>
            </w:r>
          </w:p>
        </w:tc>
      </w:tr>
      <w:tr w:rsidR="00964571" w14:paraId="7417B7C9" w14:textId="77777777">
        <w:tc>
          <w:tcPr>
            <w:cnfStyle w:val="001000000000" w:firstRow="0" w:lastRow="0" w:firstColumn="1" w:lastColumn="0" w:oddVBand="0" w:evenVBand="0" w:oddHBand="0" w:evenHBand="0" w:firstRowFirstColumn="0" w:firstRowLastColumn="0" w:lastRowFirstColumn="0" w:lastRowLastColumn="0"/>
            <w:tcW w:w="6065" w:type="dxa"/>
          </w:tcPr>
          <w:p w14:paraId="5DA26244" w14:textId="77777777" w:rsidR="00964571" w:rsidRPr="00291529" w:rsidRDefault="00964571">
            <w:r w:rsidRPr="00291529">
              <w:rPr>
                <w:rFonts w:eastAsia="Times New Roman" w:cstheme="minorHAnsi"/>
                <w:color w:val="000000"/>
                <w:lang w:eastAsia="en-AU"/>
              </w:rPr>
              <w:t>St George Mining Limited</w:t>
            </w:r>
          </w:p>
        </w:tc>
        <w:tc>
          <w:tcPr>
            <w:tcW w:w="1443" w:type="dxa"/>
          </w:tcPr>
          <w:p w14:paraId="39A09FE6"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21139308973</w:t>
            </w:r>
          </w:p>
        </w:tc>
        <w:tc>
          <w:tcPr>
            <w:tcW w:w="1508" w:type="dxa"/>
          </w:tcPr>
          <w:p w14:paraId="6223022F"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1,265,000 </w:t>
            </w:r>
          </w:p>
        </w:tc>
      </w:tr>
      <w:tr w:rsidR="00964571" w14:paraId="1FF154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4CF29DBE" w14:textId="77777777" w:rsidR="00964571" w:rsidRPr="00291529" w:rsidRDefault="00964571">
            <w:r w:rsidRPr="00291529">
              <w:rPr>
                <w:rFonts w:eastAsia="Times New Roman" w:cstheme="minorHAnsi"/>
                <w:color w:val="000000"/>
                <w:lang w:eastAsia="en-AU"/>
              </w:rPr>
              <w:t>Stavely Minerals Limited</w:t>
            </w:r>
          </w:p>
        </w:tc>
        <w:tc>
          <w:tcPr>
            <w:tcW w:w="1443" w:type="dxa"/>
          </w:tcPr>
          <w:p w14:paraId="129A6874"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33119826907</w:t>
            </w:r>
          </w:p>
        </w:tc>
        <w:tc>
          <w:tcPr>
            <w:tcW w:w="1508" w:type="dxa"/>
          </w:tcPr>
          <w:p w14:paraId="48A5E93B"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1,576,603 </w:t>
            </w:r>
          </w:p>
        </w:tc>
      </w:tr>
      <w:tr w:rsidR="00964571" w14:paraId="02F8AAC8" w14:textId="77777777">
        <w:tc>
          <w:tcPr>
            <w:cnfStyle w:val="001000000000" w:firstRow="0" w:lastRow="0" w:firstColumn="1" w:lastColumn="0" w:oddVBand="0" w:evenVBand="0" w:oddHBand="0" w:evenHBand="0" w:firstRowFirstColumn="0" w:firstRowLastColumn="0" w:lastRowFirstColumn="0" w:lastRowLastColumn="0"/>
            <w:tcW w:w="6065" w:type="dxa"/>
          </w:tcPr>
          <w:p w14:paraId="083150FC" w14:textId="77777777" w:rsidR="00964571" w:rsidRPr="00291529" w:rsidRDefault="00964571">
            <w:r w:rsidRPr="00291529">
              <w:rPr>
                <w:rFonts w:eastAsia="Times New Roman" w:cstheme="minorHAnsi"/>
                <w:color w:val="000000"/>
                <w:lang w:eastAsia="en-AU"/>
              </w:rPr>
              <w:t>Syndicated Metals Ltd (</w:t>
            </w:r>
            <w:r w:rsidRPr="00291529">
              <w:rPr>
                <w:rFonts w:eastAsia="Times New Roman" w:cstheme="minorHAnsi"/>
                <w:i/>
                <w:color w:val="000000"/>
                <w:lang w:eastAsia="en-AU"/>
              </w:rPr>
              <w:t>now</w:t>
            </w:r>
            <w:r w:rsidRPr="00291529">
              <w:rPr>
                <w:rFonts w:eastAsia="Times New Roman" w:cstheme="minorHAnsi"/>
                <w:color w:val="000000"/>
                <w:lang w:eastAsia="en-AU"/>
              </w:rPr>
              <w:t xml:space="preserve"> </w:t>
            </w:r>
            <w:r w:rsidRPr="00291529">
              <w:rPr>
                <w:rFonts w:eastAsia="Times New Roman" w:cstheme="minorHAnsi"/>
                <w:i/>
                <w:color w:val="000000"/>
                <w:lang w:eastAsia="en-AU"/>
              </w:rPr>
              <w:t>Discovex Resources Limited</w:t>
            </w:r>
            <w:r w:rsidRPr="00291529">
              <w:rPr>
                <w:rFonts w:eastAsia="Times New Roman" w:cstheme="minorHAnsi"/>
                <w:color w:val="000000"/>
                <w:lang w:eastAsia="en-AU"/>
              </w:rPr>
              <w:t xml:space="preserve">) </w:t>
            </w:r>
          </w:p>
        </w:tc>
        <w:tc>
          <w:tcPr>
            <w:tcW w:w="1443" w:type="dxa"/>
          </w:tcPr>
          <w:p w14:paraId="66FC8F1D"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61115768986</w:t>
            </w:r>
          </w:p>
        </w:tc>
        <w:tc>
          <w:tcPr>
            <w:tcW w:w="1508" w:type="dxa"/>
          </w:tcPr>
          <w:p w14:paraId="020B34E3"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220,000 </w:t>
            </w:r>
          </w:p>
        </w:tc>
      </w:tr>
      <w:tr w:rsidR="00964571" w14:paraId="7A9CEC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18BC649F" w14:textId="77777777" w:rsidR="00964571" w:rsidRPr="00291529" w:rsidRDefault="00964571">
            <w:r w:rsidRPr="00291529">
              <w:rPr>
                <w:rFonts w:eastAsia="Times New Roman" w:cstheme="minorHAnsi"/>
                <w:color w:val="000000"/>
                <w:lang w:eastAsia="en-AU"/>
              </w:rPr>
              <w:t>Traka Resources Limited</w:t>
            </w:r>
          </w:p>
        </w:tc>
        <w:tc>
          <w:tcPr>
            <w:tcW w:w="1443" w:type="dxa"/>
          </w:tcPr>
          <w:p w14:paraId="0E6CE773"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63103323173</w:t>
            </w:r>
          </w:p>
        </w:tc>
        <w:tc>
          <w:tcPr>
            <w:tcW w:w="1508" w:type="dxa"/>
          </w:tcPr>
          <w:p w14:paraId="02F7E1C5"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206,071 </w:t>
            </w:r>
          </w:p>
        </w:tc>
      </w:tr>
      <w:tr w:rsidR="00964571" w14:paraId="257B1E46" w14:textId="77777777">
        <w:tc>
          <w:tcPr>
            <w:cnfStyle w:val="001000000000" w:firstRow="0" w:lastRow="0" w:firstColumn="1" w:lastColumn="0" w:oddVBand="0" w:evenVBand="0" w:oddHBand="0" w:evenHBand="0" w:firstRowFirstColumn="0" w:firstRowLastColumn="0" w:lastRowFirstColumn="0" w:lastRowLastColumn="0"/>
            <w:tcW w:w="6065" w:type="dxa"/>
          </w:tcPr>
          <w:p w14:paraId="7122DE73" w14:textId="77777777" w:rsidR="00964571" w:rsidRPr="00291529" w:rsidRDefault="00964571">
            <w:r w:rsidRPr="00291529">
              <w:rPr>
                <w:rFonts w:eastAsia="Times New Roman" w:cstheme="minorHAnsi"/>
                <w:color w:val="000000"/>
                <w:lang w:eastAsia="en-AU"/>
              </w:rPr>
              <w:t>Tychean Resources Limited (</w:t>
            </w:r>
            <w:r w:rsidRPr="00291529">
              <w:rPr>
                <w:rFonts w:eastAsia="Times New Roman" w:cstheme="minorHAnsi"/>
                <w:i/>
                <w:color w:val="000000"/>
                <w:lang w:eastAsia="en-AU"/>
              </w:rPr>
              <w:t>now Dreadnought Resources Ltd</w:t>
            </w:r>
            <w:r w:rsidRPr="00291529">
              <w:rPr>
                <w:rFonts w:eastAsia="Times New Roman" w:cstheme="minorHAnsi"/>
                <w:color w:val="000000"/>
                <w:lang w:eastAsia="en-AU"/>
              </w:rPr>
              <w:t xml:space="preserve">) </w:t>
            </w:r>
          </w:p>
        </w:tc>
        <w:tc>
          <w:tcPr>
            <w:tcW w:w="1443" w:type="dxa"/>
          </w:tcPr>
          <w:p w14:paraId="61BCC641"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40119031864</w:t>
            </w:r>
          </w:p>
        </w:tc>
        <w:tc>
          <w:tcPr>
            <w:tcW w:w="1508" w:type="dxa"/>
          </w:tcPr>
          <w:p w14:paraId="220E9BC8"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412,500 </w:t>
            </w:r>
          </w:p>
        </w:tc>
      </w:tr>
      <w:tr w:rsidR="00964571" w14:paraId="7EB653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7F453C5E" w14:textId="77777777" w:rsidR="00964571" w:rsidRPr="00291529" w:rsidRDefault="00964571">
            <w:r w:rsidRPr="00291529">
              <w:rPr>
                <w:rFonts w:eastAsia="Times New Roman" w:cstheme="minorHAnsi"/>
                <w:color w:val="000000"/>
                <w:lang w:eastAsia="en-AU"/>
              </w:rPr>
              <w:t>Venus Metals Corporation Limited</w:t>
            </w:r>
          </w:p>
        </w:tc>
        <w:tc>
          <w:tcPr>
            <w:tcW w:w="1443" w:type="dxa"/>
          </w:tcPr>
          <w:p w14:paraId="1E29D34B"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99123250582</w:t>
            </w:r>
          </w:p>
        </w:tc>
        <w:tc>
          <w:tcPr>
            <w:tcW w:w="1508" w:type="dxa"/>
          </w:tcPr>
          <w:p w14:paraId="459BA283"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9875BF">
              <w:rPr>
                <w:rFonts w:eastAsia="Times New Roman" w:cstheme="minorHAnsi"/>
                <w:color w:val="000000"/>
                <w:lang w:eastAsia="en-AU"/>
              </w:rPr>
              <w:t xml:space="preserve">687,500 </w:t>
            </w:r>
          </w:p>
        </w:tc>
      </w:tr>
      <w:tr w:rsidR="00964571" w14:paraId="525D53B1" w14:textId="77777777">
        <w:tc>
          <w:tcPr>
            <w:cnfStyle w:val="001000000000" w:firstRow="0" w:lastRow="0" w:firstColumn="1" w:lastColumn="0" w:oddVBand="0" w:evenVBand="0" w:oddHBand="0" w:evenHBand="0" w:firstRowFirstColumn="0" w:firstRowLastColumn="0" w:lastRowFirstColumn="0" w:lastRowLastColumn="0"/>
            <w:tcW w:w="6065" w:type="dxa"/>
          </w:tcPr>
          <w:p w14:paraId="33A4D262" w14:textId="77777777" w:rsidR="00964571" w:rsidRPr="00291529" w:rsidRDefault="00964571">
            <w:r w:rsidRPr="00291529">
              <w:rPr>
                <w:rFonts w:eastAsia="Times New Roman" w:cstheme="minorHAnsi"/>
                <w:color w:val="000000"/>
                <w:lang w:eastAsia="en-AU"/>
              </w:rPr>
              <w:t>White Cliff Minerals Limited</w:t>
            </w:r>
          </w:p>
        </w:tc>
        <w:tc>
          <w:tcPr>
            <w:tcW w:w="1443" w:type="dxa"/>
          </w:tcPr>
          <w:p w14:paraId="5527D77C" w14:textId="77777777" w:rsidR="00964571" w:rsidRDefault="00964571">
            <w:pPr>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22126299125</w:t>
            </w:r>
          </w:p>
        </w:tc>
        <w:tc>
          <w:tcPr>
            <w:tcW w:w="1508" w:type="dxa"/>
          </w:tcPr>
          <w:p w14:paraId="7482A0BC"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9875BF">
              <w:rPr>
                <w:rFonts w:eastAsia="Times New Roman" w:cstheme="minorHAnsi"/>
                <w:color w:val="000000"/>
                <w:lang w:eastAsia="en-AU"/>
              </w:rPr>
              <w:t xml:space="preserve">550,000 </w:t>
            </w:r>
          </w:p>
        </w:tc>
      </w:tr>
      <w:tr w:rsidR="00964571" w14:paraId="37E456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5" w:type="dxa"/>
          </w:tcPr>
          <w:p w14:paraId="61608FD4" w14:textId="77777777" w:rsidR="00964571" w:rsidRDefault="00964571"/>
        </w:tc>
        <w:tc>
          <w:tcPr>
            <w:tcW w:w="1443" w:type="dxa"/>
          </w:tcPr>
          <w:p w14:paraId="507AB2BF" w14:textId="77777777" w:rsidR="00964571" w:rsidRDefault="00964571">
            <w:pPr>
              <w:cnfStyle w:val="000000100000" w:firstRow="0" w:lastRow="0" w:firstColumn="0" w:lastColumn="0" w:oddVBand="0" w:evenVBand="0" w:oddHBand="1" w:evenHBand="0" w:firstRowFirstColumn="0" w:firstRowLastColumn="0" w:lastRowFirstColumn="0" w:lastRowLastColumn="0"/>
            </w:pPr>
            <w:r w:rsidRPr="00A50BAA">
              <w:rPr>
                <w:rFonts w:eastAsia="Times New Roman" w:cstheme="minorHAnsi"/>
                <w:b/>
                <w:color w:val="000000"/>
                <w:lang w:eastAsia="en-AU"/>
              </w:rPr>
              <w:t xml:space="preserve">Total </w:t>
            </w:r>
          </w:p>
        </w:tc>
        <w:tc>
          <w:tcPr>
            <w:tcW w:w="1508" w:type="dxa"/>
          </w:tcPr>
          <w:p w14:paraId="0E283776"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A50BAA">
              <w:rPr>
                <w:rFonts w:eastAsia="Times New Roman" w:cstheme="minorHAnsi"/>
                <w:b/>
                <w:color w:val="000000"/>
                <w:lang w:eastAsia="en-AU"/>
              </w:rPr>
              <w:t>31,532,069</w:t>
            </w:r>
          </w:p>
        </w:tc>
      </w:tr>
    </w:tbl>
    <w:p w14:paraId="4DE3B5E4" w14:textId="0E729212" w:rsidR="00964571" w:rsidRDefault="00964571" w:rsidP="00964571">
      <w:pPr>
        <w:spacing w:after="120"/>
        <w:rPr>
          <w:rFonts w:cstheme="minorHAnsi"/>
          <w:i/>
          <w:sz w:val="20"/>
          <w:szCs w:val="20"/>
        </w:rPr>
      </w:pPr>
      <w:r w:rsidRPr="00F81A44">
        <w:rPr>
          <w:rFonts w:cstheme="minorHAnsi"/>
          <w:i/>
          <w:sz w:val="20"/>
          <w:szCs w:val="20"/>
        </w:rPr>
        <w:t>Source: Data.gov.au</w:t>
      </w:r>
      <w:r w:rsidR="00A53665">
        <w:rPr>
          <w:rFonts w:cstheme="minorHAnsi"/>
          <w:i/>
          <w:sz w:val="20"/>
          <w:szCs w:val="20"/>
        </w:rPr>
        <w:t>.</w:t>
      </w:r>
      <w:r w:rsidRPr="00F81A44">
        <w:rPr>
          <w:rFonts w:cstheme="minorHAnsi"/>
          <w:i/>
          <w:sz w:val="20"/>
          <w:szCs w:val="20"/>
        </w:rPr>
        <w:t xml:space="preserve"> </w:t>
      </w:r>
    </w:p>
    <w:p w14:paraId="1C252CD3" w14:textId="6E8196B1" w:rsidR="005E4293" w:rsidRPr="00DD0722" w:rsidRDefault="008F1F7F" w:rsidP="00964571">
      <w:pPr>
        <w:spacing w:before="120"/>
        <w:rPr>
          <w:rFonts w:cstheme="minorHAnsi"/>
          <w:highlight w:val="yellow"/>
        </w:rPr>
      </w:pPr>
      <w:r>
        <w:rPr>
          <w:rFonts w:cstheme="minorHAnsi"/>
        </w:rPr>
        <w:t>Compared to the previous round, i</w:t>
      </w:r>
      <w:r w:rsidR="00964571">
        <w:rPr>
          <w:rFonts w:cstheme="minorHAnsi"/>
        </w:rPr>
        <w:t>n the 2018-19 income year</w:t>
      </w:r>
      <w:r>
        <w:rPr>
          <w:rFonts w:cstheme="minorHAnsi"/>
        </w:rPr>
        <w:t xml:space="preserve">, the number of successful applicants doubled </w:t>
      </w:r>
      <w:r w:rsidR="00553167">
        <w:rPr>
          <w:rFonts w:cstheme="minorHAnsi"/>
        </w:rPr>
        <w:t xml:space="preserve">from 23 </w:t>
      </w:r>
      <w:r>
        <w:rPr>
          <w:rFonts w:cstheme="minorHAnsi"/>
        </w:rPr>
        <w:t xml:space="preserve">to </w:t>
      </w:r>
      <w:r w:rsidR="00964571">
        <w:rPr>
          <w:rFonts w:cstheme="minorHAnsi"/>
        </w:rPr>
        <w:t>46</w:t>
      </w:r>
      <w:r>
        <w:rPr>
          <w:rFonts w:cstheme="minorHAnsi"/>
        </w:rPr>
        <w:t xml:space="preserve">, and credits allocated more than tripled </w:t>
      </w:r>
      <w:r w:rsidR="00553167">
        <w:rPr>
          <w:rFonts w:cstheme="minorHAnsi"/>
        </w:rPr>
        <w:t xml:space="preserve">from $8.5 million </w:t>
      </w:r>
      <w:r>
        <w:rPr>
          <w:rFonts w:cstheme="minorHAnsi"/>
        </w:rPr>
        <w:t>to $31.5 million</w:t>
      </w:r>
      <w:r w:rsidR="00964571">
        <w:rPr>
          <w:rFonts w:cstheme="minorHAnsi"/>
        </w:rPr>
        <w:t xml:space="preserve"> (see Table 5 below).</w:t>
      </w:r>
      <w:r>
        <w:rPr>
          <w:rFonts w:cstheme="minorHAnsi"/>
        </w:rPr>
        <w:t xml:space="preserve"> </w:t>
      </w:r>
      <w:r w:rsidR="00553167" w:rsidRPr="008529FE">
        <w:rPr>
          <w:rFonts w:cstheme="minorHAnsi"/>
        </w:rPr>
        <w:t>Th</w:t>
      </w:r>
      <w:r w:rsidR="007B4596" w:rsidRPr="008529FE">
        <w:rPr>
          <w:rFonts w:cstheme="minorHAnsi"/>
        </w:rPr>
        <w:t>is</w:t>
      </w:r>
      <w:r w:rsidR="00553167" w:rsidRPr="008529FE">
        <w:rPr>
          <w:rFonts w:cstheme="minorHAnsi"/>
        </w:rPr>
        <w:t xml:space="preserve"> result reflects </w:t>
      </w:r>
      <w:r w:rsidR="009D2198" w:rsidRPr="008529FE">
        <w:rPr>
          <w:rFonts w:cstheme="minorHAnsi"/>
        </w:rPr>
        <w:t xml:space="preserve">some </w:t>
      </w:r>
      <w:r w:rsidR="00A75AB0" w:rsidRPr="008529FE">
        <w:rPr>
          <w:rFonts w:cstheme="minorHAnsi"/>
        </w:rPr>
        <w:t xml:space="preserve">key </w:t>
      </w:r>
      <w:r w:rsidR="00553167" w:rsidRPr="008529FE">
        <w:rPr>
          <w:rFonts w:cstheme="minorHAnsi"/>
        </w:rPr>
        <w:t>differences between the</w:t>
      </w:r>
      <w:r w:rsidR="00155DEF" w:rsidRPr="008529FE">
        <w:rPr>
          <w:rFonts w:cstheme="minorHAnsi"/>
        </w:rPr>
        <w:t xml:space="preserve"> </w:t>
      </w:r>
      <w:r w:rsidR="00F52B14" w:rsidRPr="008529FE">
        <w:rPr>
          <w:rFonts w:cstheme="minorHAnsi"/>
        </w:rPr>
        <w:t xml:space="preserve">two </w:t>
      </w:r>
      <w:r w:rsidR="00553167" w:rsidRPr="008529FE">
        <w:rPr>
          <w:rFonts w:cstheme="minorHAnsi"/>
        </w:rPr>
        <w:t>rounds.</w:t>
      </w:r>
    </w:p>
    <w:p w14:paraId="1631D4E7" w14:textId="1975AB0D" w:rsidR="007069BE" w:rsidRPr="009B63C5" w:rsidRDefault="008E57AB" w:rsidP="00964571">
      <w:pPr>
        <w:spacing w:before="120"/>
        <w:rPr>
          <w:rFonts w:cstheme="minorHAnsi"/>
        </w:rPr>
      </w:pPr>
      <w:r w:rsidRPr="008529FE">
        <w:rPr>
          <w:rFonts w:cstheme="minorHAnsi"/>
        </w:rPr>
        <w:t>For 2017-18</w:t>
      </w:r>
      <w:r w:rsidR="006F0994" w:rsidRPr="008529FE">
        <w:rPr>
          <w:rFonts w:cstheme="minorHAnsi"/>
        </w:rPr>
        <w:t xml:space="preserve"> income year</w:t>
      </w:r>
      <w:r w:rsidRPr="008529FE">
        <w:rPr>
          <w:rFonts w:cstheme="minorHAnsi"/>
        </w:rPr>
        <w:t xml:space="preserve">, </w:t>
      </w:r>
      <w:r w:rsidR="004E2839" w:rsidRPr="008529FE">
        <w:rPr>
          <w:rFonts w:cstheme="minorHAnsi"/>
        </w:rPr>
        <w:t xml:space="preserve">legislation establishing the JMEI </w:t>
      </w:r>
      <w:r w:rsidR="006F0994" w:rsidRPr="008529FE">
        <w:rPr>
          <w:rFonts w:cstheme="minorHAnsi"/>
        </w:rPr>
        <w:t xml:space="preserve">only </w:t>
      </w:r>
      <w:r w:rsidR="004E2839" w:rsidRPr="008529FE">
        <w:rPr>
          <w:rFonts w:cstheme="minorHAnsi"/>
        </w:rPr>
        <w:t>passed Parliament in late March 2018</w:t>
      </w:r>
      <w:r w:rsidR="006F0994" w:rsidRPr="008529FE">
        <w:rPr>
          <w:rFonts w:cstheme="minorHAnsi"/>
        </w:rPr>
        <w:t xml:space="preserve"> and</w:t>
      </w:r>
      <w:r w:rsidR="004E2839" w:rsidRPr="008529FE">
        <w:rPr>
          <w:rFonts w:cstheme="minorHAnsi"/>
        </w:rPr>
        <w:t xml:space="preserve"> </w:t>
      </w:r>
      <w:r w:rsidR="00216097" w:rsidRPr="008529FE">
        <w:rPr>
          <w:rFonts w:cstheme="minorHAnsi"/>
        </w:rPr>
        <w:t>the closing date to apply for an allocation of credits was 15 May 2018.</w:t>
      </w:r>
      <w:r w:rsidR="00BC045C" w:rsidRPr="008529FE">
        <w:rPr>
          <w:rFonts w:cstheme="minorHAnsi"/>
        </w:rPr>
        <w:t xml:space="preserve"> </w:t>
      </w:r>
      <w:r w:rsidR="006F0994" w:rsidRPr="008529FE">
        <w:rPr>
          <w:rFonts w:cstheme="minorHAnsi"/>
        </w:rPr>
        <w:t>Accordingly,</w:t>
      </w:r>
      <w:r w:rsidR="00EB5C76" w:rsidRPr="008529FE">
        <w:rPr>
          <w:rFonts w:cstheme="minorHAnsi"/>
        </w:rPr>
        <w:t xml:space="preserve"> </w:t>
      </w:r>
      <w:r w:rsidR="004E2839" w:rsidRPr="008529FE">
        <w:rPr>
          <w:rFonts w:cstheme="minorHAnsi"/>
        </w:rPr>
        <w:t xml:space="preserve">companies </w:t>
      </w:r>
      <w:r w:rsidR="006F0994" w:rsidRPr="008529FE">
        <w:rPr>
          <w:rFonts w:cstheme="minorHAnsi"/>
        </w:rPr>
        <w:t xml:space="preserve">only </w:t>
      </w:r>
      <w:r w:rsidR="004E2839" w:rsidRPr="008529FE">
        <w:rPr>
          <w:rFonts w:cstheme="minorHAnsi"/>
        </w:rPr>
        <w:t>had around a month to raise capital in the 2017-18 income year</w:t>
      </w:r>
      <w:r w:rsidR="006F0994" w:rsidRPr="008529FE">
        <w:rPr>
          <w:rFonts w:cstheme="minorHAnsi"/>
        </w:rPr>
        <w:t>.</w:t>
      </w:r>
      <w:r w:rsidR="00EB5C76" w:rsidRPr="008529FE">
        <w:rPr>
          <w:rFonts w:cstheme="minorHAnsi"/>
        </w:rPr>
        <w:t xml:space="preserve"> </w:t>
      </w:r>
      <w:r w:rsidR="005D00AA" w:rsidRPr="008529FE">
        <w:rPr>
          <w:rFonts w:cstheme="minorHAnsi"/>
        </w:rPr>
        <w:t>Whereas</w:t>
      </w:r>
      <w:r w:rsidR="00EB5C76" w:rsidRPr="008529FE">
        <w:rPr>
          <w:rFonts w:cstheme="minorHAnsi"/>
        </w:rPr>
        <w:t xml:space="preserve"> </w:t>
      </w:r>
      <w:r w:rsidR="001C0FEE" w:rsidRPr="008529FE">
        <w:rPr>
          <w:rFonts w:cstheme="minorHAnsi"/>
        </w:rPr>
        <w:t xml:space="preserve">for the 2018-19 JMEI round, </w:t>
      </w:r>
      <w:r w:rsidR="00881845" w:rsidRPr="008529FE">
        <w:rPr>
          <w:rFonts w:cstheme="minorHAnsi"/>
        </w:rPr>
        <w:t xml:space="preserve">the closing date to apply for </w:t>
      </w:r>
      <w:r w:rsidR="001C0FEE" w:rsidRPr="008529FE">
        <w:rPr>
          <w:rFonts w:cstheme="minorHAnsi"/>
        </w:rPr>
        <w:t xml:space="preserve">an allocation of credits </w:t>
      </w:r>
      <w:r w:rsidR="00881845" w:rsidRPr="008529FE">
        <w:rPr>
          <w:rFonts w:cstheme="minorHAnsi"/>
        </w:rPr>
        <w:t>was</w:t>
      </w:r>
      <w:r w:rsidR="001C0FEE" w:rsidRPr="008529FE">
        <w:rPr>
          <w:rFonts w:cstheme="minorHAnsi"/>
        </w:rPr>
        <w:t xml:space="preserve"> </w:t>
      </w:r>
      <w:r w:rsidR="00881845" w:rsidRPr="008529FE">
        <w:rPr>
          <w:rFonts w:cstheme="minorHAnsi"/>
        </w:rPr>
        <w:t xml:space="preserve">30 </w:t>
      </w:r>
      <w:r w:rsidR="001C0FEE" w:rsidRPr="008529FE">
        <w:rPr>
          <w:rFonts w:cstheme="minorHAnsi"/>
        </w:rPr>
        <w:t xml:space="preserve">June 2018 and </w:t>
      </w:r>
      <w:r w:rsidR="00881845" w:rsidRPr="008529FE">
        <w:rPr>
          <w:rFonts w:cstheme="minorHAnsi"/>
        </w:rPr>
        <w:t xml:space="preserve">companies </w:t>
      </w:r>
      <w:r w:rsidR="005C6734" w:rsidRPr="008529FE">
        <w:rPr>
          <w:rFonts w:cstheme="minorHAnsi"/>
        </w:rPr>
        <w:t>ha</w:t>
      </w:r>
      <w:r w:rsidR="00C46FE1" w:rsidRPr="008529FE">
        <w:rPr>
          <w:rFonts w:cstheme="minorHAnsi"/>
        </w:rPr>
        <w:t>d</w:t>
      </w:r>
      <w:r w:rsidR="005C6734" w:rsidRPr="008529FE">
        <w:rPr>
          <w:rFonts w:cstheme="minorHAnsi"/>
        </w:rPr>
        <w:t xml:space="preserve"> </w:t>
      </w:r>
      <w:r w:rsidR="00D86944" w:rsidRPr="008529FE">
        <w:rPr>
          <w:rFonts w:cstheme="minorHAnsi"/>
        </w:rPr>
        <w:t xml:space="preserve">close to </w:t>
      </w:r>
      <w:r w:rsidR="005C6734" w:rsidRPr="008529FE">
        <w:rPr>
          <w:rFonts w:cstheme="minorHAnsi"/>
        </w:rPr>
        <w:t xml:space="preserve">a year </w:t>
      </w:r>
      <w:r w:rsidR="00754133" w:rsidRPr="008529FE">
        <w:rPr>
          <w:rFonts w:cstheme="minorHAnsi"/>
        </w:rPr>
        <w:t>to raise capital</w:t>
      </w:r>
      <w:r w:rsidR="00F57550" w:rsidRPr="008529FE">
        <w:rPr>
          <w:rFonts w:cstheme="minorHAnsi"/>
        </w:rPr>
        <w:t xml:space="preserve"> in</w:t>
      </w:r>
      <w:r w:rsidR="00D42630" w:rsidRPr="008529FE">
        <w:rPr>
          <w:rFonts w:cstheme="minorHAnsi"/>
        </w:rPr>
        <w:t xml:space="preserve"> the</w:t>
      </w:r>
      <w:r w:rsidR="00F57550" w:rsidRPr="008529FE">
        <w:rPr>
          <w:rFonts w:cstheme="minorHAnsi"/>
        </w:rPr>
        <w:t xml:space="preserve"> 2018-19</w:t>
      </w:r>
      <w:r w:rsidR="00D42630" w:rsidRPr="008529FE">
        <w:rPr>
          <w:rFonts w:cstheme="minorHAnsi"/>
        </w:rPr>
        <w:t xml:space="preserve"> income year</w:t>
      </w:r>
      <w:r w:rsidR="00642820" w:rsidRPr="009B63C5">
        <w:rPr>
          <w:rFonts w:cstheme="minorHAnsi"/>
        </w:rPr>
        <w:t>.</w:t>
      </w:r>
      <w:r w:rsidR="003471F7" w:rsidRPr="009B63C5">
        <w:rPr>
          <w:rFonts w:cstheme="minorHAnsi"/>
        </w:rPr>
        <w:t xml:space="preserve"> </w:t>
      </w:r>
    </w:p>
    <w:p w14:paraId="33C5D27B" w14:textId="121AE637" w:rsidR="00964571" w:rsidRPr="002A74FA" w:rsidRDefault="005816E1" w:rsidP="00964571">
      <w:pPr>
        <w:spacing w:before="120"/>
        <w:rPr>
          <w:rFonts w:cstheme="minorHAnsi"/>
          <w:i/>
          <w:iCs/>
        </w:rPr>
      </w:pPr>
      <w:r w:rsidRPr="009B63C5">
        <w:rPr>
          <w:rFonts w:cstheme="minorHAnsi"/>
        </w:rPr>
        <w:t>T</w:t>
      </w:r>
      <w:r w:rsidR="00F701EE" w:rsidRPr="009B63C5">
        <w:rPr>
          <w:rFonts w:cstheme="minorHAnsi"/>
        </w:rPr>
        <w:t xml:space="preserve">here were </w:t>
      </w:r>
      <w:r w:rsidRPr="009B63C5">
        <w:rPr>
          <w:rFonts w:cstheme="minorHAnsi"/>
        </w:rPr>
        <w:t xml:space="preserve">also </w:t>
      </w:r>
      <w:r w:rsidR="00F701EE" w:rsidRPr="009B63C5">
        <w:rPr>
          <w:rFonts w:cstheme="minorHAnsi"/>
        </w:rPr>
        <w:t xml:space="preserve">significantly more credits available in the 2018-19 income year, </w:t>
      </w:r>
      <w:r w:rsidR="00B444D7" w:rsidRPr="009B63C5">
        <w:rPr>
          <w:rFonts w:cstheme="minorHAnsi"/>
        </w:rPr>
        <w:t xml:space="preserve">noting that </w:t>
      </w:r>
      <w:r w:rsidR="00EE6D0E" w:rsidRPr="009B63C5">
        <w:rPr>
          <w:rFonts w:cstheme="minorHAnsi"/>
        </w:rPr>
        <w:t>over</w:t>
      </w:r>
      <w:r w:rsidR="00656890" w:rsidRPr="009B63C5">
        <w:rPr>
          <w:rFonts w:cstheme="minorHAnsi"/>
        </w:rPr>
        <w:t xml:space="preserve"> $6</w:t>
      </w:r>
      <w:r w:rsidR="002D68C2" w:rsidRPr="009B63C5">
        <w:rPr>
          <w:rFonts w:cstheme="minorHAnsi"/>
        </w:rPr>
        <w:t>.</w:t>
      </w:r>
      <w:r w:rsidR="00656890" w:rsidRPr="009B63C5">
        <w:rPr>
          <w:rFonts w:cstheme="minorHAnsi"/>
        </w:rPr>
        <w:t>5</w:t>
      </w:r>
      <w:r w:rsidR="002D68C2" w:rsidRPr="009B63C5">
        <w:rPr>
          <w:rFonts w:cstheme="minorHAnsi"/>
        </w:rPr>
        <w:t> </w:t>
      </w:r>
      <w:r w:rsidR="00EE6D0E" w:rsidRPr="009B63C5">
        <w:rPr>
          <w:rFonts w:cstheme="minorHAnsi"/>
        </w:rPr>
        <w:t>million</w:t>
      </w:r>
      <w:r w:rsidR="00656890" w:rsidRPr="009B63C5">
        <w:rPr>
          <w:rFonts w:cstheme="minorHAnsi"/>
        </w:rPr>
        <w:t xml:space="preserve"> </w:t>
      </w:r>
      <w:r w:rsidR="003471F7" w:rsidRPr="009B63C5">
        <w:rPr>
          <w:rFonts w:cstheme="minorHAnsi"/>
        </w:rPr>
        <w:t xml:space="preserve">credits </w:t>
      </w:r>
      <w:r w:rsidR="002D4072" w:rsidRPr="009B63C5">
        <w:rPr>
          <w:rFonts w:cstheme="minorHAnsi"/>
        </w:rPr>
        <w:t>unallocated (</w:t>
      </w:r>
      <w:r w:rsidR="00E63CE9" w:rsidRPr="009B63C5">
        <w:rPr>
          <w:rFonts w:cstheme="minorHAnsi"/>
        </w:rPr>
        <w:t>undersubscribed</w:t>
      </w:r>
      <w:r w:rsidR="002D4072" w:rsidRPr="009B63C5">
        <w:rPr>
          <w:rFonts w:cstheme="minorHAnsi"/>
        </w:rPr>
        <w:t xml:space="preserve">) </w:t>
      </w:r>
      <w:r w:rsidR="00DD04A1" w:rsidRPr="009B63C5">
        <w:rPr>
          <w:rFonts w:cstheme="minorHAnsi"/>
        </w:rPr>
        <w:t xml:space="preserve">from 2017-18 </w:t>
      </w:r>
      <w:r w:rsidR="00B444D7" w:rsidRPr="009B63C5">
        <w:rPr>
          <w:rFonts w:cstheme="minorHAnsi"/>
        </w:rPr>
        <w:t xml:space="preserve">were </w:t>
      </w:r>
      <w:r w:rsidR="00E63CE9" w:rsidRPr="009B63C5">
        <w:rPr>
          <w:rFonts w:cstheme="minorHAnsi"/>
        </w:rPr>
        <w:t xml:space="preserve">carried over </w:t>
      </w:r>
      <w:r w:rsidR="006211A5" w:rsidRPr="009B63C5">
        <w:rPr>
          <w:rFonts w:cstheme="minorHAnsi"/>
        </w:rPr>
        <w:t xml:space="preserve">to the 2018-19 income year. </w:t>
      </w:r>
      <w:r w:rsidR="00FB29D0" w:rsidRPr="009B63C5">
        <w:rPr>
          <w:rFonts w:cstheme="minorHAnsi"/>
        </w:rPr>
        <w:t xml:space="preserve">When </w:t>
      </w:r>
      <w:r w:rsidR="003471F7" w:rsidRPr="009B63C5">
        <w:rPr>
          <w:rFonts w:cstheme="minorHAnsi"/>
        </w:rPr>
        <w:t>added to the</w:t>
      </w:r>
      <w:r w:rsidR="005F6B5E" w:rsidRPr="009B63C5">
        <w:rPr>
          <w:rFonts w:cstheme="minorHAnsi"/>
        </w:rPr>
        <w:t xml:space="preserve"> $25 million credit</w:t>
      </w:r>
      <w:r w:rsidR="006619B0" w:rsidRPr="009B63C5">
        <w:rPr>
          <w:rFonts w:cstheme="minorHAnsi"/>
        </w:rPr>
        <w:t xml:space="preserve">s </w:t>
      </w:r>
      <w:r w:rsidR="00106D3C" w:rsidRPr="009B63C5">
        <w:rPr>
          <w:rFonts w:cstheme="minorHAnsi"/>
        </w:rPr>
        <w:t xml:space="preserve">originally </w:t>
      </w:r>
      <w:r w:rsidR="007E2FBE" w:rsidRPr="009B63C5">
        <w:rPr>
          <w:rFonts w:cstheme="minorHAnsi"/>
        </w:rPr>
        <w:t xml:space="preserve">available </w:t>
      </w:r>
      <w:r w:rsidR="005F6B5E" w:rsidRPr="009B63C5">
        <w:rPr>
          <w:rFonts w:cstheme="minorHAnsi"/>
        </w:rPr>
        <w:t xml:space="preserve">for </w:t>
      </w:r>
      <w:r w:rsidR="003471F7" w:rsidRPr="009B63C5">
        <w:rPr>
          <w:rFonts w:cstheme="minorHAnsi"/>
        </w:rPr>
        <w:t>the 2018-19 income year</w:t>
      </w:r>
      <w:r w:rsidR="00FB29D0" w:rsidRPr="009B63C5">
        <w:rPr>
          <w:rFonts w:cstheme="minorHAnsi"/>
        </w:rPr>
        <w:t xml:space="preserve">, this resulted in $31.5 million credits </w:t>
      </w:r>
      <w:r w:rsidR="00683788" w:rsidRPr="009B63C5">
        <w:rPr>
          <w:rFonts w:cstheme="minorHAnsi"/>
        </w:rPr>
        <w:t xml:space="preserve">being </w:t>
      </w:r>
      <w:r w:rsidR="00FB29D0" w:rsidRPr="009B63C5">
        <w:rPr>
          <w:rFonts w:cstheme="minorHAnsi"/>
        </w:rPr>
        <w:t xml:space="preserve">available for allocation in </w:t>
      </w:r>
      <w:r w:rsidR="00881845" w:rsidRPr="009B63C5">
        <w:rPr>
          <w:rFonts w:cstheme="minorHAnsi"/>
        </w:rPr>
        <w:t xml:space="preserve">the </w:t>
      </w:r>
      <w:r w:rsidR="00FB29D0" w:rsidRPr="009B63C5">
        <w:rPr>
          <w:rFonts w:cstheme="minorHAnsi"/>
        </w:rPr>
        <w:t>2018-19</w:t>
      </w:r>
      <w:r w:rsidR="00881845" w:rsidRPr="009B63C5">
        <w:rPr>
          <w:rFonts w:cstheme="minorHAnsi"/>
        </w:rPr>
        <w:t xml:space="preserve"> income year</w:t>
      </w:r>
      <w:r w:rsidR="002F092C" w:rsidRPr="009B63C5">
        <w:rPr>
          <w:rFonts w:cstheme="minorHAnsi"/>
        </w:rPr>
        <w:t>. Th</w:t>
      </w:r>
      <w:r w:rsidR="00542094" w:rsidRPr="009B63C5">
        <w:rPr>
          <w:rFonts w:cstheme="minorHAnsi"/>
        </w:rPr>
        <w:t xml:space="preserve">at is, around double the </w:t>
      </w:r>
      <w:r w:rsidR="009048A4" w:rsidRPr="009B63C5">
        <w:rPr>
          <w:rFonts w:cstheme="minorHAnsi"/>
        </w:rPr>
        <w:t xml:space="preserve">$15 million </w:t>
      </w:r>
      <w:r w:rsidR="00CE155F" w:rsidRPr="009B63C5">
        <w:rPr>
          <w:rFonts w:cstheme="minorHAnsi"/>
        </w:rPr>
        <w:t xml:space="preserve">in </w:t>
      </w:r>
      <w:r w:rsidR="00FF0986" w:rsidRPr="009B63C5">
        <w:rPr>
          <w:rFonts w:cstheme="minorHAnsi"/>
        </w:rPr>
        <w:t xml:space="preserve">credits originally available for allocation in </w:t>
      </w:r>
      <w:r w:rsidR="009048A4" w:rsidRPr="009B63C5">
        <w:rPr>
          <w:rFonts w:cstheme="minorHAnsi"/>
        </w:rPr>
        <w:t>2017-18</w:t>
      </w:r>
      <w:r w:rsidR="003471F7" w:rsidRPr="009B63C5">
        <w:rPr>
          <w:rFonts w:cstheme="minorHAnsi"/>
        </w:rPr>
        <w:t xml:space="preserve">. </w:t>
      </w:r>
      <w:r w:rsidR="0056074E" w:rsidRPr="009B63C5">
        <w:rPr>
          <w:rFonts w:cstheme="minorHAnsi"/>
        </w:rPr>
        <w:t xml:space="preserve">A further factor </w:t>
      </w:r>
      <w:r w:rsidR="00693C7C" w:rsidRPr="009B63C5">
        <w:rPr>
          <w:rFonts w:cstheme="minorHAnsi"/>
        </w:rPr>
        <w:t xml:space="preserve">is that </w:t>
      </w:r>
      <w:r w:rsidR="00DD04A1" w:rsidRPr="009B63C5">
        <w:rPr>
          <w:rFonts w:cstheme="minorHAnsi"/>
        </w:rPr>
        <w:t xml:space="preserve">JMEI participants </w:t>
      </w:r>
      <w:r w:rsidR="00106D3C" w:rsidRPr="009B63C5">
        <w:rPr>
          <w:rFonts w:cstheme="minorHAnsi"/>
        </w:rPr>
        <w:t xml:space="preserve">may </w:t>
      </w:r>
      <w:r w:rsidR="00200BDD" w:rsidRPr="009B63C5">
        <w:rPr>
          <w:rFonts w:cstheme="minorHAnsi"/>
        </w:rPr>
        <w:t xml:space="preserve">have </w:t>
      </w:r>
      <w:r w:rsidR="00DD04A1" w:rsidRPr="009B63C5">
        <w:rPr>
          <w:rFonts w:cstheme="minorHAnsi"/>
        </w:rPr>
        <w:t>had an increased awareness of the JMEI in its second year of operation.</w:t>
      </w:r>
    </w:p>
    <w:p w14:paraId="47288CAE" w14:textId="12C4CF6F" w:rsidR="00964571" w:rsidRDefault="00964571" w:rsidP="00964571">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sidR="00005118">
        <w:rPr>
          <w:noProof/>
        </w:rPr>
        <w:t>:</w:t>
      </w:r>
      <w:r>
        <w:t xml:space="preserve"> </w:t>
      </w:r>
      <w:r w:rsidRPr="00C731DD">
        <w:t>Allocations 2017-18 income year and 2018-19 income year</w:t>
      </w:r>
      <w:r w:rsidR="00A53665">
        <w:t>.</w:t>
      </w:r>
    </w:p>
    <w:tbl>
      <w:tblPr>
        <w:tblStyle w:val="GridTable4"/>
        <w:tblW w:w="9252" w:type="dxa"/>
        <w:tblLook w:val="04A0" w:firstRow="1" w:lastRow="0" w:firstColumn="1" w:lastColumn="0" w:noHBand="0" w:noVBand="1"/>
      </w:tblPr>
      <w:tblGrid>
        <w:gridCol w:w="4106"/>
        <w:gridCol w:w="2552"/>
        <w:gridCol w:w="2594"/>
      </w:tblGrid>
      <w:tr w:rsidR="00964571" w14:paraId="2A291943" w14:textId="77777777" w:rsidTr="000702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14:paraId="79A9BA70" w14:textId="77777777" w:rsidR="00964571" w:rsidRDefault="00964571"/>
        </w:tc>
        <w:tc>
          <w:tcPr>
            <w:tcW w:w="2552" w:type="dxa"/>
          </w:tcPr>
          <w:p w14:paraId="7F62429C" w14:textId="77777777" w:rsidR="00964571" w:rsidRDefault="00964571">
            <w:pPr>
              <w:cnfStyle w:val="100000000000" w:firstRow="1" w:lastRow="0" w:firstColumn="0" w:lastColumn="0" w:oddVBand="0" w:evenVBand="0" w:oddHBand="0" w:evenHBand="0" w:firstRowFirstColumn="0" w:firstRowLastColumn="0" w:lastRowFirstColumn="0" w:lastRowLastColumn="0"/>
            </w:pPr>
            <w:r w:rsidRPr="00166708">
              <w:rPr>
                <w:rFonts w:cstheme="minorHAnsi"/>
              </w:rPr>
              <w:t>2017-18 income year</w:t>
            </w:r>
          </w:p>
        </w:tc>
        <w:tc>
          <w:tcPr>
            <w:tcW w:w="2594" w:type="dxa"/>
          </w:tcPr>
          <w:p w14:paraId="77A25879" w14:textId="77777777" w:rsidR="00964571" w:rsidRDefault="00964571">
            <w:pPr>
              <w:cnfStyle w:val="100000000000" w:firstRow="1" w:lastRow="0" w:firstColumn="0" w:lastColumn="0" w:oddVBand="0" w:evenVBand="0" w:oddHBand="0" w:evenHBand="0" w:firstRowFirstColumn="0" w:firstRowLastColumn="0" w:lastRowFirstColumn="0" w:lastRowLastColumn="0"/>
            </w:pPr>
            <w:r w:rsidRPr="00166708">
              <w:rPr>
                <w:rFonts w:cstheme="minorHAnsi"/>
              </w:rPr>
              <w:t>2018-19 income year</w:t>
            </w:r>
          </w:p>
        </w:tc>
      </w:tr>
      <w:tr w:rsidR="00964571" w14:paraId="7ACB61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5BAEA32" w14:textId="77777777" w:rsidR="00964571" w:rsidRDefault="00964571">
            <w:r w:rsidRPr="00DA6150">
              <w:rPr>
                <w:rFonts w:cstheme="minorHAnsi"/>
              </w:rPr>
              <w:t>Successful applicants</w:t>
            </w:r>
          </w:p>
        </w:tc>
        <w:tc>
          <w:tcPr>
            <w:tcW w:w="2552" w:type="dxa"/>
          </w:tcPr>
          <w:p w14:paraId="6EB7453F"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DA6150">
              <w:rPr>
                <w:rFonts w:cstheme="minorHAnsi"/>
              </w:rPr>
              <w:t>23</w:t>
            </w:r>
          </w:p>
        </w:tc>
        <w:tc>
          <w:tcPr>
            <w:tcW w:w="2594" w:type="dxa"/>
          </w:tcPr>
          <w:p w14:paraId="07E86DDD"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DA6150">
              <w:rPr>
                <w:rFonts w:cstheme="minorHAnsi"/>
              </w:rPr>
              <w:t>46</w:t>
            </w:r>
          </w:p>
        </w:tc>
      </w:tr>
      <w:tr w:rsidR="00964571" w14:paraId="5C8D8EED" w14:textId="77777777">
        <w:tc>
          <w:tcPr>
            <w:cnfStyle w:val="001000000000" w:firstRow="0" w:lastRow="0" w:firstColumn="1" w:lastColumn="0" w:oddVBand="0" w:evenVBand="0" w:oddHBand="0" w:evenHBand="0" w:firstRowFirstColumn="0" w:firstRowLastColumn="0" w:lastRowFirstColumn="0" w:lastRowLastColumn="0"/>
            <w:tcW w:w="4106" w:type="dxa"/>
          </w:tcPr>
          <w:p w14:paraId="6755DD52" w14:textId="77777777" w:rsidR="00964571" w:rsidRDefault="00964571">
            <w:r w:rsidRPr="00DA6150">
              <w:rPr>
                <w:rFonts w:cstheme="minorHAnsi"/>
              </w:rPr>
              <w:t>Annual exploration credit cap</w:t>
            </w:r>
          </w:p>
        </w:tc>
        <w:tc>
          <w:tcPr>
            <w:tcW w:w="2552" w:type="dxa"/>
          </w:tcPr>
          <w:p w14:paraId="64189131"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DA6150">
              <w:t xml:space="preserve">$15,000,000 </w:t>
            </w:r>
          </w:p>
        </w:tc>
        <w:tc>
          <w:tcPr>
            <w:tcW w:w="2594" w:type="dxa"/>
          </w:tcPr>
          <w:p w14:paraId="1D86EF0D"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DA6150">
              <w:t>$25,000,000</w:t>
            </w:r>
          </w:p>
        </w:tc>
      </w:tr>
      <w:tr w:rsidR="00964571" w14:paraId="25ABBF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DB105B2" w14:textId="77777777" w:rsidR="00964571" w:rsidRPr="00DA6150" w:rsidRDefault="00964571">
            <w:pPr>
              <w:rPr>
                <w:rFonts w:cstheme="minorHAnsi"/>
              </w:rPr>
            </w:pPr>
            <w:r w:rsidRPr="00E40524">
              <w:rPr>
                <w:rFonts w:cstheme="minorHAnsi"/>
                <w:lang w:eastAsia="en-AU"/>
              </w:rPr>
              <w:t>Exploration credits plus any carry forward</w:t>
            </w:r>
          </w:p>
        </w:tc>
        <w:tc>
          <w:tcPr>
            <w:tcW w:w="2552" w:type="dxa"/>
          </w:tcPr>
          <w:p w14:paraId="4B345135" w14:textId="77777777" w:rsidR="00964571" w:rsidRPr="00DA6150" w:rsidRDefault="00964571">
            <w:pPr>
              <w:jc w:val="right"/>
              <w:cnfStyle w:val="000000100000" w:firstRow="0" w:lastRow="0" w:firstColumn="0" w:lastColumn="0" w:oddVBand="0" w:evenVBand="0" w:oddHBand="1" w:evenHBand="0" w:firstRowFirstColumn="0" w:firstRowLastColumn="0" w:lastRowFirstColumn="0" w:lastRowLastColumn="0"/>
            </w:pPr>
            <w:r w:rsidRPr="00DA6150">
              <w:t>$15,000,000</w:t>
            </w:r>
          </w:p>
        </w:tc>
        <w:tc>
          <w:tcPr>
            <w:tcW w:w="2594" w:type="dxa"/>
          </w:tcPr>
          <w:p w14:paraId="311C4C66" w14:textId="77777777" w:rsidR="00964571" w:rsidRPr="00DA6150" w:rsidRDefault="00964571">
            <w:pPr>
              <w:jc w:val="right"/>
              <w:cnfStyle w:val="000000100000" w:firstRow="0" w:lastRow="0" w:firstColumn="0" w:lastColumn="0" w:oddVBand="0" w:evenVBand="0" w:oddHBand="1" w:evenHBand="0" w:firstRowFirstColumn="0" w:firstRowLastColumn="0" w:lastRowFirstColumn="0" w:lastRowLastColumn="0"/>
            </w:pPr>
            <w:r w:rsidRPr="00E40524">
              <w:rPr>
                <w:rFonts w:cstheme="minorHAnsi"/>
                <w:lang w:eastAsia="en-AU"/>
              </w:rPr>
              <w:t>$31,532,069</w:t>
            </w:r>
          </w:p>
        </w:tc>
      </w:tr>
      <w:tr w:rsidR="00964571" w14:paraId="6A3E56DE" w14:textId="77777777">
        <w:tc>
          <w:tcPr>
            <w:cnfStyle w:val="001000000000" w:firstRow="0" w:lastRow="0" w:firstColumn="1" w:lastColumn="0" w:oddVBand="0" w:evenVBand="0" w:oddHBand="0" w:evenHBand="0" w:firstRowFirstColumn="0" w:firstRowLastColumn="0" w:lastRowFirstColumn="0" w:lastRowLastColumn="0"/>
            <w:tcW w:w="4106" w:type="dxa"/>
          </w:tcPr>
          <w:p w14:paraId="48D86816" w14:textId="77777777" w:rsidR="00964571" w:rsidRDefault="00964571">
            <w:r w:rsidRPr="00DA6150">
              <w:rPr>
                <w:rFonts w:cstheme="minorHAnsi"/>
              </w:rPr>
              <w:t>Credits allocated to successful participants</w:t>
            </w:r>
          </w:p>
        </w:tc>
        <w:tc>
          <w:tcPr>
            <w:tcW w:w="2552" w:type="dxa"/>
          </w:tcPr>
          <w:p w14:paraId="311DFB05"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DA6150">
              <w:t>$8,467,931</w:t>
            </w:r>
          </w:p>
        </w:tc>
        <w:tc>
          <w:tcPr>
            <w:tcW w:w="2594" w:type="dxa"/>
          </w:tcPr>
          <w:p w14:paraId="6633BF4A"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DA6150">
              <w:t>$31,532,069</w:t>
            </w:r>
          </w:p>
        </w:tc>
      </w:tr>
      <w:tr w:rsidR="00964571" w14:paraId="32EC4D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4976C72" w14:textId="77777777" w:rsidR="00964571" w:rsidRDefault="00964571">
            <w:r w:rsidRPr="00DA6150">
              <w:rPr>
                <w:rFonts w:cstheme="minorHAnsi"/>
              </w:rPr>
              <w:t>Minimum allocation</w:t>
            </w:r>
          </w:p>
        </w:tc>
        <w:tc>
          <w:tcPr>
            <w:tcW w:w="2552" w:type="dxa"/>
          </w:tcPr>
          <w:p w14:paraId="70283D88"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Pr>
                <w:rFonts w:cstheme="minorHAnsi"/>
              </w:rPr>
              <w:t>$</w:t>
            </w:r>
            <w:r w:rsidRPr="00DA6150">
              <w:rPr>
                <w:rFonts w:cstheme="minorHAnsi"/>
              </w:rPr>
              <w:t>2,750</w:t>
            </w:r>
          </w:p>
        </w:tc>
        <w:tc>
          <w:tcPr>
            <w:tcW w:w="2594" w:type="dxa"/>
          </w:tcPr>
          <w:p w14:paraId="52CD8ECE"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Pr>
                <w:rFonts w:cstheme="minorHAnsi"/>
              </w:rPr>
              <w:t>$</w:t>
            </w:r>
            <w:r w:rsidRPr="00DA6150">
              <w:rPr>
                <w:rFonts w:cstheme="minorHAnsi"/>
              </w:rPr>
              <w:t>82,500</w:t>
            </w:r>
          </w:p>
        </w:tc>
      </w:tr>
      <w:tr w:rsidR="00964571" w14:paraId="2677518F" w14:textId="77777777">
        <w:tc>
          <w:tcPr>
            <w:cnfStyle w:val="001000000000" w:firstRow="0" w:lastRow="0" w:firstColumn="1" w:lastColumn="0" w:oddVBand="0" w:evenVBand="0" w:oddHBand="0" w:evenHBand="0" w:firstRowFirstColumn="0" w:firstRowLastColumn="0" w:lastRowFirstColumn="0" w:lastRowLastColumn="0"/>
            <w:tcW w:w="4106" w:type="dxa"/>
          </w:tcPr>
          <w:p w14:paraId="2E59971B" w14:textId="77777777" w:rsidR="00964571" w:rsidRDefault="00964571">
            <w:r w:rsidRPr="00DA6150">
              <w:rPr>
                <w:rFonts w:cstheme="minorHAnsi"/>
              </w:rPr>
              <w:t>Maximum allocation</w:t>
            </w:r>
          </w:p>
        </w:tc>
        <w:tc>
          <w:tcPr>
            <w:tcW w:w="2552" w:type="dxa"/>
          </w:tcPr>
          <w:p w14:paraId="3E06C5E5"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Pr>
                <w:rFonts w:cstheme="minorHAnsi"/>
              </w:rPr>
              <w:t>$</w:t>
            </w:r>
            <w:r w:rsidRPr="00DA6150">
              <w:rPr>
                <w:rFonts w:cstheme="minorHAnsi"/>
              </w:rPr>
              <w:t>750,000</w:t>
            </w:r>
          </w:p>
        </w:tc>
        <w:tc>
          <w:tcPr>
            <w:tcW w:w="2594" w:type="dxa"/>
          </w:tcPr>
          <w:p w14:paraId="24E2A8ED"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Pr>
                <w:rFonts w:cstheme="minorHAnsi"/>
              </w:rPr>
              <w:t>$</w:t>
            </w:r>
            <w:r w:rsidRPr="00DA6150">
              <w:rPr>
                <w:rFonts w:cstheme="minorHAnsi"/>
              </w:rPr>
              <w:t>1,576,603</w:t>
            </w:r>
          </w:p>
        </w:tc>
      </w:tr>
      <w:tr w:rsidR="00964571" w14:paraId="3CED43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A809D09" w14:textId="77777777" w:rsidR="00964571" w:rsidRDefault="00964571">
            <w:r w:rsidRPr="00DA6150">
              <w:rPr>
                <w:rFonts w:cstheme="minorHAnsi"/>
              </w:rPr>
              <w:t xml:space="preserve">Allocation </w:t>
            </w:r>
            <w:r>
              <w:rPr>
                <w:rFonts w:cstheme="minorHAnsi"/>
              </w:rPr>
              <w:t xml:space="preserve">≤ </w:t>
            </w:r>
            <w:r w:rsidRPr="00DA6150">
              <w:rPr>
                <w:rFonts w:cstheme="minorHAnsi"/>
              </w:rPr>
              <w:t>$</w:t>
            </w:r>
            <w:r>
              <w:rPr>
                <w:rFonts w:cstheme="minorHAnsi"/>
              </w:rPr>
              <w:t>499</w:t>
            </w:r>
            <w:r w:rsidRPr="00DA6150">
              <w:rPr>
                <w:rFonts w:cstheme="minorHAnsi"/>
              </w:rPr>
              <w:t>,</w:t>
            </w:r>
            <w:r>
              <w:rPr>
                <w:rFonts w:cstheme="minorHAnsi"/>
              </w:rPr>
              <w:t>999</w:t>
            </w:r>
          </w:p>
        </w:tc>
        <w:tc>
          <w:tcPr>
            <w:tcW w:w="2552" w:type="dxa"/>
          </w:tcPr>
          <w:p w14:paraId="4315440D"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DA6150">
              <w:rPr>
                <w:rFonts w:cstheme="minorHAnsi"/>
              </w:rPr>
              <w:t>17</w:t>
            </w:r>
          </w:p>
        </w:tc>
        <w:tc>
          <w:tcPr>
            <w:tcW w:w="2594" w:type="dxa"/>
          </w:tcPr>
          <w:p w14:paraId="21E08223"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DA6150">
              <w:rPr>
                <w:rFonts w:cstheme="minorHAnsi"/>
              </w:rPr>
              <w:t>16</w:t>
            </w:r>
          </w:p>
        </w:tc>
      </w:tr>
      <w:tr w:rsidR="00964571" w14:paraId="7AE31738" w14:textId="77777777">
        <w:tc>
          <w:tcPr>
            <w:cnfStyle w:val="001000000000" w:firstRow="0" w:lastRow="0" w:firstColumn="1" w:lastColumn="0" w:oddVBand="0" w:evenVBand="0" w:oddHBand="0" w:evenHBand="0" w:firstRowFirstColumn="0" w:firstRowLastColumn="0" w:lastRowFirstColumn="0" w:lastRowLastColumn="0"/>
            <w:tcW w:w="4106" w:type="dxa"/>
          </w:tcPr>
          <w:p w14:paraId="753A7DA3" w14:textId="77777777" w:rsidR="00964571" w:rsidRDefault="00964571">
            <w:r w:rsidRPr="00DA6150">
              <w:rPr>
                <w:rFonts w:cstheme="minorHAnsi"/>
              </w:rPr>
              <w:t>Allocation $500,000</w:t>
            </w:r>
            <w:r>
              <w:rPr>
                <w:rFonts w:cstheme="minorHAnsi"/>
              </w:rPr>
              <w:t xml:space="preserve"> to </w:t>
            </w:r>
            <w:r w:rsidRPr="00DA6150">
              <w:rPr>
                <w:rFonts w:cstheme="minorHAnsi"/>
              </w:rPr>
              <w:t>$999,999</w:t>
            </w:r>
          </w:p>
        </w:tc>
        <w:tc>
          <w:tcPr>
            <w:tcW w:w="2552" w:type="dxa"/>
          </w:tcPr>
          <w:p w14:paraId="5FF2D2AB"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DA6150">
              <w:rPr>
                <w:rFonts w:cstheme="minorHAnsi"/>
              </w:rPr>
              <w:t>6</w:t>
            </w:r>
          </w:p>
        </w:tc>
        <w:tc>
          <w:tcPr>
            <w:tcW w:w="2594" w:type="dxa"/>
          </w:tcPr>
          <w:p w14:paraId="0188DF17" w14:textId="77777777" w:rsidR="00964571" w:rsidRDefault="00964571">
            <w:pPr>
              <w:jc w:val="right"/>
              <w:cnfStyle w:val="000000000000" w:firstRow="0" w:lastRow="0" w:firstColumn="0" w:lastColumn="0" w:oddVBand="0" w:evenVBand="0" w:oddHBand="0" w:evenHBand="0" w:firstRowFirstColumn="0" w:firstRowLastColumn="0" w:lastRowFirstColumn="0" w:lastRowLastColumn="0"/>
            </w:pPr>
            <w:r w:rsidRPr="00DA6150">
              <w:rPr>
                <w:rFonts w:cstheme="minorHAnsi"/>
              </w:rPr>
              <w:t>19</w:t>
            </w:r>
          </w:p>
        </w:tc>
      </w:tr>
      <w:tr w:rsidR="00964571" w14:paraId="0555A0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4FEC371" w14:textId="77777777" w:rsidR="00964571" w:rsidRDefault="00964571">
            <w:r w:rsidRPr="00DA6150">
              <w:rPr>
                <w:rFonts w:cstheme="minorHAnsi"/>
              </w:rPr>
              <w:t xml:space="preserve">Allocation </w:t>
            </w:r>
            <w:r>
              <w:rPr>
                <w:rFonts w:cstheme="minorHAnsi"/>
              </w:rPr>
              <w:t xml:space="preserve">≥ </w:t>
            </w:r>
            <w:r w:rsidRPr="00DA6150">
              <w:rPr>
                <w:rFonts w:cstheme="minorHAnsi"/>
              </w:rPr>
              <w:t>$1</w:t>
            </w:r>
            <w:r>
              <w:rPr>
                <w:rFonts w:cstheme="minorHAnsi"/>
              </w:rPr>
              <w:t xml:space="preserve"> </w:t>
            </w:r>
            <w:r w:rsidRPr="00DA6150">
              <w:rPr>
                <w:rFonts w:cstheme="minorHAnsi"/>
              </w:rPr>
              <w:t>m</w:t>
            </w:r>
            <w:r>
              <w:rPr>
                <w:rFonts w:cstheme="minorHAnsi"/>
              </w:rPr>
              <w:t>illion</w:t>
            </w:r>
          </w:p>
        </w:tc>
        <w:tc>
          <w:tcPr>
            <w:tcW w:w="2552" w:type="dxa"/>
          </w:tcPr>
          <w:p w14:paraId="6C9CB46B"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DA6150">
              <w:rPr>
                <w:rFonts w:cstheme="minorHAnsi"/>
              </w:rPr>
              <w:t>0</w:t>
            </w:r>
          </w:p>
        </w:tc>
        <w:tc>
          <w:tcPr>
            <w:tcW w:w="2594" w:type="dxa"/>
          </w:tcPr>
          <w:p w14:paraId="52C25C24" w14:textId="77777777" w:rsidR="00964571" w:rsidRDefault="00964571">
            <w:pPr>
              <w:jc w:val="right"/>
              <w:cnfStyle w:val="000000100000" w:firstRow="0" w:lastRow="0" w:firstColumn="0" w:lastColumn="0" w:oddVBand="0" w:evenVBand="0" w:oddHBand="1" w:evenHBand="0" w:firstRowFirstColumn="0" w:firstRowLastColumn="0" w:lastRowFirstColumn="0" w:lastRowLastColumn="0"/>
            </w:pPr>
            <w:r w:rsidRPr="00DA6150">
              <w:rPr>
                <w:rFonts w:cstheme="minorHAnsi"/>
              </w:rPr>
              <w:t>11</w:t>
            </w:r>
          </w:p>
        </w:tc>
      </w:tr>
    </w:tbl>
    <w:p w14:paraId="41099C5F" w14:textId="5C5A6440" w:rsidR="00964571" w:rsidRPr="00291529" w:rsidRDefault="00964571" w:rsidP="00964571">
      <w:pPr>
        <w:rPr>
          <w:i/>
          <w:sz w:val="20"/>
          <w:szCs w:val="20"/>
        </w:rPr>
      </w:pPr>
      <w:r w:rsidRPr="00291529">
        <w:rPr>
          <w:i/>
          <w:sz w:val="20"/>
          <w:szCs w:val="20"/>
        </w:rPr>
        <w:t>Source: Australian Taxation Office</w:t>
      </w:r>
      <w:r w:rsidR="00A53665">
        <w:rPr>
          <w:i/>
          <w:sz w:val="20"/>
          <w:szCs w:val="20"/>
        </w:rPr>
        <w:t>.</w:t>
      </w:r>
    </w:p>
    <w:p w14:paraId="28C0D10A" w14:textId="77777777" w:rsidR="00964571" w:rsidRDefault="00964571" w:rsidP="00964571">
      <w:pPr>
        <w:pStyle w:val="Heading2"/>
      </w:pPr>
      <w:bookmarkStart w:id="21" w:name="_Toc121898084"/>
      <w:r>
        <w:lastRenderedPageBreak/>
        <w:t xml:space="preserve">2.2 </w:t>
      </w:r>
      <w:r w:rsidRPr="00291529">
        <w:t>Reporting requirements by applicants to the Commissioner</w:t>
      </w:r>
      <w:bookmarkEnd w:id="21"/>
    </w:p>
    <w:p w14:paraId="08202F06" w14:textId="77777777" w:rsidR="00964571" w:rsidRPr="00F81A44" w:rsidRDefault="00964571" w:rsidP="00964571">
      <w:pPr>
        <w:spacing w:before="120"/>
        <w:contextualSpacing/>
        <w:rPr>
          <w:rFonts w:cstheme="minorHAnsi"/>
        </w:rPr>
      </w:pPr>
      <w:r w:rsidRPr="00F81A44">
        <w:rPr>
          <w:rFonts w:cstheme="minorHAnsi"/>
        </w:rPr>
        <w:t xml:space="preserve">In addition to the lodgement of income tax returns, there are three reporting requirements for entities participating in JMEI: </w:t>
      </w:r>
    </w:p>
    <w:p w14:paraId="55B8AA1B" w14:textId="45DCAC04" w:rsidR="00964571" w:rsidRPr="00B43AAC" w:rsidRDefault="00964571" w:rsidP="00964571">
      <w:pPr>
        <w:pStyle w:val="Bullet"/>
        <w:spacing w:before="120" w:line="259" w:lineRule="auto"/>
        <w:contextualSpacing/>
        <w:rPr>
          <w:rFonts w:asciiTheme="minorHAnsi" w:hAnsiTheme="minorHAnsi" w:cstheme="minorHAnsi"/>
          <w:iCs/>
        </w:rPr>
      </w:pPr>
      <w:r w:rsidRPr="00F81A44">
        <w:rPr>
          <w:rFonts w:asciiTheme="minorHAnsi" w:hAnsiTheme="minorHAnsi" w:cstheme="minorHAnsi"/>
          <w:b/>
        </w:rPr>
        <w:t>ATO notification form for the issue or expiry of exploration credits</w:t>
      </w:r>
      <w:r w:rsidRPr="00F81A44">
        <w:rPr>
          <w:rFonts w:asciiTheme="minorHAnsi" w:hAnsiTheme="minorHAnsi" w:cstheme="minorHAnsi"/>
        </w:rPr>
        <w:t xml:space="preserve"> – </w:t>
      </w:r>
      <w:r w:rsidRPr="00B43AAC">
        <w:rPr>
          <w:rFonts w:asciiTheme="minorHAnsi" w:hAnsiTheme="minorHAnsi" w:cstheme="minorHAnsi"/>
          <w:iCs/>
        </w:rPr>
        <w:t>companies participating in JMEI must notify the Commissioner of the amount of exploration credits issued or expired in an income year using this form</w:t>
      </w:r>
      <w:r w:rsidR="00B43AAC">
        <w:rPr>
          <w:rFonts w:asciiTheme="minorHAnsi" w:hAnsiTheme="minorHAnsi" w:cstheme="minorHAnsi"/>
          <w:iCs/>
        </w:rPr>
        <w:t>.</w:t>
      </w:r>
      <w:r w:rsidRPr="00B43AAC">
        <w:rPr>
          <w:rFonts w:asciiTheme="minorHAnsi" w:hAnsiTheme="minorHAnsi" w:cstheme="minorHAnsi"/>
          <w:iCs/>
        </w:rPr>
        <w:t xml:space="preserve"> </w:t>
      </w:r>
    </w:p>
    <w:p w14:paraId="2862BF1A" w14:textId="7D201F68" w:rsidR="00964571" w:rsidRPr="00B43AAC" w:rsidRDefault="00964571" w:rsidP="00964571">
      <w:pPr>
        <w:pStyle w:val="Bullet"/>
        <w:spacing w:before="120" w:line="259" w:lineRule="auto"/>
        <w:ind w:left="522" w:hanging="522"/>
        <w:contextualSpacing/>
        <w:rPr>
          <w:rFonts w:asciiTheme="minorHAnsi" w:hAnsiTheme="minorHAnsi" w:cstheme="minorHAnsi"/>
          <w:iCs/>
        </w:rPr>
      </w:pPr>
      <w:r w:rsidRPr="00B43AAC">
        <w:rPr>
          <w:rFonts w:asciiTheme="minorHAnsi" w:hAnsiTheme="minorHAnsi" w:cstheme="minorHAnsi"/>
          <w:b/>
          <w:iCs/>
        </w:rPr>
        <w:t>ATO Annual Investment Income Report (AIIR)</w:t>
      </w:r>
      <w:r w:rsidRPr="00B43AAC">
        <w:rPr>
          <w:rFonts w:asciiTheme="minorHAnsi" w:hAnsiTheme="minorHAnsi" w:cstheme="minorHAnsi"/>
          <w:iCs/>
        </w:rPr>
        <w:t xml:space="preserve"> – this report collects details of investors who received JMEI exploration credits from companies participating in JMEI</w:t>
      </w:r>
      <w:r w:rsidR="00B43AAC">
        <w:rPr>
          <w:rFonts w:asciiTheme="minorHAnsi" w:hAnsiTheme="minorHAnsi" w:cstheme="minorHAnsi"/>
          <w:iCs/>
        </w:rPr>
        <w:t>. T</w:t>
      </w:r>
      <w:r w:rsidRPr="00B43AAC">
        <w:rPr>
          <w:rFonts w:asciiTheme="minorHAnsi" w:hAnsiTheme="minorHAnsi" w:cstheme="minorHAnsi"/>
          <w:iCs/>
        </w:rPr>
        <w:t>he AIIR is a general ATO report, separate to the JMEI regime, requiring investment bodies to notify their investors’ investment income in certain circumstances</w:t>
      </w:r>
      <w:r w:rsidR="00B43AAC">
        <w:rPr>
          <w:rFonts w:asciiTheme="minorHAnsi" w:hAnsiTheme="minorHAnsi" w:cstheme="minorHAnsi"/>
          <w:iCs/>
        </w:rPr>
        <w:t>.</w:t>
      </w:r>
      <w:r w:rsidRPr="00B43AAC">
        <w:rPr>
          <w:rFonts w:asciiTheme="minorHAnsi" w:hAnsiTheme="minorHAnsi" w:cstheme="minorHAnsi"/>
          <w:iCs/>
        </w:rPr>
        <w:t xml:space="preserve"> </w:t>
      </w:r>
    </w:p>
    <w:p w14:paraId="6F4A147F" w14:textId="77777777" w:rsidR="00964571" w:rsidRPr="00B43AAC" w:rsidRDefault="00964571" w:rsidP="00964571">
      <w:pPr>
        <w:pStyle w:val="Bullet"/>
        <w:spacing w:before="120" w:line="259" w:lineRule="auto"/>
        <w:contextualSpacing/>
        <w:rPr>
          <w:rFonts w:asciiTheme="minorHAnsi" w:hAnsiTheme="minorHAnsi" w:cstheme="minorHAnsi"/>
          <w:iCs/>
        </w:rPr>
      </w:pPr>
      <w:r w:rsidRPr="00B43AAC">
        <w:rPr>
          <w:rFonts w:asciiTheme="minorHAnsi" w:hAnsiTheme="minorHAnsi" w:cstheme="minorHAnsi"/>
          <w:b/>
          <w:iCs/>
        </w:rPr>
        <w:t>ATO excess exploration credit tax return</w:t>
      </w:r>
      <w:r w:rsidRPr="00B43AAC">
        <w:rPr>
          <w:rFonts w:asciiTheme="minorHAnsi" w:hAnsiTheme="minorHAnsi" w:cstheme="minorHAnsi"/>
          <w:iCs/>
        </w:rPr>
        <w:t xml:space="preserve"> – this return is required where a company has distributed exploration credits in excess of their eligible amount. </w:t>
      </w:r>
    </w:p>
    <w:p w14:paraId="080133FE" w14:textId="77777777" w:rsidR="00964571" w:rsidRDefault="00964571" w:rsidP="00964571">
      <w:pPr>
        <w:spacing w:before="120"/>
        <w:contextualSpacing/>
        <w:rPr>
          <w:rFonts w:cstheme="minorHAnsi"/>
        </w:rPr>
      </w:pPr>
      <w:r w:rsidRPr="00F81A44">
        <w:rPr>
          <w:rFonts w:cstheme="minorHAnsi"/>
        </w:rPr>
        <w:t xml:space="preserve">Further detail on these reporting processes </w:t>
      </w:r>
      <w:r>
        <w:rPr>
          <w:rFonts w:cstheme="minorHAnsi"/>
        </w:rPr>
        <w:t>for</w:t>
      </w:r>
      <w:r w:rsidRPr="00F81A44">
        <w:rPr>
          <w:rFonts w:cstheme="minorHAnsi"/>
        </w:rPr>
        <w:t xml:space="preserve"> the 2018-19 JMEI round is provided below. </w:t>
      </w:r>
    </w:p>
    <w:p w14:paraId="31344176" w14:textId="77777777" w:rsidR="00964571" w:rsidRDefault="00964571" w:rsidP="00964571">
      <w:pPr>
        <w:pStyle w:val="Heading3"/>
      </w:pPr>
      <w:bookmarkStart w:id="22" w:name="_Toc121898085"/>
      <w:r>
        <w:t xml:space="preserve">2.2.1 </w:t>
      </w:r>
      <w:r w:rsidRPr="00291529">
        <w:t>Notification of the issue or expiry of exploration credits</w:t>
      </w:r>
      <w:bookmarkEnd w:id="22"/>
    </w:p>
    <w:p w14:paraId="3CC00975" w14:textId="77777777" w:rsidR="00964571" w:rsidRDefault="00964571" w:rsidP="00964571">
      <w:pPr>
        <w:pStyle w:val="Body"/>
        <w:spacing w:before="120"/>
        <w:rPr>
          <w:rFonts w:asciiTheme="minorHAnsi" w:hAnsiTheme="minorHAnsi" w:cstheme="minorHAnsi"/>
        </w:rPr>
      </w:pPr>
      <w:r>
        <w:rPr>
          <w:rFonts w:asciiTheme="minorHAnsi" w:hAnsiTheme="minorHAnsi" w:cstheme="minorHAnsi"/>
        </w:rPr>
        <w:t xml:space="preserve">Of the total 46 successful applicants, </w:t>
      </w:r>
      <w:r w:rsidRPr="00F81A44">
        <w:rPr>
          <w:rFonts w:asciiTheme="minorHAnsi" w:hAnsiTheme="minorHAnsi" w:cstheme="minorHAnsi"/>
        </w:rPr>
        <w:t xml:space="preserve">the ATO received 26 notification forms relating to the issue or expiry of exploration credits for the 2018-19 round (see Table </w:t>
      </w:r>
      <w:r>
        <w:rPr>
          <w:rFonts w:asciiTheme="minorHAnsi" w:hAnsiTheme="minorHAnsi" w:cstheme="minorHAnsi"/>
        </w:rPr>
        <w:t>6</w:t>
      </w:r>
      <w:r w:rsidRPr="00F81A44">
        <w:rPr>
          <w:rFonts w:asciiTheme="minorHAnsi" w:hAnsiTheme="minorHAnsi" w:cstheme="minorHAnsi"/>
        </w:rPr>
        <w:t xml:space="preserve"> below). Of these, 18 forms lodged notified that exploration credits had been issued to investors. </w:t>
      </w:r>
      <w:r>
        <w:rPr>
          <w:rFonts w:asciiTheme="minorHAnsi" w:hAnsiTheme="minorHAnsi" w:cstheme="minorHAnsi"/>
        </w:rPr>
        <w:t>The remaining</w:t>
      </w:r>
      <w:r w:rsidRPr="00F81A44">
        <w:rPr>
          <w:rFonts w:asciiTheme="minorHAnsi" w:hAnsiTheme="minorHAnsi" w:cstheme="minorHAnsi"/>
        </w:rPr>
        <w:t xml:space="preserve"> 8 forms lodged notified that no exploration credits had been issued to investors.</w:t>
      </w:r>
    </w:p>
    <w:p w14:paraId="2E37B32F" w14:textId="77777777" w:rsidR="00964571" w:rsidRPr="00F81A44" w:rsidRDefault="00964571" w:rsidP="00964571">
      <w:pPr>
        <w:pStyle w:val="Body"/>
        <w:spacing w:before="120"/>
        <w:rPr>
          <w:rFonts w:asciiTheme="minorHAnsi" w:hAnsiTheme="minorHAnsi" w:cstheme="minorHAnsi"/>
        </w:rPr>
      </w:pPr>
      <w:r w:rsidRPr="00F81A44">
        <w:rPr>
          <w:rFonts w:asciiTheme="minorHAnsi" w:hAnsiTheme="minorHAnsi" w:cstheme="minorHAnsi"/>
        </w:rPr>
        <w:t xml:space="preserve">Some of the reasons why </w:t>
      </w:r>
      <w:r>
        <w:rPr>
          <w:rFonts w:asciiTheme="minorHAnsi" w:hAnsiTheme="minorHAnsi" w:cstheme="minorHAnsi"/>
        </w:rPr>
        <w:t xml:space="preserve">successful applicants may </w:t>
      </w:r>
      <w:r w:rsidRPr="00F81A44">
        <w:rPr>
          <w:rFonts w:asciiTheme="minorHAnsi" w:hAnsiTheme="minorHAnsi" w:cstheme="minorHAnsi"/>
        </w:rPr>
        <w:t xml:space="preserve">not lodge </w:t>
      </w:r>
      <w:r>
        <w:rPr>
          <w:rFonts w:asciiTheme="minorHAnsi" w:hAnsiTheme="minorHAnsi" w:cstheme="minorHAnsi"/>
        </w:rPr>
        <w:t xml:space="preserve">notification forms </w:t>
      </w:r>
      <w:r w:rsidRPr="00F81A44">
        <w:rPr>
          <w:rFonts w:asciiTheme="minorHAnsi" w:hAnsiTheme="minorHAnsi" w:cstheme="minorHAnsi"/>
        </w:rPr>
        <w:t xml:space="preserve">include: </w:t>
      </w:r>
    </w:p>
    <w:p w14:paraId="29E1D835" w14:textId="77777777" w:rsidR="00964571" w:rsidRPr="00F81A44" w:rsidRDefault="00964571" w:rsidP="00964571">
      <w:pPr>
        <w:pStyle w:val="Body"/>
        <w:numPr>
          <w:ilvl w:val="0"/>
          <w:numId w:val="21"/>
        </w:numPr>
        <w:spacing w:before="120"/>
        <w:ind w:left="714" w:hanging="357"/>
        <w:contextualSpacing/>
        <w:rPr>
          <w:rFonts w:asciiTheme="minorHAnsi" w:hAnsiTheme="minorHAnsi" w:cstheme="minorHAnsi"/>
          <w:b/>
        </w:rPr>
      </w:pPr>
      <w:r w:rsidRPr="00F81A44">
        <w:rPr>
          <w:rFonts w:asciiTheme="minorHAnsi" w:hAnsiTheme="minorHAnsi" w:cstheme="minorHAnsi"/>
        </w:rPr>
        <w:t>Entities participating in JMEI are not required to lodge a notification form if they did not meet the legislative criteria to be able to create exploration credits for an income year. For example, they did not incur greenfields minerals expenditure in the 2018-19 income year.</w:t>
      </w:r>
    </w:p>
    <w:p w14:paraId="583043B1" w14:textId="77777777" w:rsidR="00964571" w:rsidRDefault="00964571" w:rsidP="00964571">
      <w:pPr>
        <w:pStyle w:val="Body"/>
        <w:numPr>
          <w:ilvl w:val="0"/>
          <w:numId w:val="21"/>
        </w:numPr>
        <w:spacing w:before="120"/>
        <w:ind w:left="714" w:hanging="357"/>
        <w:contextualSpacing/>
        <w:rPr>
          <w:rFonts w:asciiTheme="minorHAnsi" w:hAnsiTheme="minorHAnsi" w:cstheme="minorHAnsi"/>
        </w:rPr>
      </w:pPr>
      <w:r w:rsidRPr="00053F25">
        <w:rPr>
          <w:rFonts w:asciiTheme="minorHAnsi" w:hAnsiTheme="minorHAnsi" w:cstheme="minorHAnsi"/>
        </w:rPr>
        <w:t xml:space="preserve">Entities elected not to create any exploration credits. For example, entities instead elected to retain their tax losses. </w:t>
      </w:r>
    </w:p>
    <w:p w14:paraId="4EA1C05B" w14:textId="0F47177A" w:rsidR="00964571" w:rsidRPr="00053F25" w:rsidRDefault="00964571" w:rsidP="00964571">
      <w:pPr>
        <w:pStyle w:val="Body"/>
        <w:numPr>
          <w:ilvl w:val="0"/>
          <w:numId w:val="21"/>
        </w:numPr>
        <w:spacing w:before="120"/>
        <w:ind w:left="714" w:hanging="357"/>
        <w:rPr>
          <w:rFonts w:asciiTheme="minorHAnsi" w:hAnsiTheme="minorHAnsi" w:cstheme="minorHAnsi"/>
        </w:rPr>
      </w:pPr>
      <w:r w:rsidRPr="00053F25">
        <w:rPr>
          <w:rFonts w:asciiTheme="minorHAnsi" w:hAnsiTheme="minorHAnsi" w:cstheme="minorHAnsi"/>
        </w:rPr>
        <w:t xml:space="preserve">Entities were unable to raise any </w:t>
      </w:r>
      <w:r w:rsidR="007B03DB" w:rsidRPr="00053F25">
        <w:rPr>
          <w:rFonts w:asciiTheme="minorHAnsi" w:hAnsiTheme="minorHAnsi" w:cstheme="minorHAnsi"/>
        </w:rPr>
        <w:t>capital,</w:t>
      </w:r>
      <w:r w:rsidRPr="00053F25">
        <w:rPr>
          <w:rFonts w:asciiTheme="minorHAnsi" w:hAnsiTheme="minorHAnsi" w:cstheme="minorHAnsi"/>
        </w:rPr>
        <w:t xml:space="preserve"> or they have ceased operations during the 2018-19 income year. </w:t>
      </w:r>
    </w:p>
    <w:p w14:paraId="2E5D41D8" w14:textId="77777777" w:rsidR="00964571" w:rsidRPr="00F81A44" w:rsidRDefault="00964571" w:rsidP="00964571">
      <w:pPr>
        <w:pStyle w:val="Body"/>
        <w:spacing w:before="120"/>
        <w:rPr>
          <w:rFonts w:asciiTheme="minorHAnsi" w:hAnsiTheme="minorHAnsi" w:cstheme="minorHAnsi"/>
          <w:b/>
        </w:rPr>
      </w:pPr>
      <w:r w:rsidRPr="00F81A44">
        <w:rPr>
          <w:rFonts w:asciiTheme="minorHAnsi" w:hAnsiTheme="minorHAnsi" w:cstheme="minorHAnsi"/>
        </w:rPr>
        <w:t xml:space="preserve">Twenty participants that successfully received an allocation of credits have not lodged the notification form. Through its compliance program, the ATO will seek to gain assurance that the legislative requirements of JMEI are met, including the reporting, lodging and notification requirements. </w:t>
      </w:r>
    </w:p>
    <w:p w14:paraId="4AB3CCB1" w14:textId="07599066" w:rsidR="00964571" w:rsidRDefault="00964571" w:rsidP="00964571">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sidR="00005118">
        <w:rPr>
          <w:noProof/>
        </w:rPr>
        <w:t>:</w:t>
      </w:r>
      <w:r w:rsidRPr="00C731DD">
        <w:t xml:space="preserve"> Notification Forms received by ATO for </w:t>
      </w:r>
      <w:r>
        <w:t xml:space="preserve">2017-18 and </w:t>
      </w:r>
      <w:r w:rsidRPr="00C731DD">
        <w:t xml:space="preserve">2018-19 </w:t>
      </w:r>
      <w:r w:rsidR="00A53665" w:rsidRPr="00C731DD">
        <w:t>round</w:t>
      </w:r>
      <w:r w:rsidR="00A53665">
        <w:t>s.</w:t>
      </w:r>
    </w:p>
    <w:tbl>
      <w:tblPr>
        <w:tblStyle w:val="GridTable4"/>
        <w:tblW w:w="0" w:type="auto"/>
        <w:tblLook w:val="04A0" w:firstRow="1" w:lastRow="0" w:firstColumn="1" w:lastColumn="0" w:noHBand="0" w:noVBand="1"/>
      </w:tblPr>
      <w:tblGrid>
        <w:gridCol w:w="3823"/>
        <w:gridCol w:w="2693"/>
        <w:gridCol w:w="2500"/>
      </w:tblGrid>
      <w:tr w:rsidR="00964571" w:rsidRPr="002B6D34" w14:paraId="371D3D80" w14:textId="77777777" w:rsidTr="000702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3" w:type="dxa"/>
          </w:tcPr>
          <w:p w14:paraId="6EC0783E" w14:textId="77777777" w:rsidR="00964571" w:rsidRPr="002B6D34" w:rsidRDefault="00964571">
            <w:pPr>
              <w:rPr>
                <w:i/>
              </w:rPr>
            </w:pPr>
          </w:p>
        </w:tc>
        <w:tc>
          <w:tcPr>
            <w:tcW w:w="2693" w:type="dxa"/>
          </w:tcPr>
          <w:p w14:paraId="68D1C979" w14:textId="77777777" w:rsidR="00964571" w:rsidRPr="002B6D34" w:rsidRDefault="00964571">
            <w:pPr>
              <w:cnfStyle w:val="100000000000" w:firstRow="1" w:lastRow="0" w:firstColumn="0" w:lastColumn="0" w:oddVBand="0" w:evenVBand="0" w:oddHBand="0" w:evenHBand="0" w:firstRowFirstColumn="0" w:firstRowLastColumn="0" w:lastRowFirstColumn="0" w:lastRowLastColumn="0"/>
            </w:pPr>
            <w:r>
              <w:t>2017-18 income year</w:t>
            </w:r>
          </w:p>
        </w:tc>
        <w:tc>
          <w:tcPr>
            <w:tcW w:w="2500" w:type="dxa"/>
          </w:tcPr>
          <w:p w14:paraId="532B16F9" w14:textId="77777777" w:rsidR="00964571" w:rsidRPr="002B6D34" w:rsidRDefault="00964571">
            <w:pPr>
              <w:cnfStyle w:val="100000000000" w:firstRow="1" w:lastRow="0" w:firstColumn="0" w:lastColumn="0" w:oddVBand="0" w:evenVBand="0" w:oddHBand="0" w:evenHBand="0" w:firstRowFirstColumn="0" w:firstRowLastColumn="0" w:lastRowFirstColumn="0" w:lastRowLastColumn="0"/>
            </w:pPr>
            <w:r w:rsidRPr="002B6D34">
              <w:t>201</w:t>
            </w:r>
            <w:r>
              <w:t>8</w:t>
            </w:r>
            <w:r w:rsidRPr="002B6D34">
              <w:t>-1</w:t>
            </w:r>
            <w:r>
              <w:t>9</w:t>
            </w:r>
            <w:r w:rsidRPr="002B6D34">
              <w:t xml:space="preserve"> income year</w:t>
            </w:r>
          </w:p>
        </w:tc>
      </w:tr>
      <w:tr w:rsidR="00964571" w14:paraId="7DA6DE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7CD38AE" w14:textId="77777777" w:rsidR="00964571" w:rsidRDefault="00964571">
            <w:pPr>
              <w:rPr>
                <w:i/>
                <w:sz w:val="20"/>
                <w:szCs w:val="20"/>
              </w:rPr>
            </w:pPr>
            <w:r w:rsidRPr="007F3633">
              <w:rPr>
                <w:rFonts w:cstheme="minorHAnsi"/>
              </w:rPr>
              <w:t>Applications received</w:t>
            </w:r>
          </w:p>
        </w:tc>
        <w:tc>
          <w:tcPr>
            <w:tcW w:w="2693" w:type="dxa"/>
          </w:tcPr>
          <w:p w14:paraId="17045B9B" w14:textId="77777777" w:rsidR="00964571" w:rsidRPr="00053F25" w:rsidRDefault="0096457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p>
        </w:tc>
        <w:tc>
          <w:tcPr>
            <w:tcW w:w="2500" w:type="dxa"/>
          </w:tcPr>
          <w:p w14:paraId="1D3B0E78" w14:textId="77777777" w:rsidR="00964571" w:rsidRPr="00053F25" w:rsidRDefault="00964571">
            <w:pPr>
              <w:cnfStyle w:val="000000100000" w:firstRow="0" w:lastRow="0" w:firstColumn="0" w:lastColumn="0" w:oddVBand="0" w:evenVBand="0" w:oddHBand="1" w:evenHBand="0" w:firstRowFirstColumn="0" w:firstRowLastColumn="0" w:lastRowFirstColumn="0" w:lastRowLastColumn="0"/>
              <w:rPr>
                <w:sz w:val="20"/>
                <w:szCs w:val="20"/>
              </w:rPr>
            </w:pPr>
            <w:r w:rsidRPr="00053F25">
              <w:rPr>
                <w:sz w:val="20"/>
                <w:szCs w:val="20"/>
              </w:rPr>
              <w:t>63</w:t>
            </w:r>
          </w:p>
        </w:tc>
      </w:tr>
      <w:tr w:rsidR="00964571" w14:paraId="44C5AEE6" w14:textId="77777777">
        <w:tc>
          <w:tcPr>
            <w:cnfStyle w:val="001000000000" w:firstRow="0" w:lastRow="0" w:firstColumn="1" w:lastColumn="0" w:oddVBand="0" w:evenVBand="0" w:oddHBand="0" w:evenHBand="0" w:firstRowFirstColumn="0" w:firstRowLastColumn="0" w:lastRowFirstColumn="0" w:lastRowLastColumn="0"/>
            <w:tcW w:w="3823" w:type="dxa"/>
          </w:tcPr>
          <w:p w14:paraId="05A609E4" w14:textId="77777777" w:rsidR="00964571" w:rsidRDefault="00964571">
            <w:pPr>
              <w:rPr>
                <w:i/>
                <w:sz w:val="20"/>
                <w:szCs w:val="20"/>
              </w:rPr>
            </w:pPr>
            <w:r w:rsidRPr="007F3633">
              <w:rPr>
                <w:rFonts w:cstheme="minorHAnsi"/>
              </w:rPr>
              <w:t xml:space="preserve">Unsuccessful </w:t>
            </w:r>
            <w:r>
              <w:rPr>
                <w:rFonts w:cstheme="minorHAnsi"/>
              </w:rPr>
              <w:t>a</w:t>
            </w:r>
            <w:r w:rsidRPr="007F3633">
              <w:rPr>
                <w:rFonts w:cstheme="minorHAnsi"/>
              </w:rPr>
              <w:t>pplicants</w:t>
            </w:r>
          </w:p>
        </w:tc>
        <w:tc>
          <w:tcPr>
            <w:tcW w:w="2693" w:type="dxa"/>
          </w:tcPr>
          <w:p w14:paraId="4DD62374" w14:textId="77777777" w:rsidR="00964571" w:rsidRPr="00053F25" w:rsidRDefault="0096457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2500" w:type="dxa"/>
          </w:tcPr>
          <w:p w14:paraId="2B1AF8C0" w14:textId="77777777" w:rsidR="00964571" w:rsidRPr="00053F25" w:rsidRDefault="00964571">
            <w:pPr>
              <w:cnfStyle w:val="000000000000" w:firstRow="0" w:lastRow="0" w:firstColumn="0" w:lastColumn="0" w:oddVBand="0" w:evenVBand="0" w:oddHBand="0" w:evenHBand="0" w:firstRowFirstColumn="0" w:firstRowLastColumn="0" w:lastRowFirstColumn="0" w:lastRowLastColumn="0"/>
              <w:rPr>
                <w:sz w:val="20"/>
                <w:szCs w:val="20"/>
              </w:rPr>
            </w:pPr>
            <w:r w:rsidRPr="00053F25">
              <w:rPr>
                <w:sz w:val="20"/>
                <w:szCs w:val="20"/>
              </w:rPr>
              <w:t>17</w:t>
            </w:r>
          </w:p>
        </w:tc>
      </w:tr>
      <w:tr w:rsidR="00964571" w14:paraId="381E3B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ED37C87" w14:textId="77777777" w:rsidR="00964571" w:rsidRDefault="00964571">
            <w:pPr>
              <w:rPr>
                <w:i/>
                <w:sz w:val="20"/>
                <w:szCs w:val="20"/>
              </w:rPr>
            </w:pPr>
            <w:r w:rsidRPr="007F3633">
              <w:rPr>
                <w:rFonts w:cstheme="minorHAnsi"/>
              </w:rPr>
              <w:t xml:space="preserve">Successful </w:t>
            </w:r>
            <w:r>
              <w:rPr>
                <w:rFonts w:cstheme="minorHAnsi"/>
              </w:rPr>
              <w:t>a</w:t>
            </w:r>
            <w:r w:rsidRPr="007F3633">
              <w:rPr>
                <w:rFonts w:cstheme="minorHAnsi"/>
              </w:rPr>
              <w:t>pplicants</w:t>
            </w:r>
          </w:p>
        </w:tc>
        <w:tc>
          <w:tcPr>
            <w:tcW w:w="2693" w:type="dxa"/>
          </w:tcPr>
          <w:p w14:paraId="425D321E" w14:textId="77777777" w:rsidR="00964571" w:rsidRPr="00053F25" w:rsidRDefault="0096457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c>
          <w:tcPr>
            <w:tcW w:w="2500" w:type="dxa"/>
          </w:tcPr>
          <w:p w14:paraId="0C58721B" w14:textId="77777777" w:rsidR="00964571" w:rsidRPr="00053F25" w:rsidRDefault="00964571">
            <w:pPr>
              <w:cnfStyle w:val="000000100000" w:firstRow="0" w:lastRow="0" w:firstColumn="0" w:lastColumn="0" w:oddVBand="0" w:evenVBand="0" w:oddHBand="1" w:evenHBand="0" w:firstRowFirstColumn="0" w:firstRowLastColumn="0" w:lastRowFirstColumn="0" w:lastRowLastColumn="0"/>
              <w:rPr>
                <w:sz w:val="20"/>
                <w:szCs w:val="20"/>
              </w:rPr>
            </w:pPr>
            <w:r w:rsidRPr="00053F25">
              <w:rPr>
                <w:sz w:val="20"/>
                <w:szCs w:val="20"/>
              </w:rPr>
              <w:t>46</w:t>
            </w:r>
          </w:p>
        </w:tc>
      </w:tr>
      <w:tr w:rsidR="00964571" w14:paraId="5C1D8490" w14:textId="77777777">
        <w:tc>
          <w:tcPr>
            <w:cnfStyle w:val="001000000000" w:firstRow="0" w:lastRow="0" w:firstColumn="1" w:lastColumn="0" w:oddVBand="0" w:evenVBand="0" w:oddHBand="0" w:evenHBand="0" w:firstRowFirstColumn="0" w:firstRowLastColumn="0" w:lastRowFirstColumn="0" w:lastRowLastColumn="0"/>
            <w:tcW w:w="3823" w:type="dxa"/>
          </w:tcPr>
          <w:p w14:paraId="7ACBE88A" w14:textId="77777777" w:rsidR="00964571" w:rsidRDefault="00964571">
            <w:pPr>
              <w:rPr>
                <w:i/>
                <w:sz w:val="20"/>
                <w:szCs w:val="20"/>
              </w:rPr>
            </w:pPr>
            <w:r w:rsidRPr="007F3633">
              <w:rPr>
                <w:rFonts w:cstheme="minorHAnsi"/>
              </w:rPr>
              <w:t xml:space="preserve">Of the </w:t>
            </w:r>
            <w:r>
              <w:rPr>
                <w:rFonts w:cstheme="minorHAnsi"/>
              </w:rPr>
              <w:t>s</w:t>
            </w:r>
            <w:r w:rsidRPr="007F3633">
              <w:rPr>
                <w:rFonts w:cstheme="minorHAnsi"/>
              </w:rPr>
              <w:t xml:space="preserve">uccessful </w:t>
            </w:r>
            <w:r>
              <w:rPr>
                <w:rFonts w:cstheme="minorHAnsi"/>
              </w:rPr>
              <w:t>a</w:t>
            </w:r>
            <w:r w:rsidRPr="007F3633">
              <w:rPr>
                <w:rFonts w:cstheme="minorHAnsi"/>
              </w:rPr>
              <w:t>pplicants:</w:t>
            </w:r>
          </w:p>
        </w:tc>
        <w:tc>
          <w:tcPr>
            <w:tcW w:w="2693" w:type="dxa"/>
          </w:tcPr>
          <w:p w14:paraId="7BA4E446" w14:textId="77777777" w:rsidR="00964571" w:rsidRPr="00053F25" w:rsidRDefault="00964571">
            <w:pPr>
              <w:cnfStyle w:val="000000000000" w:firstRow="0" w:lastRow="0" w:firstColumn="0" w:lastColumn="0" w:oddVBand="0" w:evenVBand="0" w:oddHBand="0" w:evenHBand="0" w:firstRowFirstColumn="0" w:firstRowLastColumn="0" w:lastRowFirstColumn="0" w:lastRowLastColumn="0"/>
              <w:rPr>
                <w:sz w:val="20"/>
                <w:szCs w:val="20"/>
              </w:rPr>
            </w:pPr>
          </w:p>
        </w:tc>
        <w:tc>
          <w:tcPr>
            <w:tcW w:w="2500" w:type="dxa"/>
          </w:tcPr>
          <w:p w14:paraId="7FD6523A" w14:textId="77777777" w:rsidR="00964571" w:rsidRPr="00053F25" w:rsidRDefault="00964571">
            <w:pPr>
              <w:cnfStyle w:val="000000000000" w:firstRow="0" w:lastRow="0" w:firstColumn="0" w:lastColumn="0" w:oddVBand="0" w:evenVBand="0" w:oddHBand="0" w:evenHBand="0" w:firstRowFirstColumn="0" w:firstRowLastColumn="0" w:lastRowFirstColumn="0" w:lastRowLastColumn="0"/>
              <w:rPr>
                <w:sz w:val="20"/>
                <w:szCs w:val="20"/>
              </w:rPr>
            </w:pPr>
          </w:p>
        </w:tc>
      </w:tr>
      <w:tr w:rsidR="00964571" w14:paraId="05F97E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3736E23" w14:textId="77777777" w:rsidR="00964571" w:rsidRDefault="00964571">
            <w:pPr>
              <w:rPr>
                <w:i/>
                <w:sz w:val="20"/>
                <w:szCs w:val="20"/>
              </w:rPr>
            </w:pPr>
            <w:r w:rsidRPr="00291529">
              <w:rPr>
                <w:rFonts w:cstheme="minorHAnsi"/>
                <w:bCs w:val="0"/>
              </w:rPr>
              <w:t xml:space="preserve">(a) Notification </w:t>
            </w:r>
            <w:r>
              <w:rPr>
                <w:rFonts w:cstheme="minorHAnsi"/>
                <w:bCs w:val="0"/>
              </w:rPr>
              <w:t>f</w:t>
            </w:r>
            <w:r w:rsidRPr="00291529">
              <w:rPr>
                <w:rFonts w:cstheme="minorHAnsi"/>
                <w:bCs w:val="0"/>
              </w:rPr>
              <w:t>orms received</w:t>
            </w:r>
          </w:p>
        </w:tc>
        <w:tc>
          <w:tcPr>
            <w:tcW w:w="2693" w:type="dxa"/>
          </w:tcPr>
          <w:p w14:paraId="2E552F26" w14:textId="77777777" w:rsidR="00964571" w:rsidRPr="00053F25" w:rsidRDefault="0096457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tc>
        <w:tc>
          <w:tcPr>
            <w:tcW w:w="2500" w:type="dxa"/>
          </w:tcPr>
          <w:p w14:paraId="14FE9727" w14:textId="77777777" w:rsidR="00964571" w:rsidRPr="00053F25" w:rsidRDefault="00964571">
            <w:pPr>
              <w:cnfStyle w:val="000000100000" w:firstRow="0" w:lastRow="0" w:firstColumn="0" w:lastColumn="0" w:oddVBand="0" w:evenVBand="0" w:oddHBand="1" w:evenHBand="0" w:firstRowFirstColumn="0" w:firstRowLastColumn="0" w:lastRowFirstColumn="0" w:lastRowLastColumn="0"/>
              <w:rPr>
                <w:sz w:val="20"/>
                <w:szCs w:val="20"/>
              </w:rPr>
            </w:pPr>
            <w:r w:rsidRPr="00053F25">
              <w:rPr>
                <w:sz w:val="20"/>
                <w:szCs w:val="20"/>
              </w:rPr>
              <w:t>26</w:t>
            </w:r>
          </w:p>
        </w:tc>
      </w:tr>
      <w:tr w:rsidR="00964571" w14:paraId="3AC9DD1D" w14:textId="77777777">
        <w:tc>
          <w:tcPr>
            <w:cnfStyle w:val="001000000000" w:firstRow="0" w:lastRow="0" w:firstColumn="1" w:lastColumn="0" w:oddVBand="0" w:evenVBand="0" w:oddHBand="0" w:evenHBand="0" w:firstRowFirstColumn="0" w:firstRowLastColumn="0" w:lastRowFirstColumn="0" w:lastRowLastColumn="0"/>
            <w:tcW w:w="3823" w:type="dxa"/>
          </w:tcPr>
          <w:p w14:paraId="4F78905C" w14:textId="77777777" w:rsidR="00964571" w:rsidRDefault="00964571">
            <w:pPr>
              <w:rPr>
                <w:i/>
                <w:sz w:val="20"/>
                <w:szCs w:val="20"/>
              </w:rPr>
            </w:pPr>
            <w:r w:rsidRPr="00291529">
              <w:rPr>
                <w:rFonts w:cstheme="minorHAnsi"/>
                <w:bCs w:val="0"/>
              </w:rPr>
              <w:t>(b) Applicants who lodged Notification Forms but did not issue credits</w:t>
            </w:r>
          </w:p>
        </w:tc>
        <w:tc>
          <w:tcPr>
            <w:tcW w:w="2693" w:type="dxa"/>
          </w:tcPr>
          <w:p w14:paraId="5F46E88B" w14:textId="77777777" w:rsidR="00964571" w:rsidRPr="00053F25" w:rsidRDefault="0096457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of 12 (33%)</w:t>
            </w:r>
          </w:p>
        </w:tc>
        <w:tc>
          <w:tcPr>
            <w:tcW w:w="2500" w:type="dxa"/>
          </w:tcPr>
          <w:p w14:paraId="3E541581" w14:textId="77777777" w:rsidR="00964571" w:rsidRPr="00053F25" w:rsidRDefault="00964571">
            <w:pPr>
              <w:cnfStyle w:val="000000000000" w:firstRow="0" w:lastRow="0" w:firstColumn="0" w:lastColumn="0" w:oddVBand="0" w:evenVBand="0" w:oddHBand="0" w:evenHBand="0" w:firstRowFirstColumn="0" w:firstRowLastColumn="0" w:lastRowFirstColumn="0" w:lastRowLastColumn="0"/>
              <w:rPr>
                <w:sz w:val="20"/>
                <w:szCs w:val="20"/>
              </w:rPr>
            </w:pPr>
            <w:r w:rsidRPr="00053F25">
              <w:rPr>
                <w:sz w:val="20"/>
                <w:szCs w:val="20"/>
              </w:rPr>
              <w:t>8 of 26</w:t>
            </w:r>
            <w:r>
              <w:rPr>
                <w:sz w:val="20"/>
                <w:szCs w:val="20"/>
              </w:rPr>
              <w:t xml:space="preserve"> (31%)</w:t>
            </w:r>
          </w:p>
        </w:tc>
      </w:tr>
      <w:tr w:rsidR="00964571" w14:paraId="249EE3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D3486E9" w14:textId="77777777" w:rsidR="00964571" w:rsidRDefault="00964571">
            <w:pPr>
              <w:rPr>
                <w:i/>
                <w:sz w:val="20"/>
                <w:szCs w:val="20"/>
              </w:rPr>
            </w:pPr>
            <w:r w:rsidRPr="00291529">
              <w:rPr>
                <w:rFonts w:cstheme="minorHAnsi"/>
                <w:bCs w:val="0"/>
              </w:rPr>
              <w:lastRenderedPageBreak/>
              <w:t>(c) Applicants who lodged Notification Forms and issued credits</w:t>
            </w:r>
          </w:p>
        </w:tc>
        <w:tc>
          <w:tcPr>
            <w:tcW w:w="2693" w:type="dxa"/>
          </w:tcPr>
          <w:p w14:paraId="13288FA2" w14:textId="77777777" w:rsidR="00964571" w:rsidRPr="00053F25" w:rsidRDefault="0096457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 of 12 (67%)</w:t>
            </w:r>
          </w:p>
        </w:tc>
        <w:tc>
          <w:tcPr>
            <w:tcW w:w="2500" w:type="dxa"/>
          </w:tcPr>
          <w:p w14:paraId="161AFE6A" w14:textId="77777777" w:rsidR="00964571" w:rsidRPr="00053F25" w:rsidRDefault="00964571">
            <w:pPr>
              <w:cnfStyle w:val="000000100000" w:firstRow="0" w:lastRow="0" w:firstColumn="0" w:lastColumn="0" w:oddVBand="0" w:evenVBand="0" w:oddHBand="1" w:evenHBand="0" w:firstRowFirstColumn="0" w:firstRowLastColumn="0" w:lastRowFirstColumn="0" w:lastRowLastColumn="0"/>
              <w:rPr>
                <w:sz w:val="20"/>
                <w:szCs w:val="20"/>
              </w:rPr>
            </w:pPr>
            <w:r w:rsidRPr="00053F25">
              <w:rPr>
                <w:sz w:val="20"/>
                <w:szCs w:val="20"/>
              </w:rPr>
              <w:t>18 of 26</w:t>
            </w:r>
            <w:r>
              <w:rPr>
                <w:sz w:val="20"/>
                <w:szCs w:val="20"/>
              </w:rPr>
              <w:t xml:space="preserve"> (69%)</w:t>
            </w:r>
          </w:p>
        </w:tc>
      </w:tr>
    </w:tbl>
    <w:p w14:paraId="7E9236E5" w14:textId="12056064" w:rsidR="00964571" w:rsidRPr="00291529" w:rsidRDefault="00964571" w:rsidP="00964571">
      <w:pPr>
        <w:rPr>
          <w:i/>
          <w:sz w:val="20"/>
          <w:szCs w:val="20"/>
        </w:rPr>
      </w:pPr>
      <w:r w:rsidRPr="00291529">
        <w:rPr>
          <w:i/>
          <w:sz w:val="20"/>
          <w:szCs w:val="20"/>
        </w:rPr>
        <w:t>Source: Australian Taxation Office</w:t>
      </w:r>
      <w:r w:rsidR="00A53665">
        <w:rPr>
          <w:i/>
          <w:sz w:val="20"/>
          <w:szCs w:val="20"/>
        </w:rPr>
        <w:t>.</w:t>
      </w:r>
    </w:p>
    <w:p w14:paraId="4A50EC79" w14:textId="481335C6" w:rsidR="00964571" w:rsidRPr="00291529" w:rsidRDefault="00964571" w:rsidP="00964571">
      <w:pPr>
        <w:pStyle w:val="Heading3"/>
      </w:pPr>
      <w:bookmarkStart w:id="23" w:name="_Toc121898086"/>
      <w:r>
        <w:t xml:space="preserve">2.2.2 </w:t>
      </w:r>
      <w:r w:rsidRPr="00291529">
        <w:t xml:space="preserve">Annual Investment Income Report (AIIR) </w:t>
      </w:r>
      <w:r w:rsidR="00B43AAC">
        <w:t>l</w:t>
      </w:r>
      <w:r w:rsidRPr="00291529">
        <w:t>odgements</w:t>
      </w:r>
      <w:bookmarkEnd w:id="23"/>
    </w:p>
    <w:p w14:paraId="1D8CAC69" w14:textId="65C63A89" w:rsidR="00964571" w:rsidRDefault="00964571" w:rsidP="00964571">
      <w:pPr>
        <w:spacing w:before="120"/>
        <w:rPr>
          <w:rFonts w:eastAsia="Calibri" w:cstheme="minorHAnsi"/>
        </w:rPr>
      </w:pPr>
      <w:r w:rsidRPr="007F3633">
        <w:rPr>
          <w:rFonts w:eastAsia="Calibri" w:cstheme="minorHAnsi"/>
        </w:rPr>
        <w:t>Investment bodies including financial institutions and public companies are required to lodge an Annual Investment Income Report (AIIR) with the ATO if they meet certain criteria. Entities participating in JMEI are not required to make the relevant JMEI disclosures in the AIIR if they did not meet the legislative criteria to be able to issue exploration credits to investors (</w:t>
      </w:r>
      <w:r w:rsidR="00005118" w:rsidRPr="007F3633">
        <w:rPr>
          <w:rFonts w:eastAsia="Calibri" w:cstheme="minorHAnsi"/>
        </w:rPr>
        <w:t>i.e.,</w:t>
      </w:r>
      <w:r w:rsidRPr="007F3633">
        <w:rPr>
          <w:rFonts w:eastAsia="Calibri" w:cstheme="minorHAnsi"/>
        </w:rPr>
        <w:t xml:space="preserve"> raise capital subsequent to the exploration credits allocation, and conduct exploration).</w:t>
      </w:r>
    </w:p>
    <w:p w14:paraId="38BEF271" w14:textId="77777777" w:rsidR="00964571" w:rsidRPr="007F3633" w:rsidRDefault="00964571" w:rsidP="00964571">
      <w:pPr>
        <w:keepNext/>
        <w:spacing w:before="120"/>
        <w:rPr>
          <w:rFonts w:cstheme="minorHAnsi"/>
        </w:rPr>
      </w:pPr>
      <w:r w:rsidRPr="007F3633">
        <w:rPr>
          <w:rFonts w:eastAsia="Calibri" w:cstheme="minorHAnsi"/>
        </w:rPr>
        <w:t xml:space="preserve">The AIIR provides the following details with respect to investors who have received JMEI exploration credits: </w:t>
      </w:r>
    </w:p>
    <w:p w14:paraId="106798AB" w14:textId="576F421B" w:rsidR="00964571" w:rsidRPr="007F3633" w:rsidRDefault="00964571" w:rsidP="00B43AAC">
      <w:pPr>
        <w:pStyle w:val="Bulletedlist1"/>
        <w:keepNext/>
        <w:numPr>
          <w:ilvl w:val="0"/>
          <w:numId w:val="28"/>
        </w:numPr>
        <w:spacing w:before="120" w:after="160" w:line="259" w:lineRule="auto"/>
        <w:contextualSpacing/>
        <w:rPr>
          <w:rFonts w:eastAsia="Calibri" w:cstheme="minorHAnsi"/>
          <w:color w:val="auto"/>
          <w:szCs w:val="22"/>
        </w:rPr>
      </w:pPr>
      <w:r w:rsidRPr="007F3633">
        <w:rPr>
          <w:rFonts w:eastAsia="Calibri" w:cstheme="minorHAnsi"/>
          <w:color w:val="auto"/>
          <w:szCs w:val="22"/>
        </w:rPr>
        <w:t>Type of investor (company, trust, individual, superfund)</w:t>
      </w:r>
    </w:p>
    <w:p w14:paraId="715893C3" w14:textId="77777777" w:rsidR="00964571" w:rsidRPr="007F3633" w:rsidRDefault="00964571" w:rsidP="00B43AAC">
      <w:pPr>
        <w:pStyle w:val="Bulletedlist1"/>
        <w:numPr>
          <w:ilvl w:val="0"/>
          <w:numId w:val="28"/>
        </w:numPr>
        <w:spacing w:before="120" w:after="160" w:line="259" w:lineRule="auto"/>
        <w:contextualSpacing/>
        <w:rPr>
          <w:rFonts w:eastAsia="Calibri" w:cstheme="minorHAnsi"/>
          <w:color w:val="auto"/>
          <w:szCs w:val="22"/>
        </w:rPr>
      </w:pPr>
      <w:r w:rsidRPr="007F3633">
        <w:rPr>
          <w:rFonts w:eastAsia="Calibri" w:cstheme="minorHAnsi"/>
          <w:color w:val="auto"/>
          <w:szCs w:val="22"/>
        </w:rPr>
        <w:t>Residency status of investor (resident or non-resident).</w:t>
      </w:r>
    </w:p>
    <w:p w14:paraId="6E299028" w14:textId="3C627588" w:rsidR="00964571" w:rsidRDefault="00964571" w:rsidP="00964571">
      <w:pPr>
        <w:pStyle w:val="Body"/>
        <w:spacing w:before="120"/>
        <w:rPr>
          <w:rFonts w:asciiTheme="minorHAnsi" w:hAnsiTheme="minorHAnsi" w:cstheme="minorHAnsi"/>
        </w:rPr>
      </w:pPr>
      <w:r w:rsidRPr="007F3633">
        <w:rPr>
          <w:rFonts w:asciiTheme="minorHAnsi" w:hAnsiTheme="minorHAnsi" w:cstheme="minorHAnsi"/>
        </w:rPr>
        <w:t>The AIIRs for the 2018-19 income year were due for lodgement on 31 October 2020.</w:t>
      </w:r>
      <w:r w:rsidR="009B63C5">
        <w:rPr>
          <w:rFonts w:asciiTheme="minorHAnsi" w:hAnsiTheme="minorHAnsi" w:cstheme="minorHAnsi"/>
        </w:rPr>
        <w:t xml:space="preserve"> </w:t>
      </w:r>
      <w:r w:rsidR="00836B96">
        <w:rPr>
          <w:rFonts w:asciiTheme="minorHAnsi" w:hAnsiTheme="minorHAnsi" w:cstheme="minorHAnsi"/>
        </w:rPr>
        <w:t xml:space="preserve">In total, </w:t>
      </w:r>
      <w:r w:rsidRPr="00181536">
        <w:rPr>
          <w:rFonts w:asciiTheme="minorHAnsi" w:hAnsiTheme="minorHAnsi" w:cstheme="minorHAnsi"/>
        </w:rPr>
        <w:t>12 participants under the 2018-19 round of JMEI lodged AIIRs with</w:t>
      </w:r>
      <w:r w:rsidRPr="007F3633">
        <w:rPr>
          <w:rFonts w:asciiTheme="minorHAnsi" w:hAnsiTheme="minorHAnsi" w:cstheme="minorHAnsi"/>
        </w:rPr>
        <w:t xml:space="preserve"> the ATO. Based on those AIIR lodgements, JMEI credits to the value of $7,779,336 were distributed to investors in 2018-19. JMEI credits distributed to investors in 2018-19 involving mainly individual and company investors (in terms of amount) are shown in Table </w:t>
      </w:r>
      <w:r>
        <w:rPr>
          <w:rFonts w:asciiTheme="minorHAnsi" w:hAnsiTheme="minorHAnsi" w:cstheme="minorHAnsi"/>
        </w:rPr>
        <w:t>7</w:t>
      </w:r>
      <w:r w:rsidRPr="007F3633">
        <w:rPr>
          <w:rFonts w:asciiTheme="minorHAnsi" w:hAnsiTheme="minorHAnsi" w:cstheme="minorHAnsi"/>
        </w:rPr>
        <w:t xml:space="preserve"> below.</w:t>
      </w:r>
    </w:p>
    <w:p w14:paraId="4B8C3329" w14:textId="734F8CCE" w:rsidR="00964571" w:rsidRPr="002825AA" w:rsidRDefault="00964571" w:rsidP="00964571">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sidR="00005118">
        <w:rPr>
          <w:noProof/>
        </w:rPr>
        <w:t>:</w:t>
      </w:r>
      <w:r w:rsidRPr="00C731DD">
        <w:t xml:space="preserve"> Amount of JMEI credits distributed to investors</w:t>
      </w:r>
      <w:r>
        <w:t xml:space="preserve"> in 2018-19 income year</w:t>
      </w:r>
      <w:r w:rsidR="00A53665">
        <w:t>.</w:t>
      </w:r>
      <w:r>
        <w:rPr>
          <w:rStyle w:val="FootnoteReference"/>
        </w:rPr>
        <w:footnoteReference w:id="8"/>
      </w:r>
    </w:p>
    <w:tbl>
      <w:tblPr>
        <w:tblStyle w:val="GridTable4"/>
        <w:tblW w:w="0" w:type="auto"/>
        <w:tblLook w:val="04A0" w:firstRow="1" w:lastRow="0" w:firstColumn="1" w:lastColumn="0" w:noHBand="0" w:noVBand="1"/>
      </w:tblPr>
      <w:tblGrid>
        <w:gridCol w:w="4508"/>
        <w:gridCol w:w="4508"/>
      </w:tblGrid>
      <w:tr w:rsidR="00964571" w14:paraId="52F4C4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5C9383A2" w14:textId="77777777" w:rsidR="00964571" w:rsidRDefault="00964571">
            <w:pPr>
              <w:pStyle w:val="Body"/>
              <w:rPr>
                <w:rFonts w:asciiTheme="minorHAnsi" w:hAnsiTheme="minorHAnsi" w:cstheme="minorHAnsi"/>
              </w:rPr>
            </w:pPr>
            <w:r w:rsidRPr="00C731DD">
              <w:rPr>
                <w:rFonts w:asciiTheme="minorHAnsi" w:hAnsiTheme="minorHAnsi" w:cstheme="minorHAnsi"/>
              </w:rPr>
              <w:t>Entity type</w:t>
            </w:r>
          </w:p>
        </w:tc>
        <w:tc>
          <w:tcPr>
            <w:tcW w:w="4508" w:type="dxa"/>
            <w:vAlign w:val="center"/>
          </w:tcPr>
          <w:p w14:paraId="222DD298" w14:textId="77777777" w:rsidR="00964571" w:rsidRDefault="00964571">
            <w:pPr>
              <w:pStyle w:val="Body"/>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731DD">
              <w:rPr>
                <w:rFonts w:asciiTheme="minorHAnsi" w:hAnsiTheme="minorHAnsi" w:cstheme="minorHAnsi"/>
              </w:rPr>
              <w:t>Amount</w:t>
            </w:r>
          </w:p>
        </w:tc>
      </w:tr>
      <w:tr w:rsidR="00964571" w14:paraId="1EBD82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324F299" w14:textId="77777777" w:rsidR="00964571" w:rsidRDefault="00964571">
            <w:pPr>
              <w:pStyle w:val="Body"/>
              <w:rPr>
                <w:rFonts w:asciiTheme="minorHAnsi" w:hAnsiTheme="minorHAnsi" w:cstheme="minorHAnsi"/>
              </w:rPr>
            </w:pPr>
            <w:r w:rsidRPr="00A50BAA">
              <w:rPr>
                <w:rFonts w:asciiTheme="minorHAnsi" w:eastAsia="Times New Roman" w:hAnsiTheme="minorHAnsi" w:cstheme="minorHAnsi"/>
                <w:b w:val="0"/>
                <w:color w:val="000000"/>
                <w:lang w:eastAsia="en-AU"/>
              </w:rPr>
              <w:t>Company</w:t>
            </w:r>
          </w:p>
        </w:tc>
        <w:tc>
          <w:tcPr>
            <w:tcW w:w="4508" w:type="dxa"/>
          </w:tcPr>
          <w:p w14:paraId="0B7B92DB" w14:textId="77777777" w:rsidR="00964571" w:rsidRDefault="00964571">
            <w:pPr>
              <w:pStyle w:val="Body"/>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50BAA">
              <w:rPr>
                <w:rFonts w:asciiTheme="minorHAnsi" w:eastAsia="Arial" w:hAnsiTheme="minorHAnsi" w:cstheme="minorHAnsi"/>
                <w:color w:val="000000"/>
              </w:rPr>
              <w:t>$3,953,943</w:t>
            </w:r>
          </w:p>
        </w:tc>
      </w:tr>
      <w:tr w:rsidR="00964571" w14:paraId="37DB5D52" w14:textId="77777777">
        <w:tc>
          <w:tcPr>
            <w:cnfStyle w:val="001000000000" w:firstRow="0" w:lastRow="0" w:firstColumn="1" w:lastColumn="0" w:oddVBand="0" w:evenVBand="0" w:oddHBand="0" w:evenHBand="0" w:firstRowFirstColumn="0" w:firstRowLastColumn="0" w:lastRowFirstColumn="0" w:lastRowLastColumn="0"/>
            <w:tcW w:w="4508" w:type="dxa"/>
          </w:tcPr>
          <w:p w14:paraId="674AD347" w14:textId="77777777" w:rsidR="00964571" w:rsidRDefault="00964571">
            <w:pPr>
              <w:pStyle w:val="Body"/>
              <w:rPr>
                <w:rFonts w:asciiTheme="minorHAnsi" w:hAnsiTheme="minorHAnsi" w:cstheme="minorHAnsi"/>
              </w:rPr>
            </w:pPr>
            <w:r w:rsidRPr="00A50BAA">
              <w:rPr>
                <w:rFonts w:asciiTheme="minorHAnsi" w:eastAsia="Times New Roman" w:hAnsiTheme="minorHAnsi" w:cstheme="minorHAnsi"/>
                <w:b w:val="0"/>
                <w:color w:val="000000"/>
                <w:lang w:eastAsia="en-AU"/>
              </w:rPr>
              <w:t>Individual</w:t>
            </w:r>
          </w:p>
        </w:tc>
        <w:tc>
          <w:tcPr>
            <w:tcW w:w="4508" w:type="dxa"/>
          </w:tcPr>
          <w:p w14:paraId="3C983FFB" w14:textId="77777777" w:rsidR="00964571" w:rsidRDefault="00964571">
            <w:pPr>
              <w:pStyle w:val="Body"/>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0BAA">
              <w:rPr>
                <w:rFonts w:asciiTheme="minorHAnsi" w:eastAsia="Arial" w:hAnsiTheme="minorHAnsi" w:cstheme="minorHAnsi"/>
                <w:color w:val="000000"/>
              </w:rPr>
              <w:t>$2,251,337</w:t>
            </w:r>
          </w:p>
        </w:tc>
      </w:tr>
      <w:tr w:rsidR="00964571" w14:paraId="57DA76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597E429" w14:textId="77777777" w:rsidR="00964571" w:rsidRDefault="00964571">
            <w:pPr>
              <w:pStyle w:val="Body"/>
              <w:rPr>
                <w:rFonts w:asciiTheme="minorHAnsi" w:hAnsiTheme="minorHAnsi" w:cstheme="minorHAnsi"/>
              </w:rPr>
            </w:pPr>
            <w:r w:rsidRPr="00A50BAA">
              <w:rPr>
                <w:rFonts w:asciiTheme="minorHAnsi" w:eastAsia="Times New Roman" w:hAnsiTheme="minorHAnsi" w:cstheme="minorHAnsi"/>
                <w:b w:val="0"/>
                <w:color w:val="000000"/>
                <w:lang w:eastAsia="en-AU"/>
              </w:rPr>
              <w:t>Superannuation</w:t>
            </w:r>
          </w:p>
        </w:tc>
        <w:tc>
          <w:tcPr>
            <w:tcW w:w="4508" w:type="dxa"/>
          </w:tcPr>
          <w:p w14:paraId="5F18DCC6" w14:textId="77777777" w:rsidR="00964571" w:rsidRDefault="00964571">
            <w:pPr>
              <w:pStyle w:val="Body"/>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50BAA">
              <w:rPr>
                <w:rFonts w:asciiTheme="minorHAnsi" w:eastAsia="Arial" w:hAnsiTheme="minorHAnsi" w:cstheme="minorHAnsi"/>
                <w:color w:val="000000"/>
              </w:rPr>
              <w:t>$955,111</w:t>
            </w:r>
          </w:p>
        </w:tc>
      </w:tr>
      <w:tr w:rsidR="00964571" w14:paraId="115F09E9" w14:textId="77777777">
        <w:tc>
          <w:tcPr>
            <w:cnfStyle w:val="001000000000" w:firstRow="0" w:lastRow="0" w:firstColumn="1" w:lastColumn="0" w:oddVBand="0" w:evenVBand="0" w:oddHBand="0" w:evenHBand="0" w:firstRowFirstColumn="0" w:firstRowLastColumn="0" w:lastRowFirstColumn="0" w:lastRowLastColumn="0"/>
            <w:tcW w:w="4508" w:type="dxa"/>
          </w:tcPr>
          <w:p w14:paraId="73091BB3" w14:textId="77777777" w:rsidR="00964571" w:rsidRDefault="00964571">
            <w:pPr>
              <w:pStyle w:val="Body"/>
              <w:rPr>
                <w:rFonts w:asciiTheme="minorHAnsi" w:hAnsiTheme="minorHAnsi" w:cstheme="minorHAnsi"/>
              </w:rPr>
            </w:pPr>
            <w:r w:rsidRPr="00A50BAA">
              <w:rPr>
                <w:rFonts w:asciiTheme="minorHAnsi" w:eastAsia="Times New Roman" w:hAnsiTheme="minorHAnsi" w:cstheme="minorHAnsi"/>
                <w:b w:val="0"/>
                <w:color w:val="000000"/>
                <w:lang w:eastAsia="en-AU"/>
              </w:rPr>
              <w:t>Trust</w:t>
            </w:r>
          </w:p>
        </w:tc>
        <w:tc>
          <w:tcPr>
            <w:tcW w:w="4508" w:type="dxa"/>
          </w:tcPr>
          <w:p w14:paraId="3F789E55" w14:textId="77777777" w:rsidR="00964571" w:rsidRDefault="00964571">
            <w:pPr>
              <w:pStyle w:val="Body"/>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0BAA">
              <w:rPr>
                <w:rFonts w:asciiTheme="minorHAnsi" w:eastAsia="Arial" w:hAnsiTheme="minorHAnsi" w:cstheme="minorHAnsi"/>
                <w:color w:val="000000"/>
              </w:rPr>
              <w:t>$612,594</w:t>
            </w:r>
          </w:p>
        </w:tc>
      </w:tr>
      <w:tr w:rsidR="00964571" w14:paraId="12970E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60BD9C2" w14:textId="77777777" w:rsidR="00964571" w:rsidRPr="00A50BAA" w:rsidRDefault="00964571">
            <w:pPr>
              <w:pStyle w:val="Body"/>
              <w:rPr>
                <w:rFonts w:asciiTheme="minorHAnsi" w:eastAsia="Times New Roman" w:hAnsiTheme="minorHAnsi" w:cstheme="minorHAnsi"/>
                <w:color w:val="000000"/>
                <w:lang w:eastAsia="en-AU"/>
              </w:rPr>
            </w:pPr>
            <w:r w:rsidRPr="00A50BAA">
              <w:rPr>
                <w:rFonts w:asciiTheme="minorHAnsi" w:eastAsia="Times New Roman" w:hAnsiTheme="minorHAnsi" w:cstheme="minorHAnsi"/>
                <w:b w:val="0"/>
                <w:color w:val="000000"/>
                <w:lang w:eastAsia="en-AU"/>
              </w:rPr>
              <w:t>Other</w:t>
            </w:r>
          </w:p>
        </w:tc>
        <w:tc>
          <w:tcPr>
            <w:tcW w:w="4508" w:type="dxa"/>
          </w:tcPr>
          <w:p w14:paraId="0FAD9E1A" w14:textId="77777777" w:rsidR="00964571" w:rsidRPr="00A50BAA" w:rsidRDefault="00964571">
            <w:pPr>
              <w:pStyle w:val="Body"/>
              <w:jc w:val="right"/>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000000"/>
              </w:rPr>
            </w:pPr>
            <w:r w:rsidRPr="00A50BAA">
              <w:rPr>
                <w:rFonts w:asciiTheme="minorHAnsi" w:eastAsia="Arial" w:hAnsiTheme="minorHAnsi" w:cstheme="minorHAnsi"/>
                <w:color w:val="000000"/>
              </w:rPr>
              <w:t>$6,351</w:t>
            </w:r>
          </w:p>
        </w:tc>
      </w:tr>
      <w:tr w:rsidR="00964571" w14:paraId="154B5167" w14:textId="77777777">
        <w:tc>
          <w:tcPr>
            <w:cnfStyle w:val="001000000000" w:firstRow="0" w:lastRow="0" w:firstColumn="1" w:lastColumn="0" w:oddVBand="0" w:evenVBand="0" w:oddHBand="0" w:evenHBand="0" w:firstRowFirstColumn="0" w:firstRowLastColumn="0" w:lastRowFirstColumn="0" w:lastRowLastColumn="0"/>
            <w:tcW w:w="4508" w:type="dxa"/>
          </w:tcPr>
          <w:p w14:paraId="4822B9DC" w14:textId="77777777" w:rsidR="00964571" w:rsidRPr="00A50BAA" w:rsidRDefault="00964571">
            <w:pPr>
              <w:pStyle w:val="Body"/>
              <w:rPr>
                <w:rFonts w:asciiTheme="minorHAnsi" w:eastAsia="Times New Roman" w:hAnsiTheme="minorHAnsi" w:cstheme="minorHAnsi"/>
                <w:color w:val="000000"/>
                <w:lang w:eastAsia="en-AU"/>
              </w:rPr>
            </w:pPr>
            <w:r w:rsidRPr="00A50BAA">
              <w:rPr>
                <w:rFonts w:asciiTheme="minorHAnsi" w:eastAsia="Times New Roman" w:hAnsiTheme="minorHAnsi" w:cstheme="minorHAnsi"/>
                <w:color w:val="000000"/>
                <w:lang w:eastAsia="en-AU"/>
              </w:rPr>
              <w:t>Grand Total</w:t>
            </w:r>
          </w:p>
        </w:tc>
        <w:tc>
          <w:tcPr>
            <w:tcW w:w="4508" w:type="dxa"/>
          </w:tcPr>
          <w:p w14:paraId="77410AE1" w14:textId="77777777" w:rsidR="00964571" w:rsidRPr="00A50BAA" w:rsidRDefault="00964571">
            <w:pPr>
              <w:pStyle w:val="Body"/>
              <w:jc w:val="righ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rPr>
            </w:pPr>
            <w:r w:rsidRPr="00A50BAA">
              <w:rPr>
                <w:rFonts w:asciiTheme="minorHAnsi" w:eastAsia="Arial" w:hAnsiTheme="minorHAnsi" w:cstheme="minorHAnsi"/>
                <w:b/>
                <w:bCs/>
                <w:color w:val="000000"/>
              </w:rPr>
              <w:t>$7,779,336</w:t>
            </w:r>
          </w:p>
        </w:tc>
      </w:tr>
    </w:tbl>
    <w:p w14:paraId="057E930B" w14:textId="4DD9A8AE" w:rsidR="00964571" w:rsidRPr="00291529" w:rsidRDefault="00964571" w:rsidP="00964571">
      <w:pPr>
        <w:rPr>
          <w:i/>
          <w:sz w:val="20"/>
          <w:szCs w:val="20"/>
        </w:rPr>
      </w:pPr>
      <w:r w:rsidRPr="00291529">
        <w:rPr>
          <w:i/>
          <w:sz w:val="20"/>
          <w:szCs w:val="20"/>
        </w:rPr>
        <w:t>Source: Australian Taxation Office</w:t>
      </w:r>
      <w:r w:rsidR="00A53665">
        <w:rPr>
          <w:i/>
          <w:sz w:val="20"/>
          <w:szCs w:val="20"/>
        </w:rPr>
        <w:t>.</w:t>
      </w:r>
    </w:p>
    <w:p w14:paraId="63DBD06E" w14:textId="77777777" w:rsidR="00964571" w:rsidRPr="007F3633" w:rsidRDefault="00964571" w:rsidP="00964571">
      <w:pPr>
        <w:pStyle w:val="Body"/>
        <w:spacing w:before="120"/>
        <w:rPr>
          <w:rFonts w:asciiTheme="minorHAnsi" w:hAnsiTheme="minorHAnsi" w:cstheme="minorHAnsi"/>
        </w:rPr>
      </w:pPr>
      <w:r w:rsidRPr="007F3633">
        <w:rPr>
          <w:rFonts w:asciiTheme="minorHAnsi" w:hAnsiTheme="minorHAnsi" w:cstheme="minorHAnsi"/>
        </w:rPr>
        <w:t>Per the AIIR lodgements, 2,632 investors indicated they were Australian residents and received a total of $7,539,831 of JMEI credits.</w:t>
      </w:r>
      <w:r>
        <w:rPr>
          <w:rFonts w:asciiTheme="minorHAnsi" w:hAnsiTheme="minorHAnsi" w:cstheme="minorHAnsi"/>
        </w:rPr>
        <w:t xml:space="preserve"> This is an increase from the 1,128 investors receiving $3,163,488 JMEI credits in the 2017-18 round.</w:t>
      </w:r>
      <w:r w:rsidRPr="007F3633">
        <w:rPr>
          <w:rFonts w:asciiTheme="minorHAnsi" w:hAnsiTheme="minorHAnsi" w:cstheme="minorHAnsi"/>
        </w:rPr>
        <w:t xml:space="preserve"> 53 of the investors indicated that they were non-residents and received a total of $239,505 of JMEI credits. As a result of these credits being issued to non-resident investors, they were therefore unable to claim them as tax offsets</w:t>
      </w:r>
      <w:r w:rsidRPr="00181536">
        <w:rPr>
          <w:rFonts w:asciiTheme="minorHAnsi" w:hAnsiTheme="minorHAnsi" w:cstheme="minorHAnsi"/>
        </w:rPr>
        <w:t>.</w:t>
      </w:r>
    </w:p>
    <w:p w14:paraId="02D7F816" w14:textId="77777777" w:rsidR="00964571" w:rsidRPr="00E97D20" w:rsidRDefault="00964571" w:rsidP="00964571">
      <w:pPr>
        <w:pStyle w:val="Heading3"/>
      </w:pPr>
      <w:bookmarkStart w:id="24" w:name="_Toc90974998"/>
      <w:bookmarkStart w:id="25" w:name="_Toc121898087"/>
      <w:r>
        <w:t>2.2.3. Excess exploration credit tax return</w:t>
      </w:r>
      <w:bookmarkEnd w:id="24"/>
      <w:bookmarkEnd w:id="25"/>
      <w:r>
        <w:t xml:space="preserve"> </w:t>
      </w:r>
    </w:p>
    <w:p w14:paraId="32551B97" w14:textId="77777777" w:rsidR="00964571" w:rsidRPr="007F3633" w:rsidRDefault="00964571" w:rsidP="00964571">
      <w:pPr>
        <w:pStyle w:val="Body"/>
        <w:spacing w:before="120"/>
        <w:rPr>
          <w:rFonts w:asciiTheme="minorHAnsi" w:hAnsiTheme="minorHAnsi" w:cstheme="minorHAnsi"/>
        </w:rPr>
      </w:pPr>
      <w:r>
        <w:rPr>
          <w:rFonts w:asciiTheme="minorHAnsi" w:hAnsiTheme="minorHAnsi" w:cstheme="minorHAnsi"/>
        </w:rPr>
        <w:t>T</w:t>
      </w:r>
      <w:r w:rsidRPr="007F3633">
        <w:rPr>
          <w:rFonts w:asciiTheme="minorHAnsi" w:hAnsiTheme="minorHAnsi" w:cstheme="minorHAnsi"/>
        </w:rPr>
        <w:t>he ATO have not received any excess exploration credit tax returns for the 2018-19 JMEI round.</w:t>
      </w:r>
      <w:r>
        <w:rPr>
          <w:rFonts w:asciiTheme="minorHAnsi" w:hAnsiTheme="minorHAnsi" w:cstheme="minorHAnsi"/>
        </w:rPr>
        <w:t xml:space="preserve"> </w:t>
      </w:r>
      <w:r w:rsidRPr="0031160A">
        <w:rPr>
          <w:rFonts w:asciiTheme="minorHAnsi" w:hAnsiTheme="minorHAnsi" w:cstheme="minorHAnsi"/>
        </w:rPr>
        <w:t>If entities participating in JMEI did not distribute exploration credits in excess of their eligible amount, they are not required to lodge an excess exploration credit tax return. The ATO will seek, through its compliance program</w:t>
      </w:r>
      <w:r>
        <w:rPr>
          <w:rFonts w:asciiTheme="minorHAnsi" w:hAnsiTheme="minorHAnsi" w:cstheme="minorHAnsi"/>
        </w:rPr>
        <w:t>,</w:t>
      </w:r>
      <w:r w:rsidRPr="0031160A">
        <w:rPr>
          <w:rFonts w:asciiTheme="minorHAnsi" w:hAnsiTheme="minorHAnsi" w:cstheme="minorHAnsi"/>
        </w:rPr>
        <w:t xml:space="preserve"> to review selected JMEI participants to check that any exploration credits were distributed in line with legislative requirements.</w:t>
      </w:r>
      <w:r>
        <w:rPr>
          <w:rFonts w:asciiTheme="minorHAnsi" w:hAnsiTheme="minorHAnsi" w:cstheme="minorHAnsi"/>
        </w:rPr>
        <w:t xml:space="preserve"> </w:t>
      </w:r>
    </w:p>
    <w:p w14:paraId="06104129" w14:textId="77777777" w:rsidR="00964571" w:rsidRPr="00C731DD" w:rsidRDefault="00964571" w:rsidP="00964571">
      <w:pPr>
        <w:pStyle w:val="Heading1"/>
      </w:pPr>
      <w:bookmarkStart w:id="26" w:name="_Toc90974999"/>
      <w:bookmarkStart w:id="27" w:name="_Toc121898088"/>
      <w:r>
        <w:lastRenderedPageBreak/>
        <w:t xml:space="preserve">3. </w:t>
      </w:r>
      <w:r w:rsidRPr="00C731DD">
        <w:t>Additional exploration or prospecting attributable to JMEI for the 2018-19 round</w:t>
      </w:r>
      <w:bookmarkEnd w:id="26"/>
      <w:bookmarkEnd w:id="27"/>
    </w:p>
    <w:p w14:paraId="38A06915" w14:textId="77777777" w:rsidR="00964571" w:rsidRDefault="00964571" w:rsidP="00964571">
      <w:pPr>
        <w:spacing w:before="120"/>
        <w:rPr>
          <w:rFonts w:cstheme="minorHAnsi"/>
        </w:rPr>
      </w:pPr>
      <w:r w:rsidRPr="00EA17C1">
        <w:rPr>
          <w:rFonts w:cstheme="minorHAnsi"/>
        </w:rPr>
        <w:t xml:space="preserve">Under JMEI, participants are required to successfully raise capital in order to </w:t>
      </w:r>
      <w:r>
        <w:rPr>
          <w:rFonts w:cstheme="minorHAnsi"/>
        </w:rPr>
        <w:t>issue</w:t>
      </w:r>
      <w:r w:rsidRPr="00EA17C1">
        <w:rPr>
          <w:rFonts w:cstheme="minorHAnsi"/>
        </w:rPr>
        <w:t xml:space="preserve"> JMEI credits. </w:t>
      </w:r>
      <w:r>
        <w:rPr>
          <w:rFonts w:cstheme="minorHAnsi"/>
        </w:rPr>
        <w:t>O</w:t>
      </w:r>
      <w:r w:rsidRPr="00EA17C1">
        <w:rPr>
          <w:rFonts w:cstheme="minorHAnsi"/>
        </w:rPr>
        <w:t>f the 46 succes</w:t>
      </w:r>
      <w:r w:rsidRPr="00891B99">
        <w:rPr>
          <w:rFonts w:cstheme="minorHAnsi"/>
        </w:rPr>
        <w:t>sful participants in the 2018-19 round, 38 participants raised a combined $125,380,613</w:t>
      </w:r>
      <w:r w:rsidRPr="00891B99">
        <w:rPr>
          <w:rStyle w:val="FootnoteReference"/>
          <w:rFonts w:cstheme="minorHAnsi"/>
        </w:rPr>
        <w:footnoteReference w:id="9"/>
      </w:r>
      <w:r w:rsidRPr="00891B99">
        <w:rPr>
          <w:rFonts w:cstheme="minorHAnsi"/>
        </w:rPr>
        <w:t xml:space="preserve"> in</w:t>
      </w:r>
      <w:r w:rsidRPr="00EA17C1">
        <w:rPr>
          <w:rFonts w:cstheme="minorHAnsi"/>
        </w:rPr>
        <w:t xml:space="preserve"> capital following receipt of their exploration credit allocation.</w:t>
      </w:r>
      <w:r>
        <w:rPr>
          <w:rFonts w:cstheme="minorHAnsi"/>
        </w:rPr>
        <w:t xml:space="preserve"> This is an increase over the previous 2017-18 round where 12 of 23 successful participants raised $12.2 million.</w:t>
      </w:r>
      <w:r w:rsidRPr="00EA17C1">
        <w:rPr>
          <w:rFonts w:cstheme="minorHAnsi"/>
        </w:rPr>
        <w:t xml:space="preserve"> The remaining </w:t>
      </w:r>
      <w:r>
        <w:rPr>
          <w:rFonts w:cstheme="minorHAnsi"/>
        </w:rPr>
        <w:t>eight</w:t>
      </w:r>
      <w:r w:rsidRPr="00EA17C1">
        <w:rPr>
          <w:rFonts w:cstheme="minorHAnsi"/>
        </w:rPr>
        <w:t xml:space="preserve"> participants that received an allocation in the 2018-19 round from the Commissioner did not raise any capital in the 2018-19 income year. </w:t>
      </w:r>
    </w:p>
    <w:p w14:paraId="7CEC2464" w14:textId="7503D999" w:rsidR="00964571" w:rsidRDefault="00964571" w:rsidP="00964571">
      <w:pPr>
        <w:spacing w:before="120"/>
        <w:rPr>
          <w:rFonts w:cstheme="minorHAnsi"/>
        </w:rPr>
      </w:pPr>
      <w:r w:rsidRPr="00181536">
        <w:rPr>
          <w:rFonts w:cstheme="minorHAnsi"/>
        </w:rPr>
        <w:t xml:space="preserve">During the 2018-19 income year, JMEI participants raised </w:t>
      </w:r>
      <w:r w:rsidR="00F70AAA">
        <w:rPr>
          <w:rFonts w:cstheme="minorHAnsi"/>
        </w:rPr>
        <w:t>over</w:t>
      </w:r>
      <w:r w:rsidRPr="00181536">
        <w:rPr>
          <w:rFonts w:cstheme="minorHAnsi"/>
        </w:rPr>
        <w:t xml:space="preserve"> $125 million in capital for investment in </w:t>
      </w:r>
      <w:r w:rsidR="00F70AAA">
        <w:rPr>
          <w:rFonts w:cstheme="minorHAnsi"/>
        </w:rPr>
        <w:t xml:space="preserve">greenfields </w:t>
      </w:r>
      <w:r w:rsidRPr="00181536">
        <w:rPr>
          <w:rFonts w:cstheme="minorHAnsi"/>
        </w:rPr>
        <w:t>minerals exploration</w:t>
      </w:r>
      <w:r w:rsidR="00F70AAA">
        <w:rPr>
          <w:rFonts w:cstheme="minorHAnsi"/>
        </w:rPr>
        <w:t xml:space="preserve">, </w:t>
      </w:r>
      <w:r w:rsidRPr="00181536">
        <w:rPr>
          <w:rFonts w:cstheme="minorHAnsi"/>
        </w:rPr>
        <w:t xml:space="preserve">2,632 </w:t>
      </w:r>
      <w:r w:rsidR="00F70AAA">
        <w:rPr>
          <w:rFonts w:cstheme="minorHAnsi"/>
        </w:rPr>
        <w:t xml:space="preserve">Australian </w:t>
      </w:r>
      <w:r w:rsidRPr="00181536">
        <w:rPr>
          <w:rFonts w:cstheme="minorHAnsi"/>
        </w:rPr>
        <w:t xml:space="preserve">investors </w:t>
      </w:r>
      <w:r w:rsidR="00F70AAA">
        <w:rPr>
          <w:rFonts w:cstheme="minorHAnsi"/>
        </w:rPr>
        <w:t xml:space="preserve">receiving </w:t>
      </w:r>
      <w:r w:rsidRPr="00181536">
        <w:rPr>
          <w:rFonts w:cstheme="minorHAnsi"/>
        </w:rPr>
        <w:t>a total of $7,539,831 of JMEI credits.</w:t>
      </w:r>
      <w:r>
        <w:rPr>
          <w:rFonts w:cstheme="minorHAnsi"/>
        </w:rPr>
        <w:t xml:space="preserve"> </w:t>
      </w:r>
      <w:r w:rsidR="00F70AAA">
        <w:rPr>
          <w:rFonts w:cstheme="minorHAnsi"/>
        </w:rPr>
        <w:t>Gi</w:t>
      </w:r>
      <w:r w:rsidR="00F70AAA" w:rsidRPr="00F70AAA">
        <w:rPr>
          <w:rFonts w:cstheme="minorHAnsi"/>
        </w:rPr>
        <w:t>ven data limitations and the variety of factors that influence an entity’s ability to raise capital for exploration or prospecting, it is not possible to quantify the additional exploration or prospecting</w:t>
      </w:r>
      <w:r w:rsidR="00653CB8">
        <w:rPr>
          <w:rFonts w:cstheme="minorHAnsi"/>
        </w:rPr>
        <w:t xml:space="preserve"> directly</w:t>
      </w:r>
      <w:r w:rsidR="00F70AAA" w:rsidRPr="00F70AAA">
        <w:rPr>
          <w:rFonts w:cstheme="minorHAnsi"/>
        </w:rPr>
        <w:t xml:space="preserve"> attributable to participation in the JMEI. </w:t>
      </w:r>
      <w:r>
        <w:rPr>
          <w:rFonts w:cstheme="minorHAnsi"/>
        </w:rPr>
        <w:t>However, demand</w:t>
      </w:r>
      <w:r w:rsidR="00D42013">
        <w:rPr>
          <w:rFonts w:cstheme="minorHAnsi"/>
        </w:rPr>
        <w:t xml:space="preserve"> amongst junior exploration companies</w:t>
      </w:r>
      <w:r w:rsidR="00364239">
        <w:rPr>
          <w:rFonts w:cstheme="minorHAnsi"/>
        </w:rPr>
        <w:t xml:space="preserve"> through the 2018-19 JMEI round was</w:t>
      </w:r>
      <w:r>
        <w:rPr>
          <w:rFonts w:cstheme="minorHAnsi"/>
        </w:rPr>
        <w:t xml:space="preserve"> strong.</w:t>
      </w:r>
    </w:p>
    <w:p w14:paraId="0A3D0166" w14:textId="5DF29404" w:rsidR="00964571" w:rsidRPr="00C731DD" w:rsidRDefault="00964571" w:rsidP="00964571">
      <w:pPr>
        <w:pStyle w:val="Heading1"/>
      </w:pPr>
      <w:bookmarkStart w:id="28" w:name="_Toc90975000"/>
      <w:bookmarkStart w:id="29" w:name="_Toc121898089"/>
      <w:r w:rsidRPr="00C731DD">
        <w:t xml:space="preserve">4. Public </w:t>
      </w:r>
      <w:r w:rsidR="00B43AAC">
        <w:t>c</w:t>
      </w:r>
      <w:r w:rsidRPr="00C731DD">
        <w:t>onsultation</w:t>
      </w:r>
      <w:bookmarkEnd w:id="28"/>
      <w:bookmarkEnd w:id="29"/>
    </w:p>
    <w:p w14:paraId="616B5D46" w14:textId="77777777" w:rsidR="00964571" w:rsidRPr="00EA17C1" w:rsidRDefault="00964571" w:rsidP="00964571">
      <w:pPr>
        <w:spacing w:before="120"/>
        <w:rPr>
          <w:rFonts w:cstheme="minorHAnsi"/>
        </w:rPr>
      </w:pPr>
      <w:r w:rsidRPr="00EA17C1">
        <w:rPr>
          <w:rFonts w:cstheme="minorHAnsi"/>
        </w:rPr>
        <w:t xml:space="preserve">The </w:t>
      </w:r>
      <w:r>
        <w:rPr>
          <w:rFonts w:cstheme="minorHAnsi"/>
        </w:rPr>
        <w:t>public consultation for the 2018-19</w:t>
      </w:r>
      <w:r w:rsidRPr="00EA17C1">
        <w:rPr>
          <w:rFonts w:cstheme="minorHAnsi"/>
        </w:rPr>
        <w:t xml:space="preserve"> round opened on 16 September 2021 </w:t>
      </w:r>
      <w:r>
        <w:rPr>
          <w:rFonts w:cstheme="minorHAnsi"/>
        </w:rPr>
        <w:t>and closed on</w:t>
      </w:r>
      <w:r w:rsidRPr="00EA17C1">
        <w:rPr>
          <w:rFonts w:cstheme="minorHAnsi"/>
        </w:rPr>
        <w:t xml:space="preserve"> 27</w:t>
      </w:r>
      <w:r>
        <w:rPr>
          <w:rFonts w:cstheme="minorHAnsi"/>
        </w:rPr>
        <w:t> </w:t>
      </w:r>
      <w:r w:rsidRPr="00EA17C1">
        <w:rPr>
          <w:rFonts w:cstheme="minorHAnsi"/>
        </w:rPr>
        <w:t>October</w:t>
      </w:r>
      <w:r>
        <w:rPr>
          <w:rFonts w:cstheme="minorHAnsi"/>
        </w:rPr>
        <w:t> </w:t>
      </w:r>
      <w:r w:rsidRPr="00EA17C1">
        <w:rPr>
          <w:rFonts w:cstheme="minorHAnsi"/>
        </w:rPr>
        <w:t xml:space="preserve">2021. The discussion paper for that consultation is on the Department’s website: </w:t>
      </w:r>
      <w:hyperlink r:id="rId15" w:history="1">
        <w:r w:rsidRPr="00EA17C1">
          <w:rPr>
            <w:rStyle w:val="Hyperlink"/>
            <w:rFonts w:cstheme="minorHAnsi"/>
          </w:rPr>
          <w:t>https://consult.industry.gov.au/junior-minerals-exploration-incentive</w:t>
        </w:r>
      </w:hyperlink>
      <w:r w:rsidRPr="00EA17C1">
        <w:rPr>
          <w:rStyle w:val="Hyperlink"/>
          <w:rFonts w:cstheme="minorHAnsi"/>
        </w:rPr>
        <w:t xml:space="preserve">. </w:t>
      </w:r>
      <w:r w:rsidRPr="00EA17C1">
        <w:rPr>
          <w:rFonts w:cstheme="minorHAnsi"/>
        </w:rPr>
        <w:t>Two submissions were received</w:t>
      </w:r>
      <w:r>
        <w:rPr>
          <w:rFonts w:cstheme="minorHAnsi"/>
        </w:rPr>
        <w:t>, both</w:t>
      </w:r>
      <w:r w:rsidRPr="00EA17C1">
        <w:rPr>
          <w:rFonts w:cstheme="minorHAnsi"/>
        </w:rPr>
        <w:t xml:space="preserve"> from JMEI participants. </w:t>
      </w:r>
    </w:p>
    <w:p w14:paraId="6EE6419C" w14:textId="77777777" w:rsidR="00964571" w:rsidRPr="00EA17C1" w:rsidRDefault="00964571" w:rsidP="00964571">
      <w:pPr>
        <w:spacing w:before="120"/>
        <w:rPr>
          <w:rFonts w:cstheme="minorHAnsi"/>
        </w:rPr>
      </w:pPr>
      <w:r w:rsidRPr="00EA17C1">
        <w:rPr>
          <w:rFonts w:cstheme="minorHAnsi"/>
        </w:rPr>
        <w:t>The public consultation posed two questions to participants:</w:t>
      </w:r>
    </w:p>
    <w:p w14:paraId="126FEF31" w14:textId="77777777" w:rsidR="00964571" w:rsidRPr="00EA17C1" w:rsidRDefault="00964571" w:rsidP="00964571">
      <w:pPr>
        <w:pStyle w:val="ListParagraph"/>
        <w:numPr>
          <w:ilvl w:val="0"/>
          <w:numId w:val="24"/>
        </w:numPr>
        <w:spacing w:before="120"/>
        <w:rPr>
          <w:rFonts w:cstheme="minorHAnsi"/>
        </w:rPr>
      </w:pPr>
      <w:r w:rsidRPr="00EA17C1">
        <w:rPr>
          <w:rFonts w:cstheme="minorHAnsi"/>
        </w:rPr>
        <w:t xml:space="preserve">To what extent did the 2018-19 income year round of the Junior Minerals Exploration Incentive generate additional exploration or prospecting activity? </w:t>
      </w:r>
    </w:p>
    <w:p w14:paraId="6B37E578" w14:textId="77777777" w:rsidR="00964571" w:rsidRPr="00EA17C1" w:rsidRDefault="00964571" w:rsidP="00964571">
      <w:pPr>
        <w:pStyle w:val="ListParagraph"/>
        <w:numPr>
          <w:ilvl w:val="0"/>
          <w:numId w:val="24"/>
        </w:numPr>
        <w:spacing w:before="120"/>
        <w:rPr>
          <w:rFonts w:cstheme="minorHAnsi"/>
        </w:rPr>
      </w:pPr>
      <w:r w:rsidRPr="00EA17C1">
        <w:rPr>
          <w:rFonts w:cstheme="minorHAnsi"/>
        </w:rPr>
        <w:t xml:space="preserve">Apart from the data presented, what other evidence is available to assess the impact of the 2018-19 income year round of the Junior Minerals Exploration Incentive on exploration or prospecting activity? </w:t>
      </w:r>
    </w:p>
    <w:p w14:paraId="5A6B0F0C" w14:textId="579D75C0" w:rsidR="00964571" w:rsidRPr="00766064" w:rsidRDefault="00964571" w:rsidP="00964571">
      <w:pPr>
        <w:pStyle w:val="Heading2"/>
      </w:pPr>
      <w:bookmarkStart w:id="30" w:name="_Toc90975001"/>
      <w:bookmarkStart w:id="31" w:name="_Toc121898090"/>
      <w:r>
        <w:t>4</w:t>
      </w:r>
      <w:r w:rsidRPr="00766064">
        <w:t xml:space="preserve">.1 </w:t>
      </w:r>
      <w:r>
        <w:t>Stakeholder</w:t>
      </w:r>
      <w:r w:rsidRPr="00766064">
        <w:t xml:space="preserve"> </w:t>
      </w:r>
      <w:r w:rsidR="00B43AAC">
        <w:t>f</w:t>
      </w:r>
      <w:r w:rsidRPr="00766064">
        <w:t>eedback</w:t>
      </w:r>
      <w:bookmarkEnd w:id="30"/>
      <w:bookmarkEnd w:id="31"/>
    </w:p>
    <w:p w14:paraId="582D3346" w14:textId="77777777" w:rsidR="00964571" w:rsidRPr="00EA17C1" w:rsidRDefault="00964571" w:rsidP="00964571">
      <w:pPr>
        <w:spacing w:before="120"/>
        <w:rPr>
          <w:rFonts w:cstheme="minorHAnsi"/>
        </w:rPr>
      </w:pPr>
      <w:r>
        <w:rPr>
          <w:rFonts w:cstheme="minorHAnsi"/>
        </w:rPr>
        <w:t>O</w:t>
      </w:r>
      <w:r w:rsidRPr="00EA17C1">
        <w:rPr>
          <w:rFonts w:cstheme="minorHAnsi"/>
        </w:rPr>
        <w:t xml:space="preserve">ne participant </w:t>
      </w:r>
      <w:r>
        <w:rPr>
          <w:rFonts w:cstheme="minorHAnsi"/>
        </w:rPr>
        <w:t xml:space="preserve">stated </w:t>
      </w:r>
      <w:r w:rsidRPr="00EA17C1">
        <w:rPr>
          <w:rFonts w:cstheme="minorHAnsi"/>
        </w:rPr>
        <w:t xml:space="preserve">that the JMEI makes it easier to raise funds for exploration, allowing explorers to expand exploration efforts. For example, to drill-test more targets. </w:t>
      </w:r>
    </w:p>
    <w:p w14:paraId="5914DE31" w14:textId="237B4EC0" w:rsidR="00964571" w:rsidRPr="00EA17C1" w:rsidRDefault="00964571" w:rsidP="00964571">
      <w:pPr>
        <w:spacing w:before="120"/>
        <w:rPr>
          <w:rFonts w:cstheme="minorHAnsi"/>
        </w:rPr>
      </w:pPr>
      <w:r>
        <w:rPr>
          <w:rFonts w:cstheme="minorHAnsi"/>
        </w:rPr>
        <w:t>G</w:t>
      </w:r>
      <w:r w:rsidRPr="00EA17C1">
        <w:rPr>
          <w:rFonts w:cstheme="minorHAnsi"/>
        </w:rPr>
        <w:t>eneral comments were provided</w:t>
      </w:r>
      <w:r>
        <w:rPr>
          <w:rFonts w:cstheme="minorHAnsi"/>
        </w:rPr>
        <w:t xml:space="preserve"> by </w:t>
      </w:r>
      <w:r w:rsidRPr="006C27BE">
        <w:rPr>
          <w:rFonts w:cstheme="minorHAnsi"/>
        </w:rPr>
        <w:t>the</w:t>
      </w:r>
      <w:r>
        <w:rPr>
          <w:rFonts w:cstheme="minorHAnsi"/>
        </w:rPr>
        <w:t xml:space="preserve"> two participants regarding the allocation of exploration credits</w:t>
      </w:r>
      <w:r w:rsidRPr="00EA17C1">
        <w:rPr>
          <w:rFonts w:cstheme="minorHAnsi"/>
        </w:rPr>
        <w:t xml:space="preserve">. One participant </w:t>
      </w:r>
      <w:r>
        <w:rPr>
          <w:rFonts w:cstheme="minorHAnsi"/>
        </w:rPr>
        <w:t xml:space="preserve">suggested </w:t>
      </w:r>
      <w:r w:rsidRPr="00EA17C1">
        <w:rPr>
          <w:rFonts w:cstheme="minorHAnsi"/>
        </w:rPr>
        <w:t xml:space="preserve">that tax credits should be proportionately allocated to eligible applications received on the same day, rather than first-in time. </w:t>
      </w:r>
      <w:r>
        <w:rPr>
          <w:rFonts w:cstheme="minorHAnsi"/>
        </w:rPr>
        <w:t xml:space="preserve">Another observation was </w:t>
      </w:r>
      <w:r w:rsidRPr="00EA17C1">
        <w:rPr>
          <w:rFonts w:cstheme="minorHAnsi"/>
        </w:rPr>
        <w:t>that the ‘first</w:t>
      </w:r>
      <w:r w:rsidR="00D50E17">
        <w:rPr>
          <w:rFonts w:cstheme="minorHAnsi"/>
        </w:rPr>
        <w:t>-come</w:t>
      </w:r>
      <w:r w:rsidRPr="00EA17C1">
        <w:rPr>
          <w:rFonts w:cstheme="minorHAnsi"/>
        </w:rPr>
        <w:t xml:space="preserve"> first</w:t>
      </w:r>
      <w:r w:rsidR="00D50E17">
        <w:rPr>
          <w:rFonts w:cstheme="minorHAnsi"/>
        </w:rPr>
        <w:t>-</w:t>
      </w:r>
      <w:r w:rsidRPr="00EA17C1">
        <w:rPr>
          <w:rFonts w:cstheme="minorHAnsi"/>
        </w:rPr>
        <w:t>served’ approach is not ideal as they did not receive a credit allocation.</w:t>
      </w:r>
      <w:r w:rsidR="008B580E">
        <w:rPr>
          <w:rFonts w:cstheme="minorHAnsi"/>
        </w:rPr>
        <w:t xml:space="preserve"> </w:t>
      </w:r>
    </w:p>
    <w:sectPr w:rsidR="00964571" w:rsidRPr="00EA17C1" w:rsidSect="0068286F">
      <w:footerReference w:type="default" r:id="rId16"/>
      <w:headerReference w:type="first" r:id="rId17"/>
      <w:footerReference w:type="first" r:id="rId18"/>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214F" w14:textId="77777777" w:rsidR="002B44EC" w:rsidRDefault="002B44EC" w:rsidP="00B251DB">
      <w:pPr>
        <w:spacing w:after="0" w:line="240" w:lineRule="auto"/>
      </w:pPr>
      <w:r>
        <w:separator/>
      </w:r>
    </w:p>
  </w:endnote>
  <w:endnote w:type="continuationSeparator" w:id="0">
    <w:p w14:paraId="0DBE70B8" w14:textId="77777777" w:rsidR="002B44EC" w:rsidRDefault="002B44EC" w:rsidP="00B251DB">
      <w:pPr>
        <w:spacing w:after="0" w:line="240" w:lineRule="auto"/>
      </w:pPr>
      <w:r>
        <w:continuationSeparator/>
      </w:r>
    </w:p>
  </w:endnote>
  <w:endnote w:type="continuationNotice" w:id="1">
    <w:p w14:paraId="64888E27" w14:textId="77777777" w:rsidR="002B44EC" w:rsidRDefault="002B4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CA73" w14:textId="77777777" w:rsidR="00BE38D5" w:rsidRDefault="00507953" w:rsidP="00795B24">
    <w:pPr>
      <w:pStyle w:val="Footer"/>
      <w:rPr>
        <w:noProof/>
      </w:rPr>
    </w:pPr>
    <w:sdt>
      <w:sdtPr>
        <w:alias w:val="Title"/>
        <w:tag w:val=""/>
        <w:id w:val="-1005120900"/>
        <w:placeholder>
          <w:docPart w:val="AE7A6AFEF9609548B9E6AC08CE053546"/>
        </w:placeholder>
        <w15:dataBinding w:prefixMappings="xmlns:ns0='http://purl.org/dc/elements/1.1/' xmlns:ns1='http://schemas.openxmlformats.org/package/2006/metadata/core-properties' " w:xpath="/ns1:coreProperties[1]/ns0:title[1]" w:storeItemID="{6C3C8BC8-F283-45AE-878A-BAB7291924A1}"/>
      </w:sdtPr>
      <w:sdtEndPr/>
      <w:sdtContent>
        <w:sdt>
          <w:sdtPr>
            <w:alias w:val="Title"/>
            <w:tag w:val=""/>
            <w:id w:val="651037313"/>
            <w:placeholder>
              <w:docPart w:val="A5D8FBE249D34586BB704ADFBC45888B"/>
            </w:placeholder>
            <w:dataBinding w:prefixMappings="xmlns:ns0='http://purl.org/dc/elements/1.1/' xmlns:ns1='http://schemas.openxmlformats.org/package/2006/metadata/core-properties' " w:xpath="/ns1:coreProperties[1]/ns0:title[1]" w:storeItemID="{6C3C8BC8-F283-45AE-878A-BAB7291924A1}"/>
            <w:text/>
          </w:sdtPr>
          <w:sdtEndPr/>
          <w:sdtContent>
            <w:r w:rsidR="00BE38D5">
              <w:t>Junior Minerals Exploration Incentive - 2018-19 Annual Impact Assessment</w:t>
            </w:r>
          </w:sdtContent>
        </w:sdt>
      </w:sdtContent>
    </w:sdt>
    <w:r w:rsidR="00BE38D5">
      <w:tab/>
    </w:r>
    <w:sdt>
      <w:sdtPr>
        <w:id w:val="-1044901746"/>
        <w:docPartObj>
          <w:docPartGallery w:val="Page Numbers (Bottom of Page)"/>
          <w:docPartUnique/>
        </w:docPartObj>
      </w:sdtPr>
      <w:sdtEndPr>
        <w:rPr>
          <w:noProof/>
        </w:rPr>
      </w:sdtEndPr>
      <w:sdtContent>
        <w:r w:rsidR="00BE38D5">
          <w:fldChar w:fldCharType="begin"/>
        </w:r>
        <w:r w:rsidR="00BE38D5">
          <w:instrText xml:space="preserve"> PAGE   \* MERGEFORMAT </w:instrText>
        </w:r>
        <w:r w:rsidR="00BE38D5">
          <w:fldChar w:fldCharType="separate"/>
        </w:r>
        <w:r w:rsidR="00616CAA">
          <w:rPr>
            <w:noProof/>
          </w:rPr>
          <w:t>2</w:t>
        </w:r>
        <w:r w:rsidR="00BE38D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60FF" w14:textId="77777777" w:rsidR="00BE38D5" w:rsidRDefault="00BE38D5">
    <w:pPr>
      <w:pStyle w:val="Footer"/>
      <w:rPr>
        <w:b/>
        <w:bCs/>
        <w:iCs/>
        <w:color w:val="005677" w:themeColor="text2"/>
        <w:sz w:val="26"/>
        <w:szCs w:val="26"/>
      </w:rPr>
    </w:pPr>
    <w:r w:rsidRPr="00806473">
      <w:rPr>
        <w:bCs/>
        <w:iCs/>
        <w:color w:val="005677" w:themeColor="text2"/>
        <w:sz w:val="26"/>
        <w:szCs w:val="26"/>
      </w:rPr>
      <w:t>Supporting economic growth and job creation for all Australians |</w:t>
    </w:r>
    <w:r w:rsidRPr="00806473">
      <w:rPr>
        <w:b/>
        <w:bCs/>
        <w:iCs/>
        <w:color w:val="005677" w:themeColor="text2"/>
        <w:sz w:val="26"/>
        <w:szCs w:val="26"/>
      </w:rPr>
      <w:t xml:space="preserve"> industry.gov.au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128B" w14:textId="77777777" w:rsidR="002B44EC" w:rsidRDefault="002B44EC" w:rsidP="00B251DB">
      <w:pPr>
        <w:spacing w:after="0" w:line="240" w:lineRule="auto"/>
      </w:pPr>
      <w:r>
        <w:separator/>
      </w:r>
    </w:p>
  </w:footnote>
  <w:footnote w:type="continuationSeparator" w:id="0">
    <w:p w14:paraId="559945EE" w14:textId="77777777" w:rsidR="002B44EC" w:rsidRDefault="002B44EC" w:rsidP="00B251DB">
      <w:pPr>
        <w:spacing w:after="0" w:line="240" w:lineRule="auto"/>
      </w:pPr>
      <w:r>
        <w:continuationSeparator/>
      </w:r>
    </w:p>
  </w:footnote>
  <w:footnote w:type="continuationNotice" w:id="1">
    <w:p w14:paraId="08AC703C" w14:textId="77777777" w:rsidR="002B44EC" w:rsidRDefault="002B44EC">
      <w:pPr>
        <w:spacing w:after="0" w:line="240" w:lineRule="auto"/>
      </w:pPr>
    </w:p>
  </w:footnote>
  <w:footnote w:id="2">
    <w:p w14:paraId="7605704E" w14:textId="2CAD9D60" w:rsidR="00964571" w:rsidRDefault="00964571" w:rsidP="00A53665">
      <w:pPr>
        <w:pStyle w:val="FootnoteText"/>
        <w:ind w:left="142" w:hanging="142"/>
      </w:pPr>
      <w:r>
        <w:rPr>
          <w:rStyle w:val="FootnoteReference"/>
        </w:rPr>
        <w:footnoteRef/>
      </w:r>
      <w:r>
        <w:t xml:space="preserve"> To participate in the JMEI a greenfields mineral explorer company must be a disclosing entity under section 111AC of the </w:t>
      </w:r>
      <w:r w:rsidRPr="00C163E7">
        <w:rPr>
          <w:i/>
        </w:rPr>
        <w:t>Corporations Act 2001</w:t>
      </w:r>
      <w:r>
        <w:t xml:space="preserve">. </w:t>
      </w:r>
      <w:r w:rsidRPr="00100D20">
        <w:t xml:space="preserve">To ensure the </w:t>
      </w:r>
      <w:r>
        <w:t>JMEI</w:t>
      </w:r>
      <w:r w:rsidRPr="00100D20">
        <w:t xml:space="preserve"> is confined to junior explorers,</w:t>
      </w:r>
      <w:r>
        <w:t xml:space="preserve"> it</w:t>
      </w:r>
      <w:r w:rsidRPr="00100D20">
        <w:t xml:space="preserve"> exclude</w:t>
      </w:r>
      <w:r>
        <w:t>s</w:t>
      </w:r>
      <w:r w:rsidRPr="00100D20">
        <w:t xml:space="preserve"> companies that have commenced resources production and companies connected or affiliated with an entity that has commenced resources production.</w:t>
      </w:r>
    </w:p>
  </w:footnote>
  <w:footnote w:id="3">
    <w:p w14:paraId="49B266FB" w14:textId="1B7B4318" w:rsidR="00964571" w:rsidRDefault="00964571" w:rsidP="00A53665">
      <w:pPr>
        <w:pStyle w:val="FootnoteText"/>
        <w:ind w:left="142" w:hanging="142"/>
      </w:pPr>
      <w:r>
        <w:rPr>
          <w:rStyle w:val="FootnoteReference"/>
        </w:rPr>
        <w:footnoteRef/>
      </w:r>
      <w:r>
        <w:t xml:space="preserve"> For the purposes of the JMEI, eligible greenfields exploration must be undertaken in an area that has not been identified as containing a mineral resource that is at least inferred in a Joint Ore Reserve Committee (JORC) Code report or other prescribed document. </w:t>
      </w:r>
    </w:p>
  </w:footnote>
  <w:footnote w:id="4">
    <w:p w14:paraId="72395271" w14:textId="62C9B3AD" w:rsidR="00DE0B4E" w:rsidRDefault="00DE0B4E" w:rsidP="00A53665">
      <w:pPr>
        <w:pStyle w:val="FootnoteText"/>
        <w:ind w:left="142" w:hanging="142"/>
      </w:pPr>
      <w:r>
        <w:rPr>
          <w:rStyle w:val="FootnoteReference"/>
        </w:rPr>
        <w:footnoteRef/>
      </w:r>
      <w:r>
        <w:t xml:space="preserve"> </w:t>
      </w:r>
      <w:r w:rsidR="00B10D8B">
        <w:t>Source: S&amp;P Global Market Intelligence</w:t>
      </w:r>
    </w:p>
  </w:footnote>
  <w:footnote w:id="5">
    <w:p w14:paraId="5C2594C2" w14:textId="77777777" w:rsidR="00964571" w:rsidRPr="00F934A4" w:rsidRDefault="00964571" w:rsidP="00964571">
      <w:pPr>
        <w:pStyle w:val="FootnoteText"/>
        <w:rPr>
          <w:i/>
        </w:rPr>
      </w:pPr>
      <w:r>
        <w:rPr>
          <w:rStyle w:val="FootnoteReference"/>
        </w:rPr>
        <w:footnoteRef/>
      </w:r>
      <w:r>
        <w:t xml:space="preserve"> S 418-103(1) </w:t>
      </w:r>
      <w:r>
        <w:rPr>
          <w:i/>
        </w:rPr>
        <w:t>ITAA 1997</w:t>
      </w:r>
    </w:p>
  </w:footnote>
  <w:footnote w:id="6">
    <w:p w14:paraId="28C8ADB2" w14:textId="77777777" w:rsidR="00964571" w:rsidRDefault="00964571" w:rsidP="00964571">
      <w:pPr>
        <w:pStyle w:val="FootnoteText"/>
      </w:pPr>
      <w:r>
        <w:rPr>
          <w:rStyle w:val="FootnoteReference"/>
        </w:rPr>
        <w:footnoteRef/>
      </w:r>
      <w:r>
        <w:t xml:space="preserve"> S 418-103(2) </w:t>
      </w:r>
      <w:r>
        <w:rPr>
          <w:i/>
        </w:rPr>
        <w:t>ITAA 1997</w:t>
      </w:r>
    </w:p>
  </w:footnote>
  <w:footnote w:id="7">
    <w:p w14:paraId="35BC49A0" w14:textId="3A0C5884" w:rsidR="00964571" w:rsidRDefault="00964571" w:rsidP="00964571">
      <w:pPr>
        <w:pStyle w:val="FootnoteText"/>
      </w:pPr>
      <w:r>
        <w:rPr>
          <w:rStyle w:val="FootnoteReference"/>
        </w:rPr>
        <w:footnoteRef/>
      </w:r>
      <w:r>
        <w:t xml:space="preserve"> </w:t>
      </w:r>
      <w:r w:rsidR="00C41350">
        <w:t xml:space="preserve">In </w:t>
      </w:r>
      <w:r w:rsidR="00060E52">
        <w:t>February 2020,</w:t>
      </w:r>
      <w:r w:rsidR="00060E52" w:rsidRPr="00F14476">
        <w:t xml:space="preserve"> </w:t>
      </w:r>
      <w:r w:rsidR="004834C5">
        <w:t>t</w:t>
      </w:r>
      <w:r w:rsidR="00060E52" w:rsidRPr="00F14476">
        <w:t>he Income Tax Assessment Amendment (Exploration for Minerals) Regulations 2020 added $5 million of unused exploration credits from the 2017</w:t>
      </w:r>
      <w:r w:rsidR="00060E52">
        <w:t>-</w:t>
      </w:r>
      <w:r w:rsidR="00060E52" w:rsidRPr="00F14476">
        <w:t>18 income year to the 2020-21</w:t>
      </w:r>
      <w:r w:rsidR="00060E52">
        <w:t xml:space="preserve"> income year</w:t>
      </w:r>
      <w:r w:rsidR="00060E52" w:rsidRPr="00F14476">
        <w:t>.</w:t>
      </w:r>
      <w:r w:rsidR="008B580E">
        <w:t xml:space="preserve"> </w:t>
      </w:r>
    </w:p>
  </w:footnote>
  <w:footnote w:id="8">
    <w:p w14:paraId="13614F4D" w14:textId="77777777" w:rsidR="00964571" w:rsidRDefault="00964571" w:rsidP="00964571">
      <w:pPr>
        <w:pStyle w:val="FootnoteText"/>
      </w:pPr>
      <w:r>
        <w:rPr>
          <w:rStyle w:val="FootnoteReference"/>
        </w:rPr>
        <w:footnoteRef/>
      </w:r>
      <w:r>
        <w:t xml:space="preserve"> </w:t>
      </w:r>
      <w:r w:rsidRPr="00083235">
        <w:rPr>
          <w:sz w:val="18"/>
        </w:rPr>
        <w:t>This data</w:t>
      </w:r>
      <w:r>
        <w:rPr>
          <w:i/>
          <w:sz w:val="18"/>
        </w:rPr>
        <w:t xml:space="preserve"> </w:t>
      </w:r>
      <w:r>
        <w:rPr>
          <w:sz w:val="18"/>
        </w:rPr>
        <w:t>only accounts for the AIIR lodgements received by the ATO.</w:t>
      </w:r>
    </w:p>
  </w:footnote>
  <w:footnote w:id="9">
    <w:p w14:paraId="172BFE17" w14:textId="32290024" w:rsidR="00964571" w:rsidRDefault="00964571" w:rsidP="00964571">
      <w:pPr>
        <w:pStyle w:val="FootnoteText"/>
      </w:pPr>
      <w:r>
        <w:rPr>
          <w:rStyle w:val="FootnoteReference"/>
        </w:rPr>
        <w:footnoteRef/>
      </w:r>
      <w:r>
        <w:t xml:space="preserve"> </w:t>
      </w:r>
      <w:r w:rsidRPr="002E4CBD">
        <w:rPr>
          <w:sz w:val="18"/>
          <w:szCs w:val="18"/>
        </w:rPr>
        <w:t xml:space="preserve">Source: </w:t>
      </w:r>
      <w:r>
        <w:rPr>
          <w:sz w:val="18"/>
          <w:szCs w:val="18"/>
        </w:rPr>
        <w:t>Australian Taxation Office</w:t>
      </w:r>
      <w:r w:rsidR="00A5366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60FE" w14:textId="77777777" w:rsidR="00BE38D5" w:rsidRDefault="00BE38D5">
    <w:pPr>
      <w:pStyle w:val="Header"/>
    </w:pPr>
    <w:r w:rsidRPr="00180BF8">
      <w:rPr>
        <w:noProof/>
        <w:lang w:eastAsia="en-AU"/>
      </w:rPr>
      <w:drawing>
        <wp:inline distT="0" distB="0" distL="0" distR="0" wp14:anchorId="2E9A6101" wp14:editId="2E9A6102">
          <wp:extent cx="2235270" cy="645395"/>
          <wp:effectExtent l="0" t="0" r="0" b="254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5270" cy="6453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43B"/>
    <w:multiLevelType w:val="hybridMultilevel"/>
    <w:tmpl w:val="F6026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B2A3B"/>
    <w:multiLevelType w:val="hybridMultilevel"/>
    <w:tmpl w:val="36AAA344"/>
    <w:lvl w:ilvl="0" w:tplc="6CCA22D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41B1E"/>
    <w:multiLevelType w:val="hybridMultilevel"/>
    <w:tmpl w:val="EC924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A94780"/>
    <w:multiLevelType w:val="hybridMultilevel"/>
    <w:tmpl w:val="A5F4EC1E"/>
    <w:lvl w:ilvl="0" w:tplc="0C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16D2CA2"/>
    <w:multiLevelType w:val="multilevel"/>
    <w:tmpl w:val="B4C0AC4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F3095"/>
    <w:multiLevelType w:val="multilevel"/>
    <w:tmpl w:val="B5D8AB3E"/>
    <w:lvl w:ilvl="0">
      <w:start w:val="1"/>
      <w:numFmt w:val="decimal"/>
      <w:lvlText w:val="%1."/>
      <w:lvlJc w:val="left"/>
      <w:pPr>
        <w:ind w:left="360" w:hanging="360"/>
      </w:pPr>
      <w:rPr>
        <w:rFonts w:hint="default"/>
        <w:sz w:val="32"/>
        <w:szCs w:val="32"/>
      </w:rPr>
    </w:lvl>
    <w:lvl w:ilvl="1">
      <w:start w:val="3"/>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265B35"/>
    <w:multiLevelType w:val="hybridMultilevel"/>
    <w:tmpl w:val="05F4DFF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776401"/>
    <w:multiLevelType w:val="hybridMultilevel"/>
    <w:tmpl w:val="EB4A01EE"/>
    <w:lvl w:ilvl="0" w:tplc="64F459B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2E9D67DA"/>
    <w:multiLevelType w:val="multilevel"/>
    <w:tmpl w:val="BD4A6576"/>
    <w:lvl w:ilvl="0">
      <w:start w:val="1"/>
      <w:numFmt w:val="lowerLetter"/>
      <w:lvlText w:val="%1)"/>
      <w:lvlJc w:val="left"/>
      <w:pPr>
        <w:tabs>
          <w:tab w:val="num" w:pos="1040"/>
        </w:tabs>
        <w:ind w:left="1040" w:hanging="520"/>
      </w:p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2"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180BAC"/>
    <w:multiLevelType w:val="hybridMultilevel"/>
    <w:tmpl w:val="FF7A7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9A126E"/>
    <w:multiLevelType w:val="multilevel"/>
    <w:tmpl w:val="A90CA550"/>
    <w:styleLink w:val="Bullets"/>
    <w:lvl w:ilvl="0">
      <w:start w:val="1"/>
      <w:numFmt w:val="bullet"/>
      <w:pStyle w:val="Bulletedlist1"/>
      <w:lvlText w:val="&gt;"/>
      <w:lvlJc w:val="left"/>
      <w:pPr>
        <w:ind w:left="710" w:hanging="284"/>
      </w:pPr>
      <w:rPr>
        <w:rFonts w:ascii="Calibri" w:hAnsi="Calibri" w:hint="default"/>
        <w:color w:val="1B9590" w:themeColor="accent3"/>
      </w:rPr>
    </w:lvl>
    <w:lvl w:ilvl="1">
      <w:start w:val="1"/>
      <w:numFmt w:val="bullet"/>
      <w:pStyle w:val="Bulletedlist2"/>
      <w:lvlText w:val="–"/>
      <w:lvlJc w:val="left"/>
      <w:pPr>
        <w:ind w:left="965" w:hanging="255"/>
      </w:pPr>
      <w:rPr>
        <w:rFonts w:ascii="Arial" w:hAnsi="Arial" w:hint="default"/>
        <w:color w:val="1B9590" w:themeColor="accent3"/>
      </w:rPr>
    </w:lvl>
    <w:lvl w:ilvl="2">
      <w:start w:val="1"/>
      <w:numFmt w:val="bullet"/>
      <w:pStyle w:val="Bulletedlist3"/>
      <w:lvlText w:val="-"/>
      <w:lvlJc w:val="left"/>
      <w:pPr>
        <w:ind w:left="1163" w:hanging="198"/>
      </w:pPr>
      <w:rPr>
        <w:rFonts w:hint="default"/>
        <w:color w:val="1B9590" w:themeColor="accent3"/>
      </w:rPr>
    </w:lvl>
    <w:lvl w:ilvl="3">
      <w:start w:val="1"/>
      <w:numFmt w:val="bullet"/>
      <w:pStyle w:val="Boxbulletedlist1"/>
      <w:lvlText w:val="&gt;"/>
      <w:lvlJc w:val="left"/>
      <w:pPr>
        <w:ind w:left="1050" w:hanging="284"/>
      </w:pPr>
      <w:rPr>
        <w:rFonts w:ascii="Arial" w:hAnsi="Arial" w:hint="default"/>
        <w:color w:val="1B9590" w:themeColor="accent3"/>
      </w:rPr>
    </w:lvl>
    <w:lvl w:ilvl="4">
      <w:start w:val="1"/>
      <w:numFmt w:val="bullet"/>
      <w:pStyle w:val="Boxbulletedlist2"/>
      <w:lvlText w:val="–"/>
      <w:lvlJc w:val="left"/>
      <w:pPr>
        <w:ind w:left="1305" w:hanging="255"/>
      </w:pPr>
      <w:rPr>
        <w:rFonts w:ascii="Arial" w:hAnsi="Arial" w:hint="default"/>
        <w:color w:val="1B9590" w:themeColor="accent3"/>
      </w:rPr>
    </w:lvl>
    <w:lvl w:ilvl="5">
      <w:start w:val="1"/>
      <w:numFmt w:val="bullet"/>
      <w:pStyle w:val="Boxbulletedlist3"/>
      <w:lvlText w:val="-"/>
      <w:lvlJc w:val="left"/>
      <w:pPr>
        <w:ind w:left="1503" w:hanging="198"/>
      </w:pPr>
      <w:rPr>
        <w:rFonts w:asciiTheme="minorHAnsi" w:hAnsiTheme="minorHAnsi" w:hint="default"/>
        <w:color w:val="1B9590" w:themeColor="accent3"/>
      </w:rPr>
    </w:lvl>
    <w:lvl w:ilvl="6">
      <w:start w:val="1"/>
      <w:numFmt w:val="bullet"/>
      <w:pStyle w:val="Tablebulletedlist1"/>
      <w:lvlText w:val="&gt;"/>
      <w:lvlJc w:val="left"/>
      <w:pPr>
        <w:ind w:left="936" w:hanging="283"/>
      </w:pPr>
      <w:rPr>
        <w:rFonts w:ascii="Arial" w:hAnsi="Arial" w:hint="default"/>
        <w:color w:val="1B9590" w:themeColor="accent3"/>
      </w:rPr>
    </w:lvl>
    <w:lvl w:ilvl="7">
      <w:start w:val="1"/>
      <w:numFmt w:val="bullet"/>
      <w:pStyle w:val="Tablebulletedlist2"/>
      <w:lvlText w:val="–"/>
      <w:lvlJc w:val="left"/>
      <w:pPr>
        <w:ind w:left="1191" w:hanging="255"/>
      </w:pPr>
      <w:rPr>
        <w:rFonts w:ascii="Arial" w:hAnsi="Arial" w:hint="default"/>
        <w:color w:val="1B9590" w:themeColor="accent3"/>
      </w:rPr>
    </w:lvl>
    <w:lvl w:ilvl="8">
      <w:start w:val="1"/>
      <w:numFmt w:val="bullet"/>
      <w:pStyle w:val="Tablebulletedlist3"/>
      <w:lvlText w:val="-"/>
      <w:lvlJc w:val="left"/>
      <w:pPr>
        <w:ind w:left="1390" w:hanging="199"/>
      </w:pPr>
      <w:rPr>
        <w:rFonts w:asciiTheme="minorHAnsi" w:hAnsiTheme="minorHAnsi" w:hint="default"/>
        <w:color w:val="1B9590" w:themeColor="accent3"/>
      </w:rPr>
    </w:lvl>
  </w:abstractNum>
  <w:abstractNum w:abstractNumId="22"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DA005AE"/>
    <w:multiLevelType w:val="hybridMultilevel"/>
    <w:tmpl w:val="C7769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5456429"/>
    <w:multiLevelType w:val="multilevel"/>
    <w:tmpl w:val="CCE02DA2"/>
    <w:lvl w:ilvl="0">
      <w:start w:val="1"/>
      <w:numFmt w:val="decimal"/>
      <w:pStyle w:val="ListNumber"/>
      <w:lvlText w:val="%1."/>
      <w:lvlJc w:val="left"/>
      <w:pPr>
        <w:ind w:left="369" w:hanging="369"/>
      </w:pPr>
      <w:rPr>
        <w:rFonts w:ascii="Arial" w:eastAsia="Calibri" w:hAnsi="Arial" w:cs="Times New Roman"/>
        <w:i w:val="0"/>
        <w:color w:val="auto"/>
        <w:sz w:val="22"/>
      </w:rPr>
    </w:lvl>
    <w:lvl w:ilvl="1">
      <w:start w:val="1"/>
      <w:numFmt w:val="lowerLetter"/>
      <w:pStyle w:val="ListNumber2"/>
      <w:lvlText w:val="%2."/>
      <w:lvlJc w:val="left"/>
      <w:pPr>
        <w:ind w:left="738" w:hanging="369"/>
      </w:pPr>
      <w:rPr>
        <w:rFonts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688914713">
    <w:abstractNumId w:val="14"/>
  </w:num>
  <w:num w:numId="2" w16cid:durableId="969551891">
    <w:abstractNumId w:val="13"/>
  </w:num>
  <w:num w:numId="3" w16cid:durableId="1840269493">
    <w:abstractNumId w:val="19"/>
  </w:num>
  <w:num w:numId="4" w16cid:durableId="649334652">
    <w:abstractNumId w:val="16"/>
  </w:num>
  <w:num w:numId="5" w16cid:durableId="89274841">
    <w:abstractNumId w:val="22"/>
  </w:num>
  <w:num w:numId="6" w16cid:durableId="104006734">
    <w:abstractNumId w:val="9"/>
  </w:num>
  <w:num w:numId="7" w16cid:durableId="931932924">
    <w:abstractNumId w:val="1"/>
  </w:num>
  <w:num w:numId="8" w16cid:durableId="857428019">
    <w:abstractNumId w:val="8"/>
  </w:num>
  <w:num w:numId="9" w16cid:durableId="226917116">
    <w:abstractNumId w:val="17"/>
  </w:num>
  <w:num w:numId="10" w16cid:durableId="2002613424">
    <w:abstractNumId w:val="20"/>
  </w:num>
  <w:num w:numId="11" w16cid:durableId="998114470">
    <w:abstractNumId w:val="12"/>
  </w:num>
  <w:num w:numId="12" w16cid:durableId="230193890">
    <w:abstractNumId w:val="27"/>
  </w:num>
  <w:num w:numId="13" w16cid:durableId="298922053">
    <w:abstractNumId w:val="24"/>
  </w:num>
  <w:num w:numId="14" w16cid:durableId="822888652">
    <w:abstractNumId w:val="15"/>
  </w:num>
  <w:num w:numId="15" w16cid:durableId="398671487">
    <w:abstractNumId w:val="26"/>
  </w:num>
  <w:num w:numId="16" w16cid:durableId="1837916518">
    <w:abstractNumId w:val="0"/>
  </w:num>
  <w:num w:numId="17" w16cid:durableId="1423261087">
    <w:abstractNumId w:val="23"/>
  </w:num>
  <w:num w:numId="18" w16cid:durableId="758328552">
    <w:abstractNumId w:val="11"/>
  </w:num>
  <w:num w:numId="19" w16cid:durableId="1491797671">
    <w:abstractNumId w:val="5"/>
  </w:num>
  <w:num w:numId="20" w16cid:durableId="1444152124">
    <w:abstractNumId w:val="6"/>
  </w:num>
  <w:num w:numId="21" w16cid:durableId="542134683">
    <w:abstractNumId w:val="18"/>
  </w:num>
  <w:num w:numId="22" w16cid:durableId="1768650751">
    <w:abstractNumId w:val="21"/>
  </w:num>
  <w:num w:numId="23" w16cid:durableId="2071032896">
    <w:abstractNumId w:val="10"/>
  </w:num>
  <w:num w:numId="24" w16cid:durableId="78794874">
    <w:abstractNumId w:val="7"/>
  </w:num>
  <w:num w:numId="25" w16cid:durableId="156772057">
    <w:abstractNumId w:val="2"/>
  </w:num>
  <w:num w:numId="26" w16cid:durableId="1380741337">
    <w:abstractNumId w:val="2"/>
  </w:num>
  <w:num w:numId="27" w16cid:durableId="439690009">
    <w:abstractNumId w:val="3"/>
  </w:num>
  <w:num w:numId="28" w16cid:durableId="2134784430">
    <w:abstractNumId w:val="4"/>
  </w:num>
  <w:num w:numId="29" w16cid:durableId="3910060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60"/>
    <w:rsid w:val="0000361E"/>
    <w:rsid w:val="00005118"/>
    <w:rsid w:val="000103F2"/>
    <w:rsid w:val="00017C6E"/>
    <w:rsid w:val="0002348A"/>
    <w:rsid w:val="00032995"/>
    <w:rsid w:val="00035D8F"/>
    <w:rsid w:val="0004256C"/>
    <w:rsid w:val="00042EB2"/>
    <w:rsid w:val="0004732A"/>
    <w:rsid w:val="00047752"/>
    <w:rsid w:val="00053F25"/>
    <w:rsid w:val="000552B3"/>
    <w:rsid w:val="00060E52"/>
    <w:rsid w:val="00065A47"/>
    <w:rsid w:val="00070218"/>
    <w:rsid w:val="0007067B"/>
    <w:rsid w:val="00080D6A"/>
    <w:rsid w:val="00081D07"/>
    <w:rsid w:val="00085184"/>
    <w:rsid w:val="000A17F2"/>
    <w:rsid w:val="000A5D01"/>
    <w:rsid w:val="000C3494"/>
    <w:rsid w:val="000C5F29"/>
    <w:rsid w:val="000D48BB"/>
    <w:rsid w:val="000E599A"/>
    <w:rsid w:val="000E7FDF"/>
    <w:rsid w:val="000F2564"/>
    <w:rsid w:val="000F7260"/>
    <w:rsid w:val="00100D20"/>
    <w:rsid w:val="00103C5D"/>
    <w:rsid w:val="00106D3C"/>
    <w:rsid w:val="001116D3"/>
    <w:rsid w:val="00125C37"/>
    <w:rsid w:val="00127389"/>
    <w:rsid w:val="00136D42"/>
    <w:rsid w:val="001379F7"/>
    <w:rsid w:val="001400F3"/>
    <w:rsid w:val="00153C15"/>
    <w:rsid w:val="00154548"/>
    <w:rsid w:val="00155DEF"/>
    <w:rsid w:val="00180B76"/>
    <w:rsid w:val="0018753C"/>
    <w:rsid w:val="00191051"/>
    <w:rsid w:val="0019225C"/>
    <w:rsid w:val="001C0AF1"/>
    <w:rsid w:val="001C0FEE"/>
    <w:rsid w:val="001D216A"/>
    <w:rsid w:val="001D2B25"/>
    <w:rsid w:val="001D2E82"/>
    <w:rsid w:val="001D51DA"/>
    <w:rsid w:val="001E6E43"/>
    <w:rsid w:val="001F5AB1"/>
    <w:rsid w:val="001F6AE7"/>
    <w:rsid w:val="00200BDD"/>
    <w:rsid w:val="002013A3"/>
    <w:rsid w:val="00204C01"/>
    <w:rsid w:val="00205DF3"/>
    <w:rsid w:val="002076F8"/>
    <w:rsid w:val="00213EED"/>
    <w:rsid w:val="00215175"/>
    <w:rsid w:val="00216097"/>
    <w:rsid w:val="0022083E"/>
    <w:rsid w:val="00222D0B"/>
    <w:rsid w:val="00227CDE"/>
    <w:rsid w:val="00232EAF"/>
    <w:rsid w:val="00241D3D"/>
    <w:rsid w:val="00243FD6"/>
    <w:rsid w:val="00254DA8"/>
    <w:rsid w:val="002562B0"/>
    <w:rsid w:val="00272B04"/>
    <w:rsid w:val="002761D9"/>
    <w:rsid w:val="002825AA"/>
    <w:rsid w:val="00291529"/>
    <w:rsid w:val="00296E19"/>
    <w:rsid w:val="002A11B2"/>
    <w:rsid w:val="002A74FA"/>
    <w:rsid w:val="002B0F90"/>
    <w:rsid w:val="002B3A3A"/>
    <w:rsid w:val="002B44EC"/>
    <w:rsid w:val="002B5C69"/>
    <w:rsid w:val="002B6720"/>
    <w:rsid w:val="002B6D34"/>
    <w:rsid w:val="002C72A0"/>
    <w:rsid w:val="002D1960"/>
    <w:rsid w:val="002D230B"/>
    <w:rsid w:val="002D4072"/>
    <w:rsid w:val="002D6880"/>
    <w:rsid w:val="002D68C2"/>
    <w:rsid w:val="002E4CBD"/>
    <w:rsid w:val="002F092C"/>
    <w:rsid w:val="002F0D8B"/>
    <w:rsid w:val="00305729"/>
    <w:rsid w:val="00321C1C"/>
    <w:rsid w:val="003251ED"/>
    <w:rsid w:val="0033119B"/>
    <w:rsid w:val="003471F7"/>
    <w:rsid w:val="00353C07"/>
    <w:rsid w:val="003620BD"/>
    <w:rsid w:val="00364239"/>
    <w:rsid w:val="0037633E"/>
    <w:rsid w:val="0038019F"/>
    <w:rsid w:val="00380FF8"/>
    <w:rsid w:val="00381FA3"/>
    <w:rsid w:val="00390E4D"/>
    <w:rsid w:val="003A0E7F"/>
    <w:rsid w:val="003A146D"/>
    <w:rsid w:val="003A5773"/>
    <w:rsid w:val="003D38ED"/>
    <w:rsid w:val="003E2C98"/>
    <w:rsid w:val="00406537"/>
    <w:rsid w:val="00426C79"/>
    <w:rsid w:val="004316FC"/>
    <w:rsid w:val="004632E9"/>
    <w:rsid w:val="0046678C"/>
    <w:rsid w:val="004834C5"/>
    <w:rsid w:val="004B4254"/>
    <w:rsid w:val="004D0D27"/>
    <w:rsid w:val="004D3B0F"/>
    <w:rsid w:val="004E2839"/>
    <w:rsid w:val="004E5181"/>
    <w:rsid w:val="004E75D2"/>
    <w:rsid w:val="00501F45"/>
    <w:rsid w:val="00502C30"/>
    <w:rsid w:val="00507953"/>
    <w:rsid w:val="00516B0E"/>
    <w:rsid w:val="00542094"/>
    <w:rsid w:val="005446C7"/>
    <w:rsid w:val="0054499A"/>
    <w:rsid w:val="00553167"/>
    <w:rsid w:val="0056074E"/>
    <w:rsid w:val="00561F90"/>
    <w:rsid w:val="0056242D"/>
    <w:rsid w:val="00565558"/>
    <w:rsid w:val="005816E1"/>
    <w:rsid w:val="00582C18"/>
    <w:rsid w:val="005844C1"/>
    <w:rsid w:val="00584B74"/>
    <w:rsid w:val="00586234"/>
    <w:rsid w:val="0059043B"/>
    <w:rsid w:val="005A1B5C"/>
    <w:rsid w:val="005A4AAF"/>
    <w:rsid w:val="005C6734"/>
    <w:rsid w:val="005D00AA"/>
    <w:rsid w:val="005E2111"/>
    <w:rsid w:val="005E4293"/>
    <w:rsid w:val="005F6B5E"/>
    <w:rsid w:val="00600539"/>
    <w:rsid w:val="00603DDF"/>
    <w:rsid w:val="00606062"/>
    <w:rsid w:val="00607188"/>
    <w:rsid w:val="00607EFF"/>
    <w:rsid w:val="00616CAA"/>
    <w:rsid w:val="006211A5"/>
    <w:rsid w:val="00623C7F"/>
    <w:rsid w:val="00625372"/>
    <w:rsid w:val="00630EE8"/>
    <w:rsid w:val="006337C7"/>
    <w:rsid w:val="006338BE"/>
    <w:rsid w:val="00634101"/>
    <w:rsid w:val="00635043"/>
    <w:rsid w:val="00642820"/>
    <w:rsid w:val="00644C8E"/>
    <w:rsid w:val="00653CB8"/>
    <w:rsid w:val="00655924"/>
    <w:rsid w:val="00656890"/>
    <w:rsid w:val="006619B0"/>
    <w:rsid w:val="00666FF1"/>
    <w:rsid w:val="00671D1D"/>
    <w:rsid w:val="00675DA6"/>
    <w:rsid w:val="0068286F"/>
    <w:rsid w:val="00683788"/>
    <w:rsid w:val="00683D16"/>
    <w:rsid w:val="00693C7C"/>
    <w:rsid w:val="00697567"/>
    <w:rsid w:val="006A1577"/>
    <w:rsid w:val="006B0D18"/>
    <w:rsid w:val="006B2540"/>
    <w:rsid w:val="006B53F7"/>
    <w:rsid w:val="006C466A"/>
    <w:rsid w:val="006C4C9C"/>
    <w:rsid w:val="006D2221"/>
    <w:rsid w:val="006D3FC6"/>
    <w:rsid w:val="006D71EE"/>
    <w:rsid w:val="006E1E6A"/>
    <w:rsid w:val="006E4001"/>
    <w:rsid w:val="006F0994"/>
    <w:rsid w:val="006F1BF6"/>
    <w:rsid w:val="006F58A5"/>
    <w:rsid w:val="0070088C"/>
    <w:rsid w:val="007069BE"/>
    <w:rsid w:val="0070760A"/>
    <w:rsid w:val="007106A0"/>
    <w:rsid w:val="00711349"/>
    <w:rsid w:val="0071158E"/>
    <w:rsid w:val="00717028"/>
    <w:rsid w:val="00720C43"/>
    <w:rsid w:val="00723C5D"/>
    <w:rsid w:val="0073281C"/>
    <w:rsid w:val="007457D5"/>
    <w:rsid w:val="007465C2"/>
    <w:rsid w:val="00754133"/>
    <w:rsid w:val="00755C23"/>
    <w:rsid w:val="00762913"/>
    <w:rsid w:val="007646C4"/>
    <w:rsid w:val="00766A3E"/>
    <w:rsid w:val="007833EE"/>
    <w:rsid w:val="00783C9F"/>
    <w:rsid w:val="00795B24"/>
    <w:rsid w:val="00796BD5"/>
    <w:rsid w:val="007B03DB"/>
    <w:rsid w:val="007B4596"/>
    <w:rsid w:val="007B553F"/>
    <w:rsid w:val="007C69C5"/>
    <w:rsid w:val="007E0D2C"/>
    <w:rsid w:val="007E2FBE"/>
    <w:rsid w:val="007E669C"/>
    <w:rsid w:val="007F1F9A"/>
    <w:rsid w:val="008040CC"/>
    <w:rsid w:val="008062A1"/>
    <w:rsid w:val="00806473"/>
    <w:rsid w:val="00826293"/>
    <w:rsid w:val="008269BB"/>
    <w:rsid w:val="00830121"/>
    <w:rsid w:val="00835773"/>
    <w:rsid w:val="00836B96"/>
    <w:rsid w:val="00851936"/>
    <w:rsid w:val="008529FE"/>
    <w:rsid w:val="00853A7A"/>
    <w:rsid w:val="008610C3"/>
    <w:rsid w:val="008712FB"/>
    <w:rsid w:val="00881845"/>
    <w:rsid w:val="00886EF5"/>
    <w:rsid w:val="00891B99"/>
    <w:rsid w:val="00892B6E"/>
    <w:rsid w:val="008A3E81"/>
    <w:rsid w:val="008A63F5"/>
    <w:rsid w:val="008B580E"/>
    <w:rsid w:val="008B76A3"/>
    <w:rsid w:val="008B7B1E"/>
    <w:rsid w:val="008C3B21"/>
    <w:rsid w:val="008E57AB"/>
    <w:rsid w:val="008E5E4B"/>
    <w:rsid w:val="008E7F51"/>
    <w:rsid w:val="008E7F8B"/>
    <w:rsid w:val="008F0593"/>
    <w:rsid w:val="008F1F7F"/>
    <w:rsid w:val="008F3863"/>
    <w:rsid w:val="0090349E"/>
    <w:rsid w:val="009048A4"/>
    <w:rsid w:val="00911DD4"/>
    <w:rsid w:val="00914670"/>
    <w:rsid w:val="00915175"/>
    <w:rsid w:val="009173DE"/>
    <w:rsid w:val="00917986"/>
    <w:rsid w:val="00923F30"/>
    <w:rsid w:val="00927202"/>
    <w:rsid w:val="009273A3"/>
    <w:rsid w:val="009340E2"/>
    <w:rsid w:val="00941B2E"/>
    <w:rsid w:val="00947C1B"/>
    <w:rsid w:val="00954B5A"/>
    <w:rsid w:val="00956148"/>
    <w:rsid w:val="00964571"/>
    <w:rsid w:val="0097403C"/>
    <w:rsid w:val="00982658"/>
    <w:rsid w:val="00991BAF"/>
    <w:rsid w:val="00995258"/>
    <w:rsid w:val="009A549D"/>
    <w:rsid w:val="009A5ED3"/>
    <w:rsid w:val="009B63C5"/>
    <w:rsid w:val="009C514B"/>
    <w:rsid w:val="009D2198"/>
    <w:rsid w:val="009E0F72"/>
    <w:rsid w:val="009E3377"/>
    <w:rsid w:val="00A0199C"/>
    <w:rsid w:val="00A52F3D"/>
    <w:rsid w:val="00A53665"/>
    <w:rsid w:val="00A55D56"/>
    <w:rsid w:val="00A618D2"/>
    <w:rsid w:val="00A630C2"/>
    <w:rsid w:val="00A663E5"/>
    <w:rsid w:val="00A731BB"/>
    <w:rsid w:val="00A75AB0"/>
    <w:rsid w:val="00A8649D"/>
    <w:rsid w:val="00AA152F"/>
    <w:rsid w:val="00AA740C"/>
    <w:rsid w:val="00AC41A4"/>
    <w:rsid w:val="00AD1F3B"/>
    <w:rsid w:val="00AD641A"/>
    <w:rsid w:val="00AD67CD"/>
    <w:rsid w:val="00AE328D"/>
    <w:rsid w:val="00B00B94"/>
    <w:rsid w:val="00B10D8B"/>
    <w:rsid w:val="00B251DB"/>
    <w:rsid w:val="00B26C25"/>
    <w:rsid w:val="00B35C0C"/>
    <w:rsid w:val="00B36B62"/>
    <w:rsid w:val="00B43AAC"/>
    <w:rsid w:val="00B444D7"/>
    <w:rsid w:val="00B563E8"/>
    <w:rsid w:val="00B56ED1"/>
    <w:rsid w:val="00B73998"/>
    <w:rsid w:val="00B81F4D"/>
    <w:rsid w:val="00B92AA2"/>
    <w:rsid w:val="00B93EC4"/>
    <w:rsid w:val="00B96213"/>
    <w:rsid w:val="00BA7661"/>
    <w:rsid w:val="00BC045C"/>
    <w:rsid w:val="00BD0F8A"/>
    <w:rsid w:val="00BD168A"/>
    <w:rsid w:val="00BE38D5"/>
    <w:rsid w:val="00BE6EEA"/>
    <w:rsid w:val="00BF4263"/>
    <w:rsid w:val="00C163E7"/>
    <w:rsid w:val="00C17E29"/>
    <w:rsid w:val="00C25FCB"/>
    <w:rsid w:val="00C313B1"/>
    <w:rsid w:val="00C329B7"/>
    <w:rsid w:val="00C34961"/>
    <w:rsid w:val="00C36FF1"/>
    <w:rsid w:val="00C41350"/>
    <w:rsid w:val="00C44C90"/>
    <w:rsid w:val="00C46FE1"/>
    <w:rsid w:val="00C604D7"/>
    <w:rsid w:val="00C649F7"/>
    <w:rsid w:val="00C731DD"/>
    <w:rsid w:val="00C80DF7"/>
    <w:rsid w:val="00C80F37"/>
    <w:rsid w:val="00C86C3A"/>
    <w:rsid w:val="00C93042"/>
    <w:rsid w:val="00CA4214"/>
    <w:rsid w:val="00CA4331"/>
    <w:rsid w:val="00CA4CFE"/>
    <w:rsid w:val="00CA7A4C"/>
    <w:rsid w:val="00CB481A"/>
    <w:rsid w:val="00CB7499"/>
    <w:rsid w:val="00CD2484"/>
    <w:rsid w:val="00CE155F"/>
    <w:rsid w:val="00CE79C4"/>
    <w:rsid w:val="00CF5E4A"/>
    <w:rsid w:val="00D00350"/>
    <w:rsid w:val="00D0240B"/>
    <w:rsid w:val="00D116E5"/>
    <w:rsid w:val="00D220CF"/>
    <w:rsid w:val="00D27B99"/>
    <w:rsid w:val="00D303EF"/>
    <w:rsid w:val="00D33358"/>
    <w:rsid w:val="00D42013"/>
    <w:rsid w:val="00D42630"/>
    <w:rsid w:val="00D50E17"/>
    <w:rsid w:val="00D81953"/>
    <w:rsid w:val="00D841E9"/>
    <w:rsid w:val="00D86944"/>
    <w:rsid w:val="00D87215"/>
    <w:rsid w:val="00DC56E1"/>
    <w:rsid w:val="00DD04A1"/>
    <w:rsid w:val="00DD0722"/>
    <w:rsid w:val="00DE0B4E"/>
    <w:rsid w:val="00DE1060"/>
    <w:rsid w:val="00DF1F30"/>
    <w:rsid w:val="00E01D7D"/>
    <w:rsid w:val="00E3027E"/>
    <w:rsid w:val="00E37233"/>
    <w:rsid w:val="00E472EF"/>
    <w:rsid w:val="00E51EC5"/>
    <w:rsid w:val="00E63CE9"/>
    <w:rsid w:val="00E64C8A"/>
    <w:rsid w:val="00E653DF"/>
    <w:rsid w:val="00E800F9"/>
    <w:rsid w:val="00E81F68"/>
    <w:rsid w:val="00E8455B"/>
    <w:rsid w:val="00E94539"/>
    <w:rsid w:val="00EA4D67"/>
    <w:rsid w:val="00EB1B31"/>
    <w:rsid w:val="00EB5C76"/>
    <w:rsid w:val="00EB6264"/>
    <w:rsid w:val="00EB6824"/>
    <w:rsid w:val="00EB763F"/>
    <w:rsid w:val="00ED1274"/>
    <w:rsid w:val="00EE02BE"/>
    <w:rsid w:val="00EE6D0E"/>
    <w:rsid w:val="00F15AD7"/>
    <w:rsid w:val="00F203FD"/>
    <w:rsid w:val="00F22559"/>
    <w:rsid w:val="00F22BB9"/>
    <w:rsid w:val="00F238C2"/>
    <w:rsid w:val="00F31FDF"/>
    <w:rsid w:val="00F36B96"/>
    <w:rsid w:val="00F41A36"/>
    <w:rsid w:val="00F4322E"/>
    <w:rsid w:val="00F52B14"/>
    <w:rsid w:val="00F57550"/>
    <w:rsid w:val="00F62B4E"/>
    <w:rsid w:val="00F649A5"/>
    <w:rsid w:val="00F6748E"/>
    <w:rsid w:val="00F701EE"/>
    <w:rsid w:val="00F70AAA"/>
    <w:rsid w:val="00F7746B"/>
    <w:rsid w:val="00F81F27"/>
    <w:rsid w:val="00FA0401"/>
    <w:rsid w:val="00FA13F2"/>
    <w:rsid w:val="00FB29D0"/>
    <w:rsid w:val="00FE7DB2"/>
    <w:rsid w:val="00FF09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A602A"/>
  <w15:chartTrackingRefBased/>
  <w15:docId w15:val="{5A32158E-5F67-468E-83B1-FE8D2168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71"/>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8B7B1E"/>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8B7B1E"/>
    <w:pPr>
      <w:keepNext/>
      <w:keepLines/>
      <w:spacing w:before="40" w:after="0"/>
      <w:outlineLvl w:val="3"/>
    </w:pPr>
    <w:rPr>
      <w:rFonts w:asciiTheme="majorHAnsi" w:eastAsiaTheme="majorEastAsia" w:hAnsiTheme="majorHAnsi" w:cstheme="majorBidi"/>
      <w:iCs/>
      <w:color w:val="1B9590" w:themeColor="accent3"/>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8B7B1E"/>
    <w:pPr>
      <w:keepNext/>
      <w:keepLines/>
      <w:spacing w:before="40" w:after="0"/>
      <w:outlineLvl w:val="5"/>
    </w:pPr>
    <w:rPr>
      <w:rFonts w:asciiTheme="majorHAnsi" w:eastAsiaTheme="majorEastAsia" w:hAnsiTheme="majorHAnsi" w:cstheme="majorBidi"/>
      <w:color w:val="1B9590" w:themeColor="accent3"/>
    </w:rPr>
  </w:style>
  <w:style w:type="paragraph" w:styleId="Heading7">
    <w:name w:val="heading 7"/>
    <w:basedOn w:val="Normal"/>
    <w:next w:val="Normal"/>
    <w:link w:val="Heading7Char"/>
    <w:uiPriority w:val="9"/>
    <w:semiHidden/>
    <w:unhideWhenUsed/>
    <w:qFormat/>
    <w:rsid w:val="008B7B1E"/>
    <w:pPr>
      <w:keepNext/>
      <w:keepLines/>
      <w:spacing w:before="40" w:after="0"/>
      <w:outlineLvl w:val="6"/>
    </w:pPr>
    <w:rPr>
      <w:rFonts w:asciiTheme="majorHAnsi" w:eastAsiaTheme="majorEastAsia" w:hAnsiTheme="majorHAnsi" w:cstheme="majorBidi"/>
      <w:i/>
      <w:iCs/>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character" w:customStyle="1" w:styleId="Heading2Char">
    <w:name w:val="Heading 2 Char"/>
    <w:basedOn w:val="DefaultParagraphFont"/>
    <w:link w:val="Heading2"/>
    <w:uiPriority w:val="9"/>
    <w:rsid w:val="008B7B1E"/>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8B7B1E"/>
    <w:rPr>
      <w:rFonts w:asciiTheme="majorHAnsi" w:eastAsiaTheme="majorEastAsia" w:hAnsiTheme="majorHAnsi" w:cstheme="majorBidi"/>
      <w:iCs/>
      <w:color w:val="1B9590" w:themeColor="accent3"/>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8B7B1E"/>
    <w:rPr>
      <w:rFonts w:asciiTheme="majorHAnsi" w:eastAsiaTheme="majorEastAsia" w:hAnsiTheme="majorHAnsi" w:cstheme="majorBidi"/>
      <w:color w:val="1B9590"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character" w:customStyle="1" w:styleId="Heading7Char">
    <w:name w:val="Heading 7 Char"/>
    <w:basedOn w:val="DefaultParagraphFont"/>
    <w:link w:val="Heading7"/>
    <w:uiPriority w:val="9"/>
    <w:semiHidden/>
    <w:rsid w:val="008B7B1E"/>
    <w:rPr>
      <w:rFonts w:asciiTheme="majorHAnsi" w:eastAsiaTheme="majorEastAsia" w:hAnsiTheme="majorHAnsi" w:cstheme="majorBidi"/>
      <w:i/>
      <w:iCs/>
      <w:color w:val="005677" w:themeColor="text2"/>
    </w:rPr>
  </w:style>
  <w:style w:type="paragraph" w:customStyle="1" w:styleId="Body">
    <w:name w:val="Body"/>
    <w:basedOn w:val="Normal"/>
    <w:link w:val="BodyChar"/>
    <w:qFormat/>
    <w:rsid w:val="004316FC"/>
    <w:rPr>
      <w:rFonts w:ascii="Arial" w:eastAsia="Calibri" w:hAnsi="Arial" w:cs="Times New Roman"/>
    </w:rPr>
  </w:style>
  <w:style w:type="character" w:customStyle="1" w:styleId="BodyChar">
    <w:name w:val="Body Char"/>
    <w:basedOn w:val="DefaultParagraphFont"/>
    <w:link w:val="Body"/>
    <w:rsid w:val="004316FC"/>
    <w:rPr>
      <w:rFonts w:ascii="Arial" w:eastAsia="Calibri" w:hAnsi="Arial" w:cs="Times New Roman"/>
    </w:rPr>
  </w:style>
  <w:style w:type="paragraph" w:customStyle="1" w:styleId="Bullet">
    <w:name w:val="Bullet"/>
    <w:basedOn w:val="Normal"/>
    <w:rsid w:val="004316FC"/>
    <w:pPr>
      <w:numPr>
        <w:numId w:val="19"/>
      </w:numPr>
      <w:spacing w:line="252" w:lineRule="auto"/>
    </w:pPr>
    <w:rPr>
      <w:rFonts w:ascii="Calibri" w:hAnsi="Calibri" w:cs="Calibri"/>
    </w:rPr>
  </w:style>
  <w:style w:type="character" w:customStyle="1" w:styleId="DashChar">
    <w:name w:val="Dash Char"/>
    <w:basedOn w:val="DefaultParagraphFont"/>
    <w:link w:val="Dash"/>
    <w:locked/>
    <w:rsid w:val="004316FC"/>
  </w:style>
  <w:style w:type="paragraph" w:customStyle="1" w:styleId="Dash">
    <w:name w:val="Dash"/>
    <w:basedOn w:val="Normal"/>
    <w:link w:val="DashChar"/>
    <w:rsid w:val="004316FC"/>
    <w:pPr>
      <w:numPr>
        <w:ilvl w:val="1"/>
        <w:numId w:val="19"/>
      </w:numPr>
      <w:spacing w:line="252" w:lineRule="auto"/>
    </w:pPr>
  </w:style>
  <w:style w:type="paragraph" w:customStyle="1" w:styleId="DoubleDot">
    <w:name w:val="Double Dot"/>
    <w:basedOn w:val="Normal"/>
    <w:rsid w:val="004316FC"/>
    <w:pPr>
      <w:numPr>
        <w:ilvl w:val="2"/>
        <w:numId w:val="19"/>
      </w:numPr>
      <w:spacing w:line="252" w:lineRule="auto"/>
    </w:pPr>
  </w:style>
  <w:style w:type="table" w:styleId="GridTable4">
    <w:name w:val="Grid Table 4"/>
    <w:basedOn w:val="TableNormal"/>
    <w:uiPriority w:val="49"/>
    <w:rsid w:val="004316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qFormat/>
    <w:rsid w:val="004316FC"/>
    <w:pPr>
      <w:spacing w:after="0" w:line="240" w:lineRule="auto"/>
    </w:pPr>
    <w:rPr>
      <w:sz w:val="20"/>
      <w:szCs w:val="20"/>
    </w:rPr>
  </w:style>
  <w:style w:type="character" w:customStyle="1" w:styleId="FootnoteTextChar">
    <w:name w:val="Footnote Text Char"/>
    <w:basedOn w:val="DefaultParagraphFont"/>
    <w:link w:val="FootnoteText"/>
    <w:uiPriority w:val="99"/>
    <w:rsid w:val="004316FC"/>
    <w:rPr>
      <w:sz w:val="20"/>
      <w:szCs w:val="20"/>
    </w:rPr>
  </w:style>
  <w:style w:type="character" w:styleId="FootnoteReference">
    <w:name w:val="footnote reference"/>
    <w:basedOn w:val="DefaultParagraphFont"/>
    <w:uiPriority w:val="99"/>
    <w:semiHidden/>
    <w:unhideWhenUsed/>
    <w:rsid w:val="004316FC"/>
    <w:rPr>
      <w:vertAlign w:val="superscript"/>
    </w:rPr>
  </w:style>
  <w:style w:type="character" w:styleId="CommentReference">
    <w:name w:val="annotation reference"/>
    <w:basedOn w:val="DefaultParagraphFont"/>
    <w:uiPriority w:val="99"/>
    <w:semiHidden/>
    <w:unhideWhenUsed/>
    <w:rsid w:val="00291529"/>
    <w:rPr>
      <w:sz w:val="16"/>
      <w:szCs w:val="16"/>
    </w:rPr>
  </w:style>
  <w:style w:type="paragraph" w:styleId="CommentText">
    <w:name w:val="annotation text"/>
    <w:basedOn w:val="Normal"/>
    <w:link w:val="CommentTextChar"/>
    <w:uiPriority w:val="99"/>
    <w:unhideWhenUsed/>
    <w:rsid w:val="00291529"/>
    <w:pPr>
      <w:spacing w:line="240" w:lineRule="auto"/>
    </w:pPr>
    <w:rPr>
      <w:sz w:val="20"/>
      <w:szCs w:val="20"/>
    </w:rPr>
  </w:style>
  <w:style w:type="character" w:customStyle="1" w:styleId="CommentTextChar">
    <w:name w:val="Comment Text Char"/>
    <w:basedOn w:val="DefaultParagraphFont"/>
    <w:link w:val="CommentText"/>
    <w:uiPriority w:val="99"/>
    <w:rsid w:val="00291529"/>
    <w:rPr>
      <w:sz w:val="20"/>
      <w:szCs w:val="20"/>
    </w:rPr>
  </w:style>
  <w:style w:type="numbering" w:customStyle="1" w:styleId="Bullets">
    <w:name w:val="Bullets"/>
    <w:basedOn w:val="NoList"/>
    <w:uiPriority w:val="99"/>
    <w:rsid w:val="00291529"/>
    <w:pPr>
      <w:numPr>
        <w:numId w:val="22"/>
      </w:numPr>
    </w:pPr>
  </w:style>
  <w:style w:type="paragraph" w:customStyle="1" w:styleId="Boxbulletedlist1">
    <w:name w:val="Box bulleted list 1"/>
    <w:basedOn w:val="Normal"/>
    <w:uiPriority w:val="25"/>
    <w:semiHidden/>
    <w:qFormat/>
    <w:rsid w:val="00291529"/>
    <w:pPr>
      <w:numPr>
        <w:ilvl w:val="3"/>
        <w:numId w:val="22"/>
      </w:numPr>
      <w:spacing w:before="140" w:after="0" w:line="240" w:lineRule="atLeast"/>
      <w:ind w:right="340"/>
    </w:pPr>
    <w:rPr>
      <w:rFonts w:cs="Times New Roman"/>
      <w:color w:val="000000" w:themeColor="text1"/>
      <w:szCs w:val="20"/>
    </w:rPr>
  </w:style>
  <w:style w:type="paragraph" w:customStyle="1" w:styleId="Boxbulletedlist2">
    <w:name w:val="Box bulleted list 2"/>
    <w:basedOn w:val="Normal"/>
    <w:uiPriority w:val="25"/>
    <w:semiHidden/>
    <w:qFormat/>
    <w:rsid w:val="00291529"/>
    <w:pPr>
      <w:numPr>
        <w:ilvl w:val="4"/>
        <w:numId w:val="22"/>
      </w:numPr>
      <w:spacing w:before="140" w:after="0" w:line="240" w:lineRule="atLeast"/>
      <w:ind w:right="340"/>
    </w:pPr>
    <w:rPr>
      <w:rFonts w:cs="Times New Roman"/>
      <w:color w:val="000000" w:themeColor="text1"/>
      <w:szCs w:val="20"/>
    </w:rPr>
  </w:style>
  <w:style w:type="paragraph" w:customStyle="1" w:styleId="Boxbulletedlist3">
    <w:name w:val="Box bulleted list 3"/>
    <w:basedOn w:val="Normal"/>
    <w:uiPriority w:val="25"/>
    <w:semiHidden/>
    <w:qFormat/>
    <w:rsid w:val="00291529"/>
    <w:pPr>
      <w:numPr>
        <w:ilvl w:val="5"/>
        <w:numId w:val="22"/>
      </w:numPr>
      <w:spacing w:before="140" w:after="0" w:line="240" w:lineRule="atLeast"/>
      <w:ind w:right="340"/>
    </w:pPr>
    <w:rPr>
      <w:rFonts w:cs="Times New Roman"/>
      <w:color w:val="000000" w:themeColor="text1"/>
      <w:szCs w:val="20"/>
    </w:rPr>
  </w:style>
  <w:style w:type="paragraph" w:customStyle="1" w:styleId="Bulletedlist1">
    <w:name w:val="Bulleted list 1"/>
    <w:basedOn w:val="Normal"/>
    <w:uiPriority w:val="1"/>
    <w:qFormat/>
    <w:rsid w:val="00291529"/>
    <w:pPr>
      <w:numPr>
        <w:numId w:val="22"/>
      </w:numPr>
      <w:spacing w:before="85" w:after="0" w:line="240" w:lineRule="atLeast"/>
    </w:pPr>
    <w:rPr>
      <w:rFonts w:cs="Times New Roman"/>
      <w:color w:val="000000" w:themeColor="text1"/>
      <w:szCs w:val="20"/>
    </w:rPr>
  </w:style>
  <w:style w:type="paragraph" w:customStyle="1" w:styleId="Bulletedlist2">
    <w:name w:val="Bulleted list 2"/>
    <w:basedOn w:val="Normal"/>
    <w:uiPriority w:val="1"/>
    <w:qFormat/>
    <w:rsid w:val="00291529"/>
    <w:pPr>
      <w:numPr>
        <w:ilvl w:val="1"/>
        <w:numId w:val="22"/>
      </w:numPr>
      <w:spacing w:before="85" w:after="0" w:line="240" w:lineRule="atLeast"/>
    </w:pPr>
    <w:rPr>
      <w:rFonts w:cs="Times New Roman"/>
      <w:color w:val="000000" w:themeColor="text1"/>
      <w:szCs w:val="20"/>
    </w:rPr>
  </w:style>
  <w:style w:type="paragraph" w:customStyle="1" w:styleId="Bulletedlist3">
    <w:name w:val="Bulleted list 3"/>
    <w:basedOn w:val="Normal"/>
    <w:uiPriority w:val="1"/>
    <w:qFormat/>
    <w:rsid w:val="00291529"/>
    <w:pPr>
      <w:numPr>
        <w:ilvl w:val="2"/>
        <w:numId w:val="22"/>
      </w:numPr>
      <w:spacing w:before="57" w:after="0" w:line="240" w:lineRule="atLeast"/>
    </w:pPr>
    <w:rPr>
      <w:rFonts w:cs="Times New Roman"/>
      <w:color w:val="000000" w:themeColor="text1"/>
      <w:szCs w:val="20"/>
    </w:rPr>
  </w:style>
  <w:style w:type="paragraph" w:customStyle="1" w:styleId="Tablebulletedlist1">
    <w:name w:val="Table bulleted list 1"/>
    <w:basedOn w:val="Normal"/>
    <w:uiPriority w:val="20"/>
    <w:qFormat/>
    <w:rsid w:val="00291529"/>
    <w:pPr>
      <w:numPr>
        <w:ilvl w:val="6"/>
        <w:numId w:val="22"/>
      </w:numPr>
      <w:spacing w:before="85" w:after="0" w:line="240" w:lineRule="atLeast"/>
      <w:ind w:right="227"/>
    </w:pPr>
    <w:rPr>
      <w:rFonts w:cs="Times New Roman"/>
      <w:color w:val="000000" w:themeColor="text1"/>
      <w:szCs w:val="20"/>
    </w:rPr>
  </w:style>
  <w:style w:type="paragraph" w:customStyle="1" w:styleId="Tablebulletedlist2">
    <w:name w:val="Table bulleted list 2"/>
    <w:basedOn w:val="Normal"/>
    <w:uiPriority w:val="20"/>
    <w:qFormat/>
    <w:rsid w:val="00291529"/>
    <w:pPr>
      <w:numPr>
        <w:ilvl w:val="7"/>
        <w:numId w:val="22"/>
      </w:numPr>
      <w:spacing w:before="85" w:after="0" w:line="240" w:lineRule="atLeast"/>
      <w:ind w:right="227"/>
    </w:pPr>
    <w:rPr>
      <w:rFonts w:cs="Times New Roman"/>
      <w:color w:val="000000" w:themeColor="text1"/>
      <w:szCs w:val="20"/>
    </w:rPr>
  </w:style>
  <w:style w:type="paragraph" w:customStyle="1" w:styleId="Tablebulletedlist3">
    <w:name w:val="Table bulleted list 3"/>
    <w:basedOn w:val="Normal"/>
    <w:uiPriority w:val="20"/>
    <w:qFormat/>
    <w:rsid w:val="00291529"/>
    <w:pPr>
      <w:numPr>
        <w:ilvl w:val="8"/>
        <w:numId w:val="22"/>
      </w:numPr>
      <w:spacing w:before="57" w:after="0" w:line="240" w:lineRule="atLeast"/>
      <w:ind w:right="227"/>
    </w:pPr>
    <w:rPr>
      <w:rFonts w:cs="Times New Roman"/>
      <w:color w:val="000000" w:themeColor="text1"/>
      <w:szCs w:val="20"/>
    </w:rPr>
  </w:style>
  <w:style w:type="paragraph" w:styleId="CommentSubject">
    <w:name w:val="annotation subject"/>
    <w:basedOn w:val="CommentText"/>
    <w:next w:val="CommentText"/>
    <w:link w:val="CommentSubjectChar"/>
    <w:uiPriority w:val="99"/>
    <w:semiHidden/>
    <w:unhideWhenUsed/>
    <w:rsid w:val="002825AA"/>
    <w:rPr>
      <w:b/>
      <w:bCs/>
    </w:rPr>
  </w:style>
  <w:style w:type="character" w:customStyle="1" w:styleId="CommentSubjectChar">
    <w:name w:val="Comment Subject Char"/>
    <w:basedOn w:val="CommentTextChar"/>
    <w:link w:val="CommentSubject"/>
    <w:uiPriority w:val="99"/>
    <w:semiHidden/>
    <w:rsid w:val="002825AA"/>
    <w:rPr>
      <w:b/>
      <w:bCs/>
      <w:sz w:val="20"/>
      <w:szCs w:val="20"/>
    </w:rPr>
  </w:style>
  <w:style w:type="character" w:styleId="FollowedHyperlink">
    <w:name w:val="FollowedHyperlink"/>
    <w:basedOn w:val="DefaultParagraphFont"/>
    <w:uiPriority w:val="99"/>
    <w:semiHidden/>
    <w:unhideWhenUsed/>
    <w:rsid w:val="00CA4214"/>
    <w:rPr>
      <w:color w:val="551A8B" w:themeColor="followedHyperlink"/>
      <w:u w:val="single"/>
    </w:rPr>
  </w:style>
  <w:style w:type="paragraph" w:styleId="Revision">
    <w:name w:val="Revision"/>
    <w:hidden/>
    <w:uiPriority w:val="99"/>
    <w:semiHidden/>
    <w:rsid w:val="002D6880"/>
    <w:pPr>
      <w:spacing w:after="0" w:line="240" w:lineRule="auto"/>
    </w:pPr>
  </w:style>
  <w:style w:type="character" w:customStyle="1" w:styleId="UnresolvedMention1">
    <w:name w:val="Unresolved Mention1"/>
    <w:basedOn w:val="DefaultParagraphFont"/>
    <w:uiPriority w:val="99"/>
    <w:semiHidden/>
    <w:unhideWhenUsed/>
    <w:rsid w:val="008B580E"/>
    <w:rPr>
      <w:color w:val="605E5C"/>
      <w:shd w:val="clear" w:color="auto" w:fill="E1DFDD"/>
    </w:rPr>
  </w:style>
  <w:style w:type="paragraph" w:styleId="ListNumber">
    <w:name w:val="List Number"/>
    <w:basedOn w:val="Normal"/>
    <w:uiPriority w:val="99"/>
    <w:qFormat/>
    <w:rsid w:val="00F70AAA"/>
    <w:pPr>
      <w:numPr>
        <w:numId w:val="29"/>
      </w:numPr>
      <w:spacing w:after="200" w:line="276" w:lineRule="auto"/>
    </w:pPr>
    <w:rPr>
      <w:rFonts w:ascii="Arial" w:eastAsia="Calibri" w:hAnsi="Arial" w:cs="Times New Roman"/>
    </w:rPr>
  </w:style>
  <w:style w:type="paragraph" w:styleId="ListNumber2">
    <w:name w:val="List Number 2"/>
    <w:basedOn w:val="Normal"/>
    <w:uiPriority w:val="99"/>
    <w:rsid w:val="00F70AAA"/>
    <w:pPr>
      <w:numPr>
        <w:ilvl w:val="1"/>
        <w:numId w:val="29"/>
      </w:numPr>
      <w:spacing w:after="200" w:line="276" w:lineRule="auto"/>
    </w:pPr>
    <w:rPr>
      <w:rFonts w:ascii="Arial" w:eastAsia="Calibri" w:hAnsi="Arial" w:cs="Times New Roman"/>
    </w:rPr>
  </w:style>
  <w:style w:type="paragraph" w:styleId="ListNumber3">
    <w:name w:val="List Number 3"/>
    <w:basedOn w:val="Normal"/>
    <w:uiPriority w:val="99"/>
    <w:rsid w:val="00F70AAA"/>
    <w:pPr>
      <w:numPr>
        <w:ilvl w:val="2"/>
        <w:numId w:val="29"/>
      </w:numPr>
      <w:spacing w:after="200" w:line="276" w:lineRule="auto"/>
    </w:pPr>
    <w:rPr>
      <w:rFonts w:ascii="Arial" w:eastAsia="Calibri" w:hAnsi="Arial" w:cs="Times New Roman"/>
    </w:rPr>
  </w:style>
  <w:style w:type="paragraph" w:styleId="ListNumber4">
    <w:name w:val="List Number 4"/>
    <w:basedOn w:val="Normal"/>
    <w:uiPriority w:val="99"/>
    <w:rsid w:val="00F70AAA"/>
    <w:pPr>
      <w:numPr>
        <w:ilvl w:val="3"/>
        <w:numId w:val="29"/>
      </w:numPr>
      <w:spacing w:after="200" w:line="276" w:lineRule="auto"/>
    </w:pPr>
    <w:rPr>
      <w:rFonts w:ascii="Arial" w:eastAsia="Calibri" w:hAnsi="Arial" w:cs="Times New Roman"/>
    </w:rPr>
  </w:style>
  <w:style w:type="paragraph" w:styleId="ListNumber5">
    <w:name w:val="List Number 5"/>
    <w:basedOn w:val="Normal"/>
    <w:uiPriority w:val="99"/>
    <w:rsid w:val="00F70AAA"/>
    <w:pPr>
      <w:numPr>
        <w:ilvl w:val="4"/>
        <w:numId w:val="29"/>
      </w:numPr>
      <w:spacing w:after="200" w:line="276" w:lineRule="auto"/>
    </w:pPr>
    <w:rPr>
      <w:rFonts w:ascii="Arial" w:eastAsia="Calibri" w:hAnsi="Arial" w:cs="Times New Roman"/>
    </w:rPr>
  </w:style>
  <w:style w:type="character" w:customStyle="1" w:styleId="Advisorytext">
    <w:name w:val="Advisory text"/>
    <w:basedOn w:val="DefaultParagraphFont"/>
    <w:uiPriority w:val="99"/>
    <w:rsid w:val="00F70AAA"/>
    <w:rPr>
      <w:color w:val="FF0000"/>
    </w:rPr>
  </w:style>
  <w:style w:type="character" w:styleId="UnresolvedMention">
    <w:name w:val="Unresolved Mention"/>
    <w:basedOn w:val="DefaultParagraphFont"/>
    <w:uiPriority w:val="99"/>
    <w:semiHidden/>
    <w:unhideWhenUsed/>
    <w:rsid w:val="009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50598">
      <w:bodyDiv w:val="1"/>
      <w:marLeft w:val="0"/>
      <w:marRight w:val="0"/>
      <w:marTop w:val="0"/>
      <w:marBottom w:val="0"/>
      <w:divBdr>
        <w:top w:val="none" w:sz="0" w:space="0" w:color="auto"/>
        <w:left w:val="none" w:sz="0" w:space="0" w:color="auto"/>
        <w:bottom w:val="none" w:sz="0" w:space="0" w:color="auto"/>
        <w:right w:val="none" w:sz="0" w:space="0" w:color="auto"/>
      </w:divBdr>
    </w:div>
    <w:div w:id="309288832">
      <w:bodyDiv w:val="1"/>
      <w:marLeft w:val="0"/>
      <w:marRight w:val="0"/>
      <w:marTop w:val="0"/>
      <w:marBottom w:val="0"/>
      <w:divBdr>
        <w:top w:val="none" w:sz="0" w:space="0" w:color="auto"/>
        <w:left w:val="none" w:sz="0" w:space="0" w:color="auto"/>
        <w:bottom w:val="none" w:sz="0" w:space="0" w:color="auto"/>
        <w:right w:val="none" w:sz="0" w:space="0" w:color="auto"/>
      </w:divBdr>
      <w:divsChild>
        <w:div w:id="1419672432">
          <w:marLeft w:val="0"/>
          <w:marRight w:val="0"/>
          <w:marTop w:val="0"/>
          <w:marBottom w:val="0"/>
          <w:divBdr>
            <w:top w:val="none" w:sz="0" w:space="0" w:color="auto"/>
            <w:left w:val="none" w:sz="0" w:space="0" w:color="auto"/>
            <w:bottom w:val="none" w:sz="0" w:space="0" w:color="auto"/>
            <w:right w:val="none" w:sz="0" w:space="0" w:color="auto"/>
          </w:divBdr>
        </w:div>
      </w:divsChild>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9092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nsult.industry.gov.au/junior-minerals-exploration-incentiv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publications/junior-minerals-exploration-incentive-2017-18-annual-impact-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A6AFEF9609548B9E6AC08CE053546"/>
        <w:category>
          <w:name w:val="General"/>
          <w:gallery w:val="placeholder"/>
        </w:category>
        <w:types>
          <w:type w:val="bbPlcHdr"/>
        </w:types>
        <w:behaviors>
          <w:behavior w:val="content"/>
        </w:behaviors>
        <w:guid w:val="{3D58182C-8B6B-6B4A-AC50-00E702FD52DD}"/>
      </w:docPartPr>
      <w:docPartBody>
        <w:p w:rsidR="000131EA" w:rsidRDefault="00E9086E">
          <w:pPr>
            <w:pStyle w:val="AE7A6AFEF9609548B9E6AC08CE053546"/>
          </w:pPr>
          <w:r w:rsidRPr="00DB39DE">
            <w:rPr>
              <w:rStyle w:val="PlaceholderText"/>
            </w:rPr>
            <w:t>[Title]</w:t>
          </w:r>
        </w:p>
      </w:docPartBody>
    </w:docPart>
    <w:docPart>
      <w:docPartPr>
        <w:name w:val="A5D8FBE249D34586BB704ADFBC45888B"/>
        <w:category>
          <w:name w:val="General"/>
          <w:gallery w:val="placeholder"/>
        </w:category>
        <w:types>
          <w:type w:val="bbPlcHdr"/>
        </w:types>
        <w:behaviors>
          <w:behavior w:val="content"/>
        </w:behaviors>
        <w:guid w:val="{6947D210-F848-4969-95F1-09BD71E49A61}"/>
      </w:docPartPr>
      <w:docPartBody>
        <w:p w:rsidR="00F121C7" w:rsidRDefault="00BC0A5E" w:rsidP="00BC0A5E">
          <w:pPr>
            <w:pStyle w:val="A5D8FBE249D34586BB704ADFBC45888B"/>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6E"/>
    <w:rsid w:val="000131EA"/>
    <w:rsid w:val="000D5D99"/>
    <w:rsid w:val="000F6FF0"/>
    <w:rsid w:val="00105B2E"/>
    <w:rsid w:val="00137E8A"/>
    <w:rsid w:val="001F72A4"/>
    <w:rsid w:val="00216501"/>
    <w:rsid w:val="00221F1A"/>
    <w:rsid w:val="00226CE0"/>
    <w:rsid w:val="00231D9E"/>
    <w:rsid w:val="005332C7"/>
    <w:rsid w:val="00681D0B"/>
    <w:rsid w:val="007C0125"/>
    <w:rsid w:val="00883EA2"/>
    <w:rsid w:val="00A23DCF"/>
    <w:rsid w:val="00A8631F"/>
    <w:rsid w:val="00A945DA"/>
    <w:rsid w:val="00BC0A5E"/>
    <w:rsid w:val="00C064EB"/>
    <w:rsid w:val="00CB2E71"/>
    <w:rsid w:val="00D55A5B"/>
    <w:rsid w:val="00DB36EF"/>
    <w:rsid w:val="00E15A84"/>
    <w:rsid w:val="00E9086E"/>
    <w:rsid w:val="00F121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A5E"/>
    <w:rPr>
      <w:color w:val="808080"/>
    </w:rPr>
  </w:style>
  <w:style w:type="paragraph" w:customStyle="1" w:styleId="AE7A6AFEF9609548B9E6AC08CE053546">
    <w:name w:val="AE7A6AFEF9609548B9E6AC08CE053546"/>
  </w:style>
  <w:style w:type="paragraph" w:customStyle="1" w:styleId="A5D8FBE249D34586BB704ADFBC45888B">
    <w:name w:val="A5D8FBE249D34586BB704ADFBC45888B"/>
    <w:rsid w:val="00BC0A5E"/>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901CEDD-B47A-4D0F-9DCE-8401F8B2E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87AE912D7FA304B8F7F6FDFD823DBEF" ma:contentTypeVersion="" ma:contentTypeDescription="PDMS Document Site Content Type" ma:contentTypeScope="" ma:versionID="94e340b06d255099ad0f5c376db5b3ae">
  <xsd:schema xmlns:xsd="http://www.w3.org/2001/XMLSchema" xmlns:xs="http://www.w3.org/2001/XMLSchema" xmlns:p="http://schemas.microsoft.com/office/2006/metadata/properties" xmlns:ns2="A901CEDD-B47A-4D0F-9DCE-8401F8B2E6ED" targetNamespace="http://schemas.microsoft.com/office/2006/metadata/properties" ma:root="true" ma:fieldsID="12c18d0e6187e32c75195f2953c9dadf" ns2:_="">
    <xsd:import namespace="A901CEDD-B47A-4D0F-9DCE-8401F8B2E6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1CEDD-B47A-4D0F-9DCE-8401F8B2E6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A7DDE-9146-4E09-856D-26371AF8CDD1}">
  <ds:schemaRefs>
    <ds:schemaRef ds:uri="http://schemas.openxmlformats.org/officeDocument/2006/bibliography"/>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297BCF5D-ECED-40B9-848C-61973DAC72C5}">
  <ds:schemaRefs>
    <ds:schemaRef ds:uri="http://schemas.microsoft.com/office/2006/metadata/properties"/>
    <ds:schemaRef ds:uri="http://schemas.microsoft.com/office/infopath/2007/PartnerControls"/>
    <ds:schemaRef ds:uri="A901CEDD-B47A-4D0F-9DCE-8401F8B2E6ED"/>
  </ds:schemaRefs>
</ds:datastoreItem>
</file>

<file path=customXml/itemProps4.xml><?xml version="1.0" encoding="utf-8"?>
<ds:datastoreItem xmlns:ds="http://schemas.openxmlformats.org/officeDocument/2006/customXml" ds:itemID="{3A3E99B7-08B7-4B2A-B9DE-6A2A08C03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1CEDD-B47A-4D0F-9DCE-8401F8B2E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Junior Minerals Exploration Incentive - 2018-19 Annual Impact Assessment</vt:lpstr>
    </vt:vector>
  </TitlesOfParts>
  <Manager/>
  <Company/>
  <LinksUpToDate>false</LinksUpToDate>
  <CharactersWithSpaces>22401</CharactersWithSpaces>
  <SharedDoc>false</SharedDoc>
  <HLinks>
    <vt:vector size="90" baseType="variant">
      <vt:variant>
        <vt:i4>65555</vt:i4>
      </vt:variant>
      <vt:variant>
        <vt:i4>93</vt:i4>
      </vt:variant>
      <vt:variant>
        <vt:i4>0</vt:i4>
      </vt:variant>
      <vt:variant>
        <vt:i4>5</vt:i4>
      </vt:variant>
      <vt:variant>
        <vt:lpwstr>https://consult.industry.gov.au/junior-minerals-exploration-incentive</vt:lpwstr>
      </vt:variant>
      <vt:variant>
        <vt:lpwstr/>
      </vt:variant>
      <vt:variant>
        <vt:i4>7340149</vt:i4>
      </vt:variant>
      <vt:variant>
        <vt:i4>69</vt:i4>
      </vt:variant>
      <vt:variant>
        <vt:i4>0</vt:i4>
      </vt:variant>
      <vt:variant>
        <vt:i4>5</vt:i4>
      </vt:variant>
      <vt:variant>
        <vt:lpwstr>https://www.industry.gov.au/publications/junior-minerals-exploration-incentive-2017-18-annual-impact-assessment</vt:lpwstr>
      </vt:variant>
      <vt:variant>
        <vt:lpwstr/>
      </vt:variant>
      <vt:variant>
        <vt:i4>1835065</vt:i4>
      </vt:variant>
      <vt:variant>
        <vt:i4>62</vt:i4>
      </vt:variant>
      <vt:variant>
        <vt:i4>0</vt:i4>
      </vt:variant>
      <vt:variant>
        <vt:i4>5</vt:i4>
      </vt:variant>
      <vt:variant>
        <vt:lpwstr/>
      </vt:variant>
      <vt:variant>
        <vt:lpwstr>_Toc121898090</vt:lpwstr>
      </vt:variant>
      <vt:variant>
        <vt:i4>1900601</vt:i4>
      </vt:variant>
      <vt:variant>
        <vt:i4>56</vt:i4>
      </vt:variant>
      <vt:variant>
        <vt:i4>0</vt:i4>
      </vt:variant>
      <vt:variant>
        <vt:i4>5</vt:i4>
      </vt:variant>
      <vt:variant>
        <vt:lpwstr/>
      </vt:variant>
      <vt:variant>
        <vt:lpwstr>_Toc121898089</vt:lpwstr>
      </vt:variant>
      <vt:variant>
        <vt:i4>1900601</vt:i4>
      </vt:variant>
      <vt:variant>
        <vt:i4>50</vt:i4>
      </vt:variant>
      <vt:variant>
        <vt:i4>0</vt:i4>
      </vt:variant>
      <vt:variant>
        <vt:i4>5</vt:i4>
      </vt:variant>
      <vt:variant>
        <vt:lpwstr/>
      </vt:variant>
      <vt:variant>
        <vt:lpwstr>_Toc121898088</vt:lpwstr>
      </vt:variant>
      <vt:variant>
        <vt:i4>1900601</vt:i4>
      </vt:variant>
      <vt:variant>
        <vt:i4>44</vt:i4>
      </vt:variant>
      <vt:variant>
        <vt:i4>0</vt:i4>
      </vt:variant>
      <vt:variant>
        <vt:i4>5</vt:i4>
      </vt:variant>
      <vt:variant>
        <vt:lpwstr/>
      </vt:variant>
      <vt:variant>
        <vt:lpwstr>_Toc121898087</vt:lpwstr>
      </vt:variant>
      <vt:variant>
        <vt:i4>1900601</vt:i4>
      </vt:variant>
      <vt:variant>
        <vt:i4>38</vt:i4>
      </vt:variant>
      <vt:variant>
        <vt:i4>0</vt:i4>
      </vt:variant>
      <vt:variant>
        <vt:i4>5</vt:i4>
      </vt:variant>
      <vt:variant>
        <vt:lpwstr/>
      </vt:variant>
      <vt:variant>
        <vt:lpwstr>_Toc121898086</vt:lpwstr>
      </vt:variant>
      <vt:variant>
        <vt:i4>1900601</vt:i4>
      </vt:variant>
      <vt:variant>
        <vt:i4>32</vt:i4>
      </vt:variant>
      <vt:variant>
        <vt:i4>0</vt:i4>
      </vt:variant>
      <vt:variant>
        <vt:i4>5</vt:i4>
      </vt:variant>
      <vt:variant>
        <vt:lpwstr/>
      </vt:variant>
      <vt:variant>
        <vt:lpwstr>_Toc121898085</vt:lpwstr>
      </vt:variant>
      <vt:variant>
        <vt:i4>1900601</vt:i4>
      </vt:variant>
      <vt:variant>
        <vt:i4>26</vt:i4>
      </vt:variant>
      <vt:variant>
        <vt:i4>0</vt:i4>
      </vt:variant>
      <vt:variant>
        <vt:i4>5</vt:i4>
      </vt:variant>
      <vt:variant>
        <vt:lpwstr/>
      </vt:variant>
      <vt:variant>
        <vt:lpwstr>_Toc121898084</vt:lpwstr>
      </vt:variant>
      <vt:variant>
        <vt:i4>1900601</vt:i4>
      </vt:variant>
      <vt:variant>
        <vt:i4>20</vt:i4>
      </vt:variant>
      <vt:variant>
        <vt:i4>0</vt:i4>
      </vt:variant>
      <vt:variant>
        <vt:i4>5</vt:i4>
      </vt:variant>
      <vt:variant>
        <vt:lpwstr/>
      </vt:variant>
      <vt:variant>
        <vt:lpwstr>_Toc121898083</vt:lpwstr>
      </vt:variant>
      <vt:variant>
        <vt:i4>1900601</vt:i4>
      </vt:variant>
      <vt:variant>
        <vt:i4>14</vt:i4>
      </vt:variant>
      <vt:variant>
        <vt:i4>0</vt:i4>
      </vt:variant>
      <vt:variant>
        <vt:i4>5</vt:i4>
      </vt:variant>
      <vt:variant>
        <vt:lpwstr/>
      </vt:variant>
      <vt:variant>
        <vt:lpwstr>_Toc121898082</vt:lpwstr>
      </vt:variant>
      <vt:variant>
        <vt:i4>1900601</vt:i4>
      </vt:variant>
      <vt:variant>
        <vt:i4>8</vt:i4>
      </vt:variant>
      <vt:variant>
        <vt:i4>0</vt:i4>
      </vt:variant>
      <vt:variant>
        <vt:i4>5</vt:i4>
      </vt:variant>
      <vt:variant>
        <vt:lpwstr/>
      </vt:variant>
      <vt:variant>
        <vt:lpwstr>_Toc121898081</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7471139</vt:i4>
      </vt:variant>
      <vt:variant>
        <vt:i4>0</vt:i4>
      </vt:variant>
      <vt:variant>
        <vt:i4>0</vt:i4>
      </vt:variant>
      <vt:variant>
        <vt:i4>5</vt:i4>
      </vt:variant>
      <vt:variant>
        <vt:lpwstr>https://www.legislation.gov.au/Details/F2020L00097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Minerals Exploration Incentive - 2018-19 Annual Impact Assessment</dc:title>
  <dc:subject/>
  <dc:creator>Clare Connolly</dc:creator>
  <cp:keywords/>
  <dc:description/>
  <cp:lastModifiedBy>Zia, Sabreen</cp:lastModifiedBy>
  <cp:revision>5</cp:revision>
  <dcterms:created xsi:type="dcterms:W3CDTF">2023-09-26T07:01:00Z</dcterms:created>
  <dcterms:modified xsi:type="dcterms:W3CDTF">2023-09-28T04:45:00Z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0x010100266966F133664895A6EE3632470D45F500D87AE912D7FA304B8F7F6FDFD823DBEF</vt:lpwstr>
  </property>
  <property fmtid="{D5CDD505-2E9C-101B-9397-08002B2CF9AE}" pid="3" name="DocHub_Year">
    <vt:lpwstr/>
  </property>
  <property fmtid="{D5CDD505-2E9C-101B-9397-08002B2CF9AE}" pid="4" name="DocHub_DocumentType">
    <vt:lpwstr>54;#Report|116a9244-cef6-47ce-a9a5-088c9cf21292</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WorkActivity">
    <vt:lpwstr/>
  </property>
  <property fmtid="{D5CDD505-2E9C-101B-9397-08002B2CF9AE}" pid="8" name="eTheme">
    <vt:lpwstr>1;#Taxation|e53aff8a-4a1a-4486-a4fc-f40489d68897</vt:lpwstr>
  </property>
  <property fmtid="{D5CDD505-2E9C-101B-9397-08002B2CF9AE}" pid="9" name="_dlc_DocIdItemGuid">
    <vt:lpwstr>1b34a0cd-06a5-4505-88ce-3834b043b3f1</vt:lpwstr>
  </property>
  <property fmtid="{D5CDD505-2E9C-101B-9397-08002B2CF9AE}" pid="10" name="eDocumentType">
    <vt:lpwstr>86;#Comments|b81ac2a0-6544-466f-9005-80650621a3af</vt:lpwstr>
  </property>
  <property fmtid="{D5CDD505-2E9C-101B-9397-08002B2CF9AE}" pid="11" name="eTopic">
    <vt:lpwstr>18;#Junior Minerals Exploration Incentive|5792fcd0-869f-4627-ae0a-33a4def82fe7</vt:lpwstr>
  </property>
  <property fmtid="{D5CDD505-2E9C-101B-9397-08002B2CF9AE}" pid="12" name="eActivity">
    <vt:lpwstr>30;#Reporting|61774057-0c1b-4bb4-92ba-47d6048ed4cd</vt:lpwstr>
  </property>
</Properties>
</file>