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header8.xml" ContentType="application/vnd.openxmlformats-officedocument.wordprocessingml.header+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B4DA" w14:textId="77777777" w:rsidR="00FA6508" w:rsidRDefault="00F062DF" w:rsidP="00734CFB">
      <w:pPr>
        <w:pStyle w:val="Heading1"/>
        <w:numPr>
          <w:ilvl w:val="0"/>
          <w:numId w:val="0"/>
        </w:numPr>
      </w:pPr>
      <w:bookmarkStart w:id="0" w:name="_Toc152335407"/>
      <w:bookmarkStart w:id="1" w:name="_Toc152865198"/>
      <w:bookmarkStart w:id="2" w:name="TOC"/>
      <w:bookmarkStart w:id="3" w:name="_Hlk153876687"/>
      <w:bookmarkEnd w:id="3"/>
      <w:r>
        <w:rPr>
          <w:noProof/>
        </w:rPr>
        <w:drawing>
          <wp:anchor distT="0" distB="0" distL="114300" distR="114300" simplePos="0" relativeHeight="251658245" behindDoc="0" locked="0" layoutInCell="1" allowOverlap="1" wp14:anchorId="36DC0744" wp14:editId="263F74EA">
            <wp:simplePos x="0" y="0"/>
            <wp:positionH relativeFrom="page">
              <wp:align>right</wp:align>
            </wp:positionH>
            <wp:positionV relativeFrom="paragraph">
              <wp:posOffset>-629920</wp:posOffset>
            </wp:positionV>
            <wp:extent cx="10666108" cy="7535537"/>
            <wp:effectExtent l="0" t="0" r="1905"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666108" cy="7535537"/>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62045C89" w14:textId="4EB72E22" w:rsidR="00171DBC" w:rsidRPr="00171DBC" w:rsidRDefault="00171DBC" w:rsidP="00171DBC">
      <w:pPr>
        <w:pStyle w:val="BodyText"/>
        <w:sectPr w:rsidR="00171DBC" w:rsidRPr="00171DBC" w:rsidSect="00A854BE">
          <w:footerReference w:type="default" r:id="rId13"/>
          <w:footerReference w:type="first" r:id="rId14"/>
          <w:pgSz w:w="16838" w:h="11906" w:orient="landscape" w:code="9"/>
          <w:pgMar w:top="992" w:right="1440" w:bottom="1440" w:left="1440" w:header="709" w:footer="709" w:gutter="0"/>
          <w:pgNumType w:fmt="lowerRoman" w:start="0"/>
          <w:cols w:space="708"/>
          <w:titlePg/>
          <w:docGrid w:linePitch="360"/>
        </w:sectPr>
      </w:pPr>
    </w:p>
    <w:p w14:paraId="45D4507A" w14:textId="58B52F1B" w:rsidR="00B9013B" w:rsidRPr="007136E1" w:rsidRDefault="00B9013B" w:rsidP="00B9013B">
      <w:pPr>
        <w:pStyle w:val="Heading3"/>
        <w:rPr>
          <w:b/>
          <w:szCs w:val="20"/>
        </w:rPr>
      </w:pPr>
      <w:bookmarkStart w:id="4" w:name="_Toc55306043"/>
      <w:bookmarkStart w:id="5" w:name="_Toc55393243"/>
      <w:bookmarkStart w:id="6" w:name="_Toc55456451"/>
      <w:bookmarkEnd w:id="2"/>
      <w:r w:rsidRPr="007136E1">
        <w:rPr>
          <w:b/>
          <w:szCs w:val="20"/>
        </w:rPr>
        <w:lastRenderedPageBreak/>
        <w:t>Further information</w:t>
      </w:r>
    </w:p>
    <w:p w14:paraId="62A3E12F" w14:textId="091419BC" w:rsidR="00B9013B" w:rsidRPr="007136E1" w:rsidRDefault="00B9013B" w:rsidP="00B9013B">
      <w:pPr>
        <w:pStyle w:val="BodyText"/>
      </w:pPr>
      <w:r w:rsidRPr="007136E1">
        <w:t xml:space="preserve">For more information on data or government initiatives please access the report from the Department’s website at: </w:t>
      </w:r>
      <w:hyperlink r:id="rId15" w:history="1">
        <w:r w:rsidRPr="007136E1">
          <w:rPr>
            <w:rStyle w:val="Hyperlink"/>
          </w:rPr>
          <w:t>www.industry.gov.au/oce</w:t>
        </w:r>
      </w:hyperlink>
      <w:r w:rsidRPr="007136E1">
        <w:t xml:space="preserve"> </w:t>
      </w:r>
    </w:p>
    <w:p w14:paraId="37855710" w14:textId="1169D21D" w:rsidR="009B1290" w:rsidRPr="007136E1" w:rsidRDefault="009B1290" w:rsidP="009B1290">
      <w:pPr>
        <w:pStyle w:val="Heading3"/>
        <w:rPr>
          <w:b/>
          <w:szCs w:val="20"/>
        </w:rPr>
      </w:pPr>
      <w:r w:rsidRPr="007136E1">
        <w:rPr>
          <w:b/>
          <w:szCs w:val="20"/>
        </w:rPr>
        <w:t>Project team</w:t>
      </w:r>
    </w:p>
    <w:p w14:paraId="23AE5916" w14:textId="3C0A0715" w:rsidR="009B1290" w:rsidRPr="007136E1" w:rsidRDefault="00825189" w:rsidP="009B1290">
      <w:pPr>
        <w:pStyle w:val="BodyText"/>
      </w:pPr>
      <w:r w:rsidRPr="001C3919">
        <w:t xml:space="preserve">Colin Clark, </w:t>
      </w:r>
      <w:r w:rsidR="006C3470" w:rsidRPr="001C3919">
        <w:t xml:space="preserve">Mark Gibbons, </w:t>
      </w:r>
      <w:r w:rsidR="001C3919" w:rsidRPr="001C3919">
        <w:t xml:space="preserve">Kaycee Handley, </w:t>
      </w:r>
      <w:r w:rsidR="006C3470" w:rsidRPr="001C3919">
        <w:t>Andy Lee,</w:t>
      </w:r>
      <w:r w:rsidRPr="001C3919">
        <w:t xml:space="preserve"> </w:t>
      </w:r>
      <w:r w:rsidR="006C3470" w:rsidRPr="001C3919">
        <w:t xml:space="preserve">Chris Mornement, </w:t>
      </w:r>
      <w:r w:rsidRPr="001C3919">
        <w:t>Andrew Nash</w:t>
      </w:r>
      <w:r w:rsidR="006C3470" w:rsidRPr="001C3919">
        <w:t>,</w:t>
      </w:r>
      <w:r w:rsidRPr="001C3919">
        <w:t xml:space="preserve"> </w:t>
      </w:r>
      <w:r w:rsidR="001C3919" w:rsidRPr="001C3919">
        <w:t xml:space="preserve">Ranjini Palle, Charlie Qin, Sufyan Saleem </w:t>
      </w:r>
      <w:r w:rsidRPr="001C3919">
        <w:t>and</w:t>
      </w:r>
      <w:r w:rsidR="006C3470" w:rsidRPr="001C3919">
        <w:t xml:space="preserve"> Justin Tang</w:t>
      </w:r>
    </w:p>
    <w:p w14:paraId="318F2D80" w14:textId="7964F719" w:rsidR="00B9013B" w:rsidRPr="007136E1" w:rsidRDefault="00B9013B" w:rsidP="00B9013B">
      <w:pPr>
        <w:pStyle w:val="Heading3"/>
        <w:rPr>
          <w:b/>
          <w:szCs w:val="20"/>
        </w:rPr>
      </w:pPr>
      <w:r w:rsidRPr="007136E1">
        <w:rPr>
          <w:b/>
          <w:szCs w:val="20"/>
        </w:rPr>
        <w:t>Acknowledgements</w:t>
      </w:r>
    </w:p>
    <w:p w14:paraId="1D15C630" w14:textId="609F9F82" w:rsidR="009B1290" w:rsidRPr="001C3919" w:rsidRDefault="009B1290" w:rsidP="00B9013B">
      <w:pPr>
        <w:pStyle w:val="BodyText"/>
      </w:pPr>
      <w:r w:rsidRPr="001C3919">
        <w:t>The authors would like to acknowledge the contributions of:</w:t>
      </w:r>
    </w:p>
    <w:p w14:paraId="72F5B9F9" w14:textId="75BED457" w:rsidR="00444100" w:rsidRPr="007136E1" w:rsidRDefault="00F245EA" w:rsidP="00B9013B">
      <w:pPr>
        <w:pStyle w:val="BodyText"/>
      </w:pPr>
      <w:r w:rsidRPr="001C3919">
        <w:t xml:space="preserve">Alfonso Martínez Arranz, </w:t>
      </w:r>
      <w:r w:rsidR="00740E71" w:rsidRPr="001C3919">
        <w:t xml:space="preserve">Ken Colbert, </w:t>
      </w:r>
      <w:r w:rsidR="006C3470" w:rsidRPr="001C3919">
        <w:t xml:space="preserve">Silvia Gong, </w:t>
      </w:r>
      <w:r w:rsidR="00097EAE">
        <w:t xml:space="preserve">Brett Graham, </w:t>
      </w:r>
      <w:r w:rsidR="006C3470" w:rsidRPr="001C3919">
        <w:t xml:space="preserve">James Hutson, </w:t>
      </w:r>
      <w:r w:rsidR="001C3919" w:rsidRPr="001C3919">
        <w:t>Crystal Ossolinski</w:t>
      </w:r>
      <w:r w:rsidR="00097EAE">
        <w:t xml:space="preserve"> </w:t>
      </w:r>
      <w:r w:rsidR="009B1290" w:rsidRPr="001C3919">
        <w:t xml:space="preserve">and </w:t>
      </w:r>
      <w:r w:rsidR="00740E71" w:rsidRPr="001C3919">
        <w:t>David Thurtell</w:t>
      </w:r>
    </w:p>
    <w:p w14:paraId="4A03F9BD" w14:textId="4CA1AB9E" w:rsidR="009B1290" w:rsidRPr="006624BE" w:rsidRDefault="00B9013B" w:rsidP="00B9013B">
      <w:pPr>
        <w:pStyle w:val="BodyText"/>
      </w:pPr>
      <w:r w:rsidRPr="006624BE">
        <w:t>C</w:t>
      </w:r>
      <w:r w:rsidR="00D166D3" w:rsidRPr="006624BE">
        <w:t>over image source: Shutterstock</w:t>
      </w:r>
      <w:r w:rsidR="006624BE">
        <w:t>, Aussie Family Living</w:t>
      </w:r>
    </w:p>
    <w:p w14:paraId="3F3241E7" w14:textId="3C847F2B" w:rsidR="009B1290" w:rsidRPr="007136E1" w:rsidRDefault="00B9013B" w:rsidP="00B9013B">
      <w:pPr>
        <w:pStyle w:val="BodyText"/>
      </w:pPr>
      <w:r w:rsidRPr="0073254A">
        <w:t>ISSN 1839-5007</w:t>
      </w:r>
      <w:r w:rsidRPr="007136E1">
        <w:t xml:space="preserve"> </w:t>
      </w:r>
    </w:p>
    <w:p w14:paraId="6B4D4577" w14:textId="3166311E" w:rsidR="00B9013B" w:rsidRPr="007136E1" w:rsidRDefault="00B9013B" w:rsidP="00B9013B">
      <w:pPr>
        <w:pStyle w:val="BodyText"/>
      </w:pPr>
      <w:r w:rsidRPr="007136E1">
        <w:t>© Commonwealth of Australia 202</w:t>
      </w:r>
      <w:r w:rsidR="00A432B6">
        <w:t>3</w:t>
      </w:r>
    </w:p>
    <w:p w14:paraId="683C7BA3" w14:textId="77777777" w:rsidR="009B1290" w:rsidRPr="007136E1" w:rsidRDefault="009B1290" w:rsidP="009B1290">
      <w:pPr>
        <w:pStyle w:val="Heading3"/>
        <w:rPr>
          <w:b/>
          <w:szCs w:val="20"/>
        </w:rPr>
      </w:pPr>
      <w:r w:rsidRPr="007136E1">
        <w:rPr>
          <w:b/>
          <w:szCs w:val="20"/>
        </w:rPr>
        <w:t xml:space="preserve">Ownership of intellectual property rights </w:t>
      </w:r>
    </w:p>
    <w:p w14:paraId="47030F58" w14:textId="2D7568E3" w:rsidR="009B1290" w:rsidRPr="007136E1" w:rsidRDefault="009B1290" w:rsidP="00B9013B">
      <w:pPr>
        <w:pStyle w:val="BodyText"/>
      </w:pPr>
      <w:r w:rsidRPr="007136E1">
        <w:t>Unless otherwise noted, copyright (and any other intellectual property rights, if any) in this publication is owned by the Commonwealth of Australia.</w:t>
      </w:r>
    </w:p>
    <w:p w14:paraId="26E91C2B" w14:textId="77777777" w:rsidR="00444100" w:rsidRPr="007136E1" w:rsidRDefault="00444100" w:rsidP="00444100">
      <w:pPr>
        <w:pStyle w:val="Heading3"/>
        <w:rPr>
          <w:b/>
          <w:szCs w:val="20"/>
        </w:rPr>
      </w:pPr>
      <w:r w:rsidRPr="007136E1">
        <w:rPr>
          <w:b/>
          <w:szCs w:val="20"/>
        </w:rPr>
        <w:t xml:space="preserve">Disclaimer </w:t>
      </w:r>
    </w:p>
    <w:p w14:paraId="57EA5E48" w14:textId="3DF5B1FE" w:rsidR="00444100" w:rsidRPr="007136E1" w:rsidRDefault="00444100" w:rsidP="00444100">
      <w:pPr>
        <w:pStyle w:val="BodyText"/>
      </w:pPr>
      <w:r w:rsidRPr="007136E1">
        <w:t xml:space="preserve">The views expressed in this report are those of the author(s) and do not necessarily reflect those of the Australian Government or the Department of Industry, Science and Resources. </w:t>
      </w:r>
    </w:p>
    <w:p w14:paraId="552FE6FE" w14:textId="77777777" w:rsidR="00444100" w:rsidRPr="007136E1" w:rsidRDefault="00444100" w:rsidP="00444100">
      <w:pPr>
        <w:pStyle w:val="BodyText"/>
      </w:pPr>
      <w:r w:rsidRPr="007136E1">
        <w:t>This publication is not legal or professional advice. The Commonwealth of Australia does not guarantee the accuracy or reliability of the information and data in the publication. Third parties rely upon this publication entirely at their own risk.</w:t>
      </w:r>
    </w:p>
    <w:p w14:paraId="70EDB77C" w14:textId="08F61EBB" w:rsidR="009B1290" w:rsidRPr="007136E1" w:rsidRDefault="00B9013B" w:rsidP="00444100">
      <w:pPr>
        <w:pStyle w:val="Heading3"/>
        <w:spacing w:after="180"/>
        <w:rPr>
          <w:b/>
          <w:szCs w:val="20"/>
        </w:rPr>
      </w:pPr>
      <w:r w:rsidRPr="007136E1">
        <w:rPr>
          <w:b/>
          <w:szCs w:val="20"/>
        </w:rPr>
        <w:t xml:space="preserve">Creative Commons licence </w:t>
      </w:r>
    </w:p>
    <w:tbl>
      <w:tblPr>
        <w:tblStyle w:val="OCETable"/>
        <w:tblW w:w="0" w:type="auto"/>
        <w:tblLook w:val="04A0" w:firstRow="1" w:lastRow="0" w:firstColumn="1" w:lastColumn="0" w:noHBand="0" w:noVBand="1"/>
        <w:tblCaption w:val="Table contains Creative Commons Attribution information"/>
      </w:tblPr>
      <w:tblGrid>
        <w:gridCol w:w="1667"/>
        <w:gridCol w:w="4331"/>
      </w:tblGrid>
      <w:tr w:rsidR="009B1290" w:rsidRPr="007136E1" w14:paraId="4F9CE415" w14:textId="77777777" w:rsidTr="00A555A7">
        <w:trPr>
          <w:cnfStyle w:val="100000000000" w:firstRow="1" w:lastRow="0" w:firstColumn="0" w:lastColumn="0" w:oddVBand="0" w:evenVBand="0" w:oddHBand="0" w:evenHBand="0" w:firstRowFirstColumn="0" w:firstRowLastColumn="0" w:lastRowFirstColumn="0" w:lastRowLastColumn="0"/>
          <w:trHeight w:val="170"/>
          <w:tblHeader/>
        </w:trPr>
        <w:tc>
          <w:tcPr>
            <w:tcW w:w="1667" w:type="dxa"/>
            <w:shd w:val="clear" w:color="auto" w:fill="auto"/>
          </w:tcPr>
          <w:p w14:paraId="02CE5B2F" w14:textId="20C4F763" w:rsidR="009B1290" w:rsidRPr="007136E1" w:rsidRDefault="00444100">
            <w:pPr>
              <w:spacing w:after="200" w:line="276" w:lineRule="auto"/>
            </w:pPr>
            <w:r w:rsidRPr="007136E1">
              <w:rPr>
                <w:noProof/>
                <w:lang w:eastAsia="en-AU"/>
              </w:rPr>
              <w:drawing>
                <wp:inline distT="0" distB="0" distL="0" distR="0" wp14:anchorId="2254413E" wp14:editId="3BC3557D">
                  <wp:extent cx="914400" cy="392430"/>
                  <wp:effectExtent l="0" t="0" r="0" b="7620"/>
                  <wp:docPr id="2" name="Picture 2" title="Image shows 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87"/>
                          <a:stretch/>
                        </pic:blipFill>
                        <pic:spPr bwMode="auto">
                          <a:xfrm>
                            <a:off x="0" y="0"/>
                            <a:ext cx="914400" cy="392430"/>
                          </a:xfrm>
                          <a:prstGeom prst="rect">
                            <a:avLst/>
                          </a:prstGeom>
                          <a:ln>
                            <a:noFill/>
                          </a:ln>
                          <a:extLst>
                            <a:ext uri="{53640926-AAD7-44D8-BBD7-CCE9431645EC}">
                              <a14:shadowObscured xmlns:a14="http://schemas.microsoft.com/office/drawing/2010/main"/>
                            </a:ext>
                          </a:extLst>
                        </pic:spPr>
                      </pic:pic>
                    </a:graphicData>
                  </a:graphic>
                </wp:inline>
              </w:drawing>
            </w:r>
          </w:p>
        </w:tc>
        <w:tc>
          <w:tcPr>
            <w:tcW w:w="4331" w:type="dxa"/>
            <w:shd w:val="clear" w:color="auto" w:fill="auto"/>
          </w:tcPr>
          <w:p w14:paraId="418CBF8A" w14:textId="53EDA507" w:rsidR="009B1290" w:rsidRPr="007136E1" w:rsidRDefault="009B1290" w:rsidP="00444100">
            <w:pPr>
              <w:spacing w:after="60" w:line="276" w:lineRule="auto"/>
              <w:rPr>
                <w:b/>
                <w:color w:val="auto"/>
              </w:rPr>
            </w:pPr>
            <w:r w:rsidRPr="007136E1">
              <w:rPr>
                <w:b/>
                <w:color w:val="auto"/>
              </w:rPr>
              <w:t xml:space="preserve">Attribution 4.0 International Licence </w:t>
            </w:r>
            <w:r w:rsidRPr="007136E1">
              <w:rPr>
                <w:b/>
                <w:color w:val="auto"/>
              </w:rPr>
              <w:br/>
              <w:t>CC BY 4.0</w:t>
            </w:r>
          </w:p>
        </w:tc>
      </w:tr>
    </w:tbl>
    <w:p w14:paraId="54F3E018" w14:textId="77777777" w:rsidR="009B1290" w:rsidRPr="007136E1" w:rsidRDefault="00B9013B" w:rsidP="00444100">
      <w:pPr>
        <w:pStyle w:val="BodyText"/>
        <w:spacing w:after="60"/>
      </w:pPr>
      <w:r w:rsidRPr="007136E1">
        <w:t>All material in this publication is licensed under a Creative Commons Attribution 4.0 International Licence, with the exception of:</w:t>
      </w:r>
    </w:p>
    <w:p w14:paraId="2505F624" w14:textId="77777777" w:rsidR="009B1290" w:rsidRPr="007136E1"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7136E1">
        <w:t xml:space="preserve">the Commonwealth Coat of Arms; </w:t>
      </w:r>
    </w:p>
    <w:p w14:paraId="5AE1B51A" w14:textId="77777777" w:rsidR="009B1290" w:rsidRPr="007136E1"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7136E1">
        <w:t xml:space="preserve">content supplied by third parties; </w:t>
      </w:r>
    </w:p>
    <w:p w14:paraId="45D7B68A" w14:textId="77777777" w:rsidR="009B1290" w:rsidRPr="007136E1"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7136E1">
        <w:t>logos; and</w:t>
      </w:r>
    </w:p>
    <w:p w14:paraId="14E4B8A9" w14:textId="7ED01C3E" w:rsidR="00444100" w:rsidRPr="007136E1"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7136E1">
        <w:t xml:space="preserve">any material protected by trademark or otherwise noted in this publication. </w:t>
      </w:r>
    </w:p>
    <w:p w14:paraId="258CF739" w14:textId="1EB97CB2" w:rsidR="00444100" w:rsidRPr="007136E1" w:rsidRDefault="00B9013B" w:rsidP="00444100">
      <w:pPr>
        <w:pStyle w:val="BodyText"/>
      </w:pPr>
      <w:r w:rsidRPr="007136E1">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00444100" w:rsidRPr="007136E1">
          <w:rPr>
            <w:rStyle w:val="Hyperlink"/>
          </w:rPr>
          <w:t>https://creativecommons.org/licenses/by/4.0/</w:t>
        </w:r>
      </w:hyperlink>
      <w:r w:rsidRPr="007136E1">
        <w:t xml:space="preserve">. </w:t>
      </w:r>
    </w:p>
    <w:p w14:paraId="4CF17AD3" w14:textId="78B38E6B" w:rsidR="00444100" w:rsidRPr="007136E1" w:rsidRDefault="00B9013B" w:rsidP="00444100">
      <w:pPr>
        <w:pStyle w:val="BodyText"/>
      </w:pPr>
      <w:r w:rsidRPr="007136E1">
        <w:t>Wherever a third party holds copyright in material contained in this publication, the copyright remains with that party. Their permission may be required to use the material</w:t>
      </w:r>
      <w:r w:rsidR="00444100" w:rsidRPr="007136E1">
        <w:t>. Please contact them directly.</w:t>
      </w:r>
    </w:p>
    <w:p w14:paraId="4CFE1BB5" w14:textId="77777777" w:rsidR="00444100" w:rsidRPr="007136E1" w:rsidRDefault="00B9013B" w:rsidP="00444100">
      <w:pPr>
        <w:pStyle w:val="Heading3"/>
        <w:rPr>
          <w:b/>
          <w:szCs w:val="20"/>
        </w:rPr>
      </w:pPr>
      <w:r w:rsidRPr="007136E1">
        <w:rPr>
          <w:b/>
          <w:szCs w:val="20"/>
        </w:rPr>
        <w:t xml:space="preserve">Attribution </w:t>
      </w:r>
    </w:p>
    <w:p w14:paraId="26ABF4D1" w14:textId="77777777" w:rsidR="00444100" w:rsidRPr="007136E1" w:rsidRDefault="00B9013B" w:rsidP="00444100">
      <w:pPr>
        <w:pStyle w:val="BodyText"/>
      </w:pPr>
      <w:r w:rsidRPr="007136E1">
        <w:t xml:space="preserve">Content contained herein should be attributed as follows: </w:t>
      </w:r>
    </w:p>
    <w:p w14:paraId="41754F0A" w14:textId="0F0C3A6E" w:rsidR="00444100" w:rsidRPr="007136E1" w:rsidRDefault="00B9013B" w:rsidP="00444100">
      <w:pPr>
        <w:pStyle w:val="BodyText"/>
      </w:pPr>
      <w:r w:rsidRPr="007136E1">
        <w:t>D</w:t>
      </w:r>
      <w:r w:rsidR="00AB0545">
        <w:t xml:space="preserve">epartment of Industry, Science </w:t>
      </w:r>
      <w:r w:rsidRPr="007136E1">
        <w:t xml:space="preserve">and Resources, Commonwealth of Australia Resources and Energy </w:t>
      </w:r>
      <w:r w:rsidR="00444100" w:rsidRPr="007136E1">
        <w:t>Major Projects 202</w:t>
      </w:r>
      <w:r w:rsidR="00A432B6">
        <w:t>3</w:t>
      </w:r>
      <w:r w:rsidRPr="007136E1">
        <w:t xml:space="preserve">. The Commonwealth of Australia does not necessarily endorse the content of this publication. Requests and inquiries concerning reproduction and rights should be addressed to </w:t>
      </w:r>
      <w:hyperlink r:id="rId18" w:history="1">
        <w:r w:rsidR="00F624FC" w:rsidRPr="007136E1">
          <w:rPr>
            <w:rStyle w:val="Hyperlink"/>
            <w:rFonts w:ascii="Calibri" w:hAnsi="Calibri" w:cs="Calibri"/>
            <w:sz w:val="22"/>
          </w:rPr>
          <w:t>REQ@industry.gov.au</w:t>
        </w:r>
      </w:hyperlink>
      <w:r w:rsidR="00AF4BBA" w:rsidRPr="007136E1">
        <w:rPr>
          <w:rStyle w:val="Hyperlink"/>
          <w:rFonts w:ascii="Calibri" w:hAnsi="Calibri" w:cs="Calibri"/>
          <w:sz w:val="22"/>
        </w:rPr>
        <w:t>.</w:t>
      </w:r>
    </w:p>
    <w:p w14:paraId="319DD0C5" w14:textId="37FEB996" w:rsidR="00C01A59" w:rsidRPr="007136E1" w:rsidRDefault="00C01A59" w:rsidP="00C537A5">
      <w:pPr>
        <w:pStyle w:val="Heading1NoNumber"/>
      </w:pPr>
    </w:p>
    <w:bookmarkEnd w:id="4"/>
    <w:bookmarkEnd w:id="5"/>
    <w:bookmarkEnd w:id="6"/>
    <w:p w14:paraId="6F716FB1" w14:textId="357601C9" w:rsidR="00025CE1" w:rsidRPr="007136E1" w:rsidRDefault="00167459" w:rsidP="006A2624">
      <w:pPr>
        <w:spacing w:after="120"/>
      </w:pPr>
      <w:r>
        <w:br w:type="column"/>
      </w:r>
    </w:p>
    <w:p w14:paraId="59B4DF5E" w14:textId="204905C1" w:rsidR="000704DA" w:rsidRDefault="00392782" w:rsidP="00392782">
      <w:pPr>
        <w:pStyle w:val="Heading1NoNumber"/>
      </w:pPr>
      <w:r w:rsidRPr="007136E1">
        <w:t>Contents</w:t>
      </w:r>
    </w:p>
    <w:p w14:paraId="2C6E8EDD" w14:textId="6730EA73" w:rsidR="0073254A" w:rsidRPr="0073254A" w:rsidRDefault="0073254A" w:rsidP="0073254A">
      <w:pPr>
        <w:pStyle w:val="BodyText"/>
      </w:pPr>
      <w:r>
        <w:rPr>
          <w:noProof/>
        </w:rPr>
        <mc:AlternateContent>
          <mc:Choice Requires="wps">
            <w:drawing>
              <wp:inline distT="0" distB="0" distL="0" distR="0" wp14:anchorId="5A9F3D9B" wp14:editId="6F4F0AF5">
                <wp:extent cx="8813587" cy="0"/>
                <wp:effectExtent l="0" t="0" r="0" b="0"/>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135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8ECDB3" id="Straight Connector 17" o:spid="_x0000_s1026" alt="&quot;&quot;" style="visibility:visible;mso-wrap-style:square;mso-left-percent:-10001;mso-top-percent:-10001;mso-position-horizontal:absolute;mso-position-horizontal-relative:char;mso-position-vertical:absolute;mso-position-vertical-relative:line;mso-left-percent:-10001;mso-top-percent:-10001" from="0,0" to="6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" strokecolor="#0057a6 [3044]">
                <w10:anchorlock/>
              </v:line>
            </w:pict>
          </mc:Fallback>
        </mc:AlternateContent>
      </w:r>
    </w:p>
    <w:p w14:paraId="74B212FC" w14:textId="781622F6" w:rsidR="00736B78" w:rsidRDefault="00392782" w:rsidP="00AA743A">
      <w:pPr>
        <w:pStyle w:val="TOC1"/>
        <w:rPr>
          <w:rFonts w:asciiTheme="minorHAnsi" w:eastAsiaTheme="minorEastAsia" w:hAnsiTheme="minorHAnsi"/>
          <w:color w:val="auto"/>
          <w:sz w:val="22"/>
          <w:szCs w:val="22"/>
          <w:lang w:eastAsia="en-AU"/>
        </w:rPr>
      </w:pPr>
      <w:r>
        <w:rPr>
          <w:rFonts w:asciiTheme="majorHAnsi" w:hAnsiTheme="majorHAnsi" w:cs="Arial"/>
          <w:bCs/>
          <w:color w:val="005CAF"/>
          <w:kern w:val="32"/>
          <w:sz w:val="32"/>
          <w:szCs w:val="32"/>
        </w:rPr>
        <w:fldChar w:fldCharType="begin"/>
      </w:r>
      <w:r>
        <w:instrText xml:space="preserve"> TOC \o "1-1" \h \z \u </w:instrText>
      </w:r>
      <w:r>
        <w:rPr>
          <w:rFonts w:asciiTheme="majorHAnsi" w:hAnsiTheme="majorHAnsi" w:cs="Arial"/>
          <w:bCs/>
          <w:color w:val="005CAF"/>
          <w:kern w:val="32"/>
          <w:sz w:val="32"/>
          <w:szCs w:val="32"/>
        </w:rPr>
        <w:fldChar w:fldCharType="separate"/>
      </w:r>
      <w:hyperlink w:anchor="_Toc152865198" w:history="1">
        <w:r w:rsidR="00736B78">
          <w:rPr>
            <w:webHidden/>
          </w:rPr>
          <w:tab/>
        </w:r>
        <w:r w:rsidR="00736B78">
          <w:rPr>
            <w:webHidden/>
          </w:rPr>
          <w:fldChar w:fldCharType="begin"/>
        </w:r>
        <w:r w:rsidR="00736B78">
          <w:rPr>
            <w:webHidden/>
          </w:rPr>
          <w:instrText xml:space="preserve"> PAGEREF _Toc152865198 \h </w:instrText>
        </w:r>
        <w:r w:rsidR="00736B78">
          <w:rPr>
            <w:webHidden/>
          </w:rPr>
        </w:r>
        <w:r w:rsidR="00736B78">
          <w:rPr>
            <w:webHidden/>
          </w:rPr>
          <w:fldChar w:fldCharType="separate"/>
        </w:r>
        <w:r w:rsidR="006D6E1F">
          <w:rPr>
            <w:webHidden/>
          </w:rPr>
          <w:t xml:space="preserve"> </w:t>
        </w:r>
        <w:r w:rsidR="00736B78">
          <w:rPr>
            <w:webHidden/>
          </w:rPr>
          <w:fldChar w:fldCharType="end"/>
        </w:r>
      </w:hyperlink>
    </w:p>
    <w:p w14:paraId="6E8F5517" w14:textId="3F032FB0" w:rsidR="00736B78" w:rsidRDefault="00DD223A" w:rsidP="00AA743A">
      <w:pPr>
        <w:pStyle w:val="TOC1"/>
        <w:rPr>
          <w:rFonts w:asciiTheme="minorHAnsi" w:eastAsiaTheme="minorEastAsia" w:hAnsiTheme="minorHAnsi"/>
          <w:color w:val="auto"/>
          <w:sz w:val="22"/>
          <w:szCs w:val="22"/>
          <w:lang w:eastAsia="en-AU"/>
        </w:rPr>
      </w:pPr>
      <w:hyperlink w:anchor="_Toc152865199" w:history="1">
        <w:r w:rsidR="00736B78" w:rsidRPr="00790EF3">
          <w:rPr>
            <w:rStyle w:val="Hyperlink"/>
          </w:rPr>
          <w:t>Summary</w:t>
        </w:r>
        <w:r w:rsidR="00736B78">
          <w:rPr>
            <w:webHidden/>
          </w:rPr>
          <w:tab/>
        </w:r>
        <w:r w:rsidR="00B11141">
          <w:rPr>
            <w:webHidden/>
          </w:rPr>
          <w:t>4</w:t>
        </w:r>
      </w:hyperlink>
    </w:p>
    <w:p w14:paraId="0BC043D4" w14:textId="083B0262" w:rsidR="00736B78" w:rsidRDefault="00DD223A" w:rsidP="00AA743A">
      <w:pPr>
        <w:pStyle w:val="TOC1"/>
        <w:rPr>
          <w:rFonts w:asciiTheme="minorHAnsi" w:eastAsiaTheme="minorEastAsia" w:hAnsiTheme="minorHAnsi"/>
          <w:color w:val="auto"/>
          <w:sz w:val="22"/>
          <w:szCs w:val="22"/>
          <w:lang w:eastAsia="en-AU"/>
        </w:rPr>
      </w:pPr>
      <w:hyperlink w:anchor="_Toc152865200" w:history="1">
        <w:r w:rsidR="00736B78" w:rsidRPr="00790EF3">
          <w:rPr>
            <w:rStyle w:val="Hyperlink"/>
          </w:rPr>
          <w:t>1.</w:t>
        </w:r>
        <w:r w:rsidR="00736B78">
          <w:rPr>
            <w:rFonts w:asciiTheme="minorHAnsi" w:eastAsiaTheme="minorEastAsia" w:hAnsiTheme="minorHAnsi"/>
            <w:color w:val="auto"/>
            <w:sz w:val="22"/>
            <w:szCs w:val="22"/>
            <w:lang w:eastAsia="en-AU"/>
          </w:rPr>
          <w:tab/>
        </w:r>
        <w:r w:rsidR="00736B78" w:rsidRPr="00790EF3">
          <w:rPr>
            <w:rStyle w:val="Hyperlink"/>
          </w:rPr>
          <w:t>Overview</w:t>
        </w:r>
        <w:r w:rsidR="00736B78">
          <w:rPr>
            <w:webHidden/>
          </w:rPr>
          <w:tab/>
        </w:r>
        <w:r w:rsidR="00736B78">
          <w:rPr>
            <w:webHidden/>
          </w:rPr>
          <w:fldChar w:fldCharType="begin"/>
        </w:r>
        <w:r w:rsidR="00736B78">
          <w:rPr>
            <w:webHidden/>
          </w:rPr>
          <w:instrText xml:space="preserve"> PAGEREF _Toc152865200 \h </w:instrText>
        </w:r>
        <w:r w:rsidR="00736B78">
          <w:rPr>
            <w:webHidden/>
          </w:rPr>
        </w:r>
        <w:r w:rsidR="00736B78">
          <w:rPr>
            <w:webHidden/>
          </w:rPr>
          <w:fldChar w:fldCharType="separate"/>
        </w:r>
        <w:r w:rsidR="006D6E1F">
          <w:rPr>
            <w:webHidden/>
          </w:rPr>
          <w:t>4</w:t>
        </w:r>
        <w:r w:rsidR="00736B78">
          <w:rPr>
            <w:webHidden/>
          </w:rPr>
          <w:fldChar w:fldCharType="end"/>
        </w:r>
      </w:hyperlink>
    </w:p>
    <w:p w14:paraId="69F6C1DA" w14:textId="44821F47" w:rsidR="00736B78" w:rsidRDefault="00DD223A" w:rsidP="00AA743A">
      <w:pPr>
        <w:pStyle w:val="TOC1"/>
        <w:rPr>
          <w:rFonts w:asciiTheme="minorHAnsi" w:eastAsiaTheme="minorEastAsia" w:hAnsiTheme="minorHAnsi"/>
          <w:color w:val="auto"/>
          <w:sz w:val="22"/>
          <w:szCs w:val="22"/>
          <w:lang w:eastAsia="en-AU"/>
        </w:rPr>
      </w:pPr>
      <w:hyperlink w:anchor="_Toc152865201" w:history="1">
        <w:r w:rsidR="00736B78" w:rsidRPr="00790EF3">
          <w:rPr>
            <w:rStyle w:val="Hyperlink"/>
          </w:rPr>
          <w:t>2.</w:t>
        </w:r>
        <w:r w:rsidR="00736B78">
          <w:rPr>
            <w:rFonts w:asciiTheme="minorHAnsi" w:eastAsiaTheme="minorEastAsia" w:hAnsiTheme="minorHAnsi"/>
            <w:color w:val="auto"/>
            <w:sz w:val="22"/>
            <w:szCs w:val="22"/>
            <w:lang w:eastAsia="en-AU"/>
          </w:rPr>
          <w:tab/>
        </w:r>
        <w:r w:rsidR="00736B78" w:rsidRPr="00790EF3">
          <w:rPr>
            <w:rStyle w:val="Hyperlink"/>
          </w:rPr>
          <w:t>Critical minerals</w:t>
        </w:r>
        <w:r w:rsidR="00736B78">
          <w:rPr>
            <w:webHidden/>
          </w:rPr>
          <w:tab/>
        </w:r>
        <w:r w:rsidR="00736B78">
          <w:rPr>
            <w:webHidden/>
          </w:rPr>
          <w:fldChar w:fldCharType="begin"/>
        </w:r>
        <w:r w:rsidR="00736B78">
          <w:rPr>
            <w:webHidden/>
          </w:rPr>
          <w:instrText xml:space="preserve"> PAGEREF _Toc152865201 \h </w:instrText>
        </w:r>
        <w:r w:rsidR="00736B78">
          <w:rPr>
            <w:webHidden/>
          </w:rPr>
        </w:r>
        <w:r w:rsidR="00736B78">
          <w:rPr>
            <w:webHidden/>
          </w:rPr>
          <w:fldChar w:fldCharType="separate"/>
        </w:r>
        <w:r w:rsidR="006D6E1F">
          <w:rPr>
            <w:webHidden/>
          </w:rPr>
          <w:t>11</w:t>
        </w:r>
        <w:r w:rsidR="00736B78">
          <w:rPr>
            <w:webHidden/>
          </w:rPr>
          <w:fldChar w:fldCharType="end"/>
        </w:r>
      </w:hyperlink>
    </w:p>
    <w:p w14:paraId="3A77BDFC" w14:textId="24BE40FA" w:rsidR="00736B78" w:rsidRDefault="00DD223A" w:rsidP="00AA743A">
      <w:pPr>
        <w:pStyle w:val="TOC1"/>
        <w:rPr>
          <w:rFonts w:asciiTheme="minorHAnsi" w:eastAsiaTheme="minorEastAsia" w:hAnsiTheme="minorHAnsi"/>
          <w:color w:val="auto"/>
          <w:sz w:val="22"/>
          <w:szCs w:val="22"/>
          <w:lang w:eastAsia="en-AU"/>
        </w:rPr>
      </w:pPr>
      <w:hyperlink w:anchor="_Toc152865202" w:history="1">
        <w:r w:rsidR="00736B78" w:rsidRPr="00790EF3">
          <w:rPr>
            <w:rStyle w:val="Hyperlink"/>
          </w:rPr>
          <w:t>3.</w:t>
        </w:r>
        <w:r w:rsidR="00736B78">
          <w:rPr>
            <w:rFonts w:asciiTheme="minorHAnsi" w:eastAsiaTheme="minorEastAsia" w:hAnsiTheme="minorHAnsi"/>
            <w:color w:val="auto"/>
            <w:sz w:val="22"/>
            <w:szCs w:val="22"/>
            <w:lang w:eastAsia="en-AU"/>
          </w:rPr>
          <w:tab/>
        </w:r>
        <w:r w:rsidR="00736B78" w:rsidRPr="00790EF3">
          <w:rPr>
            <w:rStyle w:val="Hyperlink"/>
          </w:rPr>
          <w:t>Hydrogen</w:t>
        </w:r>
        <w:r w:rsidR="00736B78">
          <w:rPr>
            <w:webHidden/>
          </w:rPr>
          <w:tab/>
        </w:r>
        <w:r w:rsidR="00736B78">
          <w:rPr>
            <w:webHidden/>
          </w:rPr>
          <w:fldChar w:fldCharType="begin"/>
        </w:r>
        <w:r w:rsidR="00736B78">
          <w:rPr>
            <w:webHidden/>
          </w:rPr>
          <w:instrText xml:space="preserve"> PAGEREF _Toc152865202 \h </w:instrText>
        </w:r>
        <w:r w:rsidR="00736B78">
          <w:rPr>
            <w:webHidden/>
          </w:rPr>
        </w:r>
        <w:r w:rsidR="00736B78">
          <w:rPr>
            <w:webHidden/>
          </w:rPr>
          <w:fldChar w:fldCharType="separate"/>
        </w:r>
        <w:r w:rsidR="006D6E1F">
          <w:rPr>
            <w:webHidden/>
          </w:rPr>
          <w:t>17</w:t>
        </w:r>
        <w:r w:rsidR="00736B78">
          <w:rPr>
            <w:webHidden/>
          </w:rPr>
          <w:fldChar w:fldCharType="end"/>
        </w:r>
      </w:hyperlink>
    </w:p>
    <w:p w14:paraId="1EC034B5" w14:textId="4C7609ED" w:rsidR="00736B78" w:rsidRDefault="00DD223A" w:rsidP="00AA743A">
      <w:pPr>
        <w:pStyle w:val="TOC1"/>
        <w:rPr>
          <w:rFonts w:asciiTheme="minorHAnsi" w:eastAsiaTheme="minorEastAsia" w:hAnsiTheme="minorHAnsi"/>
          <w:color w:val="auto"/>
          <w:sz w:val="22"/>
          <w:szCs w:val="22"/>
          <w:lang w:eastAsia="en-AU"/>
        </w:rPr>
      </w:pPr>
      <w:hyperlink w:anchor="_Toc152865203" w:history="1">
        <w:r w:rsidR="00736B78" w:rsidRPr="00790EF3">
          <w:rPr>
            <w:rStyle w:val="Hyperlink"/>
          </w:rPr>
          <w:t>4.</w:t>
        </w:r>
        <w:r w:rsidR="00736B78">
          <w:rPr>
            <w:rFonts w:asciiTheme="minorHAnsi" w:eastAsiaTheme="minorEastAsia" w:hAnsiTheme="minorHAnsi"/>
            <w:color w:val="auto"/>
            <w:sz w:val="22"/>
            <w:szCs w:val="22"/>
            <w:lang w:eastAsia="en-AU"/>
          </w:rPr>
          <w:tab/>
        </w:r>
        <w:r w:rsidR="00736B78" w:rsidRPr="00790EF3">
          <w:rPr>
            <w:rStyle w:val="Hyperlink"/>
          </w:rPr>
          <w:t>Committed and completed projects</w:t>
        </w:r>
        <w:r w:rsidR="00736B78">
          <w:rPr>
            <w:webHidden/>
          </w:rPr>
          <w:tab/>
        </w:r>
        <w:r w:rsidR="00736B78">
          <w:rPr>
            <w:webHidden/>
          </w:rPr>
          <w:fldChar w:fldCharType="begin"/>
        </w:r>
        <w:r w:rsidR="00736B78">
          <w:rPr>
            <w:webHidden/>
          </w:rPr>
          <w:instrText xml:space="preserve"> PAGEREF _Toc152865203 \h </w:instrText>
        </w:r>
        <w:r w:rsidR="00736B78">
          <w:rPr>
            <w:webHidden/>
          </w:rPr>
        </w:r>
        <w:r w:rsidR="00736B78">
          <w:rPr>
            <w:webHidden/>
          </w:rPr>
          <w:fldChar w:fldCharType="separate"/>
        </w:r>
        <w:r w:rsidR="006D6E1F">
          <w:rPr>
            <w:webHidden/>
          </w:rPr>
          <w:t>19</w:t>
        </w:r>
        <w:r w:rsidR="00736B78">
          <w:rPr>
            <w:webHidden/>
          </w:rPr>
          <w:fldChar w:fldCharType="end"/>
        </w:r>
      </w:hyperlink>
    </w:p>
    <w:p w14:paraId="4EB2B428" w14:textId="13B42571" w:rsidR="00736B78" w:rsidRDefault="00DD223A" w:rsidP="00AA743A">
      <w:pPr>
        <w:pStyle w:val="TOC1"/>
        <w:rPr>
          <w:rFonts w:asciiTheme="minorHAnsi" w:eastAsiaTheme="minorEastAsia" w:hAnsiTheme="minorHAnsi"/>
          <w:color w:val="auto"/>
          <w:sz w:val="22"/>
          <w:szCs w:val="22"/>
          <w:lang w:eastAsia="en-AU"/>
        </w:rPr>
      </w:pPr>
      <w:hyperlink w:anchor="_Toc152865204" w:history="1">
        <w:r w:rsidR="00736B78" w:rsidRPr="00790EF3">
          <w:rPr>
            <w:rStyle w:val="Hyperlink"/>
          </w:rPr>
          <w:t>5.</w:t>
        </w:r>
        <w:r w:rsidR="00736B78">
          <w:rPr>
            <w:rFonts w:asciiTheme="minorHAnsi" w:eastAsiaTheme="minorEastAsia" w:hAnsiTheme="minorHAnsi"/>
            <w:color w:val="auto"/>
            <w:sz w:val="22"/>
            <w:szCs w:val="22"/>
            <w:lang w:eastAsia="en-AU"/>
          </w:rPr>
          <w:tab/>
        </w:r>
        <w:r w:rsidR="00736B78" w:rsidRPr="00790EF3">
          <w:rPr>
            <w:rStyle w:val="Hyperlink"/>
          </w:rPr>
          <w:t>Publicly announced and advanced feasibility projects</w:t>
        </w:r>
        <w:r w:rsidR="00736B78">
          <w:rPr>
            <w:webHidden/>
          </w:rPr>
          <w:tab/>
        </w:r>
        <w:r w:rsidR="00736B78">
          <w:rPr>
            <w:webHidden/>
          </w:rPr>
          <w:fldChar w:fldCharType="begin"/>
        </w:r>
        <w:r w:rsidR="00736B78">
          <w:rPr>
            <w:webHidden/>
          </w:rPr>
          <w:instrText xml:space="preserve"> PAGEREF _Toc152865204 \h </w:instrText>
        </w:r>
        <w:r w:rsidR="00736B78">
          <w:rPr>
            <w:webHidden/>
          </w:rPr>
        </w:r>
        <w:r w:rsidR="00736B78">
          <w:rPr>
            <w:webHidden/>
          </w:rPr>
          <w:fldChar w:fldCharType="separate"/>
        </w:r>
        <w:r w:rsidR="006D6E1F">
          <w:rPr>
            <w:webHidden/>
          </w:rPr>
          <w:t>22</w:t>
        </w:r>
        <w:r w:rsidR="00736B78">
          <w:rPr>
            <w:webHidden/>
          </w:rPr>
          <w:fldChar w:fldCharType="end"/>
        </w:r>
      </w:hyperlink>
    </w:p>
    <w:p w14:paraId="38B64969" w14:textId="5C631DAE" w:rsidR="00736B78" w:rsidRDefault="00DD223A" w:rsidP="00AA743A">
      <w:pPr>
        <w:pStyle w:val="TOC1"/>
        <w:rPr>
          <w:rFonts w:asciiTheme="minorHAnsi" w:eastAsiaTheme="minorEastAsia" w:hAnsiTheme="minorHAnsi"/>
          <w:color w:val="auto"/>
          <w:sz w:val="22"/>
          <w:szCs w:val="22"/>
          <w:lang w:eastAsia="en-AU"/>
        </w:rPr>
      </w:pPr>
      <w:hyperlink w:anchor="_Toc152865205" w:history="1">
        <w:r w:rsidR="00736B78" w:rsidRPr="00790EF3">
          <w:rPr>
            <w:rStyle w:val="Hyperlink"/>
          </w:rPr>
          <w:t>6.</w:t>
        </w:r>
        <w:r w:rsidR="00736B78">
          <w:rPr>
            <w:rFonts w:asciiTheme="minorHAnsi" w:eastAsiaTheme="minorEastAsia" w:hAnsiTheme="minorHAnsi"/>
            <w:color w:val="auto"/>
            <w:sz w:val="22"/>
            <w:szCs w:val="22"/>
            <w:lang w:eastAsia="en-AU"/>
          </w:rPr>
          <w:tab/>
        </w:r>
        <w:r w:rsidR="00736B78" w:rsidRPr="00790EF3">
          <w:rPr>
            <w:rStyle w:val="Hyperlink"/>
          </w:rPr>
          <w:t>Exploration</w:t>
        </w:r>
        <w:r w:rsidR="00736B78">
          <w:rPr>
            <w:webHidden/>
          </w:rPr>
          <w:tab/>
        </w:r>
        <w:r w:rsidR="00736B78">
          <w:rPr>
            <w:webHidden/>
          </w:rPr>
          <w:fldChar w:fldCharType="begin"/>
        </w:r>
        <w:r w:rsidR="00736B78">
          <w:rPr>
            <w:webHidden/>
          </w:rPr>
          <w:instrText xml:space="preserve"> PAGEREF _Toc152865205 \h </w:instrText>
        </w:r>
        <w:r w:rsidR="00736B78">
          <w:rPr>
            <w:webHidden/>
          </w:rPr>
        </w:r>
        <w:r w:rsidR="00736B78">
          <w:rPr>
            <w:webHidden/>
          </w:rPr>
          <w:fldChar w:fldCharType="separate"/>
        </w:r>
        <w:r w:rsidR="006D6E1F">
          <w:rPr>
            <w:webHidden/>
          </w:rPr>
          <w:t>25</w:t>
        </w:r>
        <w:r w:rsidR="00736B78">
          <w:rPr>
            <w:webHidden/>
          </w:rPr>
          <w:fldChar w:fldCharType="end"/>
        </w:r>
      </w:hyperlink>
    </w:p>
    <w:p w14:paraId="442B03AE" w14:textId="554A7B9B" w:rsidR="00736B78" w:rsidRDefault="00DD223A" w:rsidP="00AA743A">
      <w:pPr>
        <w:pStyle w:val="TOC1"/>
        <w:rPr>
          <w:rFonts w:asciiTheme="minorHAnsi" w:eastAsiaTheme="minorEastAsia" w:hAnsiTheme="minorHAnsi"/>
          <w:color w:val="auto"/>
          <w:sz w:val="22"/>
          <w:szCs w:val="22"/>
          <w:lang w:eastAsia="en-AU"/>
        </w:rPr>
      </w:pPr>
      <w:hyperlink w:anchor="_Toc152865206" w:history="1">
        <w:r w:rsidR="00736B78" w:rsidRPr="00790EF3">
          <w:rPr>
            <w:rStyle w:val="Hyperlink"/>
          </w:rPr>
          <w:t>7.</w:t>
        </w:r>
        <w:r w:rsidR="00736B78">
          <w:rPr>
            <w:rFonts w:asciiTheme="minorHAnsi" w:eastAsiaTheme="minorEastAsia" w:hAnsiTheme="minorHAnsi"/>
            <w:color w:val="auto"/>
            <w:sz w:val="22"/>
            <w:szCs w:val="22"/>
            <w:lang w:eastAsia="en-AU"/>
          </w:rPr>
          <w:tab/>
        </w:r>
        <w:r w:rsidR="00736B78" w:rsidRPr="00790EF3">
          <w:rPr>
            <w:rStyle w:val="Hyperlink"/>
          </w:rPr>
          <w:t>Methodology</w:t>
        </w:r>
        <w:r w:rsidR="00736B78">
          <w:rPr>
            <w:webHidden/>
          </w:rPr>
          <w:tab/>
        </w:r>
        <w:r w:rsidR="00736B78">
          <w:rPr>
            <w:webHidden/>
          </w:rPr>
          <w:fldChar w:fldCharType="begin"/>
        </w:r>
        <w:r w:rsidR="00736B78">
          <w:rPr>
            <w:webHidden/>
          </w:rPr>
          <w:instrText xml:space="preserve"> PAGEREF _Toc152865206 \h </w:instrText>
        </w:r>
        <w:r w:rsidR="00736B78">
          <w:rPr>
            <w:webHidden/>
          </w:rPr>
        </w:r>
        <w:r w:rsidR="00736B78">
          <w:rPr>
            <w:webHidden/>
          </w:rPr>
          <w:fldChar w:fldCharType="separate"/>
        </w:r>
        <w:r w:rsidR="006D6E1F">
          <w:rPr>
            <w:webHidden/>
          </w:rPr>
          <w:t>26</w:t>
        </w:r>
        <w:r w:rsidR="00736B78">
          <w:rPr>
            <w:webHidden/>
          </w:rPr>
          <w:fldChar w:fldCharType="end"/>
        </w:r>
      </w:hyperlink>
    </w:p>
    <w:p w14:paraId="41390F70" w14:textId="3F5CA8B5" w:rsidR="00736B78" w:rsidRDefault="00DD223A" w:rsidP="00AA743A">
      <w:pPr>
        <w:pStyle w:val="TOC1"/>
        <w:rPr>
          <w:rFonts w:asciiTheme="minorHAnsi" w:eastAsiaTheme="minorEastAsia" w:hAnsiTheme="minorHAnsi"/>
          <w:color w:val="auto"/>
          <w:sz w:val="22"/>
          <w:szCs w:val="22"/>
          <w:lang w:eastAsia="en-AU"/>
        </w:rPr>
      </w:pPr>
      <w:hyperlink w:anchor="_Toc152865207" w:history="1">
        <w:r w:rsidR="00736B78" w:rsidRPr="00790EF3">
          <w:rPr>
            <w:rStyle w:val="Hyperlink"/>
          </w:rPr>
          <w:t>8.</w:t>
        </w:r>
        <w:r w:rsidR="00736B78">
          <w:rPr>
            <w:rFonts w:asciiTheme="minorHAnsi" w:eastAsiaTheme="minorEastAsia" w:hAnsiTheme="minorHAnsi"/>
            <w:color w:val="auto"/>
            <w:sz w:val="22"/>
            <w:szCs w:val="22"/>
            <w:lang w:eastAsia="en-AU"/>
          </w:rPr>
          <w:tab/>
        </w:r>
        <w:r w:rsidR="00736B78" w:rsidRPr="00790EF3">
          <w:rPr>
            <w:rStyle w:val="Hyperlink"/>
          </w:rPr>
          <w:t>Further information and resources</w:t>
        </w:r>
        <w:r w:rsidR="00736B78">
          <w:rPr>
            <w:webHidden/>
          </w:rPr>
          <w:tab/>
        </w:r>
        <w:r w:rsidR="00736B78">
          <w:rPr>
            <w:webHidden/>
          </w:rPr>
          <w:fldChar w:fldCharType="begin"/>
        </w:r>
        <w:r w:rsidR="00736B78">
          <w:rPr>
            <w:webHidden/>
          </w:rPr>
          <w:instrText xml:space="preserve"> PAGEREF _Toc152865207 \h </w:instrText>
        </w:r>
        <w:r w:rsidR="00736B78">
          <w:rPr>
            <w:webHidden/>
          </w:rPr>
        </w:r>
        <w:r w:rsidR="00736B78">
          <w:rPr>
            <w:webHidden/>
          </w:rPr>
          <w:fldChar w:fldCharType="separate"/>
        </w:r>
        <w:r w:rsidR="006D6E1F">
          <w:rPr>
            <w:webHidden/>
          </w:rPr>
          <w:t>28</w:t>
        </w:r>
        <w:r w:rsidR="00736B78">
          <w:rPr>
            <w:webHidden/>
          </w:rPr>
          <w:fldChar w:fldCharType="end"/>
        </w:r>
      </w:hyperlink>
    </w:p>
    <w:p w14:paraId="36A1CE8B" w14:textId="451224BD" w:rsidR="00392782" w:rsidRDefault="00392782" w:rsidP="00FA34DC">
      <w:pPr>
        <w:pStyle w:val="PlaceholderWide"/>
        <w:ind w:right="-38"/>
      </w:pPr>
      <w:r>
        <w:fldChar w:fldCharType="end"/>
      </w:r>
    </w:p>
    <w:p w14:paraId="3AAE933D" w14:textId="77777777" w:rsidR="00026CE8" w:rsidRDefault="00026CE8" w:rsidP="008B6C1A">
      <w:pPr>
        <w:pStyle w:val="PlaceholderWide"/>
        <w:rPr>
          <w:color w:val="FF0000"/>
          <w:sz w:val="20"/>
        </w:rPr>
        <w:sectPr w:rsidR="00026CE8" w:rsidSect="00E37754">
          <w:headerReference w:type="default" r:id="rId19"/>
          <w:pgSz w:w="16838" w:h="11906" w:orient="landscape" w:code="9"/>
          <w:pgMar w:top="992" w:right="1440" w:bottom="1440" w:left="1440" w:header="709" w:footer="709" w:gutter="0"/>
          <w:cols w:num="2" w:space="708"/>
          <w:titlePg/>
          <w:docGrid w:linePitch="360"/>
        </w:sectPr>
      </w:pPr>
    </w:p>
    <w:p w14:paraId="1F4BD093" w14:textId="612FD7A7" w:rsidR="00F66E09" w:rsidRDefault="00F66E09" w:rsidP="008B6C1A">
      <w:pPr>
        <w:pStyle w:val="PlaceholderWide"/>
        <w:rPr>
          <w:noProof/>
          <w:color w:val="FF0000"/>
          <w:sz w:val="20"/>
        </w:rPr>
      </w:pPr>
      <w:r>
        <w:rPr>
          <w:noProof/>
          <w:color w:val="FF0000"/>
          <w:sz w:val="20"/>
        </w:rPr>
        <w:lastRenderedPageBreak/>
        <w:drawing>
          <wp:anchor distT="0" distB="0" distL="114300" distR="114300" simplePos="0" relativeHeight="251658246" behindDoc="0" locked="1" layoutInCell="1" allowOverlap="1" wp14:anchorId="037111C4" wp14:editId="3DFE4DB5">
            <wp:simplePos x="0" y="0"/>
            <wp:positionH relativeFrom="page">
              <wp:align>right</wp:align>
            </wp:positionH>
            <wp:positionV relativeFrom="page">
              <wp:align>top</wp:align>
            </wp:positionV>
            <wp:extent cx="10681335" cy="754570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681335" cy="75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D3F9C" w14:textId="77777777" w:rsidR="00F66E09" w:rsidRDefault="00F66E09" w:rsidP="008B6C1A">
      <w:pPr>
        <w:pStyle w:val="PlaceholderWide"/>
        <w:rPr>
          <w:noProof/>
          <w:color w:val="FF0000"/>
          <w:sz w:val="20"/>
        </w:rPr>
      </w:pPr>
    </w:p>
    <w:p w14:paraId="485A1398" w14:textId="77777777" w:rsidR="00F66E09" w:rsidRDefault="00F66E09" w:rsidP="008B6C1A">
      <w:pPr>
        <w:pStyle w:val="PlaceholderWide"/>
        <w:rPr>
          <w:noProof/>
          <w:color w:val="FF0000"/>
          <w:sz w:val="20"/>
        </w:rPr>
      </w:pPr>
    </w:p>
    <w:p w14:paraId="70938F0D" w14:textId="77777777" w:rsidR="00F66E09" w:rsidRDefault="00F66E09" w:rsidP="008B6C1A">
      <w:pPr>
        <w:pStyle w:val="PlaceholderWide"/>
        <w:rPr>
          <w:noProof/>
          <w:color w:val="FF0000"/>
          <w:sz w:val="20"/>
        </w:rPr>
      </w:pPr>
    </w:p>
    <w:p w14:paraId="1CA4793B" w14:textId="77777777" w:rsidR="00F66E09" w:rsidRDefault="00F66E09" w:rsidP="008B6C1A">
      <w:pPr>
        <w:pStyle w:val="PlaceholderWide"/>
        <w:rPr>
          <w:noProof/>
          <w:color w:val="FF0000"/>
          <w:sz w:val="20"/>
        </w:rPr>
      </w:pPr>
    </w:p>
    <w:p w14:paraId="55B4C24A" w14:textId="77777777" w:rsidR="00F66E09" w:rsidRDefault="00F66E09" w:rsidP="008B6C1A">
      <w:pPr>
        <w:pStyle w:val="PlaceholderWide"/>
        <w:rPr>
          <w:noProof/>
          <w:color w:val="FF0000"/>
          <w:sz w:val="20"/>
        </w:rPr>
      </w:pPr>
    </w:p>
    <w:p w14:paraId="7F476E5B" w14:textId="77777777" w:rsidR="00F66E09" w:rsidRDefault="00F66E09" w:rsidP="008B6C1A">
      <w:pPr>
        <w:pStyle w:val="PlaceholderWide"/>
        <w:rPr>
          <w:noProof/>
          <w:color w:val="FF0000"/>
          <w:sz w:val="20"/>
        </w:rPr>
      </w:pPr>
    </w:p>
    <w:p w14:paraId="45253284" w14:textId="77777777" w:rsidR="00F66E09" w:rsidRDefault="00F66E09" w:rsidP="008B6C1A">
      <w:pPr>
        <w:pStyle w:val="PlaceholderWide"/>
        <w:rPr>
          <w:noProof/>
          <w:color w:val="FF0000"/>
          <w:sz w:val="20"/>
        </w:rPr>
      </w:pPr>
    </w:p>
    <w:p w14:paraId="66DB5098" w14:textId="77777777" w:rsidR="00F66E09" w:rsidRDefault="00F66E09" w:rsidP="008B6C1A">
      <w:pPr>
        <w:pStyle w:val="PlaceholderWide"/>
        <w:rPr>
          <w:noProof/>
          <w:color w:val="FF0000"/>
          <w:sz w:val="20"/>
        </w:rPr>
      </w:pPr>
    </w:p>
    <w:p w14:paraId="24ED763C" w14:textId="77777777" w:rsidR="00F66E09" w:rsidRDefault="00F66E09" w:rsidP="008B6C1A">
      <w:pPr>
        <w:pStyle w:val="PlaceholderWide"/>
        <w:rPr>
          <w:noProof/>
          <w:color w:val="FF0000"/>
          <w:sz w:val="20"/>
        </w:rPr>
      </w:pPr>
    </w:p>
    <w:p w14:paraId="302EF0C7" w14:textId="77777777" w:rsidR="00F66E09" w:rsidRDefault="00F66E09" w:rsidP="008B6C1A">
      <w:pPr>
        <w:pStyle w:val="PlaceholderWide"/>
        <w:rPr>
          <w:noProof/>
          <w:color w:val="FF0000"/>
          <w:sz w:val="20"/>
        </w:rPr>
      </w:pPr>
    </w:p>
    <w:p w14:paraId="4859A83F" w14:textId="77777777" w:rsidR="00F66E09" w:rsidRDefault="00F66E09" w:rsidP="008B6C1A">
      <w:pPr>
        <w:pStyle w:val="PlaceholderWide"/>
        <w:rPr>
          <w:noProof/>
          <w:color w:val="FF0000"/>
          <w:sz w:val="20"/>
        </w:rPr>
      </w:pPr>
    </w:p>
    <w:p w14:paraId="0A48340B" w14:textId="77777777" w:rsidR="00F66E09" w:rsidRDefault="00F66E09" w:rsidP="008B6C1A">
      <w:pPr>
        <w:pStyle w:val="PlaceholderWide"/>
        <w:rPr>
          <w:noProof/>
          <w:color w:val="FF0000"/>
          <w:sz w:val="20"/>
        </w:rPr>
      </w:pPr>
    </w:p>
    <w:p w14:paraId="2573FE9F" w14:textId="77777777" w:rsidR="00F66E09" w:rsidRDefault="00F66E09" w:rsidP="008B6C1A">
      <w:pPr>
        <w:pStyle w:val="PlaceholderWide"/>
        <w:rPr>
          <w:noProof/>
          <w:color w:val="FF0000"/>
          <w:sz w:val="20"/>
        </w:rPr>
      </w:pPr>
    </w:p>
    <w:p w14:paraId="72C92EA1" w14:textId="77777777" w:rsidR="00F66E09" w:rsidRDefault="00F66E09" w:rsidP="008B6C1A">
      <w:pPr>
        <w:pStyle w:val="PlaceholderWide"/>
        <w:rPr>
          <w:noProof/>
          <w:color w:val="FF0000"/>
          <w:sz w:val="20"/>
        </w:rPr>
      </w:pPr>
    </w:p>
    <w:p w14:paraId="47B1F5BE" w14:textId="77777777" w:rsidR="00F66E09" w:rsidRDefault="00F66E09" w:rsidP="008B6C1A">
      <w:pPr>
        <w:pStyle w:val="PlaceholderWide"/>
        <w:rPr>
          <w:noProof/>
          <w:color w:val="FF0000"/>
          <w:sz w:val="20"/>
        </w:rPr>
      </w:pPr>
    </w:p>
    <w:p w14:paraId="08957F14" w14:textId="77777777" w:rsidR="00F66E09" w:rsidRDefault="00F66E09" w:rsidP="008B6C1A">
      <w:pPr>
        <w:pStyle w:val="PlaceholderWide"/>
        <w:rPr>
          <w:noProof/>
          <w:color w:val="FF0000"/>
          <w:sz w:val="20"/>
        </w:rPr>
      </w:pPr>
    </w:p>
    <w:p w14:paraId="6FBE3D4A" w14:textId="77777777" w:rsidR="00F66E09" w:rsidRDefault="00F66E09" w:rsidP="008B6C1A">
      <w:pPr>
        <w:pStyle w:val="PlaceholderWide"/>
        <w:rPr>
          <w:noProof/>
          <w:color w:val="FF0000"/>
          <w:sz w:val="20"/>
        </w:rPr>
      </w:pPr>
    </w:p>
    <w:p w14:paraId="0FB3D321" w14:textId="77777777" w:rsidR="00F66E09" w:rsidRDefault="00F66E09" w:rsidP="008B6C1A">
      <w:pPr>
        <w:pStyle w:val="PlaceholderWide"/>
        <w:rPr>
          <w:noProof/>
          <w:color w:val="FF0000"/>
          <w:sz w:val="20"/>
        </w:rPr>
      </w:pPr>
    </w:p>
    <w:p w14:paraId="75490D20" w14:textId="77777777" w:rsidR="00F66E09" w:rsidRDefault="00F66E09" w:rsidP="008B6C1A">
      <w:pPr>
        <w:pStyle w:val="PlaceholderWide"/>
        <w:rPr>
          <w:noProof/>
          <w:color w:val="FF0000"/>
          <w:sz w:val="20"/>
        </w:rPr>
      </w:pPr>
    </w:p>
    <w:p w14:paraId="09F23499" w14:textId="77777777" w:rsidR="00F66E09" w:rsidRDefault="00F66E09" w:rsidP="008B6C1A">
      <w:pPr>
        <w:pStyle w:val="PlaceholderWide"/>
        <w:rPr>
          <w:noProof/>
          <w:color w:val="FF0000"/>
          <w:sz w:val="20"/>
        </w:rPr>
      </w:pPr>
    </w:p>
    <w:p w14:paraId="27D8A952" w14:textId="77777777" w:rsidR="00F66E09" w:rsidRDefault="00F66E09" w:rsidP="008B6C1A">
      <w:pPr>
        <w:pStyle w:val="PlaceholderWide"/>
        <w:rPr>
          <w:noProof/>
          <w:color w:val="FF0000"/>
          <w:sz w:val="20"/>
        </w:rPr>
      </w:pPr>
    </w:p>
    <w:p w14:paraId="14B5A106" w14:textId="77777777" w:rsidR="00F66E09" w:rsidRDefault="00F66E09" w:rsidP="008B6C1A">
      <w:pPr>
        <w:pStyle w:val="PlaceholderWide"/>
        <w:rPr>
          <w:noProof/>
          <w:color w:val="FF0000"/>
          <w:sz w:val="20"/>
        </w:rPr>
      </w:pPr>
    </w:p>
    <w:p w14:paraId="05A19130" w14:textId="77777777" w:rsidR="00F66E09" w:rsidRDefault="00F66E09" w:rsidP="008B6C1A">
      <w:pPr>
        <w:pStyle w:val="PlaceholderWide"/>
        <w:rPr>
          <w:noProof/>
          <w:color w:val="FF0000"/>
          <w:sz w:val="20"/>
        </w:rPr>
      </w:pPr>
    </w:p>
    <w:p w14:paraId="17633CDF" w14:textId="77777777" w:rsidR="00F66E09" w:rsidRDefault="00F66E09" w:rsidP="008B6C1A">
      <w:pPr>
        <w:pStyle w:val="PlaceholderWide"/>
        <w:rPr>
          <w:noProof/>
          <w:color w:val="FF0000"/>
          <w:sz w:val="20"/>
        </w:rPr>
      </w:pPr>
    </w:p>
    <w:p w14:paraId="0C05F22E" w14:textId="77777777" w:rsidR="00F66E09" w:rsidRDefault="00F66E09" w:rsidP="008B6C1A">
      <w:pPr>
        <w:pStyle w:val="PlaceholderWide"/>
        <w:rPr>
          <w:noProof/>
          <w:color w:val="FF0000"/>
          <w:sz w:val="20"/>
        </w:rPr>
      </w:pPr>
    </w:p>
    <w:p w14:paraId="0A860E60" w14:textId="77777777" w:rsidR="00F66E09" w:rsidRDefault="00F66E09" w:rsidP="008B6C1A">
      <w:pPr>
        <w:pStyle w:val="PlaceholderWide"/>
        <w:rPr>
          <w:noProof/>
          <w:color w:val="FF0000"/>
          <w:sz w:val="20"/>
        </w:rPr>
      </w:pPr>
    </w:p>
    <w:p w14:paraId="733DBABC" w14:textId="77777777" w:rsidR="00F66E09" w:rsidRDefault="00F66E09" w:rsidP="008B6C1A">
      <w:pPr>
        <w:pStyle w:val="PlaceholderWide"/>
        <w:rPr>
          <w:noProof/>
          <w:color w:val="FF0000"/>
          <w:sz w:val="20"/>
        </w:rPr>
      </w:pPr>
    </w:p>
    <w:p w14:paraId="3A94511B" w14:textId="77777777" w:rsidR="00F66E09" w:rsidRDefault="00F66E09" w:rsidP="008B6C1A">
      <w:pPr>
        <w:pStyle w:val="PlaceholderWide"/>
        <w:rPr>
          <w:noProof/>
          <w:color w:val="FF0000"/>
          <w:sz w:val="20"/>
        </w:rPr>
      </w:pPr>
    </w:p>
    <w:p w14:paraId="287EF89C" w14:textId="77777777" w:rsidR="00F66E09" w:rsidRDefault="00F66E09" w:rsidP="008B6C1A">
      <w:pPr>
        <w:pStyle w:val="PlaceholderWide"/>
        <w:rPr>
          <w:noProof/>
          <w:color w:val="FF0000"/>
          <w:sz w:val="20"/>
        </w:rPr>
      </w:pPr>
    </w:p>
    <w:p w14:paraId="7ED18DBE" w14:textId="77777777" w:rsidR="00F66E09" w:rsidRDefault="00F66E09" w:rsidP="008B6C1A">
      <w:pPr>
        <w:pStyle w:val="PlaceholderWide"/>
        <w:rPr>
          <w:noProof/>
          <w:color w:val="FF0000"/>
          <w:sz w:val="20"/>
        </w:rPr>
      </w:pPr>
    </w:p>
    <w:p w14:paraId="724A5691" w14:textId="77777777" w:rsidR="00F66E09" w:rsidRDefault="00F66E09" w:rsidP="008B6C1A">
      <w:pPr>
        <w:pStyle w:val="PlaceholderWide"/>
        <w:rPr>
          <w:noProof/>
          <w:color w:val="FF0000"/>
          <w:sz w:val="20"/>
        </w:rPr>
      </w:pPr>
    </w:p>
    <w:p w14:paraId="395DD6C5" w14:textId="77777777" w:rsidR="00F66E09" w:rsidRDefault="00F66E09" w:rsidP="008B6C1A">
      <w:pPr>
        <w:pStyle w:val="PlaceholderWide"/>
        <w:rPr>
          <w:noProof/>
          <w:color w:val="FF0000"/>
          <w:sz w:val="20"/>
        </w:rPr>
      </w:pPr>
    </w:p>
    <w:p w14:paraId="1452E9A5" w14:textId="77777777" w:rsidR="00F66E09" w:rsidRDefault="00F66E09" w:rsidP="008B6C1A">
      <w:pPr>
        <w:pStyle w:val="PlaceholderWide"/>
        <w:rPr>
          <w:noProof/>
          <w:color w:val="FF0000"/>
          <w:sz w:val="20"/>
        </w:rPr>
      </w:pPr>
    </w:p>
    <w:p w14:paraId="5184CBEB" w14:textId="77777777" w:rsidR="00F66E09" w:rsidRDefault="00F66E09" w:rsidP="008B6C1A">
      <w:pPr>
        <w:pStyle w:val="PlaceholderWide"/>
        <w:rPr>
          <w:noProof/>
          <w:color w:val="FF0000"/>
          <w:sz w:val="20"/>
        </w:rPr>
      </w:pPr>
    </w:p>
    <w:p w14:paraId="4087A4C7" w14:textId="77777777" w:rsidR="00F66E09" w:rsidRDefault="00F66E09" w:rsidP="008B6C1A">
      <w:pPr>
        <w:pStyle w:val="PlaceholderWide"/>
        <w:rPr>
          <w:noProof/>
          <w:color w:val="FF0000"/>
          <w:sz w:val="20"/>
        </w:rPr>
      </w:pPr>
    </w:p>
    <w:p w14:paraId="5AED51A5" w14:textId="77777777" w:rsidR="00F66E09" w:rsidRDefault="00F66E09" w:rsidP="008B6C1A">
      <w:pPr>
        <w:pStyle w:val="PlaceholderWide"/>
        <w:rPr>
          <w:noProof/>
          <w:color w:val="FF0000"/>
          <w:sz w:val="20"/>
        </w:rPr>
      </w:pPr>
    </w:p>
    <w:p w14:paraId="29AF954E" w14:textId="77777777" w:rsidR="00F66E09" w:rsidRDefault="00F66E09" w:rsidP="008B6C1A">
      <w:pPr>
        <w:pStyle w:val="PlaceholderWide"/>
        <w:rPr>
          <w:noProof/>
          <w:color w:val="FF0000"/>
          <w:sz w:val="20"/>
        </w:rPr>
      </w:pPr>
    </w:p>
    <w:p w14:paraId="38EF17C7" w14:textId="77777777" w:rsidR="00F66E09" w:rsidRDefault="00F66E09" w:rsidP="008B6C1A">
      <w:pPr>
        <w:pStyle w:val="PlaceholderWide"/>
        <w:rPr>
          <w:noProof/>
          <w:color w:val="FF0000"/>
          <w:sz w:val="20"/>
        </w:rPr>
      </w:pPr>
    </w:p>
    <w:p w14:paraId="44AEC7E5" w14:textId="77777777" w:rsidR="00F66E09" w:rsidRDefault="00F66E09" w:rsidP="008B6C1A">
      <w:pPr>
        <w:pStyle w:val="PlaceholderWide"/>
        <w:rPr>
          <w:noProof/>
          <w:color w:val="FF0000"/>
          <w:sz w:val="20"/>
        </w:rPr>
      </w:pPr>
    </w:p>
    <w:p w14:paraId="71677174" w14:textId="77777777" w:rsidR="00F66E09" w:rsidRDefault="00F66E09" w:rsidP="008B6C1A">
      <w:pPr>
        <w:pStyle w:val="PlaceholderWide"/>
        <w:rPr>
          <w:noProof/>
          <w:color w:val="FF0000"/>
          <w:sz w:val="20"/>
        </w:rPr>
      </w:pPr>
    </w:p>
    <w:p w14:paraId="073B776A" w14:textId="77777777" w:rsidR="00F66E09" w:rsidRDefault="00F66E09" w:rsidP="008B6C1A">
      <w:pPr>
        <w:pStyle w:val="PlaceholderWide"/>
        <w:rPr>
          <w:noProof/>
          <w:color w:val="FF0000"/>
          <w:sz w:val="20"/>
        </w:rPr>
      </w:pPr>
    </w:p>
    <w:p w14:paraId="462016F1" w14:textId="77777777" w:rsidR="00F66E09" w:rsidRDefault="00F66E09" w:rsidP="008B6C1A">
      <w:pPr>
        <w:pStyle w:val="PlaceholderWide"/>
        <w:rPr>
          <w:noProof/>
          <w:color w:val="FF0000"/>
          <w:sz w:val="20"/>
        </w:rPr>
      </w:pPr>
    </w:p>
    <w:p w14:paraId="53D265ED" w14:textId="77777777" w:rsidR="00F66E09" w:rsidRDefault="00F66E09" w:rsidP="008B6C1A">
      <w:pPr>
        <w:pStyle w:val="PlaceholderWide"/>
        <w:rPr>
          <w:noProof/>
          <w:color w:val="FF0000"/>
          <w:sz w:val="20"/>
        </w:rPr>
      </w:pPr>
    </w:p>
    <w:p w14:paraId="235F7A33" w14:textId="77777777" w:rsidR="00F66E09" w:rsidRDefault="00F66E09" w:rsidP="008B6C1A">
      <w:pPr>
        <w:pStyle w:val="PlaceholderWide"/>
        <w:rPr>
          <w:noProof/>
          <w:color w:val="FF0000"/>
          <w:sz w:val="20"/>
        </w:rPr>
      </w:pPr>
    </w:p>
    <w:p w14:paraId="4808B225" w14:textId="77777777" w:rsidR="00F66E09" w:rsidRDefault="00F66E09" w:rsidP="008B6C1A">
      <w:pPr>
        <w:pStyle w:val="PlaceholderWide"/>
        <w:rPr>
          <w:noProof/>
          <w:color w:val="FF0000"/>
          <w:sz w:val="20"/>
        </w:rPr>
      </w:pPr>
    </w:p>
    <w:p w14:paraId="6EC8F153" w14:textId="77777777" w:rsidR="00F66E09" w:rsidRDefault="00F66E09" w:rsidP="008B6C1A">
      <w:pPr>
        <w:pStyle w:val="PlaceholderWide"/>
        <w:rPr>
          <w:noProof/>
          <w:color w:val="FF0000"/>
          <w:sz w:val="20"/>
        </w:rPr>
      </w:pPr>
    </w:p>
    <w:p w14:paraId="65E11D92" w14:textId="77777777" w:rsidR="00F66E09" w:rsidRDefault="00F66E09" w:rsidP="008B6C1A">
      <w:pPr>
        <w:pStyle w:val="PlaceholderWide"/>
        <w:rPr>
          <w:noProof/>
          <w:color w:val="FF0000"/>
          <w:sz w:val="20"/>
        </w:rPr>
      </w:pPr>
    </w:p>
    <w:p w14:paraId="762EECDB" w14:textId="77777777" w:rsidR="00F66E09" w:rsidRDefault="00F66E09" w:rsidP="008B6C1A">
      <w:pPr>
        <w:pStyle w:val="PlaceholderWide"/>
        <w:rPr>
          <w:noProof/>
          <w:color w:val="FF0000"/>
          <w:sz w:val="20"/>
        </w:rPr>
      </w:pPr>
    </w:p>
    <w:p w14:paraId="66B0F6E1" w14:textId="77777777" w:rsidR="00F66E09" w:rsidRDefault="00F66E09" w:rsidP="008B6C1A">
      <w:pPr>
        <w:pStyle w:val="PlaceholderWide"/>
        <w:rPr>
          <w:noProof/>
          <w:color w:val="FF0000"/>
          <w:sz w:val="20"/>
        </w:rPr>
      </w:pPr>
    </w:p>
    <w:p w14:paraId="74CED0A8" w14:textId="77777777" w:rsidR="00F66E09" w:rsidRDefault="00F66E09" w:rsidP="008B6C1A">
      <w:pPr>
        <w:pStyle w:val="PlaceholderWide"/>
        <w:rPr>
          <w:noProof/>
          <w:color w:val="FF0000"/>
          <w:sz w:val="20"/>
        </w:rPr>
      </w:pPr>
    </w:p>
    <w:p w14:paraId="60D44AFA" w14:textId="77777777" w:rsidR="00F66E09" w:rsidRDefault="00F66E09" w:rsidP="008B6C1A">
      <w:pPr>
        <w:pStyle w:val="PlaceholderWide"/>
        <w:rPr>
          <w:noProof/>
          <w:color w:val="FF0000"/>
          <w:sz w:val="20"/>
        </w:rPr>
      </w:pPr>
    </w:p>
    <w:p w14:paraId="38C87298" w14:textId="77777777" w:rsidR="00F66E09" w:rsidRDefault="00F66E09" w:rsidP="008B6C1A">
      <w:pPr>
        <w:pStyle w:val="PlaceholderWide"/>
        <w:rPr>
          <w:noProof/>
          <w:color w:val="FF0000"/>
          <w:sz w:val="20"/>
        </w:rPr>
      </w:pPr>
    </w:p>
    <w:p w14:paraId="15C152E4" w14:textId="77777777" w:rsidR="00F66E09" w:rsidRDefault="00F66E09" w:rsidP="008B6C1A">
      <w:pPr>
        <w:pStyle w:val="PlaceholderWide"/>
        <w:rPr>
          <w:noProof/>
          <w:color w:val="FF0000"/>
          <w:sz w:val="20"/>
        </w:rPr>
      </w:pPr>
    </w:p>
    <w:p w14:paraId="428E62D5" w14:textId="77777777" w:rsidR="00F66E09" w:rsidRDefault="00F66E09" w:rsidP="008B6C1A">
      <w:pPr>
        <w:pStyle w:val="PlaceholderWide"/>
        <w:rPr>
          <w:noProof/>
          <w:color w:val="FF0000"/>
          <w:sz w:val="20"/>
        </w:rPr>
      </w:pPr>
    </w:p>
    <w:p w14:paraId="1CB49775" w14:textId="77777777" w:rsidR="00F66E09" w:rsidRDefault="00F66E09" w:rsidP="008B6C1A">
      <w:pPr>
        <w:pStyle w:val="PlaceholderWide"/>
        <w:rPr>
          <w:noProof/>
          <w:color w:val="FF0000"/>
          <w:sz w:val="20"/>
        </w:rPr>
      </w:pPr>
    </w:p>
    <w:p w14:paraId="62219F45" w14:textId="77777777" w:rsidR="00F66E09" w:rsidRDefault="00F66E09" w:rsidP="008B6C1A">
      <w:pPr>
        <w:pStyle w:val="PlaceholderWide"/>
        <w:rPr>
          <w:noProof/>
          <w:color w:val="FF0000"/>
          <w:sz w:val="20"/>
        </w:rPr>
      </w:pPr>
    </w:p>
    <w:p w14:paraId="7DF429C3" w14:textId="77777777" w:rsidR="00F66E09" w:rsidRDefault="00F66E09" w:rsidP="008B6C1A">
      <w:pPr>
        <w:pStyle w:val="PlaceholderWide"/>
        <w:rPr>
          <w:noProof/>
          <w:color w:val="FF0000"/>
          <w:sz w:val="20"/>
        </w:rPr>
      </w:pPr>
    </w:p>
    <w:p w14:paraId="71AF0351" w14:textId="77777777" w:rsidR="00F66E09" w:rsidRDefault="00F66E09" w:rsidP="008B6C1A">
      <w:pPr>
        <w:pStyle w:val="PlaceholderWide"/>
        <w:rPr>
          <w:noProof/>
          <w:color w:val="FF0000"/>
          <w:sz w:val="20"/>
        </w:rPr>
      </w:pPr>
    </w:p>
    <w:p w14:paraId="168E32A7" w14:textId="77777777" w:rsidR="00F66E09" w:rsidRDefault="00F66E09" w:rsidP="008B6C1A">
      <w:pPr>
        <w:pStyle w:val="PlaceholderWide"/>
        <w:rPr>
          <w:noProof/>
          <w:color w:val="FF0000"/>
          <w:sz w:val="20"/>
        </w:rPr>
      </w:pPr>
    </w:p>
    <w:p w14:paraId="449D423F" w14:textId="77777777" w:rsidR="00F66E09" w:rsidRDefault="00F66E09" w:rsidP="008B6C1A">
      <w:pPr>
        <w:pStyle w:val="PlaceholderWide"/>
        <w:rPr>
          <w:noProof/>
          <w:color w:val="FF0000"/>
          <w:sz w:val="20"/>
        </w:rPr>
      </w:pPr>
    </w:p>
    <w:p w14:paraId="4EE66A9C" w14:textId="77777777" w:rsidR="00F66E09" w:rsidRDefault="00F66E09" w:rsidP="008B6C1A">
      <w:pPr>
        <w:pStyle w:val="PlaceholderWide"/>
        <w:rPr>
          <w:noProof/>
          <w:color w:val="FF0000"/>
          <w:sz w:val="20"/>
        </w:rPr>
      </w:pPr>
    </w:p>
    <w:p w14:paraId="3F4E666E" w14:textId="77777777" w:rsidR="00F66E09" w:rsidRDefault="00F66E09" w:rsidP="008B6C1A">
      <w:pPr>
        <w:pStyle w:val="PlaceholderWide"/>
        <w:rPr>
          <w:noProof/>
          <w:color w:val="FF0000"/>
          <w:sz w:val="20"/>
        </w:rPr>
      </w:pPr>
    </w:p>
    <w:p w14:paraId="2B023E5C" w14:textId="77777777" w:rsidR="00F66E09" w:rsidRDefault="00F66E09" w:rsidP="008B6C1A">
      <w:pPr>
        <w:pStyle w:val="PlaceholderWide"/>
        <w:rPr>
          <w:noProof/>
          <w:color w:val="FF0000"/>
          <w:sz w:val="20"/>
        </w:rPr>
      </w:pPr>
    </w:p>
    <w:p w14:paraId="47EBFAD2" w14:textId="77777777" w:rsidR="00F66E09" w:rsidRDefault="00F66E09" w:rsidP="008B6C1A">
      <w:pPr>
        <w:pStyle w:val="PlaceholderWide"/>
        <w:rPr>
          <w:noProof/>
          <w:color w:val="FF0000"/>
          <w:sz w:val="20"/>
        </w:rPr>
      </w:pPr>
    </w:p>
    <w:p w14:paraId="2A29E8F2" w14:textId="77777777" w:rsidR="00F66E09" w:rsidRDefault="00F66E09" w:rsidP="008B6C1A">
      <w:pPr>
        <w:pStyle w:val="PlaceholderWide"/>
        <w:rPr>
          <w:noProof/>
          <w:color w:val="FF0000"/>
          <w:sz w:val="20"/>
        </w:rPr>
      </w:pPr>
    </w:p>
    <w:p w14:paraId="04E58F00" w14:textId="77777777" w:rsidR="00F66E09" w:rsidRDefault="00F66E09" w:rsidP="008B6C1A">
      <w:pPr>
        <w:pStyle w:val="PlaceholderWide"/>
        <w:rPr>
          <w:noProof/>
          <w:color w:val="FF0000"/>
          <w:sz w:val="20"/>
        </w:rPr>
      </w:pPr>
    </w:p>
    <w:p w14:paraId="2E24B9AD" w14:textId="77777777" w:rsidR="00F66E09" w:rsidRDefault="00F66E09" w:rsidP="008B6C1A">
      <w:pPr>
        <w:pStyle w:val="PlaceholderWide"/>
        <w:rPr>
          <w:noProof/>
          <w:color w:val="FF0000"/>
          <w:sz w:val="20"/>
        </w:rPr>
      </w:pPr>
    </w:p>
    <w:p w14:paraId="431D8F59" w14:textId="77777777" w:rsidR="00F66E09" w:rsidRDefault="00F66E09" w:rsidP="008B6C1A">
      <w:pPr>
        <w:pStyle w:val="PlaceholderWide"/>
        <w:rPr>
          <w:noProof/>
          <w:color w:val="FF0000"/>
          <w:sz w:val="20"/>
        </w:rPr>
      </w:pPr>
    </w:p>
    <w:p w14:paraId="3828D2EE" w14:textId="77777777" w:rsidR="00F66E09" w:rsidRDefault="00F66E09" w:rsidP="008B6C1A">
      <w:pPr>
        <w:pStyle w:val="PlaceholderWide"/>
        <w:rPr>
          <w:noProof/>
          <w:color w:val="FF0000"/>
          <w:sz w:val="20"/>
        </w:rPr>
      </w:pPr>
    </w:p>
    <w:p w14:paraId="18882F66" w14:textId="77777777" w:rsidR="00F66E09" w:rsidRDefault="00F66E09" w:rsidP="008B6C1A">
      <w:pPr>
        <w:pStyle w:val="PlaceholderWide"/>
        <w:rPr>
          <w:noProof/>
          <w:color w:val="FF0000"/>
          <w:sz w:val="20"/>
        </w:rPr>
      </w:pPr>
    </w:p>
    <w:p w14:paraId="22D7604E" w14:textId="77777777" w:rsidR="00F66E09" w:rsidRDefault="00F66E09" w:rsidP="008B6C1A">
      <w:pPr>
        <w:pStyle w:val="PlaceholderWide"/>
        <w:rPr>
          <w:noProof/>
          <w:color w:val="FF0000"/>
          <w:sz w:val="20"/>
        </w:rPr>
      </w:pPr>
    </w:p>
    <w:p w14:paraId="43F523AB" w14:textId="77777777" w:rsidR="00F66E09" w:rsidRDefault="00F66E09" w:rsidP="008B6C1A">
      <w:pPr>
        <w:pStyle w:val="PlaceholderWide"/>
        <w:rPr>
          <w:noProof/>
          <w:color w:val="FF0000"/>
          <w:sz w:val="20"/>
        </w:rPr>
      </w:pPr>
    </w:p>
    <w:p w14:paraId="565F717D" w14:textId="77777777" w:rsidR="00F66E09" w:rsidRDefault="00F66E09" w:rsidP="008B6C1A">
      <w:pPr>
        <w:pStyle w:val="PlaceholderWide"/>
        <w:rPr>
          <w:noProof/>
          <w:color w:val="FF0000"/>
          <w:sz w:val="20"/>
        </w:rPr>
      </w:pPr>
    </w:p>
    <w:p w14:paraId="2B680D91" w14:textId="77777777" w:rsidR="00F66E09" w:rsidRDefault="00F66E09" w:rsidP="008B6C1A">
      <w:pPr>
        <w:pStyle w:val="PlaceholderWide"/>
        <w:rPr>
          <w:noProof/>
          <w:color w:val="FF0000"/>
          <w:sz w:val="20"/>
        </w:rPr>
      </w:pPr>
    </w:p>
    <w:p w14:paraId="66B47D06" w14:textId="77777777" w:rsidR="00F66E09" w:rsidRDefault="00F66E09" w:rsidP="008B6C1A">
      <w:pPr>
        <w:pStyle w:val="PlaceholderWide"/>
        <w:rPr>
          <w:noProof/>
          <w:color w:val="FF0000"/>
          <w:sz w:val="20"/>
        </w:rPr>
      </w:pPr>
    </w:p>
    <w:p w14:paraId="0B3B6F5A" w14:textId="1F4CF735" w:rsidR="004F5E45" w:rsidRDefault="00AA743A" w:rsidP="008B6C1A">
      <w:pPr>
        <w:pStyle w:val="PlaceholderWide"/>
        <w:rPr>
          <w:color w:val="FF0000"/>
          <w:sz w:val="20"/>
        </w:rPr>
      </w:pPr>
      <w:r>
        <w:rPr>
          <w:noProof/>
          <w:color w:val="FF0000"/>
          <w:sz w:val="20"/>
        </w:rPr>
        <w:t xml:space="preserve"> </w:t>
      </w:r>
    </w:p>
    <w:p w14:paraId="0CE236EB" w14:textId="5C82D4D8" w:rsidR="00FA6508" w:rsidRPr="007136E1" w:rsidRDefault="00FA6508" w:rsidP="004B119B">
      <w:pPr>
        <w:pStyle w:val="Heading1"/>
        <w:numPr>
          <w:ilvl w:val="0"/>
          <w:numId w:val="0"/>
        </w:numPr>
        <w:spacing w:after="120"/>
      </w:pPr>
      <w:bookmarkStart w:id="7" w:name="_Toc120007080"/>
      <w:bookmarkStart w:id="8" w:name="_Toc120285822"/>
      <w:bookmarkStart w:id="9" w:name="_Toc120285889"/>
      <w:bookmarkStart w:id="10" w:name="_Toc120286614"/>
      <w:bookmarkStart w:id="11" w:name="_Toc120286726"/>
      <w:bookmarkStart w:id="12" w:name="_Toc120287120"/>
      <w:bookmarkStart w:id="13" w:name="_Toc120287204"/>
      <w:bookmarkStart w:id="14" w:name="_Toc120541226"/>
      <w:bookmarkStart w:id="15" w:name="_Toc120541741"/>
      <w:bookmarkStart w:id="16" w:name="_Toc120628910"/>
      <w:bookmarkStart w:id="17" w:name="_Toc120629519"/>
      <w:bookmarkStart w:id="18" w:name="_Toc120630042"/>
      <w:bookmarkStart w:id="19" w:name="_Toc120632565"/>
      <w:bookmarkStart w:id="20" w:name="_Toc120632953"/>
      <w:bookmarkStart w:id="21" w:name="_Toc152865199"/>
      <w:bookmarkStart w:id="22" w:name="_Hlk150416364"/>
      <w:r w:rsidRPr="007136E1">
        <w:lastRenderedPageBreak/>
        <w:t>Summary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C0D97E8" w14:textId="2F6CE706" w:rsidR="00790C62" w:rsidRDefault="00BB5AE5" w:rsidP="003B7F54">
      <w:pPr>
        <w:pStyle w:val="ListBullet"/>
        <w:numPr>
          <w:ilvl w:val="0"/>
          <w:numId w:val="4"/>
        </w:numPr>
        <w:spacing w:after="60"/>
      </w:pPr>
      <w:bookmarkStart w:id="23" w:name="_Hlk150415761"/>
      <w:bookmarkStart w:id="24" w:name="_Toc120285890"/>
      <w:bookmarkStart w:id="25" w:name="_Toc120287121"/>
      <w:bookmarkStart w:id="26" w:name="_Toc120541227"/>
      <w:bookmarkStart w:id="27" w:name="_Toc120628911"/>
      <w:bookmarkStart w:id="28" w:name="_Toc120629520"/>
      <w:bookmarkStart w:id="29" w:name="_Toc120630043"/>
      <w:bookmarkStart w:id="30" w:name="_Toc120632566"/>
      <w:bookmarkEnd w:id="22"/>
      <w:r>
        <w:t xml:space="preserve">The investment outlook for Australia’s resources and energy sector remains healthy, underpinned by </w:t>
      </w:r>
      <w:r w:rsidRPr="00BB5AE5">
        <w:t>a mix of new energy and traditional commodities</w:t>
      </w:r>
      <w:r>
        <w:t>.</w:t>
      </w:r>
    </w:p>
    <w:p w14:paraId="5D3556F2" w14:textId="5850D2C3" w:rsidR="005F2E1B" w:rsidRDefault="00684DA8" w:rsidP="003B7F54">
      <w:pPr>
        <w:pStyle w:val="ListBullet"/>
        <w:numPr>
          <w:ilvl w:val="0"/>
          <w:numId w:val="4"/>
        </w:numPr>
        <w:spacing w:after="60"/>
      </w:pPr>
      <w:bookmarkStart w:id="31" w:name="_Hlk153211951"/>
      <w:r w:rsidRPr="00684DA8">
        <w:t xml:space="preserve">There </w:t>
      </w:r>
      <w:r w:rsidR="0067745A">
        <w:t>were</w:t>
      </w:r>
      <w:r w:rsidR="0067745A" w:rsidRPr="00684DA8">
        <w:t xml:space="preserve"> </w:t>
      </w:r>
      <w:r w:rsidR="002E6BD7" w:rsidRPr="00C357AB">
        <w:t>4</w:t>
      </w:r>
      <w:r w:rsidR="00C357AB" w:rsidRPr="00C357AB">
        <w:t>21</w:t>
      </w:r>
      <w:r w:rsidR="002E6BD7" w:rsidRPr="00684DA8">
        <w:t xml:space="preserve"> </w:t>
      </w:r>
      <w:r w:rsidR="00AC5D5C">
        <w:t xml:space="preserve">major resource and energy </w:t>
      </w:r>
      <w:r w:rsidR="002E6BD7" w:rsidRPr="00684DA8">
        <w:t>projects</w:t>
      </w:r>
      <w:r w:rsidR="002E6BD7">
        <w:t xml:space="preserve"> </w:t>
      </w:r>
      <w:r>
        <w:t xml:space="preserve">in </w:t>
      </w:r>
      <w:r w:rsidR="002E6BD7">
        <w:t>Australia</w:t>
      </w:r>
      <w:r w:rsidR="002E6BD7" w:rsidDel="00AC5D5C">
        <w:t xml:space="preserve"> </w:t>
      </w:r>
      <w:r w:rsidR="00AC5D5C">
        <w:t xml:space="preserve">under development </w:t>
      </w:r>
      <w:r w:rsidR="002E6BD7">
        <w:t>as at 31 October 2023</w:t>
      </w:r>
      <w:r w:rsidR="007742F3">
        <w:t>, up from 393 projects a year earlier</w:t>
      </w:r>
      <w:r w:rsidR="002E6BD7">
        <w:t xml:space="preserve">. </w:t>
      </w:r>
      <w:bookmarkStart w:id="32" w:name="_Hlk153191941"/>
      <w:bookmarkStart w:id="33" w:name="_Hlk153207181"/>
      <w:bookmarkStart w:id="34" w:name="_Hlk153191567"/>
      <w:bookmarkEnd w:id="31"/>
      <w:r w:rsidR="00770C04">
        <w:t xml:space="preserve">This includes </w:t>
      </w:r>
      <w:r w:rsidR="00122318">
        <w:t>8</w:t>
      </w:r>
      <w:r w:rsidR="00132BE2">
        <w:t>6</w:t>
      </w:r>
      <w:r w:rsidR="005F2E1B" w:rsidRPr="005F2E1B">
        <w:t xml:space="preserve"> </w:t>
      </w:r>
      <w:r w:rsidR="00122318">
        <w:t xml:space="preserve">committed projects </w:t>
      </w:r>
      <w:r w:rsidR="00122318" w:rsidRPr="00A074AB">
        <w:t>— where a final investment decision (FID) has been taken</w:t>
      </w:r>
      <w:r w:rsidR="00122318">
        <w:t xml:space="preserve"> </w:t>
      </w:r>
      <w:r w:rsidR="00122318" w:rsidRPr="00A074AB">
        <w:t>—</w:t>
      </w:r>
      <w:r w:rsidR="00122318">
        <w:t xml:space="preserve"> and 4</w:t>
      </w:r>
      <w:r w:rsidR="00132BE2">
        <w:t>6</w:t>
      </w:r>
      <w:r w:rsidR="00122318">
        <w:t xml:space="preserve"> projects at the advanced feasibility stage</w:t>
      </w:r>
      <w:bookmarkEnd w:id="32"/>
      <w:r w:rsidR="00C25EF8">
        <w:t>.</w:t>
      </w:r>
      <w:bookmarkEnd w:id="33"/>
      <w:r w:rsidR="005F2E1B">
        <w:t xml:space="preserve"> </w:t>
      </w:r>
      <w:bookmarkEnd w:id="34"/>
    </w:p>
    <w:p w14:paraId="356B4452" w14:textId="35926762" w:rsidR="002E6BD7" w:rsidRDefault="00455551" w:rsidP="003B7F54">
      <w:pPr>
        <w:pStyle w:val="ListBullet"/>
        <w:numPr>
          <w:ilvl w:val="0"/>
          <w:numId w:val="4"/>
        </w:numPr>
        <w:spacing w:after="60"/>
      </w:pPr>
      <w:r>
        <w:t>The value of c</w:t>
      </w:r>
      <w:r w:rsidR="00E83B42">
        <w:t>ommitted</w:t>
      </w:r>
      <w:r w:rsidR="005F2E1B">
        <w:t xml:space="preserve"> projects</w:t>
      </w:r>
      <w:r w:rsidR="00776BB5">
        <w:t xml:space="preserve"> </w:t>
      </w:r>
      <w:r w:rsidR="006E0EDC">
        <w:t>f</w:t>
      </w:r>
      <w:r w:rsidR="005F2E1B">
        <w:t xml:space="preserve">ell </w:t>
      </w:r>
      <w:r w:rsidR="00C54A28">
        <w:t>slightly</w:t>
      </w:r>
      <w:r w:rsidR="005F2E1B">
        <w:t xml:space="preserve"> to</w:t>
      </w:r>
      <w:r w:rsidR="002E6BD7">
        <w:t xml:space="preserve"> $</w:t>
      </w:r>
      <w:r w:rsidR="002E6BD7" w:rsidRPr="00C357AB">
        <w:t>7</w:t>
      </w:r>
      <w:r w:rsidR="00132BE2">
        <w:t>7</w:t>
      </w:r>
      <w:r w:rsidR="002E6BD7">
        <w:t xml:space="preserve"> billion</w:t>
      </w:r>
      <w:r w:rsidR="00E83B42">
        <w:t xml:space="preserve"> as </w:t>
      </w:r>
      <w:r>
        <w:t>some</w:t>
      </w:r>
      <w:r w:rsidR="00E83B42">
        <w:t xml:space="preserve"> projects </w:t>
      </w:r>
      <w:r w:rsidR="00B22E98">
        <w:t>progressed to completion</w:t>
      </w:r>
      <w:r w:rsidR="0067745A">
        <w:t xml:space="preserve">. </w:t>
      </w:r>
      <w:r w:rsidR="00056B38">
        <w:t xml:space="preserve">Oil and gas projects continue to make up the largest share </w:t>
      </w:r>
      <w:r w:rsidR="00676208">
        <w:t xml:space="preserve">of </w:t>
      </w:r>
      <w:r w:rsidR="0067745A">
        <w:t xml:space="preserve">committed </w:t>
      </w:r>
      <w:r w:rsidR="00056B38">
        <w:t>projects.</w:t>
      </w:r>
    </w:p>
    <w:p w14:paraId="198A2005" w14:textId="77777777" w:rsidR="00122318" w:rsidRDefault="00122318" w:rsidP="00122318">
      <w:pPr>
        <w:pStyle w:val="ListBullet"/>
        <w:numPr>
          <w:ilvl w:val="0"/>
          <w:numId w:val="4"/>
        </w:numPr>
        <w:spacing w:after="60"/>
      </w:pPr>
      <w:r>
        <w:t xml:space="preserve">The value of project completions rose for the third consecutive year, with </w:t>
      </w:r>
      <w:r w:rsidRPr="00C357AB">
        <w:t>29</w:t>
      </w:r>
      <w:r>
        <w:t xml:space="preserve"> projects valued at $</w:t>
      </w:r>
      <w:r w:rsidRPr="00C357AB">
        <w:t>21</w:t>
      </w:r>
      <w:r>
        <w:t xml:space="preserve"> billion achieving commercial production o</w:t>
      </w:r>
      <w:r w:rsidRPr="00E049AD">
        <w:t xml:space="preserve">ver the year </w:t>
      </w:r>
      <w:r>
        <w:t>to</w:t>
      </w:r>
      <w:r w:rsidRPr="00E049AD">
        <w:t xml:space="preserve"> October 202</w:t>
      </w:r>
      <w:r>
        <w:t>3.</w:t>
      </w:r>
    </w:p>
    <w:p w14:paraId="5128E8F3" w14:textId="4F1A79E7" w:rsidR="00F8103A" w:rsidRPr="009173D7" w:rsidRDefault="00F8103A" w:rsidP="00F8103A">
      <w:pPr>
        <w:pStyle w:val="ListBullet"/>
        <w:numPr>
          <w:ilvl w:val="0"/>
          <w:numId w:val="4"/>
        </w:numPr>
        <w:spacing w:after="60"/>
      </w:pPr>
      <w:r w:rsidRPr="009173D7">
        <w:t xml:space="preserve">There has been a strong </w:t>
      </w:r>
      <w:r w:rsidR="006568E8" w:rsidRPr="009173D7">
        <w:t>advancement</w:t>
      </w:r>
      <w:r w:rsidRPr="009173D7">
        <w:t xml:space="preserve"> of critical mineral</w:t>
      </w:r>
      <w:r w:rsidR="005D1C2F" w:rsidRPr="009173D7">
        <w:t>s</w:t>
      </w:r>
      <w:r w:rsidRPr="009173D7">
        <w:t xml:space="preserve"> projects over the </w:t>
      </w:r>
      <w:r w:rsidR="00776BB5" w:rsidRPr="009173D7">
        <w:t xml:space="preserve">past </w:t>
      </w:r>
      <w:r w:rsidRPr="009173D7">
        <w:t xml:space="preserve">year, including </w:t>
      </w:r>
      <w:r w:rsidR="005867BE" w:rsidRPr="009173D7">
        <w:t xml:space="preserve">new commitments for </w:t>
      </w:r>
      <w:r w:rsidRPr="009173D7">
        <w:t xml:space="preserve">11 projects </w:t>
      </w:r>
      <w:r w:rsidR="00455551" w:rsidRPr="009173D7">
        <w:t>(</w:t>
      </w:r>
      <w:r w:rsidRPr="009173D7">
        <w:t>valued at $5</w:t>
      </w:r>
      <w:r w:rsidR="00172A2C" w:rsidRPr="009173D7">
        <w:t> </w:t>
      </w:r>
      <w:r w:rsidRPr="009173D7">
        <w:t>billion</w:t>
      </w:r>
      <w:r w:rsidR="00455551" w:rsidRPr="009173D7">
        <w:t>)</w:t>
      </w:r>
      <w:r w:rsidRPr="009173D7">
        <w:t xml:space="preserve">, </w:t>
      </w:r>
      <w:r w:rsidR="007742F3" w:rsidRPr="009173D7">
        <w:t>8</w:t>
      </w:r>
      <w:r w:rsidR="006E0EDC" w:rsidRPr="009173D7">
        <w:t xml:space="preserve"> </w:t>
      </w:r>
      <w:r w:rsidR="007742F3" w:rsidRPr="009173D7">
        <w:t xml:space="preserve">projects </w:t>
      </w:r>
      <w:r w:rsidR="00455551" w:rsidRPr="009173D7">
        <w:t>(</w:t>
      </w:r>
      <w:r w:rsidR="007742F3" w:rsidRPr="009173D7">
        <w:t>valued at $4.1 billion</w:t>
      </w:r>
      <w:r w:rsidR="00455551" w:rsidRPr="009173D7">
        <w:t>)</w:t>
      </w:r>
      <w:r w:rsidR="007742F3" w:rsidRPr="009173D7">
        <w:t xml:space="preserve"> </w:t>
      </w:r>
      <w:r w:rsidR="005867BE" w:rsidRPr="009173D7">
        <w:t>completed</w:t>
      </w:r>
      <w:r w:rsidR="00E218C3" w:rsidRPr="009173D7">
        <w:t xml:space="preserve">, </w:t>
      </w:r>
      <w:r w:rsidRPr="009173D7">
        <w:t>and</w:t>
      </w:r>
      <w:r w:rsidRPr="009173D7" w:rsidDel="003B5DBA">
        <w:t xml:space="preserve"> </w:t>
      </w:r>
      <w:r w:rsidRPr="009173D7">
        <w:t xml:space="preserve">6 projects </w:t>
      </w:r>
      <w:r w:rsidR="00455551" w:rsidRPr="009173D7">
        <w:t>(</w:t>
      </w:r>
      <w:r w:rsidRPr="009173D7">
        <w:t>valued at $1.8 billion</w:t>
      </w:r>
      <w:r w:rsidR="00455551" w:rsidRPr="009173D7">
        <w:t>)</w:t>
      </w:r>
      <w:r w:rsidR="00BC2B4F" w:rsidRPr="009173D7">
        <w:t xml:space="preserve"> </w:t>
      </w:r>
      <w:r w:rsidR="001B7980" w:rsidRPr="009173D7">
        <w:t>publishing</w:t>
      </w:r>
      <w:r w:rsidR="00BC2B4F" w:rsidRPr="009173D7">
        <w:t xml:space="preserve"> advanced feasibility studies</w:t>
      </w:r>
      <w:r w:rsidRPr="009173D7">
        <w:t>.</w:t>
      </w:r>
    </w:p>
    <w:p w14:paraId="729AECB2" w14:textId="3C669116" w:rsidR="00BB5AE5" w:rsidRDefault="00647A5E" w:rsidP="00F8103A">
      <w:pPr>
        <w:pStyle w:val="ListBullet"/>
        <w:numPr>
          <w:ilvl w:val="0"/>
          <w:numId w:val="4"/>
        </w:numPr>
        <w:spacing w:after="60"/>
      </w:pPr>
      <w:r w:rsidRPr="00647A5E">
        <w:t xml:space="preserve">Infrastructure projects continue to facilitate Australia's resource and energy industries totalling $4.4 billion </w:t>
      </w:r>
      <w:r w:rsidR="00DF617E">
        <w:t xml:space="preserve">of committed projects </w:t>
      </w:r>
      <w:r w:rsidRPr="00647A5E">
        <w:t xml:space="preserve">in 2023. These projects cover new and expanded gas pipelines, electrification of resource processing, productivity </w:t>
      </w:r>
      <w:r w:rsidR="00DF617E">
        <w:t xml:space="preserve">enhancing port and rail </w:t>
      </w:r>
      <w:r w:rsidR="007E182F">
        <w:t>upgrades</w:t>
      </w:r>
      <w:r w:rsidRPr="00647A5E">
        <w:t>, and projects that facilitate the energy transition.</w:t>
      </w:r>
    </w:p>
    <w:p w14:paraId="1A38150C" w14:textId="79DD9671" w:rsidR="00776BB5" w:rsidRDefault="00E45910" w:rsidP="00776BB5">
      <w:pPr>
        <w:pStyle w:val="ListBullet"/>
        <w:numPr>
          <w:ilvl w:val="0"/>
          <w:numId w:val="4"/>
        </w:numPr>
        <w:spacing w:after="60"/>
      </w:pPr>
      <w:r>
        <w:t xml:space="preserve">Public </w:t>
      </w:r>
      <w:r w:rsidR="008D2C28">
        <w:t>p</w:t>
      </w:r>
      <w:r w:rsidR="00776BB5">
        <w:t xml:space="preserve">roponents </w:t>
      </w:r>
      <w:r w:rsidR="003B5DBA">
        <w:t xml:space="preserve">of committed projects </w:t>
      </w:r>
      <w:r w:rsidR="00F85308">
        <w:t xml:space="preserve">estimate, in aggregate, the creation of </w:t>
      </w:r>
      <w:r w:rsidR="00776BB5" w:rsidRPr="00552589">
        <w:t xml:space="preserve">least </w:t>
      </w:r>
      <w:r w:rsidR="00776BB5" w:rsidRPr="00C357AB">
        <w:t>21,000</w:t>
      </w:r>
      <w:r w:rsidR="00776BB5" w:rsidRPr="00552589">
        <w:t xml:space="preserve"> construction and </w:t>
      </w:r>
      <w:r w:rsidR="00776BB5" w:rsidRPr="00C357AB">
        <w:t>10,000</w:t>
      </w:r>
      <w:r w:rsidR="00776BB5" w:rsidRPr="00552589">
        <w:t xml:space="preserve"> ongoing jobs</w:t>
      </w:r>
      <w:r w:rsidR="00776BB5">
        <w:t xml:space="preserve"> (</w:t>
      </w:r>
      <w:r w:rsidR="003B5DBA">
        <w:t>about 50%</w:t>
      </w:r>
      <w:r w:rsidR="00175573">
        <w:t xml:space="preserve"> of committed projects have</w:t>
      </w:r>
      <w:r w:rsidR="00776BB5">
        <w:t xml:space="preserve"> estimates</w:t>
      </w:r>
      <w:r>
        <w:t xml:space="preserve"> published by project proponents</w:t>
      </w:r>
      <w:r w:rsidR="00776BB5">
        <w:t>)</w:t>
      </w:r>
      <w:r w:rsidR="00776BB5" w:rsidRPr="00552589">
        <w:t>.</w:t>
      </w:r>
    </w:p>
    <w:p w14:paraId="19DC632E" w14:textId="3D4FF587" w:rsidR="00FB26AB" w:rsidRDefault="00FB26AB" w:rsidP="00F56A37">
      <w:pPr>
        <w:pStyle w:val="ListParagraph"/>
        <w:numPr>
          <w:ilvl w:val="0"/>
          <w:numId w:val="4"/>
        </w:numPr>
        <w:spacing w:after="60"/>
      </w:pPr>
      <w:r w:rsidRPr="0050151E">
        <w:t xml:space="preserve">Changes </w:t>
      </w:r>
      <w:r w:rsidR="009D34B3">
        <w:t>have been</w:t>
      </w:r>
      <w:r w:rsidRPr="0050151E">
        <w:t xml:space="preserve"> made to the methodology this year </w:t>
      </w:r>
      <w:r w:rsidR="009D34B3" w:rsidRPr="009D34B3">
        <w:rPr>
          <w:lang w:val="en-AU"/>
        </w:rPr>
        <w:t xml:space="preserve">to reflect </w:t>
      </w:r>
      <w:r w:rsidR="009D34B3">
        <w:rPr>
          <w:lang w:val="en-AU"/>
        </w:rPr>
        <w:t xml:space="preserve">the </w:t>
      </w:r>
      <w:r w:rsidR="000F4F8B">
        <w:rPr>
          <w:lang w:val="en-AU"/>
        </w:rPr>
        <w:t xml:space="preserve">recent change in </w:t>
      </w:r>
      <w:r w:rsidR="009D34B3">
        <w:rPr>
          <w:lang w:val="en-AU"/>
        </w:rPr>
        <w:t>composition of</w:t>
      </w:r>
      <w:r w:rsidR="00A07899">
        <w:rPr>
          <w:lang w:val="en-AU"/>
        </w:rPr>
        <w:t xml:space="preserve"> projects</w:t>
      </w:r>
      <w:bookmarkStart w:id="35" w:name="_Hlk153208883"/>
      <w:r w:rsidR="00BC45F9">
        <w:rPr>
          <w:lang w:val="en-AU"/>
        </w:rPr>
        <w:t xml:space="preserve">, </w:t>
      </w:r>
      <w:r w:rsidR="000D40EC">
        <w:rPr>
          <w:lang w:val="en-AU"/>
        </w:rPr>
        <w:t xml:space="preserve">in particular </w:t>
      </w:r>
      <w:r w:rsidR="00BC45F9">
        <w:rPr>
          <w:lang w:val="en-AU"/>
        </w:rPr>
        <w:t>an increase in the</w:t>
      </w:r>
      <w:r w:rsidR="00A07899">
        <w:rPr>
          <w:lang w:val="en-AU"/>
        </w:rPr>
        <w:t xml:space="preserve"> number of projects in emerging new energy </w:t>
      </w:r>
      <w:r w:rsidR="00053517">
        <w:rPr>
          <w:lang w:val="en-AU"/>
        </w:rPr>
        <w:t xml:space="preserve">and resource </w:t>
      </w:r>
      <w:r w:rsidR="00A07899">
        <w:rPr>
          <w:lang w:val="en-AU"/>
        </w:rPr>
        <w:t>commodities where data is limited</w:t>
      </w:r>
      <w:bookmarkEnd w:id="35"/>
      <w:r w:rsidR="000D40EC">
        <w:rPr>
          <w:lang w:val="en-AU"/>
        </w:rPr>
        <w:t xml:space="preserve"> </w:t>
      </w:r>
      <w:r w:rsidR="009D34B3">
        <w:rPr>
          <w:lang w:val="en-AU"/>
        </w:rPr>
        <w:t>(</w:t>
      </w:r>
      <w:r w:rsidR="00016DD1" w:rsidRPr="0050151E">
        <w:t>see Box</w:t>
      </w:r>
      <w:r w:rsidR="009D34B3">
        <w:t> </w:t>
      </w:r>
      <w:r w:rsidR="00016DD1" w:rsidRPr="0050151E">
        <w:t>1.1)</w:t>
      </w:r>
      <w:r w:rsidRPr="0050151E">
        <w:t>.</w:t>
      </w:r>
    </w:p>
    <w:p w14:paraId="2CF22BA1" w14:textId="481ED05D" w:rsidR="003A22D3" w:rsidRPr="007136E1" w:rsidRDefault="00FA6508" w:rsidP="003748DF">
      <w:pPr>
        <w:pStyle w:val="Heading1"/>
        <w:spacing w:before="180"/>
        <w:ind w:left="425" w:hanging="425"/>
      </w:pPr>
      <w:bookmarkStart w:id="36" w:name="_Toc152865200"/>
      <w:bookmarkEnd w:id="23"/>
      <w:r w:rsidRPr="007136E1">
        <w:t>Overview</w:t>
      </w:r>
      <w:bookmarkEnd w:id="24"/>
      <w:bookmarkEnd w:id="25"/>
      <w:bookmarkEnd w:id="26"/>
      <w:bookmarkEnd w:id="27"/>
      <w:bookmarkEnd w:id="28"/>
      <w:bookmarkEnd w:id="29"/>
      <w:bookmarkEnd w:id="30"/>
      <w:bookmarkEnd w:id="36"/>
      <w:r w:rsidR="003A22D3" w:rsidRPr="007136E1">
        <w:t xml:space="preserve"> </w:t>
      </w:r>
    </w:p>
    <w:p w14:paraId="5EB51994" w14:textId="19848827" w:rsidR="009350B9" w:rsidRPr="00744A79" w:rsidRDefault="0048770F" w:rsidP="000800D1">
      <w:pPr>
        <w:pStyle w:val="Heading3"/>
        <w:rPr>
          <w:rFonts w:eastAsiaTheme="minorEastAsia"/>
        </w:rPr>
      </w:pPr>
      <w:r>
        <w:t xml:space="preserve">Value of committed </w:t>
      </w:r>
      <w:r w:rsidR="00DA76FF">
        <w:t>projects</w:t>
      </w:r>
      <w:r>
        <w:t xml:space="preserve"> stabilises as completions rise</w:t>
      </w:r>
    </w:p>
    <w:p w14:paraId="1192F5F7" w14:textId="12FD86DF" w:rsidR="00EC0073" w:rsidRDefault="009D3EFE" w:rsidP="008432E2">
      <w:pPr>
        <w:pStyle w:val="BodyText"/>
      </w:pPr>
      <w:r>
        <w:t xml:space="preserve">This report highlights </w:t>
      </w:r>
      <w:r w:rsidR="009E089E">
        <w:t xml:space="preserve">developments </w:t>
      </w:r>
      <w:r w:rsidR="00DA76FF">
        <w:t>among</w:t>
      </w:r>
      <w:r>
        <w:t xml:space="preserve"> resource and energy </w:t>
      </w:r>
      <w:r w:rsidR="009E089E">
        <w:t>projects</w:t>
      </w:r>
      <w:r>
        <w:t xml:space="preserve"> </w:t>
      </w:r>
      <w:r w:rsidR="009E089E">
        <w:t xml:space="preserve">over the past year </w:t>
      </w:r>
      <w:r>
        <w:t xml:space="preserve">and </w:t>
      </w:r>
      <w:r w:rsidR="00455551">
        <w:t xml:space="preserve">changes in </w:t>
      </w:r>
      <w:r>
        <w:t>the scope of future investment.</w:t>
      </w:r>
      <w:r w:rsidR="00FB26AB">
        <w:t xml:space="preserve"> </w:t>
      </w:r>
      <w:r w:rsidR="00860FEE">
        <w:t xml:space="preserve">Our </w:t>
      </w:r>
      <w:r w:rsidR="009F272E">
        <w:t xml:space="preserve">review </w:t>
      </w:r>
      <w:r w:rsidR="00455551">
        <w:t>suggests that mining investment is stabilising following several years of growing commitments.</w:t>
      </w:r>
      <w:r w:rsidR="009350B9" w:rsidRPr="00744A79">
        <w:t xml:space="preserve"> The value of ‘committed’</w:t>
      </w:r>
      <w:r w:rsidR="009350B9" w:rsidRPr="00A074AB">
        <w:t xml:space="preserve"> resource</w:t>
      </w:r>
      <w:r w:rsidR="00982B9A">
        <w:t>s</w:t>
      </w:r>
      <w:r w:rsidR="009350B9" w:rsidRPr="00A074AB">
        <w:t xml:space="preserve"> and energy projects </w:t>
      </w:r>
      <w:r w:rsidR="00342766">
        <w:t xml:space="preserve">fell </w:t>
      </w:r>
      <w:r w:rsidR="00132BE2">
        <w:t>9</w:t>
      </w:r>
      <w:r w:rsidR="00860FEE">
        <w:t>.</w:t>
      </w:r>
      <w:r w:rsidR="00132BE2">
        <w:t>3</w:t>
      </w:r>
      <w:r w:rsidR="00342766">
        <w:t>%</w:t>
      </w:r>
      <w:r w:rsidR="009350B9" w:rsidRPr="007136E1">
        <w:t xml:space="preserve"> over the past year to $</w:t>
      </w:r>
      <w:r w:rsidR="00342766" w:rsidRPr="00C357AB">
        <w:t>7</w:t>
      </w:r>
      <w:r w:rsidR="00132BE2">
        <w:t>7</w:t>
      </w:r>
      <w:r w:rsidR="009350B9" w:rsidRPr="007136E1">
        <w:t xml:space="preserve"> billion</w:t>
      </w:r>
      <w:r w:rsidR="0099768F">
        <w:t>, down from $83</w:t>
      </w:r>
      <w:r w:rsidR="00DD1451">
        <w:t> </w:t>
      </w:r>
      <w:r w:rsidR="0099768F">
        <w:t xml:space="preserve">billion in 2022 </w:t>
      </w:r>
      <w:r w:rsidR="009350B9" w:rsidRPr="007136E1">
        <w:t>(Figure 1.</w:t>
      </w:r>
      <w:r w:rsidR="003B2873">
        <w:t>1</w:t>
      </w:r>
      <w:r w:rsidR="009350B9" w:rsidRPr="009A426F">
        <w:t>)</w:t>
      </w:r>
      <w:r w:rsidR="00364212">
        <w:t>, while the number of committed projects rose from 83 to 8</w:t>
      </w:r>
      <w:r w:rsidR="00132BE2">
        <w:t>6</w:t>
      </w:r>
      <w:r w:rsidR="00364212">
        <w:t xml:space="preserve"> (Figure 1.2)</w:t>
      </w:r>
      <w:r w:rsidR="009350B9" w:rsidRPr="009A426F">
        <w:t>.</w:t>
      </w:r>
      <w:r w:rsidR="00776BB5">
        <w:t xml:space="preserve"> </w:t>
      </w:r>
    </w:p>
    <w:p w14:paraId="36253520" w14:textId="0E4609A4" w:rsidR="00500ED6" w:rsidRDefault="00500ED6" w:rsidP="008432E2">
      <w:pPr>
        <w:pStyle w:val="BodyText"/>
      </w:pPr>
      <w:r>
        <w:t xml:space="preserve">The fall reflects an increase in the value of project completions over the past year which has led to a faster outflow of projects from the committed stage. This includes a number of high-profile lithium refining projects moving to commercial production over the past year along with several large iron ore and oil and gas projects. </w:t>
      </w:r>
    </w:p>
    <w:p w14:paraId="108FC740" w14:textId="317CFE15" w:rsidR="00FB0E15" w:rsidRDefault="003D2C36" w:rsidP="004B119B">
      <w:pPr>
        <w:pStyle w:val="Caption"/>
        <w:spacing w:before="180"/>
      </w:pPr>
      <w:bookmarkStart w:id="37" w:name="_Hlk150416386"/>
      <w:r>
        <w:t xml:space="preserve">Figure </w:t>
      </w:r>
      <w:r>
        <w:rPr>
          <w:noProof/>
        </w:rPr>
        <w:fldChar w:fldCharType="begin"/>
      </w:r>
      <w:r>
        <w:rPr>
          <w:noProof/>
        </w:rPr>
        <w:instrText xml:space="preserve"> STYLEREF 1 \s </w:instrText>
      </w:r>
      <w:r>
        <w:rPr>
          <w:noProof/>
        </w:rPr>
        <w:fldChar w:fldCharType="separate"/>
      </w:r>
      <w:r w:rsidR="006D6E1F">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1</w:t>
      </w:r>
      <w:r>
        <w:rPr>
          <w:noProof/>
        </w:rPr>
        <w:fldChar w:fldCharType="end"/>
      </w:r>
      <w:r>
        <w:t xml:space="preserve">: </w:t>
      </w:r>
      <w:r w:rsidR="00FB0E15" w:rsidRPr="00146908">
        <w:t xml:space="preserve">Value of </w:t>
      </w:r>
      <w:r w:rsidR="00FB0E15">
        <w:t xml:space="preserve">committed and </w:t>
      </w:r>
      <w:r w:rsidR="00FB0E15" w:rsidRPr="00146908">
        <w:t>completed projects</w:t>
      </w:r>
    </w:p>
    <w:p w14:paraId="76DBAD7A" w14:textId="25259CBF" w:rsidR="00FB0E15" w:rsidRDefault="00C36A7B" w:rsidP="00FB0E15">
      <w:pPr>
        <w:pStyle w:val="Source"/>
        <w:spacing w:after="180"/>
        <w:rPr>
          <w:lang w:eastAsia="en-AU"/>
        </w:rPr>
      </w:pPr>
      <w:r>
        <w:rPr>
          <w:noProof/>
        </w:rPr>
        <w:drawing>
          <wp:inline distT="0" distB="0" distL="0" distR="0" wp14:anchorId="767EB227" wp14:editId="1CD36ECA">
            <wp:extent cx="3905250" cy="2660650"/>
            <wp:effectExtent l="0" t="0" r="0" b="6350"/>
            <wp:docPr id="11" name="Chart 11" descr="The graph contains the value of committed and completed projects 2015 to 2023">
              <a:extLst xmlns:a="http://schemas.openxmlformats.org/drawingml/2006/main">
                <a:ext uri="{FF2B5EF4-FFF2-40B4-BE49-F238E27FC236}">
                  <a16:creationId xmlns:a16="http://schemas.microsoft.com/office/drawing/2014/main" id="{BF305E97-C3DE-45F7-B8E2-A195C25B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B0E15" w:rsidRPr="007136E1">
        <w:t xml:space="preserve">Source: </w:t>
      </w:r>
      <w:r w:rsidR="00FB0E15">
        <w:rPr>
          <w:lang w:eastAsia="en-AU"/>
        </w:rPr>
        <w:t xml:space="preserve">Department of Industry, Science and Resources </w:t>
      </w:r>
      <w:r w:rsidR="00FB0E15" w:rsidRPr="007136E1">
        <w:rPr>
          <w:lang w:eastAsia="en-AU"/>
        </w:rPr>
        <w:t>(202</w:t>
      </w:r>
      <w:r w:rsidR="00EE70D3">
        <w:rPr>
          <w:lang w:eastAsia="en-AU"/>
        </w:rPr>
        <w:t>3</w:t>
      </w:r>
      <w:r w:rsidR="00FB0E15" w:rsidRPr="007136E1">
        <w:rPr>
          <w:lang w:eastAsia="en-AU"/>
        </w:rPr>
        <w:t>)</w:t>
      </w:r>
    </w:p>
    <w:p w14:paraId="0DF55EB2" w14:textId="5E11BF62" w:rsidR="001121C0" w:rsidRDefault="001121C0" w:rsidP="00D6695A">
      <w:pPr>
        <w:pStyle w:val="Heading3"/>
      </w:pPr>
      <w:r>
        <w:lastRenderedPageBreak/>
        <w:t>Critical minerals</w:t>
      </w:r>
      <w:r w:rsidR="00CE776F">
        <w:t xml:space="preserve"> and hydrogen</w:t>
      </w:r>
      <w:r w:rsidR="00E761AE">
        <w:t>:</w:t>
      </w:r>
      <w:r w:rsidR="00D45BD4">
        <w:t xml:space="preserve"> momentum </w:t>
      </w:r>
      <w:r>
        <w:t>continues to build</w:t>
      </w:r>
      <w:r w:rsidR="00BC2B4F">
        <w:t xml:space="preserve"> </w:t>
      </w:r>
    </w:p>
    <w:p w14:paraId="7936E177" w14:textId="11DC0C32" w:rsidR="009E089E" w:rsidRDefault="00EC0073" w:rsidP="009E089E">
      <w:pPr>
        <w:pStyle w:val="BodyText"/>
      </w:pPr>
      <w:r>
        <w:t xml:space="preserve">New project commitments remain </w:t>
      </w:r>
      <w:r w:rsidR="00E879B8">
        <w:t>healthy</w:t>
      </w:r>
      <w:r>
        <w:t xml:space="preserve">, </w:t>
      </w:r>
      <w:r w:rsidR="00E879B8">
        <w:t>underpinned</w:t>
      </w:r>
      <w:r>
        <w:t xml:space="preserve"> by a mix of new energy </w:t>
      </w:r>
      <w:r w:rsidR="00D45BD4">
        <w:t>and traditional commodities</w:t>
      </w:r>
      <w:r>
        <w:t xml:space="preserve">. </w:t>
      </w:r>
      <w:r w:rsidR="009E089E" w:rsidRPr="0048770F">
        <w:t>Critical mineral</w:t>
      </w:r>
      <w:r w:rsidR="005D1C2F">
        <w:t>s</w:t>
      </w:r>
      <w:r w:rsidR="009E089E" w:rsidRPr="0048770F">
        <w:t xml:space="preserve"> </w:t>
      </w:r>
      <w:r>
        <w:t xml:space="preserve">projects </w:t>
      </w:r>
      <w:r w:rsidR="00514533">
        <w:t>comprise</w:t>
      </w:r>
      <w:r w:rsidR="00514533" w:rsidRPr="0048770F">
        <w:t xml:space="preserve"> a </w:t>
      </w:r>
      <w:r w:rsidR="00514533">
        <w:t>substantial</w:t>
      </w:r>
      <w:r w:rsidR="00514533" w:rsidRPr="0048770F">
        <w:t xml:space="preserve"> p</w:t>
      </w:r>
      <w:r w:rsidR="00514533">
        <w:t>r</w:t>
      </w:r>
      <w:r w:rsidR="00514533" w:rsidRPr="0048770F">
        <w:t>o</w:t>
      </w:r>
      <w:r w:rsidR="00514533">
        <w:t>po</w:t>
      </w:r>
      <w:r w:rsidR="00514533" w:rsidRPr="0048770F">
        <w:t xml:space="preserve">rtion </w:t>
      </w:r>
      <w:r w:rsidR="00514533">
        <w:t>of</w:t>
      </w:r>
      <w:r w:rsidR="00514533" w:rsidRPr="0048770F">
        <w:t xml:space="preserve"> new commitments across all projects</w:t>
      </w:r>
      <w:r w:rsidR="00514533">
        <w:t xml:space="preserve">, with </w:t>
      </w:r>
      <w:r w:rsidR="009E089E" w:rsidRPr="009173D7">
        <w:t>$5</w:t>
      </w:r>
      <w:r w:rsidR="00ED0BE7" w:rsidRPr="009173D7">
        <w:t> </w:t>
      </w:r>
      <w:r w:rsidR="009E089E" w:rsidRPr="009173D7">
        <w:t xml:space="preserve">billion </w:t>
      </w:r>
      <w:r w:rsidR="0099768F" w:rsidRPr="009173D7">
        <w:t>committed</w:t>
      </w:r>
      <w:r w:rsidR="0099768F">
        <w:t xml:space="preserve"> to </w:t>
      </w:r>
      <w:r w:rsidR="00514533">
        <w:t>investment in critical minerals projects</w:t>
      </w:r>
      <w:r w:rsidR="009E089E" w:rsidRPr="0048770F">
        <w:t xml:space="preserve"> over the </w:t>
      </w:r>
      <w:r w:rsidR="009E089E">
        <w:t xml:space="preserve">past </w:t>
      </w:r>
      <w:r w:rsidR="009E089E" w:rsidRPr="0048770F">
        <w:t xml:space="preserve">year </w:t>
      </w:r>
      <w:r w:rsidR="009E089E">
        <w:t>(Figure 1.</w:t>
      </w:r>
      <w:r w:rsidR="006029BC">
        <w:t>3</w:t>
      </w:r>
      <w:r w:rsidR="009E089E">
        <w:t>)</w:t>
      </w:r>
      <w:r w:rsidR="009E089E" w:rsidRPr="005039EB">
        <w:t xml:space="preserve">. Lithium projects </w:t>
      </w:r>
      <w:r w:rsidR="009E089E">
        <w:t>continue to be</w:t>
      </w:r>
      <w:r w:rsidR="009E089E" w:rsidRPr="005039EB">
        <w:t xml:space="preserve"> strongly represented amongst the project</w:t>
      </w:r>
      <w:r w:rsidR="009E089E">
        <w:t>s</w:t>
      </w:r>
      <w:r w:rsidR="009E089E" w:rsidRPr="005039EB">
        <w:t xml:space="preserve"> committed this year</w:t>
      </w:r>
      <w:r w:rsidR="009E089E">
        <w:t>. A</w:t>
      </w:r>
      <w:r w:rsidR="006568E8">
        <w:t> number</w:t>
      </w:r>
      <w:r w:rsidR="009E089E" w:rsidRPr="005039EB">
        <w:t xml:space="preserve"> of </w:t>
      </w:r>
      <w:r w:rsidR="009E089E">
        <w:t>critical mineral</w:t>
      </w:r>
      <w:r w:rsidR="005D1C2F">
        <w:t>s</w:t>
      </w:r>
      <w:r w:rsidR="009E089E">
        <w:t xml:space="preserve"> </w:t>
      </w:r>
      <w:r w:rsidR="009E089E" w:rsidRPr="005039EB">
        <w:t xml:space="preserve">projects </w:t>
      </w:r>
      <w:r w:rsidR="009E089E">
        <w:t>ha</w:t>
      </w:r>
      <w:r w:rsidR="006568E8">
        <w:t>ve</w:t>
      </w:r>
      <w:r w:rsidR="009E089E">
        <w:t xml:space="preserve"> </w:t>
      </w:r>
      <w:r w:rsidR="0099768F">
        <w:t xml:space="preserve">also </w:t>
      </w:r>
      <w:r w:rsidR="006568E8">
        <w:t>progressed to</w:t>
      </w:r>
      <w:r w:rsidR="009E089E">
        <w:t xml:space="preserve"> the advanced feasibility stage</w:t>
      </w:r>
      <w:r w:rsidR="009E089E" w:rsidRPr="005039EB">
        <w:t xml:space="preserve">, </w:t>
      </w:r>
      <w:r w:rsidR="009E089E">
        <w:t xml:space="preserve">including </w:t>
      </w:r>
      <w:r w:rsidR="008730D6">
        <w:t>some</w:t>
      </w:r>
      <w:r w:rsidR="009E089E" w:rsidRPr="005039EB">
        <w:t xml:space="preserve"> rare earths projects, suggest</w:t>
      </w:r>
      <w:r w:rsidR="009E089E">
        <w:t>ing that</w:t>
      </w:r>
      <w:r w:rsidR="009E089E" w:rsidRPr="005039EB">
        <w:t xml:space="preserve"> </w:t>
      </w:r>
      <w:r w:rsidR="009E089E">
        <w:t>critical mineral</w:t>
      </w:r>
      <w:r w:rsidR="008730D6">
        <w:t>s</w:t>
      </w:r>
      <w:r w:rsidR="009E089E">
        <w:t xml:space="preserve"> </w:t>
      </w:r>
      <w:r w:rsidR="008730D6">
        <w:t>production is set to rise</w:t>
      </w:r>
      <w:r w:rsidR="009E089E" w:rsidRPr="005039EB">
        <w:t>.</w:t>
      </w:r>
      <w:r w:rsidR="009E089E">
        <w:t xml:space="preserve"> </w:t>
      </w:r>
    </w:p>
    <w:p w14:paraId="5310E9D6" w14:textId="039DD714" w:rsidR="00A77135" w:rsidRDefault="00E879B8" w:rsidP="009D3EFE">
      <w:pPr>
        <w:pStyle w:val="BodyText"/>
      </w:pPr>
      <w:r>
        <w:t>Over the past year</w:t>
      </w:r>
      <w:r w:rsidR="002D683D">
        <w:t>,</w:t>
      </w:r>
      <w:r w:rsidR="0099768F">
        <w:t xml:space="preserve"> many new critical mineral and hydrogen projects have entered the</w:t>
      </w:r>
      <w:r w:rsidR="009D3EFE">
        <w:t xml:space="preserve"> </w:t>
      </w:r>
      <w:r w:rsidR="00EC0073">
        <w:t xml:space="preserve">early </w:t>
      </w:r>
      <w:r w:rsidR="0099768F">
        <w:t>‘</w:t>
      </w:r>
      <w:r w:rsidR="009D3EFE">
        <w:t>publicly announced</w:t>
      </w:r>
      <w:r w:rsidR="00EC0073">
        <w:t>’</w:t>
      </w:r>
      <w:r w:rsidR="009D3EFE">
        <w:t xml:space="preserve"> stage. In the critical mineral</w:t>
      </w:r>
      <w:r w:rsidR="005D1C2F">
        <w:t>s</w:t>
      </w:r>
      <w:r w:rsidR="009D3EFE">
        <w:t xml:space="preserve"> space, the growth </w:t>
      </w:r>
      <w:r w:rsidR="00DA76FF">
        <w:t xml:space="preserve">in early-stage projects </w:t>
      </w:r>
      <w:r w:rsidR="009D3EFE">
        <w:t>includes announcements for facilities to produce active materials for batteries, a</w:t>
      </w:r>
      <w:r w:rsidR="002D683D">
        <w:t>nd</w:t>
      </w:r>
      <w:r w:rsidR="009D3EFE">
        <w:t xml:space="preserve"> projects to </w:t>
      </w:r>
      <w:r>
        <w:t>produce</w:t>
      </w:r>
      <w:r w:rsidR="009D3EFE">
        <w:t xml:space="preserve"> titanium and </w:t>
      </w:r>
      <w:r>
        <w:t xml:space="preserve">process </w:t>
      </w:r>
      <w:r w:rsidR="009D3EFE">
        <w:t xml:space="preserve">mineral sands. </w:t>
      </w:r>
    </w:p>
    <w:p w14:paraId="7D5935DF" w14:textId="1C5C9E6B" w:rsidR="009D3EFE" w:rsidRDefault="002A782E" w:rsidP="009D3EFE">
      <w:pPr>
        <w:pStyle w:val="BodyText"/>
      </w:pPr>
      <w:r>
        <w:t xml:space="preserve">This year, </w:t>
      </w:r>
      <w:r w:rsidR="00FC2F7E">
        <w:t>3</w:t>
      </w:r>
      <w:r w:rsidR="008C3CEB">
        <w:t>4</w:t>
      </w:r>
      <w:r w:rsidR="009D3EFE">
        <w:t xml:space="preserve"> </w:t>
      </w:r>
      <w:r w:rsidR="00A77135">
        <w:t xml:space="preserve">new </w:t>
      </w:r>
      <w:r w:rsidR="009D3EFE">
        <w:t xml:space="preserve">hydrogen projects have </w:t>
      </w:r>
      <w:r w:rsidR="00A77135">
        <w:t>been added</w:t>
      </w:r>
      <w:r w:rsidR="00DA76FF">
        <w:t xml:space="preserve"> to the project list</w:t>
      </w:r>
      <w:r w:rsidR="009D3EFE">
        <w:t>, raising the number of hydrogen projects to 7</w:t>
      </w:r>
      <w:r w:rsidR="00433D85">
        <w:t>6</w:t>
      </w:r>
      <w:r w:rsidR="009D3EFE">
        <w:t>. However, most of these projects remain in the early stage</w:t>
      </w:r>
      <w:r w:rsidR="00A77135">
        <w:t>s of development</w:t>
      </w:r>
      <w:r w:rsidR="009D3EFE">
        <w:t>, and only 2 projects</w:t>
      </w:r>
      <w:r w:rsidR="006F15E5">
        <w:t xml:space="preserve"> </w:t>
      </w:r>
      <w:r w:rsidR="006F15E5" w:rsidRPr="007136E1">
        <w:t>—</w:t>
      </w:r>
      <w:r w:rsidR="009D3EFE">
        <w:t xml:space="preserve"> with a combined capital expenditure of $0.1 billion</w:t>
      </w:r>
      <w:r w:rsidR="006F15E5">
        <w:t xml:space="preserve"> </w:t>
      </w:r>
      <w:r w:rsidR="006F15E5" w:rsidRPr="007136E1">
        <w:t>—</w:t>
      </w:r>
      <w:r w:rsidR="006F15E5">
        <w:t xml:space="preserve"> </w:t>
      </w:r>
      <w:r w:rsidR="00687177">
        <w:t>were committed</w:t>
      </w:r>
      <w:r w:rsidR="00FB7D6C">
        <w:t xml:space="preserve"> </w:t>
      </w:r>
      <w:r w:rsidR="009D3EFE">
        <w:t xml:space="preserve">this year. Globally, the hydrogen industry remains immature, and to date a low proportion of announced hydrogen projects </w:t>
      </w:r>
      <w:r w:rsidR="00D815A0">
        <w:t>have had final investment decisions</w:t>
      </w:r>
      <w:r w:rsidR="009D3EFE">
        <w:t xml:space="preserve">. </w:t>
      </w:r>
    </w:p>
    <w:bookmarkEnd w:id="37"/>
    <w:p w14:paraId="2A3EC6F0" w14:textId="0B11D878" w:rsidR="00322E82" w:rsidRDefault="00322E82" w:rsidP="00322E82">
      <w:pPr>
        <w:pStyle w:val="Heading3"/>
      </w:pPr>
      <w:r>
        <w:t>Traditional commodities are also contributing at all stages</w:t>
      </w:r>
    </w:p>
    <w:p w14:paraId="5D333D14" w14:textId="74651336" w:rsidR="00322E82" w:rsidRDefault="00322E82" w:rsidP="00322E82">
      <w:pPr>
        <w:pStyle w:val="BodyText"/>
      </w:pPr>
      <w:r>
        <w:t>Much of the value of</w:t>
      </w:r>
      <w:r w:rsidDel="00BC7AE7">
        <w:t xml:space="preserve"> </w:t>
      </w:r>
      <w:r>
        <w:t xml:space="preserve">new commitments and completions this year comes from large iron ore projects located in the Pilbara region of Western Australia (WA), including Fortescue’s $5.9 billion Iron Bridge magnetite mine, which reached commercial production in the June quarter. Oil </w:t>
      </w:r>
      <w:r w:rsidR="00036BC3">
        <w:t>and</w:t>
      </w:r>
      <w:r>
        <w:t xml:space="preserve"> gas projects are also progressing, with additional wells successfully added at Gorgon Stage 2, providing backfill for the facility.  </w:t>
      </w:r>
    </w:p>
    <w:p w14:paraId="27ED32F9" w14:textId="77777777" w:rsidR="00500ED6" w:rsidRDefault="00500ED6" w:rsidP="00500ED6">
      <w:pPr>
        <w:pStyle w:val="BodyText"/>
      </w:pPr>
      <w:r>
        <w:t xml:space="preserve">Iron ore investment remains relatively solid, and more than half of early-stage iron ore projects are magnetite mines, which produce fewer emissions than traditional hematite iron ore mines. </w:t>
      </w:r>
    </w:p>
    <w:p w14:paraId="0696A3F3" w14:textId="77C27DA8" w:rsidR="00500ED6" w:rsidRDefault="00500ED6" w:rsidP="00500ED6">
      <w:pPr>
        <w:pStyle w:val="Caption"/>
      </w:pPr>
      <w:r>
        <w:t xml:space="preserve">Figure </w:t>
      </w:r>
      <w:r>
        <w:rPr>
          <w:noProof/>
        </w:rPr>
        <w:fldChar w:fldCharType="begin"/>
      </w:r>
      <w:r>
        <w:rPr>
          <w:noProof/>
        </w:rPr>
        <w:instrText xml:space="preserve"> STYLEREF 1 \s </w:instrText>
      </w:r>
      <w:r>
        <w:rPr>
          <w:noProof/>
        </w:rPr>
        <w:fldChar w:fldCharType="separate"/>
      </w:r>
      <w:r w:rsidR="006D6E1F">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2</w:t>
      </w:r>
      <w:r>
        <w:rPr>
          <w:noProof/>
        </w:rPr>
        <w:fldChar w:fldCharType="end"/>
      </w:r>
      <w:r>
        <w:t>: Number of projects by stage, 2016-2023</w:t>
      </w:r>
    </w:p>
    <w:p w14:paraId="5C1C4F48" w14:textId="59B33C57" w:rsidR="00500ED6" w:rsidRDefault="0076056C" w:rsidP="00500ED6">
      <w:pPr>
        <w:pStyle w:val="Note"/>
      </w:pPr>
      <w:r>
        <w:rPr>
          <w:noProof/>
        </w:rPr>
        <w:drawing>
          <wp:inline distT="0" distB="0" distL="0" distR="0" wp14:anchorId="4C1EAAA6" wp14:editId="354D0254">
            <wp:extent cx="4203065" cy="2552700"/>
            <wp:effectExtent l="0" t="0" r="6985" b="0"/>
            <wp:docPr id="12" name="Chart 12" descr="The graph displays the number of projects 2016 to 2026 grouped by stages of development from publicly announced to completed">
              <a:extLst xmlns:a="http://schemas.openxmlformats.org/drawingml/2006/main">
                <a:ext uri="{FF2B5EF4-FFF2-40B4-BE49-F238E27FC236}">
                  <a16:creationId xmlns:a16="http://schemas.microsoft.com/office/drawing/2014/main" id="{52B1736B-1D0B-486E-B435-DDBAE529F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1A6B3A" w14:textId="77777777" w:rsidR="00500ED6" w:rsidRPr="00C62F3A" w:rsidRDefault="00500ED6" w:rsidP="00500ED6">
      <w:pPr>
        <w:pStyle w:val="Note"/>
      </w:pPr>
      <w:r>
        <w:t xml:space="preserve">Notes: The 2023 edition replaced the </w:t>
      </w:r>
      <w:r w:rsidRPr="002B24F8">
        <w:t xml:space="preserve">‘feasibility’ </w:t>
      </w:r>
      <w:r>
        <w:t>stage</w:t>
      </w:r>
      <w:r w:rsidRPr="002B24F8">
        <w:t xml:space="preserve"> </w:t>
      </w:r>
      <w:r>
        <w:t>with the</w:t>
      </w:r>
      <w:r w:rsidRPr="002B24F8">
        <w:t xml:space="preserve"> ‘advanced feasibility’</w:t>
      </w:r>
      <w:r>
        <w:t xml:space="preserve"> stage. Projects in the ‘feasibility’ stage are reclassified to either ‘publicly announced’ or ‘advanced feasibility’ stages. Hydrogen was added as a new commodity in the 2021 edition. </w:t>
      </w:r>
    </w:p>
    <w:p w14:paraId="21906365" w14:textId="28C43A8F" w:rsidR="00500ED6" w:rsidRDefault="00500ED6" w:rsidP="00500ED6">
      <w:pPr>
        <w:pStyle w:val="Source"/>
      </w:pPr>
      <w:r>
        <w:t>Source: Department of Industry, Science and Resources</w:t>
      </w:r>
      <w:r w:rsidR="006D23F8">
        <w:t xml:space="preserve"> (2023)</w:t>
      </w:r>
    </w:p>
    <w:p w14:paraId="73C10754" w14:textId="7DA8692A" w:rsidR="00EE70D3" w:rsidRDefault="00EE70D3" w:rsidP="004B119B">
      <w:pPr>
        <w:pStyle w:val="Caption"/>
        <w:spacing w:before="180"/>
        <w:ind w:left="3600" w:hanging="3600"/>
      </w:pPr>
      <w:r>
        <w:t xml:space="preserve">Figure </w:t>
      </w:r>
      <w:r>
        <w:rPr>
          <w:noProof/>
        </w:rPr>
        <w:fldChar w:fldCharType="begin"/>
      </w:r>
      <w:r>
        <w:rPr>
          <w:noProof/>
        </w:rPr>
        <w:instrText xml:space="preserve"> STYLEREF 1 \s </w:instrText>
      </w:r>
      <w:r>
        <w:rPr>
          <w:noProof/>
        </w:rPr>
        <w:fldChar w:fldCharType="separate"/>
      </w:r>
      <w:r w:rsidR="006D6E1F">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3</w:t>
      </w:r>
      <w:r>
        <w:rPr>
          <w:noProof/>
        </w:rPr>
        <w:fldChar w:fldCharType="end"/>
      </w:r>
      <w:r>
        <w:t xml:space="preserve">: Value </w:t>
      </w:r>
      <w:r w:rsidR="00C90990">
        <w:t>of</w:t>
      </w:r>
      <w:r>
        <w:t xml:space="preserve"> new commitments</w:t>
      </w:r>
      <w:r w:rsidR="00C90990">
        <w:t xml:space="preserve"> by commodity</w:t>
      </w:r>
    </w:p>
    <w:p w14:paraId="4F432085" w14:textId="698D5BC2" w:rsidR="00EE70D3" w:rsidRDefault="000025D5" w:rsidP="0006256C">
      <w:pPr>
        <w:pStyle w:val="Note"/>
      </w:pPr>
      <w:r>
        <w:rPr>
          <w:noProof/>
        </w:rPr>
        <w:drawing>
          <wp:inline distT="0" distB="0" distL="0" distR="0" wp14:anchorId="6F0615FD" wp14:editId="0A0B49E4">
            <wp:extent cx="4203065" cy="2133600"/>
            <wp:effectExtent l="0" t="0" r="6985" b="0"/>
            <wp:docPr id="14" name="Chart 14" descr="The graph value of new committed projects broken down by commodity">
              <a:extLst xmlns:a="http://schemas.openxmlformats.org/drawingml/2006/main">
                <a:ext uri="{FF2B5EF4-FFF2-40B4-BE49-F238E27FC236}">
                  <a16:creationId xmlns:a16="http://schemas.microsoft.com/office/drawing/2014/main" id="{35BF2300-7A5B-4CF9-B151-0A279F96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531FF6" w14:textId="125B69F1" w:rsidR="00EE70D3" w:rsidRDefault="00EE70D3" w:rsidP="009D3EFE">
      <w:pPr>
        <w:pStyle w:val="Source"/>
        <w:spacing w:after="180"/>
      </w:pPr>
      <w:r>
        <w:t xml:space="preserve">Source: </w:t>
      </w:r>
      <w:r>
        <w:rPr>
          <w:lang w:eastAsia="en-AU"/>
        </w:rPr>
        <w:t xml:space="preserve">Department of Industry, Science and Resources </w:t>
      </w:r>
      <w:r w:rsidRPr="007136E1">
        <w:rPr>
          <w:lang w:eastAsia="en-AU"/>
        </w:rPr>
        <w:t>(202</w:t>
      </w:r>
      <w:r>
        <w:rPr>
          <w:lang w:eastAsia="en-AU"/>
        </w:rPr>
        <w:t>3</w:t>
      </w:r>
      <w:r w:rsidRPr="007136E1">
        <w:rPr>
          <w:lang w:eastAsia="en-AU"/>
        </w:rPr>
        <w:t>)</w:t>
      </w:r>
    </w:p>
    <w:tbl>
      <w:tblPr>
        <w:tblStyle w:val="OCETable"/>
        <w:tblW w:w="6804" w:type="dxa"/>
        <w:tblInd w:w="57" w:type="dxa"/>
        <w:shd w:val="clear" w:color="auto" w:fill="DEE8F1"/>
        <w:tblLayout w:type="fixed"/>
        <w:tblLook w:val="04A0" w:firstRow="1" w:lastRow="0" w:firstColumn="1" w:lastColumn="0" w:noHBand="0" w:noVBand="1"/>
      </w:tblPr>
      <w:tblGrid>
        <w:gridCol w:w="6804"/>
      </w:tblGrid>
      <w:tr w:rsidR="00EC2603" w14:paraId="7741EC1D" w14:textId="77777777" w:rsidTr="002C3EB6">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DEE8F1"/>
          </w:tcPr>
          <w:p w14:paraId="593EEBB9" w14:textId="26AE0032" w:rsidR="00EC2603" w:rsidRPr="0050151E" w:rsidRDefault="00E57A9E" w:rsidP="0037698A">
            <w:pPr>
              <w:pStyle w:val="BoxCaption"/>
              <w:spacing w:line="260" w:lineRule="exact"/>
            </w:pPr>
            <w:r w:rsidRPr="0050151E">
              <w:t xml:space="preserve">Box 1.1: </w:t>
            </w:r>
            <w:r w:rsidR="00EC2603" w:rsidRPr="0050151E">
              <w:t>Changes in methodology from the 2022 report</w:t>
            </w:r>
          </w:p>
          <w:p w14:paraId="602953E5" w14:textId="43CCEDD1" w:rsidR="000B0A53" w:rsidRDefault="004A1999" w:rsidP="0037698A">
            <w:pPr>
              <w:pStyle w:val="Source"/>
              <w:spacing w:afterLines="60" w:after="144" w:line="260" w:lineRule="exact"/>
              <w:rPr>
                <w:color w:val="373737"/>
                <w:sz w:val="20"/>
                <w:szCs w:val="18"/>
              </w:rPr>
            </w:pPr>
            <w:bookmarkStart w:id="38" w:name="_Hlk153374864"/>
            <w:r w:rsidRPr="0050151E">
              <w:rPr>
                <w:color w:val="373737"/>
                <w:sz w:val="20"/>
                <w:szCs w:val="18"/>
              </w:rPr>
              <w:t xml:space="preserve">To improve the quality of the data in this report, </w:t>
            </w:r>
            <w:r w:rsidR="00EC2603" w:rsidRPr="0050151E">
              <w:rPr>
                <w:color w:val="373737"/>
                <w:sz w:val="20"/>
                <w:szCs w:val="18"/>
              </w:rPr>
              <w:t xml:space="preserve">several changes </w:t>
            </w:r>
            <w:r w:rsidR="000D348E">
              <w:rPr>
                <w:color w:val="373737"/>
                <w:sz w:val="20"/>
                <w:szCs w:val="18"/>
              </w:rPr>
              <w:t xml:space="preserve">have been made </w:t>
            </w:r>
            <w:r w:rsidR="00EC2603" w:rsidRPr="0050151E">
              <w:rPr>
                <w:color w:val="373737"/>
                <w:sz w:val="20"/>
                <w:szCs w:val="18"/>
              </w:rPr>
              <w:t xml:space="preserve">to how projects </w:t>
            </w:r>
            <w:r w:rsidR="000D348E">
              <w:rPr>
                <w:color w:val="373737"/>
                <w:sz w:val="20"/>
                <w:szCs w:val="18"/>
              </w:rPr>
              <w:t>are classified</w:t>
            </w:r>
            <w:r w:rsidR="00EC2603" w:rsidRPr="0050151E">
              <w:rPr>
                <w:color w:val="373737"/>
                <w:sz w:val="20"/>
                <w:szCs w:val="18"/>
              </w:rPr>
              <w:t xml:space="preserve"> into the different stages and how we report capital </w:t>
            </w:r>
            <w:r w:rsidR="00EC2603" w:rsidRPr="008B6C24">
              <w:rPr>
                <w:color w:val="373737"/>
                <w:sz w:val="20"/>
                <w:szCs w:val="18"/>
              </w:rPr>
              <w:t>expenditure for early-stage projects.</w:t>
            </w:r>
            <w:r w:rsidR="008B6C24">
              <w:rPr>
                <w:color w:val="373737"/>
                <w:sz w:val="20"/>
                <w:szCs w:val="18"/>
              </w:rPr>
              <w:t xml:space="preserve"> </w:t>
            </w:r>
          </w:p>
          <w:bookmarkEnd w:id="38"/>
          <w:p w14:paraId="56C19595" w14:textId="5F1D4A56" w:rsidR="00D904AC" w:rsidRDefault="004E776F" w:rsidP="0037698A">
            <w:pPr>
              <w:pStyle w:val="Source"/>
              <w:spacing w:afterLines="60" w:after="144" w:line="260" w:lineRule="exact"/>
              <w:rPr>
                <w:color w:val="373737"/>
                <w:sz w:val="20"/>
                <w:szCs w:val="18"/>
              </w:rPr>
            </w:pPr>
            <w:r>
              <w:rPr>
                <w:color w:val="373737"/>
                <w:sz w:val="20"/>
                <w:szCs w:val="18"/>
              </w:rPr>
              <w:t>These changes</w:t>
            </w:r>
            <w:r w:rsidRPr="004E776F">
              <w:rPr>
                <w:color w:val="373737"/>
                <w:sz w:val="20"/>
                <w:szCs w:val="18"/>
              </w:rPr>
              <w:t xml:space="preserve"> </w:t>
            </w:r>
            <w:r w:rsidR="008D50A4">
              <w:rPr>
                <w:color w:val="373737"/>
                <w:sz w:val="20"/>
                <w:szCs w:val="18"/>
              </w:rPr>
              <w:t xml:space="preserve">largely </w:t>
            </w:r>
            <w:r>
              <w:rPr>
                <w:color w:val="373737"/>
                <w:sz w:val="20"/>
                <w:szCs w:val="18"/>
              </w:rPr>
              <w:t xml:space="preserve">reflect </w:t>
            </w:r>
            <w:r w:rsidRPr="004E776F">
              <w:rPr>
                <w:color w:val="373737"/>
                <w:sz w:val="20"/>
                <w:szCs w:val="18"/>
              </w:rPr>
              <w:t xml:space="preserve">the </w:t>
            </w:r>
            <w:r w:rsidR="00817D31">
              <w:rPr>
                <w:color w:val="373737"/>
                <w:sz w:val="20"/>
                <w:szCs w:val="18"/>
              </w:rPr>
              <w:t xml:space="preserve">recent change in </w:t>
            </w:r>
            <w:r w:rsidRPr="004E776F">
              <w:rPr>
                <w:color w:val="373737"/>
                <w:sz w:val="20"/>
                <w:szCs w:val="18"/>
              </w:rPr>
              <w:t>composition of projects</w:t>
            </w:r>
            <w:r>
              <w:rPr>
                <w:color w:val="373737"/>
                <w:sz w:val="20"/>
                <w:szCs w:val="18"/>
              </w:rPr>
              <w:t xml:space="preserve"> in recent years</w:t>
            </w:r>
            <w:r w:rsidR="00E519B5">
              <w:rPr>
                <w:color w:val="373737"/>
                <w:sz w:val="20"/>
                <w:szCs w:val="18"/>
              </w:rPr>
              <w:t xml:space="preserve">, </w:t>
            </w:r>
            <w:r w:rsidR="00A67A14">
              <w:rPr>
                <w:color w:val="373737"/>
                <w:sz w:val="20"/>
                <w:szCs w:val="18"/>
              </w:rPr>
              <w:t>in particular the</w:t>
            </w:r>
            <w:r w:rsidR="00E519B5">
              <w:rPr>
                <w:color w:val="373737"/>
                <w:sz w:val="20"/>
                <w:szCs w:val="18"/>
              </w:rPr>
              <w:t xml:space="preserve"> growth of e</w:t>
            </w:r>
            <w:r w:rsidRPr="004E776F">
              <w:rPr>
                <w:color w:val="373737"/>
                <w:sz w:val="20"/>
                <w:szCs w:val="18"/>
              </w:rPr>
              <w:t xml:space="preserve">merging new energy </w:t>
            </w:r>
            <w:r w:rsidR="00817D31">
              <w:rPr>
                <w:color w:val="373737"/>
                <w:sz w:val="20"/>
                <w:szCs w:val="18"/>
              </w:rPr>
              <w:t xml:space="preserve">and resource </w:t>
            </w:r>
            <w:r w:rsidRPr="004E776F">
              <w:rPr>
                <w:color w:val="373737"/>
                <w:sz w:val="20"/>
                <w:szCs w:val="18"/>
              </w:rPr>
              <w:t>commodities</w:t>
            </w:r>
            <w:r w:rsidR="00A67A14">
              <w:rPr>
                <w:color w:val="373737"/>
                <w:sz w:val="20"/>
                <w:szCs w:val="18"/>
              </w:rPr>
              <w:t xml:space="preserve"> including</w:t>
            </w:r>
            <w:r>
              <w:rPr>
                <w:color w:val="373737"/>
                <w:sz w:val="20"/>
                <w:szCs w:val="18"/>
              </w:rPr>
              <w:t xml:space="preserve"> hydrogen, rare earths, high purity alumina, vanadium, battery active materials and electrolytes and graphite.</w:t>
            </w:r>
            <w:r w:rsidR="00D904AC">
              <w:rPr>
                <w:color w:val="373737"/>
                <w:sz w:val="20"/>
                <w:szCs w:val="18"/>
              </w:rPr>
              <w:t xml:space="preserve"> </w:t>
            </w:r>
            <w:r>
              <w:rPr>
                <w:color w:val="373737"/>
                <w:sz w:val="20"/>
                <w:szCs w:val="18"/>
              </w:rPr>
              <w:t xml:space="preserve">The nascent character of </w:t>
            </w:r>
            <w:r w:rsidR="00E519B5">
              <w:rPr>
                <w:color w:val="373737"/>
                <w:sz w:val="20"/>
                <w:szCs w:val="18"/>
              </w:rPr>
              <w:t xml:space="preserve">these </w:t>
            </w:r>
            <w:r w:rsidR="00A67A14">
              <w:rPr>
                <w:color w:val="373737"/>
                <w:sz w:val="20"/>
                <w:szCs w:val="18"/>
              </w:rPr>
              <w:t>commodities</w:t>
            </w:r>
            <w:r>
              <w:rPr>
                <w:color w:val="373737"/>
                <w:sz w:val="20"/>
                <w:szCs w:val="18"/>
              </w:rPr>
              <w:t xml:space="preserve"> means </w:t>
            </w:r>
            <w:r w:rsidR="004D7E38">
              <w:rPr>
                <w:color w:val="373737"/>
                <w:sz w:val="20"/>
                <w:szCs w:val="18"/>
              </w:rPr>
              <w:t xml:space="preserve">available </w:t>
            </w:r>
            <w:r w:rsidR="00E519B5">
              <w:rPr>
                <w:color w:val="373737"/>
                <w:sz w:val="20"/>
                <w:szCs w:val="18"/>
              </w:rPr>
              <w:t xml:space="preserve">benchmark data </w:t>
            </w:r>
            <w:r w:rsidR="00946A5A">
              <w:rPr>
                <w:color w:val="373737"/>
                <w:sz w:val="20"/>
                <w:szCs w:val="18"/>
              </w:rPr>
              <w:t>on</w:t>
            </w:r>
            <w:r>
              <w:rPr>
                <w:color w:val="373737"/>
                <w:sz w:val="20"/>
                <w:szCs w:val="18"/>
              </w:rPr>
              <w:t xml:space="preserve"> project costs and other </w:t>
            </w:r>
            <w:r w:rsidR="00946A5A">
              <w:rPr>
                <w:color w:val="373737"/>
                <w:sz w:val="20"/>
                <w:szCs w:val="18"/>
              </w:rPr>
              <w:t>variables</w:t>
            </w:r>
            <w:r>
              <w:rPr>
                <w:color w:val="373737"/>
                <w:sz w:val="20"/>
                <w:szCs w:val="18"/>
              </w:rPr>
              <w:t xml:space="preserve"> is limited or of variable quality</w:t>
            </w:r>
            <w:r w:rsidR="00946A5A">
              <w:rPr>
                <w:color w:val="373737"/>
                <w:sz w:val="20"/>
                <w:szCs w:val="18"/>
              </w:rPr>
              <w:t xml:space="preserve">. </w:t>
            </w:r>
          </w:p>
          <w:p w14:paraId="5DE60FDE" w14:textId="39A5EF3A" w:rsidR="00EC2603" w:rsidRPr="0050151E" w:rsidRDefault="008B6C24" w:rsidP="000B0A53">
            <w:pPr>
              <w:pStyle w:val="Source"/>
              <w:spacing w:afterLines="60" w:after="144" w:line="260" w:lineRule="exact"/>
              <w:rPr>
                <w:color w:val="373737"/>
                <w:sz w:val="20"/>
                <w:szCs w:val="18"/>
              </w:rPr>
            </w:pPr>
            <w:r>
              <w:rPr>
                <w:color w:val="373737"/>
                <w:sz w:val="20"/>
                <w:szCs w:val="18"/>
              </w:rPr>
              <w:t>T</w:t>
            </w:r>
            <w:r w:rsidR="00E519B5">
              <w:rPr>
                <w:color w:val="373737"/>
                <w:sz w:val="20"/>
                <w:szCs w:val="18"/>
              </w:rPr>
              <w:t xml:space="preserve">o improve </w:t>
            </w:r>
            <w:r w:rsidR="00D5641E">
              <w:rPr>
                <w:color w:val="373737"/>
                <w:sz w:val="20"/>
                <w:szCs w:val="18"/>
              </w:rPr>
              <w:t xml:space="preserve">data </w:t>
            </w:r>
            <w:r>
              <w:rPr>
                <w:color w:val="373737"/>
                <w:sz w:val="20"/>
                <w:szCs w:val="18"/>
              </w:rPr>
              <w:t xml:space="preserve">quality and </w:t>
            </w:r>
            <w:r w:rsidR="00905853">
              <w:rPr>
                <w:color w:val="373737"/>
                <w:sz w:val="20"/>
                <w:szCs w:val="18"/>
              </w:rPr>
              <w:t xml:space="preserve">accommodate </w:t>
            </w:r>
            <w:r>
              <w:rPr>
                <w:color w:val="373737"/>
                <w:sz w:val="20"/>
                <w:szCs w:val="18"/>
              </w:rPr>
              <w:t>gaps in available public information</w:t>
            </w:r>
            <w:r w:rsidR="00A67A14">
              <w:rPr>
                <w:color w:val="373737"/>
                <w:sz w:val="20"/>
                <w:szCs w:val="18"/>
              </w:rPr>
              <w:t xml:space="preserve">, and hence provide a </w:t>
            </w:r>
            <w:r>
              <w:rPr>
                <w:color w:val="373737"/>
                <w:sz w:val="20"/>
                <w:szCs w:val="18"/>
              </w:rPr>
              <w:t>more solid basis for analysis</w:t>
            </w:r>
            <w:r w:rsidR="00A67A14">
              <w:rPr>
                <w:color w:val="373737"/>
                <w:sz w:val="20"/>
                <w:szCs w:val="18"/>
              </w:rPr>
              <w:t>, the following changes</w:t>
            </w:r>
            <w:r w:rsidR="004A1999" w:rsidRPr="0050151E">
              <w:rPr>
                <w:color w:val="373737"/>
                <w:sz w:val="20"/>
                <w:szCs w:val="18"/>
              </w:rPr>
              <w:t xml:space="preserve"> </w:t>
            </w:r>
            <w:r w:rsidR="00A67A14">
              <w:rPr>
                <w:color w:val="373737"/>
                <w:sz w:val="20"/>
                <w:szCs w:val="18"/>
              </w:rPr>
              <w:t>have been made</w:t>
            </w:r>
            <w:r w:rsidR="00EC2603" w:rsidRPr="0050151E">
              <w:rPr>
                <w:color w:val="373737"/>
                <w:sz w:val="20"/>
                <w:szCs w:val="18"/>
              </w:rPr>
              <w:t>:</w:t>
            </w:r>
          </w:p>
          <w:p w14:paraId="5DFB948F" w14:textId="3036776C" w:rsidR="00EC2603" w:rsidRPr="0050151E" w:rsidRDefault="000D348E" w:rsidP="0086476F">
            <w:pPr>
              <w:pStyle w:val="BodyText"/>
              <w:numPr>
                <w:ilvl w:val="0"/>
                <w:numId w:val="56"/>
              </w:numPr>
              <w:spacing w:after="60" w:line="260" w:lineRule="exact"/>
              <w:ind w:left="357" w:hanging="357"/>
              <w:rPr>
                <w:lang w:val="en"/>
              </w:rPr>
            </w:pPr>
            <w:r>
              <w:t>Capital expenditure f</w:t>
            </w:r>
            <w:r w:rsidR="00EC2603" w:rsidRPr="0050151E">
              <w:t xml:space="preserve">igures related to </w:t>
            </w:r>
            <w:r w:rsidR="00165BDF" w:rsidRPr="0050151E">
              <w:t>projects in the publicly announced</w:t>
            </w:r>
            <w:r w:rsidR="00B46251" w:rsidRPr="0050151E">
              <w:t xml:space="preserve"> stage</w:t>
            </w:r>
            <w:r w:rsidR="00EC2603" w:rsidRPr="0050151E">
              <w:t xml:space="preserve"> are no longer aggregated within the main report</w:t>
            </w:r>
            <w:r w:rsidR="004C56C9">
              <w:t xml:space="preserve"> (Figure 1.4)</w:t>
            </w:r>
            <w:r w:rsidR="00EC2603" w:rsidRPr="0050151E">
              <w:t>.</w:t>
            </w:r>
            <w:r w:rsidR="00165BDF" w:rsidRPr="0050151E">
              <w:t xml:space="preserve"> </w:t>
            </w:r>
          </w:p>
          <w:p w14:paraId="177F14C8" w14:textId="56630FDE" w:rsidR="00EC2603" w:rsidRPr="0050151E" w:rsidRDefault="00EC2603" w:rsidP="0086476F">
            <w:pPr>
              <w:pStyle w:val="BodyText"/>
              <w:numPr>
                <w:ilvl w:val="0"/>
                <w:numId w:val="56"/>
              </w:numPr>
              <w:spacing w:after="60" w:line="260" w:lineRule="exact"/>
              <w:ind w:left="357" w:hanging="357"/>
              <w:rPr>
                <w:lang w:val="en"/>
              </w:rPr>
            </w:pPr>
            <w:r w:rsidRPr="0050151E">
              <w:t xml:space="preserve">When information on </w:t>
            </w:r>
            <w:r w:rsidR="00ED07BA" w:rsidRPr="0050151E">
              <w:t xml:space="preserve">capital expenditure </w:t>
            </w:r>
            <w:r w:rsidRPr="0050151E">
              <w:t xml:space="preserve">or employment is not publicly available, DISR </w:t>
            </w:r>
            <w:r w:rsidR="00165BDF" w:rsidRPr="0050151E">
              <w:t xml:space="preserve">estimates </w:t>
            </w:r>
            <w:r w:rsidRPr="0050151E">
              <w:t xml:space="preserve">and cost bands </w:t>
            </w:r>
            <w:r w:rsidR="00A67A14">
              <w:t>are no</w:t>
            </w:r>
            <w:r w:rsidR="008B6C24">
              <w:t xml:space="preserve"> longer </w:t>
            </w:r>
            <w:r w:rsidRPr="0050151E">
              <w:t>used.</w:t>
            </w:r>
            <w:r w:rsidR="00165BDF" w:rsidRPr="0050151E">
              <w:t xml:space="preserve"> </w:t>
            </w:r>
            <w:r w:rsidR="008B6C24">
              <w:t xml:space="preserve">This </w:t>
            </w:r>
            <w:r w:rsidR="00A67A14">
              <w:t>affects</w:t>
            </w:r>
            <w:r w:rsidR="008B6C24">
              <w:t xml:space="preserve"> the accompanying spreadsheet, </w:t>
            </w:r>
            <w:r w:rsidR="00A67A14">
              <w:t>with an</w:t>
            </w:r>
            <w:r w:rsidR="008B6C24">
              <w:t xml:space="preserve"> N/A inserted where public data is not available.</w:t>
            </w:r>
          </w:p>
          <w:p w14:paraId="014D068A" w14:textId="6A483773" w:rsidR="00EC2603" w:rsidRPr="0050151E" w:rsidRDefault="00EC2603" w:rsidP="0086476F">
            <w:pPr>
              <w:pStyle w:val="BodyText"/>
              <w:numPr>
                <w:ilvl w:val="0"/>
                <w:numId w:val="56"/>
              </w:numPr>
              <w:spacing w:after="60" w:line="260" w:lineRule="exact"/>
              <w:ind w:left="357" w:hanging="357"/>
              <w:rPr>
                <w:lang w:val="en"/>
              </w:rPr>
            </w:pPr>
            <w:r w:rsidRPr="0050151E">
              <w:t>The ‘feasibility’ category has been replaced with an ‘advanced feasibility’ category contain</w:t>
            </w:r>
            <w:r w:rsidR="0086476F">
              <w:t>ing</w:t>
            </w:r>
            <w:r w:rsidRPr="0050151E">
              <w:t xml:space="preserve"> projects that have released a definitive, detailed or bankable feasibility study. </w:t>
            </w:r>
            <w:r w:rsidR="005C42DB" w:rsidRPr="0050151E">
              <w:t xml:space="preserve">Projects that have released such studies </w:t>
            </w:r>
            <w:r w:rsidR="008B6C24">
              <w:t xml:space="preserve">will </w:t>
            </w:r>
            <w:r w:rsidR="005C42DB" w:rsidRPr="0050151E">
              <w:t>have been subject to a more rigorous costing process.</w:t>
            </w:r>
          </w:p>
          <w:p w14:paraId="1D764B00" w14:textId="2DDF37C7" w:rsidR="00EC2603" w:rsidRDefault="00EC2603" w:rsidP="0037698A">
            <w:pPr>
              <w:pStyle w:val="BodyText"/>
              <w:numPr>
                <w:ilvl w:val="0"/>
                <w:numId w:val="56"/>
              </w:numPr>
              <w:spacing w:line="260" w:lineRule="exact"/>
              <w:rPr>
                <w:lang w:val="en"/>
              </w:rPr>
            </w:pPr>
            <w:r w:rsidRPr="0050151E">
              <w:rPr>
                <w:lang w:val="en"/>
              </w:rPr>
              <w:t xml:space="preserve">Aggregated likelihood profiles for projects in the </w:t>
            </w:r>
            <w:r w:rsidR="009C0D30">
              <w:rPr>
                <w:lang w:val="en"/>
              </w:rPr>
              <w:t>list</w:t>
            </w:r>
            <w:r w:rsidR="009C0D30" w:rsidRPr="0050151E">
              <w:rPr>
                <w:lang w:val="en"/>
              </w:rPr>
              <w:t xml:space="preserve"> </w:t>
            </w:r>
            <w:r w:rsidRPr="0050151E">
              <w:rPr>
                <w:lang w:val="en"/>
              </w:rPr>
              <w:t>are no longer provided in this report.</w:t>
            </w:r>
          </w:p>
          <w:p w14:paraId="3E386407" w14:textId="09347884" w:rsidR="002708B4" w:rsidRPr="0086476F" w:rsidRDefault="00D8562C" w:rsidP="0037698A">
            <w:pPr>
              <w:pStyle w:val="BodyText"/>
              <w:spacing w:line="260" w:lineRule="exact"/>
              <w:rPr>
                <w:lang w:val="en"/>
              </w:rPr>
            </w:pPr>
            <w:r w:rsidRPr="0086476F">
              <w:rPr>
                <w:lang w:val="en"/>
              </w:rPr>
              <w:t xml:space="preserve">The </w:t>
            </w:r>
            <w:r w:rsidRPr="0086476F">
              <w:rPr>
                <w:i/>
                <w:iCs/>
                <w:lang w:val="en"/>
              </w:rPr>
              <w:t>2022 Resources and Energy Major Projects</w:t>
            </w:r>
            <w:r w:rsidRPr="0086476F">
              <w:rPr>
                <w:lang w:val="en"/>
              </w:rPr>
              <w:t xml:space="preserve"> </w:t>
            </w:r>
            <w:r w:rsidR="0086476F" w:rsidRPr="0086476F">
              <w:rPr>
                <w:lang w:val="en"/>
              </w:rPr>
              <w:t xml:space="preserve">report </w:t>
            </w:r>
            <w:r w:rsidR="00627256" w:rsidRPr="0086476F">
              <w:rPr>
                <w:lang w:val="en"/>
              </w:rPr>
              <w:t>had an estimated</w:t>
            </w:r>
            <w:r w:rsidRPr="0086476F">
              <w:rPr>
                <w:lang w:val="en"/>
              </w:rPr>
              <w:t xml:space="preserve"> total value of projects </w:t>
            </w:r>
            <w:r w:rsidR="00A67A14">
              <w:rPr>
                <w:lang w:val="en"/>
              </w:rPr>
              <w:t>under development</w:t>
            </w:r>
            <w:r w:rsidRPr="0086476F">
              <w:rPr>
                <w:lang w:val="en"/>
              </w:rPr>
              <w:t xml:space="preserve"> </w:t>
            </w:r>
            <w:r w:rsidR="00627256" w:rsidRPr="0086476F">
              <w:rPr>
                <w:lang w:val="en"/>
              </w:rPr>
              <w:t>of</w:t>
            </w:r>
            <w:r w:rsidRPr="0086476F">
              <w:rPr>
                <w:lang w:val="en"/>
              </w:rPr>
              <w:t xml:space="preserve"> $572-705 billion</w:t>
            </w:r>
            <w:r w:rsidR="002708B4" w:rsidRPr="0086476F">
              <w:rPr>
                <w:lang w:val="en"/>
              </w:rPr>
              <w:t>. This figure</w:t>
            </w:r>
            <w:r w:rsidR="0067465F" w:rsidRPr="0086476F">
              <w:rPr>
                <w:lang w:val="en"/>
              </w:rPr>
              <w:t xml:space="preserve"> include</w:t>
            </w:r>
            <w:r w:rsidR="0086476F">
              <w:rPr>
                <w:lang w:val="en"/>
              </w:rPr>
              <w:t>d</w:t>
            </w:r>
            <w:r w:rsidR="0067465F" w:rsidRPr="0086476F">
              <w:rPr>
                <w:lang w:val="en"/>
              </w:rPr>
              <w:t xml:space="preserve"> </w:t>
            </w:r>
            <w:r w:rsidR="002708B4" w:rsidRPr="0086476F">
              <w:rPr>
                <w:lang w:val="en"/>
              </w:rPr>
              <w:t xml:space="preserve">DISR </w:t>
            </w:r>
            <w:r w:rsidR="0067465F" w:rsidRPr="0086476F">
              <w:rPr>
                <w:lang w:val="en"/>
              </w:rPr>
              <w:t xml:space="preserve">estimates for projects with no published capital costs as well as projects </w:t>
            </w:r>
            <w:r w:rsidR="0086476F">
              <w:rPr>
                <w:lang w:val="en"/>
              </w:rPr>
              <w:t>that</w:t>
            </w:r>
            <w:r w:rsidR="0067465F" w:rsidRPr="0086476F">
              <w:rPr>
                <w:lang w:val="en"/>
              </w:rPr>
              <w:t xml:space="preserve"> achieved commercial production during 2022</w:t>
            </w:r>
            <w:r w:rsidRPr="0086476F">
              <w:rPr>
                <w:lang w:val="en"/>
              </w:rPr>
              <w:t>.</w:t>
            </w:r>
          </w:p>
          <w:p w14:paraId="3A36C195" w14:textId="50A4C7E2" w:rsidR="00B5515C" w:rsidRDefault="00817D31" w:rsidP="0037698A">
            <w:pPr>
              <w:pStyle w:val="BodyText"/>
              <w:spacing w:line="260" w:lineRule="exact"/>
              <w:rPr>
                <w:noProof/>
                <w:lang w:val="en"/>
              </w:rPr>
            </w:pPr>
            <w:r>
              <w:rPr>
                <w:lang w:val="en"/>
              </w:rPr>
              <w:t xml:space="preserve">Excluding </w:t>
            </w:r>
            <w:r w:rsidR="00D9217F" w:rsidRPr="0086476F">
              <w:rPr>
                <w:lang w:val="en"/>
              </w:rPr>
              <w:t xml:space="preserve">DISR estimates and cost bands in the 2022 report </w:t>
            </w:r>
            <w:r w:rsidR="00A67A14">
              <w:rPr>
                <w:lang w:val="en"/>
              </w:rPr>
              <w:t>and projects</w:t>
            </w:r>
            <w:r w:rsidR="002A2D60">
              <w:rPr>
                <w:lang w:val="en"/>
              </w:rPr>
              <w:t xml:space="preserve"> that achieved commercial production</w:t>
            </w:r>
            <w:r w:rsidR="00CA76F4">
              <w:rPr>
                <w:lang w:val="en"/>
              </w:rPr>
              <w:t xml:space="preserve"> in that year</w:t>
            </w:r>
            <w:r w:rsidR="00A67A14">
              <w:rPr>
                <w:lang w:val="en"/>
              </w:rPr>
              <w:t xml:space="preserve"> </w:t>
            </w:r>
            <w:r w:rsidR="00D9217F" w:rsidRPr="0086476F">
              <w:rPr>
                <w:lang w:val="en"/>
              </w:rPr>
              <w:t>yields a total capital value of $5</w:t>
            </w:r>
            <w:r w:rsidR="001A27DC">
              <w:rPr>
                <w:lang w:val="en"/>
              </w:rPr>
              <w:t>22</w:t>
            </w:r>
            <w:r w:rsidR="00D9217F" w:rsidRPr="0086476F">
              <w:rPr>
                <w:lang w:val="en"/>
              </w:rPr>
              <w:t xml:space="preserve"> billion across all projects </w:t>
            </w:r>
            <w:r>
              <w:rPr>
                <w:lang w:val="en"/>
              </w:rPr>
              <w:t xml:space="preserve">in 2022 </w:t>
            </w:r>
            <w:r w:rsidR="00D9217F" w:rsidRPr="0086476F">
              <w:rPr>
                <w:lang w:val="en"/>
              </w:rPr>
              <w:t>and 63 projects without a cost estimate. On a like</w:t>
            </w:r>
            <w:r w:rsidR="00D9217F">
              <w:rPr>
                <w:lang w:val="en"/>
              </w:rPr>
              <w:t>-</w:t>
            </w:r>
            <w:r w:rsidR="00D9217F" w:rsidRPr="0086476F">
              <w:rPr>
                <w:lang w:val="en"/>
              </w:rPr>
              <w:t>for</w:t>
            </w:r>
            <w:r w:rsidR="00D9217F">
              <w:rPr>
                <w:lang w:val="en"/>
              </w:rPr>
              <w:t>-</w:t>
            </w:r>
            <w:r w:rsidR="00D9217F" w:rsidRPr="0086476F">
              <w:rPr>
                <w:lang w:val="en"/>
              </w:rPr>
              <w:t>like basis, this compares to a total capital value of $5</w:t>
            </w:r>
            <w:r w:rsidR="001A27DC">
              <w:rPr>
                <w:lang w:val="en"/>
              </w:rPr>
              <w:t>4</w:t>
            </w:r>
            <w:r w:rsidR="00573B7D">
              <w:rPr>
                <w:lang w:val="en"/>
              </w:rPr>
              <w:t>7</w:t>
            </w:r>
            <w:r w:rsidR="00D9217F" w:rsidRPr="0086476F">
              <w:rPr>
                <w:lang w:val="en"/>
              </w:rPr>
              <w:t xml:space="preserve"> billion across all projects</w:t>
            </w:r>
            <w:r w:rsidR="00D9217F">
              <w:rPr>
                <w:lang w:val="en"/>
              </w:rPr>
              <w:t xml:space="preserve"> in this year’s report, which includes </w:t>
            </w:r>
            <w:r w:rsidR="00D9217F" w:rsidRPr="0086476F">
              <w:rPr>
                <w:lang w:val="en"/>
              </w:rPr>
              <w:t>9</w:t>
            </w:r>
            <w:r w:rsidR="002077A1">
              <w:rPr>
                <w:lang w:val="en"/>
              </w:rPr>
              <w:t>5</w:t>
            </w:r>
            <w:r w:rsidR="00D9217F" w:rsidRPr="0086476F">
              <w:rPr>
                <w:lang w:val="en"/>
              </w:rPr>
              <w:t xml:space="preserve"> projects without a cost estimate.</w:t>
            </w:r>
            <w:r w:rsidR="00FA4C73">
              <w:rPr>
                <w:noProof/>
                <w:lang w:val="en"/>
              </w:rPr>
              <w:t xml:space="preserve"> </w:t>
            </w:r>
          </w:p>
          <w:p w14:paraId="34DBC463" w14:textId="338B2B6D" w:rsidR="004D7E38" w:rsidRDefault="004D7E38" w:rsidP="004D7E38">
            <w:pPr>
              <w:pStyle w:val="Caption"/>
            </w:pPr>
            <w:r>
              <w:t xml:space="preserve">Figure </w:t>
            </w:r>
            <w:r>
              <w:rPr>
                <w:noProof/>
              </w:rPr>
              <w:fldChar w:fldCharType="begin"/>
            </w:r>
            <w:r>
              <w:rPr>
                <w:noProof/>
              </w:rPr>
              <w:instrText xml:space="preserve"> STYLEREF 1 \s </w:instrText>
            </w:r>
            <w:r>
              <w:rPr>
                <w:noProof/>
              </w:rPr>
              <w:fldChar w:fldCharType="separate"/>
            </w:r>
            <w:r w:rsidR="006D6E1F">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4</w:t>
            </w:r>
            <w:r>
              <w:rPr>
                <w:noProof/>
              </w:rPr>
              <w:fldChar w:fldCharType="end"/>
            </w:r>
            <w:r>
              <w:t xml:space="preserve">: Changes to project classification </w:t>
            </w:r>
          </w:p>
          <w:p w14:paraId="79AF7C0D" w14:textId="6C0416CC" w:rsidR="007E5533" w:rsidRDefault="007E5533" w:rsidP="0037698A">
            <w:pPr>
              <w:pStyle w:val="BodyText"/>
              <w:spacing w:line="260" w:lineRule="exact"/>
              <w:rPr>
                <w:noProof/>
                <w:lang w:val="en"/>
              </w:rPr>
            </w:pPr>
          </w:p>
          <w:p w14:paraId="4CC704C9" w14:textId="5D60E4A9" w:rsidR="007E5533" w:rsidRDefault="007E5533" w:rsidP="0037698A">
            <w:pPr>
              <w:pStyle w:val="BodyText"/>
              <w:spacing w:line="260" w:lineRule="exact"/>
              <w:rPr>
                <w:noProof/>
                <w:lang w:val="en"/>
              </w:rPr>
            </w:pPr>
          </w:p>
          <w:p w14:paraId="69312280" w14:textId="7017C234" w:rsidR="007E5533" w:rsidRDefault="007E5533" w:rsidP="0037698A">
            <w:pPr>
              <w:pStyle w:val="BodyText"/>
              <w:spacing w:line="260" w:lineRule="exact"/>
              <w:rPr>
                <w:noProof/>
                <w:lang w:val="en"/>
              </w:rPr>
            </w:pPr>
          </w:p>
          <w:p w14:paraId="2A3270D3" w14:textId="6A475ADE" w:rsidR="00FA4C73" w:rsidRDefault="00FA4C73" w:rsidP="0037698A">
            <w:pPr>
              <w:pStyle w:val="BodyText"/>
              <w:spacing w:line="260" w:lineRule="exact"/>
              <w:rPr>
                <w:noProof/>
                <w:lang w:val="en"/>
              </w:rPr>
            </w:pPr>
          </w:p>
          <w:p w14:paraId="4E75D5CF" w14:textId="2C7823AF" w:rsidR="00FA4C73" w:rsidRDefault="00FA4C73" w:rsidP="0037698A">
            <w:pPr>
              <w:pStyle w:val="BodyText"/>
              <w:spacing w:line="260" w:lineRule="exact"/>
              <w:rPr>
                <w:noProof/>
                <w:lang w:val="en"/>
              </w:rPr>
            </w:pPr>
          </w:p>
          <w:p w14:paraId="17FDB489" w14:textId="7C05A2A5" w:rsidR="00FA4C73" w:rsidRDefault="00FA4C73" w:rsidP="0037698A">
            <w:pPr>
              <w:pStyle w:val="BodyText"/>
              <w:spacing w:line="260" w:lineRule="exact"/>
              <w:rPr>
                <w:noProof/>
                <w:lang w:val="en"/>
              </w:rPr>
            </w:pPr>
          </w:p>
          <w:p w14:paraId="7F3D8022" w14:textId="5A129232" w:rsidR="00FA4C73" w:rsidRDefault="00FA4C73" w:rsidP="0037698A">
            <w:pPr>
              <w:pStyle w:val="BodyText"/>
              <w:spacing w:line="260" w:lineRule="exact"/>
              <w:rPr>
                <w:noProof/>
                <w:lang w:val="en"/>
              </w:rPr>
            </w:pPr>
          </w:p>
          <w:p w14:paraId="157F61EE" w14:textId="77B860B4" w:rsidR="00FA4C73" w:rsidRDefault="00FA4C73" w:rsidP="0037698A">
            <w:pPr>
              <w:pStyle w:val="BodyText"/>
              <w:spacing w:line="260" w:lineRule="exact"/>
              <w:rPr>
                <w:noProof/>
                <w:lang w:val="en"/>
              </w:rPr>
            </w:pPr>
          </w:p>
          <w:p w14:paraId="7762E222" w14:textId="3EA0D189" w:rsidR="00FA4C73" w:rsidRDefault="00FA4C73" w:rsidP="0037698A">
            <w:pPr>
              <w:pStyle w:val="BodyText"/>
              <w:spacing w:line="260" w:lineRule="exact"/>
              <w:rPr>
                <w:noProof/>
                <w:lang w:val="en"/>
              </w:rPr>
            </w:pPr>
          </w:p>
          <w:p w14:paraId="46B05F39" w14:textId="14E8E56A" w:rsidR="00ED0BE7" w:rsidRPr="002476A7" w:rsidRDefault="00DD3004" w:rsidP="0037698A">
            <w:pPr>
              <w:pStyle w:val="BodyText"/>
              <w:spacing w:line="260" w:lineRule="exact"/>
              <w:rPr>
                <w:highlight w:val="yellow"/>
                <w:lang w:val="en"/>
              </w:rPr>
            </w:pPr>
            <w:r>
              <w:rPr>
                <w:noProof/>
                <w:lang w:val="en"/>
              </w:rPr>
              <w:drawing>
                <wp:inline distT="0" distB="0" distL="0" distR="0" wp14:anchorId="45B5D7C4" wp14:editId="1F8091D7">
                  <wp:extent cx="4183380" cy="2310765"/>
                  <wp:effectExtent l="0" t="0" r="7620" b="0"/>
                  <wp:docPr id="20" name="Picture 20" descr="This graph compares the way the different stages of project development are categorised in 2022 with the new categorisation in the 2023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 compares the way the different stages of project development are categorised in 2022 with the new categorisation in the 2023 re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380" cy="2310765"/>
                          </a:xfrm>
                          <a:prstGeom prst="rect">
                            <a:avLst/>
                          </a:prstGeom>
                          <a:noFill/>
                          <a:ln>
                            <a:noFill/>
                          </a:ln>
                        </pic:spPr>
                      </pic:pic>
                    </a:graphicData>
                  </a:graphic>
                </wp:inline>
              </w:drawing>
            </w:r>
          </w:p>
        </w:tc>
      </w:tr>
    </w:tbl>
    <w:p w14:paraId="3C43B292" w14:textId="6B595303" w:rsidR="007E5533" w:rsidRDefault="007E5533" w:rsidP="007E5533">
      <w:pPr>
        <w:pStyle w:val="BodyText"/>
      </w:pPr>
      <w:r>
        <w:t xml:space="preserve">The addition of new critical minerals projects, and the completion of several older traditional commodity projects has meant that </w:t>
      </w:r>
      <w:r w:rsidRPr="007136E1">
        <w:t xml:space="preserve">Australia’s three largest export commodities — iron ore, coal and </w:t>
      </w:r>
      <w:r>
        <w:t>gas — now make up a smaller percentage of total projects at the committed stage. The three accounted for 6</w:t>
      </w:r>
      <w:r w:rsidR="003E5819">
        <w:t>2</w:t>
      </w:r>
      <w:r>
        <w:t>% of committed value in 2023, down from 82% in 2022.</w:t>
      </w:r>
    </w:p>
    <w:p w14:paraId="0C266854" w14:textId="77777777" w:rsidR="007E5533" w:rsidRDefault="007E5533" w:rsidP="007E5533">
      <w:pPr>
        <w:pStyle w:val="BodyText"/>
      </w:pPr>
      <w:r>
        <w:t>Progression of coal projects recorded this year is largely for metallurgical coal. A number of early-stage coal projects have been removed from the list, either due to formal cancellation, applications lapsing or being withdrawn, or other considerations.</w:t>
      </w:r>
    </w:p>
    <w:p w14:paraId="387D1776" w14:textId="3D788E74" w:rsidR="007E5533" w:rsidRDefault="007E5533" w:rsidP="007E5533">
      <w:pPr>
        <w:pStyle w:val="BodyText"/>
      </w:pPr>
      <w:r>
        <w:t>Some infrastructure projects have progressed</w:t>
      </w:r>
      <w:r w:rsidDel="00053517">
        <w:t xml:space="preserve"> </w:t>
      </w:r>
      <w:r w:rsidR="00DA6B23">
        <w:t>to the next stage</w:t>
      </w:r>
      <w:r>
        <w:t xml:space="preserve">, including several LNG import terminals. The </w:t>
      </w:r>
      <w:r w:rsidRPr="000F2855">
        <w:t>Port Kembla LNG</w:t>
      </w:r>
      <w:r>
        <w:t xml:space="preserve"> import terminal in New South Wales is close to completion, and the </w:t>
      </w:r>
      <w:r w:rsidRPr="000F2855">
        <w:t>Outer Harbor LNG import terminal in S</w:t>
      </w:r>
      <w:r>
        <w:t xml:space="preserve">outh </w:t>
      </w:r>
      <w:r w:rsidRPr="000F2855">
        <w:t>A</w:t>
      </w:r>
      <w:r>
        <w:t>ustralia is moving closer to a potential FID.</w:t>
      </w:r>
    </w:p>
    <w:p w14:paraId="31F9E581" w14:textId="0E9ED018" w:rsidR="007E5533" w:rsidRDefault="007E5533" w:rsidP="007E5533">
      <w:pPr>
        <w:pStyle w:val="BodyText"/>
      </w:pPr>
      <w:r>
        <w:t xml:space="preserve">Gold has consistently attracted the highest level of exploration expenditure amongst commodities over the past 8 years, and many projects are now proceeding through the </w:t>
      </w:r>
      <w:r w:rsidR="00053517">
        <w:t>stages</w:t>
      </w:r>
      <w:r>
        <w:t>. Five gold projects were completed in 2023, while 3 projects became committed.</w:t>
      </w:r>
    </w:p>
    <w:p w14:paraId="5579C521" w14:textId="15233029" w:rsidR="0015689F" w:rsidRDefault="007E5533" w:rsidP="007E5533">
      <w:pPr>
        <w:pStyle w:val="BodyText"/>
      </w:pPr>
      <w:r>
        <w:t>Geographically, most of Australia’s resources and energy major projects are located in Western Australia, which now holds more than 70% of project value at the committed stage (Figure 1.3</w:t>
      </w:r>
      <w:r w:rsidR="00594504">
        <w:t>, Figure 1.</w:t>
      </w:r>
      <w:r w:rsidR="004D7E38">
        <w:t>6</w:t>
      </w:r>
      <w:r>
        <w:t>).</w:t>
      </w:r>
    </w:p>
    <w:p w14:paraId="2D1DFDE1" w14:textId="11BEBE04" w:rsidR="007E5533" w:rsidRDefault="007E5533" w:rsidP="0026471B">
      <w:pPr>
        <w:pStyle w:val="Caption"/>
        <w:spacing w:before="180"/>
      </w:pPr>
      <w:r>
        <w:t xml:space="preserve">Figure </w:t>
      </w:r>
      <w:r>
        <w:rPr>
          <w:noProof/>
        </w:rPr>
        <w:fldChar w:fldCharType="begin"/>
      </w:r>
      <w:r>
        <w:rPr>
          <w:noProof/>
        </w:rPr>
        <w:instrText xml:space="preserve"> STYLEREF 1 \s </w:instrText>
      </w:r>
      <w:r>
        <w:rPr>
          <w:noProof/>
        </w:rPr>
        <w:fldChar w:fldCharType="separate"/>
      </w:r>
      <w:r w:rsidR="006D6E1F">
        <w:rPr>
          <w:noProof/>
        </w:rPr>
        <w:t>1</w:t>
      </w:r>
      <w:r>
        <w:rPr>
          <w:noProof/>
        </w:rPr>
        <w:fldChar w:fldCharType="end"/>
      </w:r>
      <w:r>
        <w:rPr>
          <w:noProof/>
        </w:rPr>
        <w:t>.</w:t>
      </w:r>
      <w:r w:rsidR="004D7E38">
        <w:rPr>
          <w:noProof/>
        </w:rPr>
        <w:t>5</w:t>
      </w:r>
      <w:r>
        <w:t xml:space="preserve">: Projects by </w:t>
      </w:r>
      <w:r w:rsidR="0026471B">
        <w:t>S</w:t>
      </w:r>
      <w:r>
        <w:t>tate</w:t>
      </w:r>
      <w:r w:rsidR="0026471B">
        <w:t>/T</w:t>
      </w:r>
      <w:r>
        <w:t>erritory</w:t>
      </w:r>
    </w:p>
    <w:p w14:paraId="72A158EF" w14:textId="164F8ED1" w:rsidR="007E5533" w:rsidRDefault="007E5533" w:rsidP="0006256C">
      <w:pPr>
        <w:pStyle w:val="Note"/>
      </w:pPr>
      <w:r>
        <w:rPr>
          <w:noProof/>
        </w:rPr>
        <w:drawing>
          <wp:inline distT="0" distB="0" distL="0" distR="0" wp14:anchorId="0526A419" wp14:editId="2FA0CE51">
            <wp:extent cx="4203065" cy="2533650"/>
            <wp:effectExtent l="0" t="0" r="6985" b="0"/>
            <wp:docPr id="30" name="Chart 30" descr="This graph shows the number of projects by state and territory ranked from highest to lowest">
              <a:extLst xmlns:a="http://schemas.openxmlformats.org/drawingml/2006/main">
                <a:ext uri="{FF2B5EF4-FFF2-40B4-BE49-F238E27FC236}">
                  <a16:creationId xmlns:a16="http://schemas.microsoft.com/office/drawing/2014/main" id="{13387D5C-2351-49B4-AD17-B37588B5C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09563E" w14:textId="2472EB4E" w:rsidR="007E5533" w:rsidRDefault="007E5533" w:rsidP="0006256C">
      <w:pPr>
        <w:pStyle w:val="Source"/>
      </w:pPr>
      <w:r>
        <w:t>Source: Department of Industry, Science and Resources (2023)</w:t>
      </w:r>
    </w:p>
    <w:p w14:paraId="6A3E7551" w14:textId="77777777" w:rsidR="007E5533" w:rsidRPr="008A5A1E" w:rsidRDefault="007E5533" w:rsidP="00A36AFC"/>
    <w:p w14:paraId="1B2A78C5" w14:textId="77777777" w:rsidR="007E5533" w:rsidRDefault="007E5533" w:rsidP="007E5533">
      <w:pPr>
        <w:pStyle w:val="BodyText"/>
      </w:pPr>
    </w:p>
    <w:p w14:paraId="1ED0EBDD" w14:textId="77777777" w:rsidR="007E5533" w:rsidRDefault="007E5533" w:rsidP="0015689F">
      <w:pPr>
        <w:pStyle w:val="BodyText"/>
      </w:pPr>
    </w:p>
    <w:p w14:paraId="2F1F160C" w14:textId="7CE87DDF" w:rsidR="007E5533" w:rsidRPr="001A62E6" w:rsidRDefault="007E5533" w:rsidP="0015689F">
      <w:pPr>
        <w:pStyle w:val="BodyText"/>
        <w:sectPr w:rsidR="007E5533" w:rsidRPr="001A62E6" w:rsidSect="00546E00">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992" w:right="1440" w:bottom="1440" w:left="1440" w:header="709" w:footer="709" w:gutter="0"/>
          <w:cols w:num="2" w:space="720"/>
          <w:docGrid w:linePitch="360"/>
        </w:sectPr>
      </w:pPr>
    </w:p>
    <w:p w14:paraId="7B867F22" w14:textId="3CD5E789" w:rsidR="00612CA5" w:rsidRPr="007136E1" w:rsidRDefault="00612CA5" w:rsidP="00612CA5">
      <w:pPr>
        <w:pStyle w:val="Caption"/>
      </w:pPr>
      <w:bookmarkStart w:id="39" w:name="_Hlk150415920"/>
      <w:r w:rsidRPr="00067DC8">
        <w:t xml:space="preserve">Table </w:t>
      </w:r>
      <w:r w:rsidRPr="00067DC8">
        <w:rPr>
          <w:noProof/>
        </w:rPr>
        <w:fldChar w:fldCharType="begin"/>
      </w:r>
      <w:r w:rsidRPr="00067DC8">
        <w:rPr>
          <w:noProof/>
        </w:rPr>
        <w:instrText xml:space="preserve"> STYLEREF 1 \s </w:instrText>
      </w:r>
      <w:r w:rsidRPr="00067DC8">
        <w:rPr>
          <w:noProof/>
        </w:rPr>
        <w:fldChar w:fldCharType="separate"/>
      </w:r>
      <w:r w:rsidR="006D6E1F">
        <w:rPr>
          <w:noProof/>
        </w:rPr>
        <w:t>1</w:t>
      </w:r>
      <w:r w:rsidRPr="00067DC8">
        <w:rPr>
          <w:noProof/>
        </w:rPr>
        <w:fldChar w:fldCharType="end"/>
      </w:r>
      <w:r w:rsidRPr="00067DC8">
        <w:t>.</w:t>
      </w:r>
      <w:r w:rsidRPr="00067DC8">
        <w:rPr>
          <w:noProof/>
        </w:rPr>
        <w:fldChar w:fldCharType="begin"/>
      </w:r>
      <w:r w:rsidRPr="00067DC8">
        <w:rPr>
          <w:noProof/>
        </w:rPr>
        <w:instrText xml:space="preserve"> SEQ Table \* ARABIC </w:instrText>
      </w:r>
      <w:r w:rsidRPr="00067DC8">
        <w:rPr>
          <w:noProof/>
        </w:rPr>
        <w:fldChar w:fldCharType="separate"/>
      </w:r>
      <w:r w:rsidR="006D6E1F">
        <w:rPr>
          <w:noProof/>
        </w:rPr>
        <w:t>1</w:t>
      </w:r>
      <w:r w:rsidRPr="00067DC8">
        <w:rPr>
          <w:noProof/>
        </w:rPr>
        <w:fldChar w:fldCharType="end"/>
      </w:r>
      <w:r w:rsidRPr="00067DC8">
        <w:t xml:space="preserve">: </w:t>
      </w:r>
      <w:r w:rsidR="003C6128" w:rsidRPr="003C6128">
        <w:t>Summary of projects as at 31 October 202</w:t>
      </w:r>
      <w:r w:rsidR="003C6128">
        <w:t>3</w:t>
      </w:r>
    </w:p>
    <w:tbl>
      <w:tblPr>
        <w:tblStyle w:val="OCETable"/>
        <w:tblW w:w="4519" w:type="pct"/>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4253"/>
        <w:gridCol w:w="1698"/>
        <w:gridCol w:w="1701"/>
        <w:gridCol w:w="1683"/>
        <w:gridCol w:w="1723"/>
        <w:gridCol w:w="1557"/>
      </w:tblGrid>
      <w:tr w:rsidR="003C6128" w:rsidRPr="007136E1" w14:paraId="5CE6F834" w14:textId="77777777" w:rsidTr="004B119B">
        <w:trPr>
          <w:cnfStyle w:val="100000000000" w:firstRow="1" w:lastRow="0" w:firstColumn="0" w:lastColumn="0" w:oddVBand="0" w:evenVBand="0" w:oddHBand="0" w:evenHBand="0" w:firstRowFirstColumn="0" w:firstRowLastColumn="0" w:lastRowFirstColumn="0" w:lastRowLastColumn="0"/>
          <w:trHeight w:val="438"/>
          <w:tblHeader/>
        </w:trPr>
        <w:tc>
          <w:tcPr>
            <w:tcW w:w="1686" w:type="pct"/>
          </w:tcPr>
          <w:p w14:paraId="4285421D" w14:textId="77777777" w:rsidR="003C6128" w:rsidRPr="007136E1" w:rsidRDefault="003C6128" w:rsidP="00940AD0">
            <w:pPr>
              <w:pStyle w:val="Tableheader"/>
              <w:rPr>
                <w:color w:val="FFFFFF" w:themeColor="background1"/>
                <w:lang w:eastAsia="en-AU"/>
              </w:rPr>
            </w:pPr>
            <w:bookmarkStart w:id="40" w:name="_Hlk145429817"/>
          </w:p>
        </w:tc>
        <w:tc>
          <w:tcPr>
            <w:tcW w:w="673" w:type="pct"/>
          </w:tcPr>
          <w:p w14:paraId="0D461A2C" w14:textId="77777777" w:rsidR="003C6128" w:rsidRPr="007136E1" w:rsidRDefault="003C6128" w:rsidP="00940AD0">
            <w:pPr>
              <w:pStyle w:val="Tableheader"/>
              <w:rPr>
                <w:color w:val="FFFFFF" w:themeColor="background1"/>
                <w:lang w:eastAsia="en-AU"/>
              </w:rPr>
            </w:pPr>
            <w:r w:rsidRPr="007136E1">
              <w:rPr>
                <w:color w:val="FFFFFF" w:themeColor="background1"/>
                <w:lang w:eastAsia="en-AU"/>
              </w:rPr>
              <w:t>Publicly Announced</w:t>
            </w:r>
          </w:p>
        </w:tc>
        <w:tc>
          <w:tcPr>
            <w:tcW w:w="1341" w:type="pct"/>
            <w:gridSpan w:val="2"/>
          </w:tcPr>
          <w:p w14:paraId="5566AFF9" w14:textId="1BBAF165" w:rsidR="003C6128" w:rsidRPr="007136E1" w:rsidRDefault="00846F16" w:rsidP="00940AD0">
            <w:pPr>
              <w:pStyle w:val="Tableheader"/>
              <w:rPr>
                <w:color w:val="FFFFFF" w:themeColor="background1"/>
                <w:lang w:eastAsia="en-AU"/>
              </w:rPr>
            </w:pPr>
            <w:r>
              <w:rPr>
                <w:color w:val="FFFFFF" w:themeColor="background1"/>
                <w:lang w:eastAsia="en-AU"/>
              </w:rPr>
              <w:t>Advanced</w:t>
            </w:r>
            <w:r w:rsidR="003C6128">
              <w:rPr>
                <w:color w:val="FFFFFF" w:themeColor="background1"/>
                <w:lang w:eastAsia="en-AU"/>
              </w:rPr>
              <w:t xml:space="preserve"> </w:t>
            </w:r>
            <w:r w:rsidR="003C6128" w:rsidRPr="007136E1">
              <w:rPr>
                <w:color w:val="FFFFFF" w:themeColor="background1"/>
                <w:lang w:eastAsia="en-AU"/>
              </w:rPr>
              <w:t>Feasibility</w:t>
            </w:r>
          </w:p>
        </w:tc>
        <w:tc>
          <w:tcPr>
            <w:tcW w:w="1300" w:type="pct"/>
            <w:gridSpan w:val="2"/>
          </w:tcPr>
          <w:p w14:paraId="5F79C0D1" w14:textId="77777777" w:rsidR="003C6128" w:rsidRPr="007136E1" w:rsidRDefault="003C6128" w:rsidP="00940AD0">
            <w:pPr>
              <w:pStyle w:val="Tableheader"/>
              <w:rPr>
                <w:color w:val="FFFFFF" w:themeColor="background1"/>
                <w:lang w:eastAsia="en-AU"/>
              </w:rPr>
            </w:pPr>
            <w:r w:rsidRPr="007136E1">
              <w:rPr>
                <w:color w:val="FFFFFF" w:themeColor="background1"/>
                <w:lang w:eastAsia="en-AU"/>
              </w:rPr>
              <w:t>Committed</w:t>
            </w:r>
          </w:p>
        </w:tc>
      </w:tr>
      <w:tr w:rsidR="00244DB1" w:rsidRPr="007136E1" w14:paraId="13DC69D3" w14:textId="77777777" w:rsidTr="004B119B">
        <w:trPr>
          <w:cnfStyle w:val="000000100000" w:firstRow="0" w:lastRow="0" w:firstColumn="0" w:lastColumn="0" w:oddVBand="0" w:evenVBand="0" w:oddHBand="1" w:evenHBand="0" w:firstRowFirstColumn="0" w:firstRowLastColumn="0" w:lastRowFirstColumn="0" w:lastRowLastColumn="0"/>
          <w:trHeight w:val="315"/>
        </w:trPr>
        <w:tc>
          <w:tcPr>
            <w:tcW w:w="1686" w:type="pct"/>
            <w:shd w:val="clear" w:color="auto" w:fill="005CAF"/>
          </w:tcPr>
          <w:p w14:paraId="23CCBA69" w14:textId="77777777" w:rsidR="003C6128" w:rsidRPr="007136E1" w:rsidRDefault="003C6128" w:rsidP="00940AD0">
            <w:pPr>
              <w:pStyle w:val="Tabletext"/>
              <w:rPr>
                <w:color w:val="FFFFFF" w:themeColor="background1"/>
                <w:lang w:eastAsia="en-AU"/>
              </w:rPr>
            </w:pPr>
          </w:p>
        </w:tc>
        <w:tc>
          <w:tcPr>
            <w:tcW w:w="673" w:type="pct"/>
            <w:shd w:val="clear" w:color="auto" w:fill="005CAF"/>
          </w:tcPr>
          <w:p w14:paraId="0018079E" w14:textId="77777777" w:rsidR="003C6128" w:rsidRPr="007136E1" w:rsidRDefault="003C6128" w:rsidP="00940AD0">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674" w:type="pct"/>
            <w:shd w:val="clear" w:color="auto" w:fill="005CAF"/>
          </w:tcPr>
          <w:p w14:paraId="34E8F817" w14:textId="77777777" w:rsidR="003C6128" w:rsidRPr="007136E1" w:rsidRDefault="003C6128" w:rsidP="00940AD0">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67" w:type="pct"/>
            <w:shd w:val="clear" w:color="auto" w:fill="005CAF"/>
          </w:tcPr>
          <w:p w14:paraId="68824CF7" w14:textId="77777777" w:rsidR="003C6128" w:rsidRPr="007136E1" w:rsidRDefault="003C6128" w:rsidP="00940AD0">
            <w:pPr>
              <w:pStyle w:val="Tabletext"/>
              <w:jc w:val="right"/>
              <w:rPr>
                <w:color w:val="FFFFFF" w:themeColor="background1"/>
                <w:lang w:eastAsia="en-AU"/>
              </w:rPr>
            </w:pPr>
            <w:r w:rsidRPr="007136E1">
              <w:rPr>
                <w:color w:val="FFFFFF" w:themeColor="background1"/>
                <w:sz w:val="16"/>
                <w:szCs w:val="16"/>
                <w:lang w:eastAsia="en-AU"/>
              </w:rPr>
              <w:t>Value A$b</w:t>
            </w:r>
          </w:p>
        </w:tc>
        <w:tc>
          <w:tcPr>
            <w:tcW w:w="683" w:type="pct"/>
            <w:shd w:val="clear" w:color="auto" w:fill="005CAF"/>
          </w:tcPr>
          <w:p w14:paraId="69CF9990" w14:textId="77777777" w:rsidR="003C6128" w:rsidRPr="007136E1" w:rsidRDefault="003C6128" w:rsidP="00940AD0">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17" w:type="pct"/>
            <w:shd w:val="clear" w:color="auto" w:fill="005CAF"/>
          </w:tcPr>
          <w:p w14:paraId="5C43107D" w14:textId="77777777" w:rsidR="003C6128" w:rsidRPr="007136E1" w:rsidRDefault="003C6128" w:rsidP="00940AD0">
            <w:pPr>
              <w:pStyle w:val="Tabletext"/>
              <w:jc w:val="right"/>
              <w:rPr>
                <w:color w:val="FFFFFF" w:themeColor="background1"/>
                <w:lang w:eastAsia="en-AU"/>
              </w:rPr>
            </w:pPr>
            <w:r w:rsidRPr="007136E1">
              <w:rPr>
                <w:color w:val="FFFFFF" w:themeColor="background1"/>
                <w:sz w:val="16"/>
                <w:szCs w:val="16"/>
                <w:lang w:eastAsia="en-AU"/>
              </w:rPr>
              <w:t>Value A$b</w:t>
            </w:r>
          </w:p>
        </w:tc>
      </w:tr>
      <w:tr w:rsidR="00E5729A" w:rsidRPr="007136E1" w14:paraId="40FF701E"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09D47209" w14:textId="77777777" w:rsidR="00E5729A" w:rsidRPr="007136E1" w:rsidRDefault="00E5729A" w:rsidP="00E5729A">
            <w:pPr>
              <w:pStyle w:val="Tabletext"/>
              <w:rPr>
                <w:lang w:eastAsia="en-AU"/>
              </w:rPr>
            </w:pPr>
            <w:r w:rsidRPr="007136E1">
              <w:rPr>
                <w:lang w:eastAsia="en-AU"/>
              </w:rPr>
              <w:t>Aluminium, Alumina, Bauxite</w:t>
            </w:r>
          </w:p>
        </w:tc>
        <w:tc>
          <w:tcPr>
            <w:tcW w:w="673" w:type="pct"/>
            <w:tcBorders>
              <w:left w:val="single" w:sz="4" w:space="0" w:color="auto"/>
              <w:bottom w:val="nil"/>
            </w:tcBorders>
            <w:shd w:val="clear" w:color="auto" w:fill="auto"/>
            <w:vAlign w:val="center"/>
          </w:tcPr>
          <w:p w14:paraId="36278775" w14:textId="4C8D712B" w:rsidR="00E5729A" w:rsidRPr="00C968DD" w:rsidRDefault="00E5729A" w:rsidP="00507FAC">
            <w:pPr>
              <w:pStyle w:val="Tabletext"/>
              <w:jc w:val="right"/>
              <w:rPr>
                <w:lang w:eastAsia="en-AU"/>
              </w:rPr>
            </w:pPr>
            <w:r w:rsidRPr="00C968DD">
              <w:rPr>
                <w:lang w:eastAsia="en-AU"/>
              </w:rPr>
              <w:t>2</w:t>
            </w:r>
          </w:p>
        </w:tc>
        <w:tc>
          <w:tcPr>
            <w:tcW w:w="674" w:type="pct"/>
            <w:tcBorders>
              <w:left w:val="single" w:sz="4" w:space="0" w:color="auto"/>
              <w:bottom w:val="nil"/>
            </w:tcBorders>
            <w:shd w:val="clear" w:color="auto" w:fill="auto"/>
            <w:vAlign w:val="center"/>
          </w:tcPr>
          <w:p w14:paraId="25845239" w14:textId="75FAE8E7" w:rsidR="00E5729A" w:rsidRPr="00C968DD" w:rsidRDefault="00E5729A" w:rsidP="00507FAC">
            <w:pPr>
              <w:pStyle w:val="Tabletext"/>
              <w:jc w:val="right"/>
              <w:rPr>
                <w:lang w:eastAsia="en-AU"/>
              </w:rPr>
            </w:pPr>
            <w:r w:rsidRPr="00C968DD">
              <w:rPr>
                <w:lang w:eastAsia="en-AU"/>
              </w:rPr>
              <w:t>1</w:t>
            </w:r>
          </w:p>
        </w:tc>
        <w:tc>
          <w:tcPr>
            <w:tcW w:w="667" w:type="pct"/>
            <w:tcBorders>
              <w:bottom w:val="nil"/>
              <w:right w:val="single" w:sz="4" w:space="0" w:color="auto"/>
            </w:tcBorders>
            <w:shd w:val="clear" w:color="auto" w:fill="auto"/>
            <w:vAlign w:val="center"/>
          </w:tcPr>
          <w:p w14:paraId="60530974" w14:textId="04FFFAAB" w:rsidR="00E5729A" w:rsidRPr="00C968DD" w:rsidRDefault="00E5729A" w:rsidP="00507FAC">
            <w:pPr>
              <w:pStyle w:val="Tabletext"/>
              <w:jc w:val="right"/>
              <w:rPr>
                <w:lang w:eastAsia="en-AU"/>
              </w:rPr>
            </w:pPr>
            <w:r w:rsidRPr="00C968DD">
              <w:rPr>
                <w:lang w:eastAsia="en-AU"/>
              </w:rPr>
              <w:t>0.3</w:t>
            </w:r>
          </w:p>
        </w:tc>
        <w:tc>
          <w:tcPr>
            <w:tcW w:w="683" w:type="pct"/>
            <w:tcBorders>
              <w:left w:val="single" w:sz="4" w:space="0" w:color="auto"/>
              <w:bottom w:val="nil"/>
            </w:tcBorders>
            <w:shd w:val="clear" w:color="auto" w:fill="auto"/>
            <w:vAlign w:val="center"/>
          </w:tcPr>
          <w:p w14:paraId="6C9EA28C" w14:textId="147F6C52" w:rsidR="00E5729A" w:rsidRPr="00C968DD" w:rsidRDefault="00E5729A" w:rsidP="00507FAC">
            <w:pPr>
              <w:pStyle w:val="Tabletext"/>
              <w:jc w:val="right"/>
              <w:rPr>
                <w:lang w:eastAsia="en-AU"/>
              </w:rPr>
            </w:pPr>
            <w:r w:rsidRPr="00E51A1E">
              <w:t>4</w:t>
            </w:r>
          </w:p>
        </w:tc>
        <w:tc>
          <w:tcPr>
            <w:tcW w:w="617" w:type="pct"/>
            <w:tcBorders>
              <w:bottom w:val="nil"/>
              <w:right w:val="single" w:sz="4" w:space="0" w:color="auto"/>
            </w:tcBorders>
            <w:shd w:val="clear" w:color="auto" w:fill="auto"/>
            <w:vAlign w:val="center"/>
          </w:tcPr>
          <w:p w14:paraId="1CCEB4EC" w14:textId="693B6375" w:rsidR="00E5729A" w:rsidRPr="00C968DD" w:rsidRDefault="00E5729A" w:rsidP="00507FAC">
            <w:pPr>
              <w:pStyle w:val="Tabletext"/>
              <w:jc w:val="right"/>
              <w:rPr>
                <w:lang w:eastAsia="en-AU"/>
              </w:rPr>
            </w:pPr>
            <w:r w:rsidRPr="00E51A1E">
              <w:t>0.8</w:t>
            </w:r>
          </w:p>
        </w:tc>
      </w:tr>
      <w:tr w:rsidR="00E5729A" w:rsidRPr="007136E1" w14:paraId="432CEFF5"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227CF316" w14:textId="77777777" w:rsidR="00E5729A" w:rsidRPr="007136E1" w:rsidRDefault="00E5729A" w:rsidP="00E5729A">
            <w:pPr>
              <w:pStyle w:val="Tabletext"/>
              <w:rPr>
                <w:lang w:eastAsia="en-AU"/>
              </w:rPr>
            </w:pPr>
            <w:r w:rsidRPr="007136E1">
              <w:rPr>
                <w:lang w:eastAsia="en-AU"/>
              </w:rPr>
              <w:t>Coal</w:t>
            </w:r>
          </w:p>
        </w:tc>
        <w:tc>
          <w:tcPr>
            <w:tcW w:w="673" w:type="pct"/>
            <w:tcBorders>
              <w:top w:val="nil"/>
              <w:left w:val="single" w:sz="4" w:space="0" w:color="auto"/>
              <w:bottom w:val="nil"/>
            </w:tcBorders>
            <w:vAlign w:val="center"/>
          </w:tcPr>
          <w:p w14:paraId="2E8651B5" w14:textId="26CE60BF"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42</w:t>
            </w:r>
          </w:p>
        </w:tc>
        <w:tc>
          <w:tcPr>
            <w:tcW w:w="674" w:type="pct"/>
            <w:tcBorders>
              <w:top w:val="nil"/>
              <w:left w:val="single" w:sz="4" w:space="0" w:color="auto"/>
              <w:bottom w:val="nil"/>
            </w:tcBorders>
            <w:vAlign w:val="center"/>
          </w:tcPr>
          <w:p w14:paraId="71F967DD" w14:textId="4EF6B927"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w:t>
            </w:r>
          </w:p>
        </w:tc>
        <w:tc>
          <w:tcPr>
            <w:tcW w:w="667" w:type="pct"/>
            <w:tcBorders>
              <w:top w:val="nil"/>
              <w:bottom w:val="nil"/>
              <w:right w:val="single" w:sz="4" w:space="0" w:color="auto"/>
            </w:tcBorders>
            <w:vAlign w:val="center"/>
          </w:tcPr>
          <w:p w14:paraId="081284B2" w14:textId="676A288C"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1.0</w:t>
            </w:r>
          </w:p>
        </w:tc>
        <w:tc>
          <w:tcPr>
            <w:tcW w:w="683" w:type="pct"/>
            <w:tcBorders>
              <w:top w:val="nil"/>
              <w:left w:val="single" w:sz="4" w:space="0" w:color="auto"/>
              <w:bottom w:val="nil"/>
            </w:tcBorders>
            <w:vAlign w:val="center"/>
          </w:tcPr>
          <w:p w14:paraId="49795A6F" w14:textId="69D5E224" w:rsidR="00E5729A" w:rsidRPr="001A27DC" w:rsidRDefault="00E5729A" w:rsidP="00E5729A">
            <w:pPr>
              <w:pStyle w:val="Tabletext"/>
              <w:jc w:val="right"/>
              <w:rPr>
                <w:rFonts w:asciiTheme="minorHAnsi" w:hAnsiTheme="minorHAnsi" w:cstheme="minorHAnsi"/>
                <w:lang w:eastAsia="en-AU"/>
              </w:rPr>
            </w:pPr>
            <w:r w:rsidRPr="00E51A1E">
              <w:t>10</w:t>
            </w:r>
          </w:p>
        </w:tc>
        <w:tc>
          <w:tcPr>
            <w:tcW w:w="617" w:type="pct"/>
            <w:tcBorders>
              <w:top w:val="nil"/>
              <w:bottom w:val="nil"/>
              <w:right w:val="single" w:sz="4" w:space="0" w:color="auto"/>
            </w:tcBorders>
            <w:vAlign w:val="center"/>
          </w:tcPr>
          <w:p w14:paraId="4F8F2FE3" w14:textId="46A46BD5" w:rsidR="00E5729A" w:rsidRPr="00C968DD" w:rsidRDefault="00E5729A" w:rsidP="00E5729A">
            <w:pPr>
              <w:pStyle w:val="Tabletext"/>
              <w:jc w:val="right"/>
              <w:rPr>
                <w:rFonts w:asciiTheme="minorHAnsi" w:hAnsiTheme="minorHAnsi" w:cstheme="minorHAnsi"/>
                <w:color w:val="000000"/>
              </w:rPr>
            </w:pPr>
            <w:r w:rsidRPr="00C968DD">
              <w:rPr>
                <w:rFonts w:asciiTheme="minorHAnsi" w:hAnsiTheme="minorHAnsi" w:cstheme="minorHAnsi"/>
                <w:color w:val="000000"/>
              </w:rPr>
              <w:t>4.6</w:t>
            </w:r>
          </w:p>
        </w:tc>
      </w:tr>
      <w:tr w:rsidR="00E5729A" w:rsidRPr="007136E1" w14:paraId="18FCE231"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shd w:val="clear" w:color="auto" w:fill="auto"/>
            <w:vAlign w:val="center"/>
          </w:tcPr>
          <w:p w14:paraId="2DFE5156" w14:textId="77777777" w:rsidR="00E5729A" w:rsidRPr="007136E1" w:rsidRDefault="00E5729A" w:rsidP="00E5729A">
            <w:pPr>
              <w:pStyle w:val="Tabletext"/>
              <w:rPr>
                <w:lang w:eastAsia="en-AU"/>
              </w:rPr>
            </w:pPr>
            <w:r w:rsidRPr="007136E1">
              <w:rPr>
                <w:lang w:eastAsia="en-AU"/>
              </w:rPr>
              <w:t>Copper</w:t>
            </w:r>
          </w:p>
        </w:tc>
        <w:tc>
          <w:tcPr>
            <w:tcW w:w="673" w:type="pct"/>
            <w:tcBorders>
              <w:top w:val="nil"/>
              <w:left w:val="single" w:sz="4" w:space="0" w:color="auto"/>
              <w:bottom w:val="nil"/>
            </w:tcBorders>
            <w:shd w:val="clear" w:color="auto" w:fill="auto"/>
            <w:vAlign w:val="center"/>
          </w:tcPr>
          <w:p w14:paraId="10832716" w14:textId="118DCB38"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12</w:t>
            </w:r>
          </w:p>
        </w:tc>
        <w:tc>
          <w:tcPr>
            <w:tcW w:w="674" w:type="pct"/>
            <w:tcBorders>
              <w:top w:val="nil"/>
              <w:left w:val="single" w:sz="4" w:space="0" w:color="auto"/>
              <w:bottom w:val="nil"/>
            </w:tcBorders>
            <w:shd w:val="clear" w:color="auto" w:fill="auto"/>
            <w:vAlign w:val="center"/>
          </w:tcPr>
          <w:p w14:paraId="127F3E7A" w14:textId="50CFF171"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6</w:t>
            </w:r>
          </w:p>
        </w:tc>
        <w:tc>
          <w:tcPr>
            <w:tcW w:w="667" w:type="pct"/>
            <w:tcBorders>
              <w:top w:val="nil"/>
              <w:bottom w:val="nil"/>
              <w:right w:val="single" w:sz="4" w:space="0" w:color="auto"/>
            </w:tcBorders>
            <w:shd w:val="clear" w:color="auto" w:fill="auto"/>
            <w:vAlign w:val="center"/>
          </w:tcPr>
          <w:p w14:paraId="368C8CBD" w14:textId="2B34B739"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3.6</w:t>
            </w:r>
          </w:p>
        </w:tc>
        <w:tc>
          <w:tcPr>
            <w:tcW w:w="683" w:type="pct"/>
            <w:tcBorders>
              <w:top w:val="nil"/>
              <w:left w:val="single" w:sz="4" w:space="0" w:color="auto"/>
              <w:bottom w:val="nil"/>
            </w:tcBorders>
            <w:shd w:val="clear" w:color="auto" w:fill="auto"/>
            <w:vAlign w:val="center"/>
          </w:tcPr>
          <w:p w14:paraId="48FFEDE6" w14:textId="7A97C512" w:rsidR="00E5729A" w:rsidRPr="001A27DC" w:rsidRDefault="00E5729A" w:rsidP="00E5729A">
            <w:pPr>
              <w:pStyle w:val="Tabletext"/>
              <w:jc w:val="right"/>
              <w:rPr>
                <w:rFonts w:asciiTheme="minorHAnsi" w:hAnsiTheme="minorHAnsi" w:cstheme="minorHAnsi"/>
                <w:lang w:eastAsia="en-AU"/>
              </w:rPr>
            </w:pPr>
            <w:r w:rsidRPr="00E51A1E">
              <w:t>2</w:t>
            </w:r>
          </w:p>
        </w:tc>
        <w:tc>
          <w:tcPr>
            <w:tcW w:w="617" w:type="pct"/>
            <w:tcBorders>
              <w:top w:val="nil"/>
              <w:bottom w:val="nil"/>
              <w:right w:val="single" w:sz="4" w:space="0" w:color="auto"/>
            </w:tcBorders>
            <w:shd w:val="clear" w:color="auto" w:fill="auto"/>
            <w:vAlign w:val="center"/>
          </w:tcPr>
          <w:p w14:paraId="1D567616" w14:textId="09CA4578" w:rsidR="00E5729A" w:rsidRPr="001A27DC" w:rsidRDefault="00E5729A" w:rsidP="00E5729A">
            <w:pPr>
              <w:pStyle w:val="Tabletext"/>
              <w:jc w:val="right"/>
              <w:rPr>
                <w:rFonts w:asciiTheme="minorHAnsi" w:hAnsiTheme="minorHAnsi" w:cstheme="minorHAnsi"/>
                <w:lang w:eastAsia="en-AU"/>
              </w:rPr>
            </w:pPr>
            <w:r w:rsidRPr="00E51A1E">
              <w:t>2.3</w:t>
            </w:r>
          </w:p>
        </w:tc>
      </w:tr>
      <w:tr w:rsidR="00E5729A" w:rsidRPr="007136E1" w14:paraId="5BE1EE68"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387E2E1E" w14:textId="77777777" w:rsidR="00E5729A" w:rsidRPr="007136E1" w:rsidRDefault="00E5729A" w:rsidP="00E5729A">
            <w:pPr>
              <w:pStyle w:val="Tabletext"/>
              <w:rPr>
                <w:lang w:eastAsia="en-AU"/>
              </w:rPr>
            </w:pPr>
            <w:r>
              <w:rPr>
                <w:lang w:eastAsia="en-AU"/>
              </w:rPr>
              <w:t>Gold</w:t>
            </w:r>
          </w:p>
        </w:tc>
        <w:tc>
          <w:tcPr>
            <w:tcW w:w="673" w:type="pct"/>
            <w:tcBorders>
              <w:top w:val="nil"/>
              <w:left w:val="single" w:sz="4" w:space="0" w:color="auto"/>
              <w:bottom w:val="nil"/>
            </w:tcBorders>
            <w:vAlign w:val="center"/>
          </w:tcPr>
          <w:p w14:paraId="5BBC1734" w14:textId="1B005D74" w:rsidR="00E5729A" w:rsidRPr="001A27DC" w:rsidRDefault="00E5729A" w:rsidP="00E5729A">
            <w:pPr>
              <w:pStyle w:val="Tabletext"/>
              <w:jc w:val="right"/>
              <w:rPr>
                <w:rFonts w:asciiTheme="minorHAnsi" w:hAnsiTheme="minorHAnsi" w:cstheme="minorHAnsi"/>
              </w:rPr>
            </w:pPr>
            <w:r w:rsidRPr="001A27DC">
              <w:rPr>
                <w:rFonts w:asciiTheme="minorHAnsi" w:hAnsiTheme="minorHAnsi" w:cstheme="minorHAnsi"/>
                <w:color w:val="000000"/>
              </w:rPr>
              <w:t>11</w:t>
            </w:r>
          </w:p>
        </w:tc>
        <w:tc>
          <w:tcPr>
            <w:tcW w:w="674" w:type="pct"/>
            <w:tcBorders>
              <w:top w:val="nil"/>
              <w:left w:val="single" w:sz="4" w:space="0" w:color="auto"/>
              <w:bottom w:val="nil"/>
            </w:tcBorders>
            <w:vAlign w:val="center"/>
          </w:tcPr>
          <w:p w14:paraId="59D30BB8" w14:textId="01E4F03E" w:rsidR="00E5729A" w:rsidRPr="001A27DC" w:rsidRDefault="00E5729A" w:rsidP="00E5729A">
            <w:pPr>
              <w:pStyle w:val="Tabletext"/>
              <w:jc w:val="right"/>
              <w:rPr>
                <w:rFonts w:asciiTheme="minorHAnsi" w:hAnsiTheme="minorHAnsi" w:cstheme="minorHAnsi"/>
              </w:rPr>
            </w:pPr>
            <w:r w:rsidRPr="001A27DC">
              <w:rPr>
                <w:rFonts w:asciiTheme="minorHAnsi" w:hAnsiTheme="minorHAnsi" w:cstheme="minorHAnsi"/>
                <w:color w:val="000000"/>
              </w:rPr>
              <w:t>4</w:t>
            </w:r>
          </w:p>
        </w:tc>
        <w:tc>
          <w:tcPr>
            <w:tcW w:w="667" w:type="pct"/>
            <w:tcBorders>
              <w:top w:val="nil"/>
              <w:bottom w:val="nil"/>
              <w:right w:val="single" w:sz="4" w:space="0" w:color="auto"/>
            </w:tcBorders>
            <w:vAlign w:val="center"/>
          </w:tcPr>
          <w:p w14:paraId="107565EB" w14:textId="478EE919" w:rsidR="00E5729A" w:rsidRPr="001A27DC" w:rsidRDefault="00E5729A" w:rsidP="00E5729A">
            <w:pPr>
              <w:pStyle w:val="Tabletext"/>
              <w:jc w:val="right"/>
              <w:rPr>
                <w:rFonts w:asciiTheme="minorHAnsi" w:hAnsiTheme="minorHAnsi" w:cstheme="minorHAnsi"/>
              </w:rPr>
            </w:pPr>
            <w:r w:rsidRPr="001A27DC">
              <w:rPr>
                <w:rFonts w:asciiTheme="minorHAnsi" w:hAnsiTheme="minorHAnsi" w:cstheme="minorHAnsi"/>
                <w:color w:val="000000"/>
              </w:rPr>
              <w:t>3.0</w:t>
            </w:r>
          </w:p>
        </w:tc>
        <w:tc>
          <w:tcPr>
            <w:tcW w:w="683" w:type="pct"/>
            <w:tcBorders>
              <w:top w:val="nil"/>
              <w:left w:val="single" w:sz="4" w:space="0" w:color="auto"/>
              <w:bottom w:val="nil"/>
            </w:tcBorders>
            <w:vAlign w:val="center"/>
          </w:tcPr>
          <w:p w14:paraId="02D39435" w14:textId="6DAE27AA" w:rsidR="00E5729A" w:rsidRPr="001A27DC" w:rsidRDefault="00E5729A" w:rsidP="00E5729A">
            <w:pPr>
              <w:pStyle w:val="Tabletext"/>
              <w:jc w:val="right"/>
              <w:rPr>
                <w:rFonts w:asciiTheme="minorHAnsi" w:hAnsiTheme="minorHAnsi" w:cstheme="minorHAnsi"/>
                <w:lang w:eastAsia="en-AU"/>
              </w:rPr>
            </w:pPr>
            <w:r w:rsidRPr="00E51A1E">
              <w:t>12</w:t>
            </w:r>
          </w:p>
        </w:tc>
        <w:tc>
          <w:tcPr>
            <w:tcW w:w="617" w:type="pct"/>
            <w:tcBorders>
              <w:top w:val="nil"/>
              <w:bottom w:val="nil"/>
              <w:right w:val="single" w:sz="4" w:space="0" w:color="auto"/>
            </w:tcBorders>
            <w:vAlign w:val="center"/>
          </w:tcPr>
          <w:p w14:paraId="09E972B3" w14:textId="75BAD95B" w:rsidR="00E5729A" w:rsidRPr="001A27DC" w:rsidRDefault="00E5729A" w:rsidP="00E5729A">
            <w:pPr>
              <w:pStyle w:val="Tabletext"/>
              <w:jc w:val="right"/>
              <w:rPr>
                <w:rFonts w:asciiTheme="minorHAnsi" w:hAnsiTheme="minorHAnsi" w:cstheme="minorHAnsi"/>
                <w:lang w:eastAsia="en-AU"/>
              </w:rPr>
            </w:pPr>
            <w:r w:rsidRPr="00E51A1E">
              <w:t>6.6</w:t>
            </w:r>
          </w:p>
        </w:tc>
      </w:tr>
      <w:tr w:rsidR="00E5729A" w:rsidRPr="007136E1" w14:paraId="1FD34B74"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0583F127" w14:textId="77777777" w:rsidR="00E5729A" w:rsidRPr="007136E1" w:rsidRDefault="00E5729A" w:rsidP="00E5729A">
            <w:pPr>
              <w:pStyle w:val="Tabletext"/>
              <w:rPr>
                <w:lang w:eastAsia="en-AU"/>
              </w:rPr>
            </w:pPr>
            <w:r>
              <w:rPr>
                <w:lang w:eastAsia="en-AU"/>
              </w:rPr>
              <w:t>Hydrogen</w:t>
            </w:r>
          </w:p>
        </w:tc>
        <w:tc>
          <w:tcPr>
            <w:tcW w:w="673" w:type="pct"/>
            <w:tcBorders>
              <w:top w:val="nil"/>
              <w:left w:val="single" w:sz="4" w:space="0" w:color="auto"/>
              <w:bottom w:val="nil"/>
            </w:tcBorders>
            <w:shd w:val="clear" w:color="auto" w:fill="auto"/>
            <w:vAlign w:val="center"/>
          </w:tcPr>
          <w:p w14:paraId="31C72682" w14:textId="605F2303"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72</w:t>
            </w:r>
          </w:p>
        </w:tc>
        <w:tc>
          <w:tcPr>
            <w:tcW w:w="674" w:type="pct"/>
            <w:tcBorders>
              <w:top w:val="nil"/>
              <w:left w:val="single" w:sz="4" w:space="0" w:color="auto"/>
              <w:bottom w:val="nil"/>
            </w:tcBorders>
            <w:shd w:val="clear" w:color="auto" w:fill="auto"/>
            <w:vAlign w:val="center"/>
          </w:tcPr>
          <w:p w14:paraId="401D0BB0" w14:textId="2ED72B92"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w:t>
            </w:r>
          </w:p>
        </w:tc>
        <w:tc>
          <w:tcPr>
            <w:tcW w:w="667" w:type="pct"/>
            <w:tcBorders>
              <w:top w:val="nil"/>
              <w:bottom w:val="nil"/>
              <w:right w:val="single" w:sz="4" w:space="0" w:color="auto"/>
            </w:tcBorders>
            <w:shd w:val="clear" w:color="auto" w:fill="auto"/>
            <w:vAlign w:val="center"/>
          </w:tcPr>
          <w:p w14:paraId="35563D33" w14:textId="53EA0BFD"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0.2</w:t>
            </w:r>
          </w:p>
        </w:tc>
        <w:tc>
          <w:tcPr>
            <w:tcW w:w="683" w:type="pct"/>
            <w:tcBorders>
              <w:top w:val="nil"/>
              <w:left w:val="single" w:sz="4" w:space="0" w:color="auto"/>
              <w:bottom w:val="nil"/>
            </w:tcBorders>
            <w:shd w:val="clear" w:color="auto" w:fill="auto"/>
            <w:vAlign w:val="center"/>
          </w:tcPr>
          <w:p w14:paraId="48769456" w14:textId="68F7DFB4" w:rsidR="00E5729A" w:rsidRPr="001A27DC" w:rsidRDefault="00E5729A" w:rsidP="00E5729A">
            <w:pPr>
              <w:pStyle w:val="Tabletext"/>
              <w:jc w:val="right"/>
              <w:rPr>
                <w:rFonts w:asciiTheme="minorHAnsi" w:hAnsiTheme="minorHAnsi" w:cstheme="minorHAnsi"/>
                <w:lang w:eastAsia="en-AU"/>
              </w:rPr>
            </w:pPr>
            <w:r w:rsidRPr="00E51A1E">
              <w:t>3</w:t>
            </w:r>
          </w:p>
        </w:tc>
        <w:tc>
          <w:tcPr>
            <w:tcW w:w="617" w:type="pct"/>
            <w:tcBorders>
              <w:top w:val="nil"/>
              <w:bottom w:val="nil"/>
              <w:right w:val="single" w:sz="4" w:space="0" w:color="auto"/>
            </w:tcBorders>
            <w:shd w:val="clear" w:color="auto" w:fill="auto"/>
            <w:vAlign w:val="center"/>
          </w:tcPr>
          <w:p w14:paraId="082573AC" w14:textId="2EAFF521" w:rsidR="00E5729A" w:rsidRPr="001A27DC" w:rsidRDefault="00E5729A" w:rsidP="00E5729A">
            <w:pPr>
              <w:pStyle w:val="Tabletext"/>
              <w:jc w:val="right"/>
              <w:rPr>
                <w:rFonts w:asciiTheme="minorHAnsi" w:hAnsiTheme="minorHAnsi" w:cstheme="minorHAnsi"/>
                <w:lang w:eastAsia="en-AU"/>
              </w:rPr>
            </w:pPr>
            <w:r w:rsidRPr="00E51A1E">
              <w:t>0.2</w:t>
            </w:r>
          </w:p>
        </w:tc>
      </w:tr>
      <w:tr w:rsidR="00E5729A" w:rsidRPr="007136E1" w14:paraId="14E2FCD3"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08025CF0" w14:textId="77777777" w:rsidR="00E5729A" w:rsidRPr="007136E1" w:rsidRDefault="00E5729A" w:rsidP="00E5729A">
            <w:pPr>
              <w:pStyle w:val="Tabletext"/>
              <w:rPr>
                <w:lang w:eastAsia="en-AU"/>
              </w:rPr>
            </w:pPr>
            <w:r w:rsidRPr="007136E1">
              <w:rPr>
                <w:lang w:eastAsia="en-AU"/>
              </w:rPr>
              <w:t xml:space="preserve">Infrastructure </w:t>
            </w:r>
            <w:r w:rsidRPr="007136E1">
              <w:rPr>
                <w:sz w:val="12"/>
                <w:szCs w:val="12"/>
                <w:lang w:eastAsia="en-AU"/>
              </w:rPr>
              <w:t>a</w:t>
            </w:r>
          </w:p>
        </w:tc>
        <w:tc>
          <w:tcPr>
            <w:tcW w:w="673" w:type="pct"/>
            <w:tcBorders>
              <w:top w:val="nil"/>
              <w:left w:val="single" w:sz="4" w:space="0" w:color="auto"/>
              <w:bottom w:val="nil"/>
            </w:tcBorders>
            <w:vAlign w:val="center"/>
          </w:tcPr>
          <w:p w14:paraId="5DB414B7" w14:textId="6C71F7A8"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30</w:t>
            </w:r>
          </w:p>
        </w:tc>
        <w:tc>
          <w:tcPr>
            <w:tcW w:w="674" w:type="pct"/>
            <w:tcBorders>
              <w:top w:val="nil"/>
              <w:left w:val="single" w:sz="4" w:space="0" w:color="auto"/>
              <w:bottom w:val="nil"/>
            </w:tcBorders>
            <w:vAlign w:val="center"/>
          </w:tcPr>
          <w:p w14:paraId="608B8CCA" w14:textId="70210EEF"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w:t>
            </w:r>
          </w:p>
        </w:tc>
        <w:tc>
          <w:tcPr>
            <w:tcW w:w="667" w:type="pct"/>
            <w:tcBorders>
              <w:top w:val="nil"/>
              <w:bottom w:val="nil"/>
              <w:right w:val="single" w:sz="4" w:space="0" w:color="auto"/>
            </w:tcBorders>
            <w:vAlign w:val="center"/>
          </w:tcPr>
          <w:p w14:paraId="64A51931" w14:textId="1D5EF1C6"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5.6</w:t>
            </w:r>
          </w:p>
        </w:tc>
        <w:tc>
          <w:tcPr>
            <w:tcW w:w="683" w:type="pct"/>
            <w:tcBorders>
              <w:top w:val="nil"/>
              <w:left w:val="single" w:sz="4" w:space="0" w:color="auto"/>
              <w:bottom w:val="nil"/>
            </w:tcBorders>
            <w:vAlign w:val="center"/>
          </w:tcPr>
          <w:p w14:paraId="2CC457A6" w14:textId="3BFEAD57" w:rsidR="00E5729A" w:rsidRPr="001A27DC" w:rsidRDefault="00E5729A" w:rsidP="00E5729A">
            <w:pPr>
              <w:pStyle w:val="Tabletext"/>
              <w:jc w:val="right"/>
              <w:rPr>
                <w:rFonts w:asciiTheme="minorHAnsi" w:hAnsiTheme="minorHAnsi" w:cstheme="minorHAnsi"/>
                <w:lang w:eastAsia="en-AU"/>
              </w:rPr>
            </w:pPr>
            <w:r w:rsidRPr="00E51A1E">
              <w:t>15</w:t>
            </w:r>
          </w:p>
        </w:tc>
        <w:tc>
          <w:tcPr>
            <w:tcW w:w="617" w:type="pct"/>
            <w:tcBorders>
              <w:top w:val="nil"/>
              <w:bottom w:val="nil"/>
              <w:right w:val="single" w:sz="4" w:space="0" w:color="auto"/>
            </w:tcBorders>
            <w:vAlign w:val="center"/>
          </w:tcPr>
          <w:p w14:paraId="036355E6" w14:textId="7CB5AC4D" w:rsidR="00E5729A" w:rsidRPr="001A27DC" w:rsidRDefault="00E5729A" w:rsidP="00E5729A">
            <w:pPr>
              <w:pStyle w:val="Tabletext"/>
              <w:jc w:val="right"/>
              <w:rPr>
                <w:rFonts w:asciiTheme="minorHAnsi" w:hAnsiTheme="minorHAnsi" w:cstheme="minorHAnsi"/>
                <w:lang w:eastAsia="en-AU"/>
              </w:rPr>
            </w:pPr>
            <w:r w:rsidRPr="00E51A1E">
              <w:t>4.4</w:t>
            </w:r>
          </w:p>
        </w:tc>
      </w:tr>
      <w:tr w:rsidR="00E5729A" w:rsidRPr="007136E1" w14:paraId="67D882AC"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6309DAD4" w14:textId="77777777" w:rsidR="00E5729A" w:rsidRPr="007136E1" w:rsidRDefault="00E5729A" w:rsidP="00E5729A">
            <w:pPr>
              <w:pStyle w:val="Tabletext"/>
              <w:rPr>
                <w:lang w:eastAsia="en-AU"/>
              </w:rPr>
            </w:pPr>
            <w:r w:rsidRPr="007136E1">
              <w:rPr>
                <w:lang w:eastAsia="en-AU"/>
              </w:rPr>
              <w:t>Iron ore</w:t>
            </w:r>
          </w:p>
        </w:tc>
        <w:tc>
          <w:tcPr>
            <w:tcW w:w="673" w:type="pct"/>
            <w:tcBorders>
              <w:top w:val="nil"/>
              <w:left w:val="single" w:sz="4" w:space="0" w:color="auto"/>
              <w:bottom w:val="nil"/>
            </w:tcBorders>
            <w:shd w:val="clear" w:color="auto" w:fill="auto"/>
            <w:vAlign w:val="center"/>
          </w:tcPr>
          <w:p w14:paraId="0C1CEF5B" w14:textId="3305484D"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26</w:t>
            </w:r>
          </w:p>
        </w:tc>
        <w:tc>
          <w:tcPr>
            <w:tcW w:w="674" w:type="pct"/>
            <w:tcBorders>
              <w:top w:val="nil"/>
              <w:left w:val="single" w:sz="4" w:space="0" w:color="auto"/>
              <w:bottom w:val="nil"/>
            </w:tcBorders>
            <w:shd w:val="clear" w:color="auto" w:fill="auto"/>
            <w:vAlign w:val="center"/>
          </w:tcPr>
          <w:p w14:paraId="4D171E98" w14:textId="75BAE26F"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3</w:t>
            </w:r>
          </w:p>
        </w:tc>
        <w:tc>
          <w:tcPr>
            <w:tcW w:w="667" w:type="pct"/>
            <w:tcBorders>
              <w:top w:val="nil"/>
              <w:bottom w:val="nil"/>
              <w:right w:val="single" w:sz="4" w:space="0" w:color="auto"/>
            </w:tcBorders>
            <w:shd w:val="clear" w:color="auto" w:fill="auto"/>
            <w:vAlign w:val="center"/>
          </w:tcPr>
          <w:p w14:paraId="0AFD9154" w14:textId="60EDFFB8"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1.6</w:t>
            </w:r>
          </w:p>
        </w:tc>
        <w:tc>
          <w:tcPr>
            <w:tcW w:w="683" w:type="pct"/>
            <w:tcBorders>
              <w:top w:val="nil"/>
              <w:left w:val="single" w:sz="4" w:space="0" w:color="auto"/>
              <w:bottom w:val="nil"/>
            </w:tcBorders>
            <w:shd w:val="clear" w:color="auto" w:fill="auto"/>
            <w:vAlign w:val="center"/>
          </w:tcPr>
          <w:p w14:paraId="3CBCEA67" w14:textId="0A409B46" w:rsidR="00E5729A" w:rsidRPr="001A27DC" w:rsidRDefault="00E5729A" w:rsidP="00E5729A">
            <w:pPr>
              <w:pStyle w:val="Tabletext"/>
              <w:jc w:val="right"/>
              <w:rPr>
                <w:rFonts w:asciiTheme="minorHAnsi" w:hAnsiTheme="minorHAnsi" w:cstheme="minorHAnsi"/>
                <w:lang w:eastAsia="en-AU"/>
              </w:rPr>
            </w:pPr>
            <w:r w:rsidRPr="00E51A1E">
              <w:t>4</w:t>
            </w:r>
          </w:p>
        </w:tc>
        <w:tc>
          <w:tcPr>
            <w:tcW w:w="617" w:type="pct"/>
            <w:tcBorders>
              <w:top w:val="nil"/>
              <w:bottom w:val="nil"/>
              <w:right w:val="single" w:sz="4" w:space="0" w:color="auto"/>
            </w:tcBorders>
            <w:shd w:val="clear" w:color="auto" w:fill="auto"/>
            <w:vAlign w:val="center"/>
          </w:tcPr>
          <w:p w14:paraId="367955AC" w14:textId="4ADE76AE" w:rsidR="00E5729A" w:rsidRPr="001A27DC" w:rsidRDefault="00E5729A" w:rsidP="00E5729A">
            <w:pPr>
              <w:pStyle w:val="Tabletext"/>
              <w:jc w:val="right"/>
              <w:rPr>
                <w:rFonts w:asciiTheme="minorHAnsi" w:hAnsiTheme="minorHAnsi" w:cstheme="minorHAnsi"/>
                <w:lang w:eastAsia="en-AU"/>
              </w:rPr>
            </w:pPr>
            <w:r w:rsidRPr="00E51A1E">
              <w:t>7.2</w:t>
            </w:r>
          </w:p>
        </w:tc>
      </w:tr>
      <w:tr w:rsidR="00E5729A" w:rsidRPr="007136E1" w14:paraId="70D66632"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7819DC7E" w14:textId="77777777" w:rsidR="00E5729A" w:rsidRPr="007136E1" w:rsidRDefault="00E5729A" w:rsidP="00E5729A">
            <w:pPr>
              <w:pStyle w:val="Tabletext"/>
              <w:rPr>
                <w:lang w:eastAsia="en-AU"/>
              </w:rPr>
            </w:pPr>
            <w:r w:rsidRPr="007136E1">
              <w:rPr>
                <w:lang w:eastAsia="en-AU"/>
              </w:rPr>
              <w:t>Lead, Zinc, Silver</w:t>
            </w:r>
          </w:p>
        </w:tc>
        <w:tc>
          <w:tcPr>
            <w:tcW w:w="673" w:type="pct"/>
            <w:tcBorders>
              <w:top w:val="nil"/>
              <w:left w:val="single" w:sz="4" w:space="0" w:color="auto"/>
              <w:bottom w:val="nil"/>
            </w:tcBorders>
            <w:vAlign w:val="center"/>
          </w:tcPr>
          <w:p w14:paraId="132CD014" w14:textId="403DEE44"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5</w:t>
            </w:r>
          </w:p>
        </w:tc>
        <w:tc>
          <w:tcPr>
            <w:tcW w:w="674" w:type="pct"/>
            <w:tcBorders>
              <w:top w:val="nil"/>
              <w:left w:val="single" w:sz="4" w:space="0" w:color="auto"/>
              <w:bottom w:val="nil"/>
            </w:tcBorders>
            <w:vAlign w:val="center"/>
          </w:tcPr>
          <w:p w14:paraId="39373DF2" w14:textId="522BE0BC"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2</w:t>
            </w:r>
          </w:p>
        </w:tc>
        <w:tc>
          <w:tcPr>
            <w:tcW w:w="667" w:type="pct"/>
            <w:tcBorders>
              <w:top w:val="nil"/>
              <w:bottom w:val="nil"/>
              <w:right w:val="single" w:sz="4" w:space="0" w:color="auto"/>
            </w:tcBorders>
            <w:vAlign w:val="center"/>
          </w:tcPr>
          <w:p w14:paraId="17504CFA" w14:textId="19D55133"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0.5</w:t>
            </w:r>
          </w:p>
        </w:tc>
        <w:tc>
          <w:tcPr>
            <w:tcW w:w="683" w:type="pct"/>
            <w:tcBorders>
              <w:top w:val="nil"/>
              <w:left w:val="single" w:sz="4" w:space="0" w:color="auto"/>
              <w:bottom w:val="nil"/>
            </w:tcBorders>
            <w:vAlign w:val="center"/>
          </w:tcPr>
          <w:p w14:paraId="7EA5C10C" w14:textId="0E619CCF" w:rsidR="00E5729A" w:rsidRPr="001A27DC" w:rsidRDefault="00E5729A" w:rsidP="00E5729A">
            <w:pPr>
              <w:pStyle w:val="Tabletext"/>
              <w:jc w:val="right"/>
              <w:rPr>
                <w:rFonts w:asciiTheme="minorHAnsi" w:hAnsiTheme="minorHAnsi" w:cstheme="minorHAnsi"/>
                <w:lang w:eastAsia="en-AU"/>
              </w:rPr>
            </w:pPr>
          </w:p>
        </w:tc>
        <w:tc>
          <w:tcPr>
            <w:tcW w:w="617" w:type="pct"/>
            <w:tcBorders>
              <w:top w:val="nil"/>
              <w:bottom w:val="nil"/>
              <w:right w:val="single" w:sz="4" w:space="0" w:color="auto"/>
            </w:tcBorders>
            <w:vAlign w:val="center"/>
          </w:tcPr>
          <w:p w14:paraId="37EBEC56" w14:textId="51C96653" w:rsidR="00E5729A" w:rsidRPr="001A27DC" w:rsidRDefault="00E5729A" w:rsidP="00E5729A">
            <w:pPr>
              <w:pStyle w:val="Tabletext"/>
              <w:jc w:val="right"/>
              <w:rPr>
                <w:rFonts w:asciiTheme="minorHAnsi" w:hAnsiTheme="minorHAnsi" w:cstheme="minorHAnsi"/>
                <w:lang w:eastAsia="en-AU"/>
              </w:rPr>
            </w:pPr>
          </w:p>
        </w:tc>
      </w:tr>
      <w:tr w:rsidR="00E5729A" w:rsidRPr="007136E1" w14:paraId="69B10BE4"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6C1B8CE3" w14:textId="77777777" w:rsidR="00E5729A" w:rsidRPr="007136E1" w:rsidRDefault="00E5729A" w:rsidP="00E5729A">
            <w:pPr>
              <w:pStyle w:val="Tabletext"/>
              <w:rPr>
                <w:lang w:eastAsia="en-AU"/>
              </w:rPr>
            </w:pPr>
            <w:r>
              <w:rPr>
                <w:lang w:eastAsia="en-AU"/>
              </w:rPr>
              <w:t>Lithium</w:t>
            </w:r>
          </w:p>
        </w:tc>
        <w:tc>
          <w:tcPr>
            <w:tcW w:w="673" w:type="pct"/>
            <w:tcBorders>
              <w:top w:val="nil"/>
              <w:left w:val="single" w:sz="4" w:space="0" w:color="auto"/>
              <w:bottom w:val="nil"/>
            </w:tcBorders>
            <w:shd w:val="clear" w:color="auto" w:fill="auto"/>
            <w:vAlign w:val="center"/>
          </w:tcPr>
          <w:p w14:paraId="77F8E310" w14:textId="1B910C4E"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4</w:t>
            </w:r>
          </w:p>
        </w:tc>
        <w:tc>
          <w:tcPr>
            <w:tcW w:w="674" w:type="pct"/>
            <w:tcBorders>
              <w:top w:val="nil"/>
              <w:left w:val="single" w:sz="4" w:space="0" w:color="auto"/>
              <w:bottom w:val="nil"/>
            </w:tcBorders>
            <w:shd w:val="clear" w:color="auto" w:fill="auto"/>
            <w:vAlign w:val="center"/>
          </w:tcPr>
          <w:p w14:paraId="222BCDBB" w14:textId="36674FAD" w:rsidR="00E5729A" w:rsidRPr="001A27DC" w:rsidRDefault="00E5729A" w:rsidP="00E5729A">
            <w:pPr>
              <w:pStyle w:val="Tabletext"/>
              <w:jc w:val="right"/>
              <w:rPr>
                <w:rFonts w:asciiTheme="minorHAnsi" w:hAnsiTheme="minorHAnsi" w:cstheme="minorHAnsi"/>
                <w:lang w:eastAsia="en-AU"/>
              </w:rPr>
            </w:pPr>
          </w:p>
        </w:tc>
        <w:tc>
          <w:tcPr>
            <w:tcW w:w="667" w:type="pct"/>
            <w:tcBorders>
              <w:top w:val="nil"/>
              <w:bottom w:val="nil"/>
              <w:right w:val="single" w:sz="4" w:space="0" w:color="auto"/>
            </w:tcBorders>
            <w:shd w:val="clear" w:color="auto" w:fill="auto"/>
            <w:vAlign w:val="center"/>
          </w:tcPr>
          <w:p w14:paraId="05804E96" w14:textId="34686B4D" w:rsidR="00E5729A" w:rsidRPr="001A27DC" w:rsidRDefault="00E5729A" w:rsidP="00E5729A">
            <w:pPr>
              <w:pStyle w:val="Tabletext"/>
              <w:jc w:val="right"/>
              <w:rPr>
                <w:rFonts w:asciiTheme="minorHAnsi" w:hAnsiTheme="minorHAnsi" w:cstheme="minorHAnsi"/>
                <w:lang w:eastAsia="en-AU"/>
              </w:rPr>
            </w:pPr>
          </w:p>
        </w:tc>
        <w:tc>
          <w:tcPr>
            <w:tcW w:w="683" w:type="pct"/>
            <w:tcBorders>
              <w:top w:val="nil"/>
              <w:left w:val="single" w:sz="4" w:space="0" w:color="auto"/>
              <w:bottom w:val="nil"/>
            </w:tcBorders>
            <w:shd w:val="clear" w:color="auto" w:fill="auto"/>
            <w:vAlign w:val="center"/>
          </w:tcPr>
          <w:p w14:paraId="26538731" w14:textId="2AF886F8" w:rsidR="00E5729A" w:rsidRPr="001A27DC" w:rsidRDefault="00E5729A" w:rsidP="00E5729A">
            <w:pPr>
              <w:pStyle w:val="Tabletext"/>
              <w:jc w:val="right"/>
              <w:rPr>
                <w:rFonts w:asciiTheme="minorHAnsi" w:hAnsiTheme="minorHAnsi" w:cstheme="minorHAnsi"/>
                <w:lang w:eastAsia="en-AU"/>
              </w:rPr>
            </w:pPr>
            <w:r w:rsidRPr="00E51A1E">
              <w:t>9</w:t>
            </w:r>
          </w:p>
        </w:tc>
        <w:tc>
          <w:tcPr>
            <w:tcW w:w="617" w:type="pct"/>
            <w:tcBorders>
              <w:top w:val="nil"/>
              <w:bottom w:val="nil"/>
              <w:right w:val="single" w:sz="4" w:space="0" w:color="auto"/>
            </w:tcBorders>
            <w:shd w:val="clear" w:color="auto" w:fill="auto"/>
            <w:vAlign w:val="center"/>
          </w:tcPr>
          <w:p w14:paraId="6D762D34" w14:textId="16A9DFDE" w:rsidR="00E5729A" w:rsidRPr="001A27DC" w:rsidRDefault="00E5729A" w:rsidP="00E5729A">
            <w:pPr>
              <w:pStyle w:val="Tabletext"/>
              <w:jc w:val="right"/>
              <w:rPr>
                <w:rFonts w:asciiTheme="minorHAnsi" w:hAnsiTheme="minorHAnsi" w:cstheme="minorHAnsi"/>
                <w:lang w:eastAsia="en-AU"/>
              </w:rPr>
            </w:pPr>
            <w:r w:rsidRPr="00E51A1E">
              <w:t>7.2</w:t>
            </w:r>
          </w:p>
        </w:tc>
      </w:tr>
      <w:tr w:rsidR="00E5729A" w:rsidRPr="007136E1" w14:paraId="608D995C"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4822082A" w14:textId="3A9AB4BC" w:rsidR="00E5729A" w:rsidRPr="007136E1" w:rsidRDefault="00E5729A" w:rsidP="00E5729A">
            <w:pPr>
              <w:pStyle w:val="Tabletext"/>
              <w:rPr>
                <w:lang w:eastAsia="en-AU"/>
              </w:rPr>
            </w:pPr>
            <w:r w:rsidRPr="007136E1">
              <w:rPr>
                <w:lang w:eastAsia="en-AU"/>
              </w:rPr>
              <w:t>Nickel, Cobalt</w:t>
            </w:r>
          </w:p>
        </w:tc>
        <w:tc>
          <w:tcPr>
            <w:tcW w:w="673" w:type="pct"/>
            <w:tcBorders>
              <w:top w:val="nil"/>
              <w:left w:val="single" w:sz="4" w:space="0" w:color="auto"/>
              <w:bottom w:val="nil"/>
            </w:tcBorders>
            <w:vAlign w:val="center"/>
          </w:tcPr>
          <w:p w14:paraId="5CA00108" w14:textId="435DFEDE"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10</w:t>
            </w:r>
          </w:p>
        </w:tc>
        <w:tc>
          <w:tcPr>
            <w:tcW w:w="674" w:type="pct"/>
            <w:tcBorders>
              <w:top w:val="nil"/>
              <w:left w:val="single" w:sz="4" w:space="0" w:color="auto"/>
              <w:bottom w:val="nil"/>
            </w:tcBorders>
            <w:vAlign w:val="center"/>
          </w:tcPr>
          <w:p w14:paraId="01547E94" w14:textId="6489416E"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3</w:t>
            </w:r>
          </w:p>
        </w:tc>
        <w:tc>
          <w:tcPr>
            <w:tcW w:w="667" w:type="pct"/>
            <w:tcBorders>
              <w:top w:val="nil"/>
              <w:bottom w:val="nil"/>
              <w:right w:val="single" w:sz="4" w:space="0" w:color="auto"/>
            </w:tcBorders>
            <w:vAlign w:val="center"/>
          </w:tcPr>
          <w:p w14:paraId="2188B21C" w14:textId="18BE7443"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3.7</w:t>
            </w:r>
          </w:p>
        </w:tc>
        <w:tc>
          <w:tcPr>
            <w:tcW w:w="683" w:type="pct"/>
            <w:tcBorders>
              <w:top w:val="nil"/>
              <w:left w:val="single" w:sz="4" w:space="0" w:color="auto"/>
              <w:bottom w:val="nil"/>
            </w:tcBorders>
            <w:vAlign w:val="center"/>
          </w:tcPr>
          <w:p w14:paraId="14259472" w14:textId="6736F145" w:rsidR="00E5729A" w:rsidRPr="001A27DC" w:rsidRDefault="00E5729A" w:rsidP="00E5729A">
            <w:pPr>
              <w:pStyle w:val="Tabletext"/>
              <w:jc w:val="right"/>
              <w:rPr>
                <w:rFonts w:asciiTheme="minorHAnsi" w:hAnsiTheme="minorHAnsi" w:cstheme="minorHAnsi"/>
                <w:lang w:eastAsia="en-AU"/>
              </w:rPr>
            </w:pPr>
            <w:r w:rsidRPr="00E51A1E">
              <w:t>2</w:t>
            </w:r>
          </w:p>
        </w:tc>
        <w:tc>
          <w:tcPr>
            <w:tcW w:w="617" w:type="pct"/>
            <w:tcBorders>
              <w:top w:val="nil"/>
              <w:bottom w:val="nil"/>
              <w:right w:val="single" w:sz="4" w:space="0" w:color="auto"/>
            </w:tcBorders>
            <w:vAlign w:val="center"/>
          </w:tcPr>
          <w:p w14:paraId="00BCA835" w14:textId="50A072DA" w:rsidR="00E5729A" w:rsidRPr="001A27DC" w:rsidRDefault="00E5729A" w:rsidP="00E5729A">
            <w:pPr>
              <w:pStyle w:val="Tabletext"/>
              <w:jc w:val="right"/>
              <w:rPr>
                <w:rFonts w:asciiTheme="minorHAnsi" w:hAnsiTheme="minorHAnsi" w:cstheme="minorHAnsi"/>
                <w:lang w:eastAsia="en-AU"/>
              </w:rPr>
            </w:pPr>
            <w:r w:rsidRPr="00E51A1E">
              <w:t>2.4</w:t>
            </w:r>
          </w:p>
        </w:tc>
      </w:tr>
      <w:tr w:rsidR="00E5729A" w:rsidRPr="007136E1" w14:paraId="08E6E30C"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3341450A" w14:textId="3386F348" w:rsidR="00E5729A" w:rsidRPr="007136E1" w:rsidRDefault="00E5729A" w:rsidP="00E5729A">
            <w:pPr>
              <w:pStyle w:val="Tabletext"/>
              <w:rPr>
                <w:lang w:eastAsia="en-AU"/>
              </w:rPr>
            </w:pPr>
            <w:r>
              <w:rPr>
                <w:lang w:eastAsia="en-AU"/>
              </w:rPr>
              <w:t>Oil &amp; Gas</w:t>
            </w:r>
          </w:p>
        </w:tc>
        <w:tc>
          <w:tcPr>
            <w:tcW w:w="673" w:type="pct"/>
            <w:tcBorders>
              <w:top w:val="nil"/>
              <w:left w:val="single" w:sz="4" w:space="0" w:color="auto"/>
              <w:bottom w:val="nil"/>
            </w:tcBorders>
            <w:shd w:val="clear" w:color="auto" w:fill="auto"/>
            <w:vAlign w:val="center"/>
          </w:tcPr>
          <w:p w14:paraId="6A025976" w14:textId="20394EFB"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27</w:t>
            </w:r>
          </w:p>
        </w:tc>
        <w:tc>
          <w:tcPr>
            <w:tcW w:w="674" w:type="pct"/>
            <w:tcBorders>
              <w:top w:val="nil"/>
              <w:left w:val="single" w:sz="4" w:space="0" w:color="auto"/>
              <w:bottom w:val="nil"/>
            </w:tcBorders>
            <w:shd w:val="clear" w:color="auto" w:fill="auto"/>
            <w:vAlign w:val="center"/>
          </w:tcPr>
          <w:p w14:paraId="772EF2FC" w14:textId="578BC71C" w:rsidR="00E5729A" w:rsidRPr="001A27DC" w:rsidRDefault="00E5729A" w:rsidP="00E5729A">
            <w:pPr>
              <w:pStyle w:val="Tabletext"/>
              <w:jc w:val="right"/>
              <w:rPr>
                <w:rFonts w:asciiTheme="minorHAnsi" w:hAnsiTheme="minorHAnsi" w:cstheme="minorHAnsi"/>
                <w:lang w:eastAsia="en-AU"/>
              </w:rPr>
            </w:pPr>
          </w:p>
        </w:tc>
        <w:tc>
          <w:tcPr>
            <w:tcW w:w="667" w:type="pct"/>
            <w:tcBorders>
              <w:top w:val="nil"/>
              <w:bottom w:val="nil"/>
              <w:right w:val="single" w:sz="4" w:space="0" w:color="auto"/>
            </w:tcBorders>
            <w:shd w:val="clear" w:color="auto" w:fill="auto"/>
            <w:vAlign w:val="center"/>
          </w:tcPr>
          <w:p w14:paraId="5F2C95B2" w14:textId="28626686" w:rsidR="00E5729A" w:rsidRPr="001A27DC" w:rsidRDefault="00E5729A" w:rsidP="00E5729A">
            <w:pPr>
              <w:pStyle w:val="Tabletext"/>
              <w:jc w:val="right"/>
              <w:rPr>
                <w:rFonts w:asciiTheme="minorHAnsi" w:hAnsiTheme="minorHAnsi" w:cstheme="minorHAnsi"/>
                <w:lang w:eastAsia="en-AU"/>
              </w:rPr>
            </w:pPr>
          </w:p>
        </w:tc>
        <w:tc>
          <w:tcPr>
            <w:tcW w:w="683" w:type="pct"/>
            <w:tcBorders>
              <w:top w:val="nil"/>
              <w:left w:val="single" w:sz="4" w:space="0" w:color="auto"/>
              <w:bottom w:val="nil"/>
            </w:tcBorders>
            <w:shd w:val="clear" w:color="auto" w:fill="auto"/>
            <w:vAlign w:val="center"/>
          </w:tcPr>
          <w:p w14:paraId="4C77BA16" w14:textId="2A789492" w:rsidR="00E5729A" w:rsidRPr="001A27DC" w:rsidRDefault="00E5729A" w:rsidP="00E5729A">
            <w:pPr>
              <w:pStyle w:val="Tabletext"/>
              <w:jc w:val="right"/>
              <w:rPr>
                <w:rFonts w:asciiTheme="minorHAnsi" w:hAnsiTheme="minorHAnsi" w:cstheme="minorHAnsi"/>
                <w:lang w:eastAsia="en-AU"/>
              </w:rPr>
            </w:pPr>
            <w:r w:rsidRPr="00E51A1E">
              <w:t>12</w:t>
            </w:r>
          </w:p>
        </w:tc>
        <w:tc>
          <w:tcPr>
            <w:tcW w:w="617" w:type="pct"/>
            <w:tcBorders>
              <w:top w:val="nil"/>
              <w:bottom w:val="nil"/>
              <w:right w:val="single" w:sz="4" w:space="0" w:color="auto"/>
            </w:tcBorders>
            <w:shd w:val="clear" w:color="auto" w:fill="auto"/>
            <w:vAlign w:val="center"/>
          </w:tcPr>
          <w:p w14:paraId="282AB177" w14:textId="6489DB40" w:rsidR="00E5729A" w:rsidRPr="001A27DC" w:rsidRDefault="00E5729A" w:rsidP="00E5729A">
            <w:pPr>
              <w:pStyle w:val="Tabletext"/>
              <w:jc w:val="right"/>
              <w:rPr>
                <w:rFonts w:asciiTheme="minorHAnsi" w:hAnsiTheme="minorHAnsi" w:cstheme="minorHAnsi"/>
                <w:lang w:eastAsia="en-AU"/>
              </w:rPr>
            </w:pPr>
            <w:r w:rsidRPr="00E51A1E">
              <w:t>36.0</w:t>
            </w:r>
          </w:p>
        </w:tc>
      </w:tr>
      <w:tr w:rsidR="00E5729A" w:rsidRPr="007136E1" w14:paraId="5938CC91" w14:textId="77777777" w:rsidTr="005E5958">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1CA0FB69" w14:textId="77777777" w:rsidR="00E5729A" w:rsidRPr="007136E1" w:rsidRDefault="00E5729A" w:rsidP="00E5729A">
            <w:pPr>
              <w:pStyle w:val="Tabletext"/>
              <w:rPr>
                <w:lang w:eastAsia="en-AU"/>
              </w:rPr>
            </w:pPr>
            <w:r w:rsidRPr="007136E1">
              <w:rPr>
                <w:lang w:eastAsia="en-AU"/>
              </w:rPr>
              <w:t xml:space="preserve">Other Commodities </w:t>
            </w:r>
            <w:r w:rsidRPr="007136E1">
              <w:rPr>
                <w:sz w:val="12"/>
                <w:szCs w:val="12"/>
                <w:lang w:eastAsia="en-AU"/>
              </w:rPr>
              <w:t>b</w:t>
            </w:r>
          </w:p>
        </w:tc>
        <w:tc>
          <w:tcPr>
            <w:tcW w:w="673" w:type="pct"/>
            <w:tcBorders>
              <w:top w:val="nil"/>
              <w:left w:val="single" w:sz="4" w:space="0" w:color="auto"/>
              <w:bottom w:val="nil"/>
            </w:tcBorders>
            <w:vAlign w:val="center"/>
          </w:tcPr>
          <w:p w14:paraId="66D99986" w14:textId="4196B66E"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43</w:t>
            </w:r>
          </w:p>
        </w:tc>
        <w:tc>
          <w:tcPr>
            <w:tcW w:w="674" w:type="pct"/>
            <w:tcBorders>
              <w:top w:val="nil"/>
              <w:left w:val="single" w:sz="4" w:space="0" w:color="auto"/>
              <w:bottom w:val="nil"/>
            </w:tcBorders>
            <w:vAlign w:val="center"/>
          </w:tcPr>
          <w:p w14:paraId="44E3943A" w14:textId="6E0DF833"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23</w:t>
            </w:r>
          </w:p>
        </w:tc>
        <w:tc>
          <w:tcPr>
            <w:tcW w:w="667" w:type="pct"/>
            <w:tcBorders>
              <w:top w:val="nil"/>
              <w:bottom w:val="nil"/>
              <w:right w:val="single" w:sz="4" w:space="0" w:color="auto"/>
            </w:tcBorders>
            <w:vAlign w:val="center"/>
          </w:tcPr>
          <w:p w14:paraId="69BA5A25" w14:textId="6718E72A"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9.6</w:t>
            </w:r>
          </w:p>
        </w:tc>
        <w:tc>
          <w:tcPr>
            <w:tcW w:w="683" w:type="pct"/>
            <w:tcBorders>
              <w:top w:val="nil"/>
              <w:left w:val="single" w:sz="4" w:space="0" w:color="auto"/>
              <w:bottom w:val="nil"/>
            </w:tcBorders>
            <w:vAlign w:val="center"/>
          </w:tcPr>
          <w:p w14:paraId="2D213EEB" w14:textId="78A3A958" w:rsidR="00E5729A" w:rsidRPr="001A27DC" w:rsidRDefault="00E5729A" w:rsidP="00E5729A">
            <w:pPr>
              <w:pStyle w:val="Tabletext"/>
              <w:jc w:val="right"/>
              <w:rPr>
                <w:rFonts w:asciiTheme="minorHAnsi" w:hAnsiTheme="minorHAnsi" w:cstheme="minorHAnsi"/>
                <w:lang w:eastAsia="en-AU"/>
              </w:rPr>
            </w:pPr>
            <w:r w:rsidRPr="00E51A1E">
              <w:t>12</w:t>
            </w:r>
          </w:p>
        </w:tc>
        <w:tc>
          <w:tcPr>
            <w:tcW w:w="617" w:type="pct"/>
            <w:tcBorders>
              <w:top w:val="nil"/>
              <w:bottom w:val="nil"/>
              <w:right w:val="single" w:sz="4" w:space="0" w:color="auto"/>
            </w:tcBorders>
            <w:vAlign w:val="center"/>
          </w:tcPr>
          <w:p w14:paraId="6F77926A" w14:textId="775DC8F0" w:rsidR="00E5729A" w:rsidRPr="001A27DC" w:rsidRDefault="00E5729A" w:rsidP="00E5729A">
            <w:pPr>
              <w:pStyle w:val="Tabletext"/>
              <w:jc w:val="right"/>
              <w:rPr>
                <w:rFonts w:asciiTheme="minorHAnsi" w:hAnsiTheme="minorHAnsi" w:cstheme="minorHAnsi"/>
                <w:lang w:eastAsia="en-AU"/>
              </w:rPr>
            </w:pPr>
            <w:r w:rsidRPr="00E51A1E">
              <w:t>5.6</w:t>
            </w:r>
          </w:p>
        </w:tc>
      </w:tr>
      <w:tr w:rsidR="00C60137" w:rsidRPr="007136E1" w14:paraId="77CE295E" w14:textId="77777777" w:rsidTr="005E5958">
        <w:trPr>
          <w:cnfStyle w:val="000000010000" w:firstRow="0" w:lastRow="0" w:firstColumn="0" w:lastColumn="0" w:oddVBand="0" w:evenVBand="0" w:oddHBand="0" w:evenHBand="1" w:firstRowFirstColumn="0" w:firstRowLastColumn="0" w:lastRowFirstColumn="0" w:lastRowLastColumn="0"/>
          <w:trHeight w:val="397"/>
        </w:trPr>
        <w:tc>
          <w:tcPr>
            <w:tcW w:w="1686" w:type="pct"/>
            <w:tcBorders>
              <w:bottom w:val="single" w:sz="4" w:space="0" w:color="auto"/>
              <w:right w:val="single" w:sz="4" w:space="0" w:color="auto"/>
            </w:tcBorders>
            <w:vAlign w:val="center"/>
          </w:tcPr>
          <w:p w14:paraId="730CAB6B" w14:textId="77777777" w:rsidR="00E5729A" w:rsidRPr="007136E1" w:rsidRDefault="00E5729A" w:rsidP="00E5729A">
            <w:pPr>
              <w:pStyle w:val="Tabletext"/>
              <w:rPr>
                <w:lang w:eastAsia="en-AU"/>
              </w:rPr>
            </w:pPr>
            <w:r w:rsidRPr="007136E1">
              <w:rPr>
                <w:lang w:eastAsia="en-AU"/>
              </w:rPr>
              <w:t>Uranium</w:t>
            </w:r>
          </w:p>
        </w:tc>
        <w:tc>
          <w:tcPr>
            <w:tcW w:w="673" w:type="pct"/>
            <w:tcBorders>
              <w:top w:val="nil"/>
              <w:left w:val="single" w:sz="4" w:space="0" w:color="auto"/>
              <w:bottom w:val="single" w:sz="4" w:space="0" w:color="auto"/>
            </w:tcBorders>
            <w:shd w:val="clear" w:color="auto" w:fill="auto"/>
            <w:vAlign w:val="center"/>
          </w:tcPr>
          <w:p w14:paraId="4819126B" w14:textId="5BE25FA1"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5</w:t>
            </w:r>
          </w:p>
        </w:tc>
        <w:tc>
          <w:tcPr>
            <w:tcW w:w="674" w:type="pct"/>
            <w:tcBorders>
              <w:top w:val="nil"/>
              <w:left w:val="single" w:sz="4" w:space="0" w:color="auto"/>
              <w:bottom w:val="single" w:sz="4" w:space="0" w:color="auto"/>
            </w:tcBorders>
            <w:shd w:val="clear" w:color="auto" w:fill="auto"/>
            <w:vAlign w:val="center"/>
          </w:tcPr>
          <w:p w14:paraId="04E4781A" w14:textId="6A4A5A25"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1</w:t>
            </w:r>
          </w:p>
        </w:tc>
        <w:tc>
          <w:tcPr>
            <w:tcW w:w="667" w:type="pct"/>
            <w:tcBorders>
              <w:top w:val="nil"/>
              <w:bottom w:val="single" w:sz="4" w:space="0" w:color="auto"/>
              <w:right w:val="single" w:sz="4" w:space="0" w:color="auto"/>
            </w:tcBorders>
            <w:shd w:val="clear" w:color="auto" w:fill="auto"/>
            <w:vAlign w:val="center"/>
          </w:tcPr>
          <w:p w14:paraId="4BE04022" w14:textId="2CE9FC0F" w:rsidR="00E5729A" w:rsidRPr="001A27DC" w:rsidRDefault="00E5729A" w:rsidP="00E5729A">
            <w:pPr>
              <w:pStyle w:val="Tabletext"/>
              <w:jc w:val="right"/>
              <w:rPr>
                <w:rFonts w:asciiTheme="minorHAnsi" w:hAnsiTheme="minorHAnsi" w:cstheme="minorHAnsi"/>
                <w:lang w:eastAsia="en-AU"/>
              </w:rPr>
            </w:pPr>
            <w:r w:rsidRPr="001A27DC">
              <w:rPr>
                <w:rFonts w:asciiTheme="minorHAnsi" w:hAnsiTheme="minorHAnsi" w:cstheme="minorHAnsi"/>
                <w:color w:val="000000"/>
              </w:rPr>
              <w:t>0.4</w:t>
            </w:r>
          </w:p>
        </w:tc>
        <w:tc>
          <w:tcPr>
            <w:tcW w:w="683" w:type="pct"/>
            <w:tcBorders>
              <w:top w:val="nil"/>
              <w:left w:val="single" w:sz="4" w:space="0" w:color="auto"/>
              <w:bottom w:val="single" w:sz="4" w:space="0" w:color="auto"/>
            </w:tcBorders>
            <w:shd w:val="clear" w:color="auto" w:fill="auto"/>
            <w:vAlign w:val="center"/>
          </w:tcPr>
          <w:p w14:paraId="75092526" w14:textId="329FC9FB" w:rsidR="00E5729A" w:rsidRPr="001A27DC" w:rsidRDefault="00E5729A" w:rsidP="00E5729A">
            <w:pPr>
              <w:pStyle w:val="Tabletext"/>
              <w:jc w:val="right"/>
              <w:rPr>
                <w:rFonts w:asciiTheme="minorHAnsi" w:hAnsiTheme="minorHAnsi" w:cstheme="minorHAnsi"/>
                <w:lang w:eastAsia="en-AU"/>
              </w:rPr>
            </w:pPr>
            <w:r w:rsidRPr="00E51A1E">
              <w:t>1</w:t>
            </w:r>
          </w:p>
        </w:tc>
        <w:tc>
          <w:tcPr>
            <w:tcW w:w="617" w:type="pct"/>
            <w:tcBorders>
              <w:top w:val="nil"/>
              <w:bottom w:val="single" w:sz="4" w:space="0" w:color="auto"/>
              <w:right w:val="single" w:sz="4" w:space="0" w:color="auto"/>
            </w:tcBorders>
            <w:shd w:val="clear" w:color="auto" w:fill="auto"/>
            <w:vAlign w:val="center"/>
          </w:tcPr>
          <w:p w14:paraId="7AE329F9" w14:textId="25C77C4C" w:rsidR="00E5729A" w:rsidRPr="001A27DC" w:rsidRDefault="00E5729A" w:rsidP="00E5729A">
            <w:pPr>
              <w:pStyle w:val="Tabletext"/>
              <w:jc w:val="right"/>
              <w:rPr>
                <w:rFonts w:asciiTheme="minorHAnsi" w:hAnsiTheme="minorHAnsi" w:cstheme="minorHAnsi"/>
                <w:lang w:eastAsia="en-AU"/>
              </w:rPr>
            </w:pPr>
            <w:r w:rsidRPr="00E51A1E">
              <w:t>0.1</w:t>
            </w:r>
          </w:p>
        </w:tc>
      </w:tr>
      <w:tr w:rsidR="00C60137" w:rsidRPr="007136E1" w14:paraId="6359F6F0" w14:textId="77777777" w:rsidTr="005E5958">
        <w:trPr>
          <w:cnfStyle w:val="000000100000" w:firstRow="0" w:lastRow="0" w:firstColumn="0" w:lastColumn="0" w:oddVBand="0" w:evenVBand="0" w:oddHBand="1" w:evenHBand="0" w:firstRowFirstColumn="0" w:firstRowLastColumn="0" w:lastRowFirstColumn="0" w:lastRowLastColumn="0"/>
          <w:trHeight w:val="315"/>
        </w:trPr>
        <w:tc>
          <w:tcPr>
            <w:tcW w:w="1686" w:type="pct"/>
            <w:tcBorders>
              <w:top w:val="single" w:sz="4" w:space="0" w:color="auto"/>
              <w:right w:val="single" w:sz="4" w:space="0" w:color="auto"/>
            </w:tcBorders>
            <w:vAlign w:val="center"/>
          </w:tcPr>
          <w:p w14:paraId="3B15FB5A" w14:textId="499B7BB7" w:rsidR="00E5729A" w:rsidRPr="007136E1" w:rsidRDefault="00E5729A" w:rsidP="00E5729A">
            <w:pPr>
              <w:pStyle w:val="Tabletext"/>
              <w:rPr>
                <w:b/>
                <w:lang w:eastAsia="en-AU"/>
              </w:rPr>
            </w:pPr>
            <w:r w:rsidRPr="007136E1">
              <w:rPr>
                <w:b/>
                <w:lang w:eastAsia="en-AU"/>
              </w:rPr>
              <w:t>Total</w:t>
            </w:r>
            <w:r w:rsidR="00872D41">
              <w:rPr>
                <w:b/>
                <w:lang w:eastAsia="en-AU"/>
              </w:rPr>
              <w:t xml:space="preserve"> </w:t>
            </w:r>
            <w:r w:rsidR="00872D41">
              <w:rPr>
                <w:sz w:val="12"/>
                <w:szCs w:val="12"/>
                <w:lang w:eastAsia="en-AU"/>
              </w:rPr>
              <w:t>c</w:t>
            </w:r>
          </w:p>
        </w:tc>
        <w:tc>
          <w:tcPr>
            <w:tcW w:w="673" w:type="pct"/>
            <w:tcBorders>
              <w:top w:val="single" w:sz="4" w:space="0" w:color="auto"/>
              <w:left w:val="single" w:sz="4" w:space="0" w:color="auto"/>
            </w:tcBorders>
            <w:vAlign w:val="center"/>
          </w:tcPr>
          <w:p w14:paraId="55587D71" w14:textId="04B0BF62" w:rsidR="00E5729A" w:rsidRPr="001A27DC" w:rsidRDefault="00E5729A" w:rsidP="00E5729A">
            <w:pPr>
              <w:pStyle w:val="Tabletext"/>
              <w:jc w:val="right"/>
              <w:rPr>
                <w:rFonts w:asciiTheme="minorHAnsi" w:hAnsiTheme="minorHAnsi" w:cstheme="minorHAnsi"/>
                <w:b/>
                <w:bCs/>
                <w:lang w:eastAsia="en-AU"/>
              </w:rPr>
            </w:pPr>
            <w:r w:rsidRPr="001A27DC">
              <w:rPr>
                <w:rFonts w:asciiTheme="minorHAnsi" w:hAnsiTheme="minorHAnsi" w:cstheme="minorHAnsi"/>
                <w:b/>
                <w:bCs/>
                <w:color w:val="000000"/>
              </w:rPr>
              <w:t>289</w:t>
            </w:r>
          </w:p>
        </w:tc>
        <w:tc>
          <w:tcPr>
            <w:tcW w:w="674" w:type="pct"/>
            <w:tcBorders>
              <w:top w:val="single" w:sz="4" w:space="0" w:color="auto"/>
              <w:left w:val="single" w:sz="4" w:space="0" w:color="auto"/>
            </w:tcBorders>
            <w:vAlign w:val="center"/>
          </w:tcPr>
          <w:p w14:paraId="3ED13869" w14:textId="7C0EADF3" w:rsidR="00E5729A" w:rsidRPr="001A27DC" w:rsidRDefault="00E5729A" w:rsidP="00E5729A">
            <w:pPr>
              <w:pStyle w:val="Tabletext"/>
              <w:jc w:val="right"/>
              <w:rPr>
                <w:rFonts w:asciiTheme="minorHAnsi" w:hAnsiTheme="minorHAnsi" w:cstheme="minorHAnsi"/>
                <w:b/>
                <w:bCs/>
                <w:lang w:eastAsia="en-AU"/>
              </w:rPr>
            </w:pPr>
            <w:r w:rsidRPr="001A27DC">
              <w:rPr>
                <w:rFonts w:asciiTheme="minorHAnsi" w:hAnsiTheme="minorHAnsi" w:cstheme="minorHAnsi"/>
                <w:b/>
                <w:bCs/>
                <w:color w:val="000000"/>
              </w:rPr>
              <w:t>46</w:t>
            </w:r>
          </w:p>
        </w:tc>
        <w:tc>
          <w:tcPr>
            <w:tcW w:w="667" w:type="pct"/>
            <w:tcBorders>
              <w:top w:val="single" w:sz="4" w:space="0" w:color="auto"/>
              <w:right w:val="single" w:sz="4" w:space="0" w:color="auto"/>
            </w:tcBorders>
            <w:vAlign w:val="center"/>
          </w:tcPr>
          <w:p w14:paraId="7B6DDE3F" w14:textId="44FEA930" w:rsidR="00E5729A" w:rsidRPr="001A27DC" w:rsidRDefault="00E5729A" w:rsidP="00E5729A">
            <w:pPr>
              <w:pStyle w:val="Tabletext"/>
              <w:jc w:val="right"/>
              <w:rPr>
                <w:rFonts w:asciiTheme="minorHAnsi" w:hAnsiTheme="minorHAnsi" w:cstheme="minorHAnsi"/>
                <w:b/>
                <w:bCs/>
                <w:lang w:eastAsia="en-AU"/>
              </w:rPr>
            </w:pPr>
            <w:r w:rsidRPr="001A27DC">
              <w:rPr>
                <w:rFonts w:asciiTheme="minorHAnsi" w:hAnsiTheme="minorHAnsi" w:cstheme="minorHAnsi"/>
                <w:b/>
                <w:bCs/>
                <w:color w:val="000000"/>
              </w:rPr>
              <w:t>29.5</w:t>
            </w:r>
          </w:p>
        </w:tc>
        <w:tc>
          <w:tcPr>
            <w:tcW w:w="683" w:type="pct"/>
            <w:tcBorders>
              <w:top w:val="single" w:sz="4" w:space="0" w:color="auto"/>
              <w:left w:val="single" w:sz="4" w:space="0" w:color="auto"/>
            </w:tcBorders>
            <w:vAlign w:val="center"/>
          </w:tcPr>
          <w:p w14:paraId="40F40961" w14:textId="49782ACB" w:rsidR="00E5729A" w:rsidRPr="00C968DD" w:rsidRDefault="00E5729A" w:rsidP="00E5729A">
            <w:pPr>
              <w:pStyle w:val="Tabletext"/>
              <w:jc w:val="right"/>
              <w:rPr>
                <w:rFonts w:asciiTheme="minorHAnsi" w:hAnsiTheme="minorHAnsi" w:cstheme="minorHAnsi"/>
                <w:b/>
                <w:bCs/>
                <w:lang w:eastAsia="en-AU"/>
              </w:rPr>
            </w:pPr>
            <w:r w:rsidRPr="00C968DD">
              <w:rPr>
                <w:b/>
                <w:bCs/>
              </w:rPr>
              <w:t>86</w:t>
            </w:r>
          </w:p>
        </w:tc>
        <w:tc>
          <w:tcPr>
            <w:tcW w:w="617" w:type="pct"/>
            <w:tcBorders>
              <w:top w:val="single" w:sz="4" w:space="0" w:color="auto"/>
              <w:right w:val="single" w:sz="4" w:space="0" w:color="auto"/>
            </w:tcBorders>
            <w:vAlign w:val="center"/>
          </w:tcPr>
          <w:p w14:paraId="6D1896B1" w14:textId="20802DAB" w:rsidR="00E5729A" w:rsidRPr="00C968DD" w:rsidRDefault="00E5729A" w:rsidP="00E5729A">
            <w:pPr>
              <w:pStyle w:val="Tabletext"/>
              <w:jc w:val="right"/>
              <w:rPr>
                <w:rFonts w:asciiTheme="minorHAnsi" w:hAnsiTheme="minorHAnsi" w:cstheme="minorHAnsi"/>
                <w:b/>
                <w:bCs/>
                <w:lang w:eastAsia="en-AU"/>
              </w:rPr>
            </w:pPr>
            <w:r w:rsidRPr="00C968DD">
              <w:rPr>
                <w:b/>
                <w:bCs/>
              </w:rPr>
              <w:t>77.4</w:t>
            </w:r>
          </w:p>
        </w:tc>
      </w:tr>
      <w:bookmarkEnd w:id="40"/>
    </w:tbl>
    <w:p w14:paraId="7AF5FD50" w14:textId="5ECDF76D" w:rsidR="00612CA5" w:rsidRPr="007136E1" w:rsidRDefault="00612CA5" w:rsidP="00612CA5">
      <w:pPr>
        <w:pStyle w:val="Source"/>
      </w:pPr>
    </w:p>
    <w:p w14:paraId="4A03D16F" w14:textId="78F86C35" w:rsidR="00612CA5" w:rsidRPr="007136E1" w:rsidRDefault="00612CA5" w:rsidP="00612CA5">
      <w:pPr>
        <w:pStyle w:val="Source"/>
      </w:pPr>
      <w:r w:rsidRPr="007136E1">
        <w:t xml:space="preserve">Notes: </w:t>
      </w:r>
      <w:r w:rsidR="00067DC8">
        <w:rPr>
          <w:b/>
        </w:rPr>
        <w:t>a</w:t>
      </w:r>
      <w:r w:rsidR="00067DC8" w:rsidRPr="007136E1">
        <w:rPr>
          <w:b/>
        </w:rPr>
        <w:t xml:space="preserve"> </w:t>
      </w:r>
      <w:r w:rsidR="00067DC8" w:rsidRPr="007136E1">
        <w:t>Infrastructure is limited to resource, energy infrastructure projects including CCS.</w:t>
      </w:r>
      <w:r w:rsidR="00067DC8">
        <w:t xml:space="preserve"> </w:t>
      </w:r>
      <w:r w:rsidR="00067DC8" w:rsidRPr="007136E1">
        <w:rPr>
          <w:b/>
        </w:rPr>
        <w:t>b</w:t>
      </w:r>
      <w:r w:rsidR="00067DC8" w:rsidRPr="007136E1">
        <w:t xml:space="preserve"> Other Commodities is limited to resource</w:t>
      </w:r>
      <w:r w:rsidR="00982B9A">
        <w:t>s</w:t>
      </w:r>
      <w:r w:rsidR="00067DC8" w:rsidRPr="007136E1">
        <w:t xml:space="preserve"> and energy commodities not elsewhere identified</w:t>
      </w:r>
      <w:r w:rsidR="00067DC8">
        <w:t xml:space="preserve">. </w:t>
      </w:r>
      <w:r w:rsidR="00067DC8">
        <w:rPr>
          <w:b/>
        </w:rPr>
        <w:t>c</w:t>
      </w:r>
      <w:r w:rsidR="00067DC8" w:rsidRPr="007136E1">
        <w:rPr>
          <w:b/>
        </w:rPr>
        <w:t xml:space="preserve"> </w:t>
      </w:r>
      <w:r w:rsidR="00067DC8" w:rsidRPr="007136E1">
        <w:t>Totals may not add due to rounding at commodity level.</w:t>
      </w:r>
      <w:bookmarkEnd w:id="39"/>
      <w:r w:rsidRPr="007136E1">
        <w:br/>
        <w:t xml:space="preserve">Source: </w:t>
      </w:r>
      <w:r w:rsidR="00387209">
        <w:t xml:space="preserve">Department of Industry, Science and Resources </w:t>
      </w:r>
      <w:r w:rsidRPr="007136E1">
        <w:t>(202</w:t>
      </w:r>
      <w:r w:rsidR="003653E0">
        <w:t>3</w:t>
      </w:r>
      <w:r w:rsidRPr="007136E1">
        <w:t>)</w:t>
      </w:r>
    </w:p>
    <w:p w14:paraId="37881C9B" w14:textId="010234FE" w:rsidR="003B2873" w:rsidRPr="007136E1" w:rsidRDefault="00612CA5" w:rsidP="003B2873">
      <w:pPr>
        <w:pStyle w:val="Caption"/>
      </w:pPr>
      <w:r w:rsidRPr="007136E1">
        <w:br w:type="page"/>
      </w:r>
      <w:bookmarkStart w:id="41" w:name="_Hlk150415845"/>
      <w:r w:rsidR="003B2873" w:rsidRPr="00FF0524">
        <w:t xml:space="preserve">Table </w:t>
      </w:r>
      <w:r w:rsidR="003B2873" w:rsidRPr="00FF0524">
        <w:rPr>
          <w:noProof/>
        </w:rPr>
        <w:fldChar w:fldCharType="begin"/>
      </w:r>
      <w:r w:rsidR="003B2873" w:rsidRPr="00FF0524">
        <w:rPr>
          <w:noProof/>
        </w:rPr>
        <w:instrText xml:space="preserve"> STYLEREF 1 \s </w:instrText>
      </w:r>
      <w:r w:rsidR="003B2873" w:rsidRPr="00FF0524">
        <w:rPr>
          <w:noProof/>
        </w:rPr>
        <w:fldChar w:fldCharType="separate"/>
      </w:r>
      <w:r w:rsidR="006D6E1F">
        <w:rPr>
          <w:noProof/>
        </w:rPr>
        <w:t>1</w:t>
      </w:r>
      <w:r w:rsidR="003B2873" w:rsidRPr="00FF0524">
        <w:rPr>
          <w:noProof/>
        </w:rPr>
        <w:fldChar w:fldCharType="end"/>
      </w:r>
      <w:r w:rsidR="003B2873" w:rsidRPr="00FF0524">
        <w:t>.</w:t>
      </w:r>
      <w:r w:rsidR="003B2873" w:rsidRPr="00FF0524">
        <w:rPr>
          <w:noProof/>
        </w:rPr>
        <w:fldChar w:fldCharType="begin"/>
      </w:r>
      <w:r w:rsidR="003B2873" w:rsidRPr="00FF0524">
        <w:rPr>
          <w:noProof/>
        </w:rPr>
        <w:instrText xml:space="preserve"> SEQ Table \* ARABIC </w:instrText>
      </w:r>
      <w:r w:rsidR="003B2873" w:rsidRPr="00FF0524">
        <w:rPr>
          <w:noProof/>
        </w:rPr>
        <w:fldChar w:fldCharType="separate"/>
      </w:r>
      <w:r w:rsidR="006D6E1F">
        <w:rPr>
          <w:noProof/>
        </w:rPr>
        <w:t>2</w:t>
      </w:r>
      <w:r w:rsidR="003B2873" w:rsidRPr="00FF0524">
        <w:rPr>
          <w:noProof/>
        </w:rPr>
        <w:fldChar w:fldCharType="end"/>
      </w:r>
      <w:r w:rsidR="003B2873" w:rsidRPr="00FF0524">
        <w:t xml:space="preserve">: </w:t>
      </w:r>
      <w:r w:rsidR="003B2873" w:rsidRPr="00FB0E15">
        <w:t xml:space="preserve">New </w:t>
      </w:r>
      <w:r w:rsidR="000B6FFD">
        <w:t>advanced</w:t>
      </w:r>
      <w:r w:rsidR="003B2873" w:rsidRPr="00FB0E15">
        <w:t xml:space="preserve"> </w:t>
      </w:r>
      <w:r w:rsidR="003B2873">
        <w:t>f</w:t>
      </w:r>
      <w:r w:rsidR="003B2873" w:rsidRPr="00FB0E15">
        <w:t xml:space="preserve">easibility </w:t>
      </w:r>
      <w:r w:rsidR="003B2873">
        <w:t>studies</w:t>
      </w:r>
      <w:r w:rsidR="003B2873" w:rsidRPr="00FB0E15">
        <w:t>, commi</w:t>
      </w:r>
      <w:r w:rsidR="003B2873">
        <w:t>tments to</w:t>
      </w:r>
      <w:r w:rsidR="003B2873" w:rsidRPr="00FB0E15">
        <w:t xml:space="preserve"> projects and projects completed, between 1 </w:t>
      </w:r>
      <w:r w:rsidR="008D018B">
        <w:t xml:space="preserve">Nov </w:t>
      </w:r>
      <w:r w:rsidR="003B2873" w:rsidRPr="00FB0E15">
        <w:t>202</w:t>
      </w:r>
      <w:r w:rsidR="003B2873">
        <w:t>2</w:t>
      </w:r>
      <w:r w:rsidR="003B2873" w:rsidRPr="00FB0E15">
        <w:t xml:space="preserve"> and 31 Oct 202</w:t>
      </w:r>
      <w:r w:rsidR="003B2873">
        <w:t>3</w:t>
      </w:r>
    </w:p>
    <w:tbl>
      <w:tblPr>
        <w:tblStyle w:val="OCETable"/>
        <w:tblW w:w="12673" w:type="dxa"/>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2518"/>
        <w:gridCol w:w="1704"/>
        <w:gridCol w:w="1705"/>
        <w:gridCol w:w="1704"/>
        <w:gridCol w:w="1767"/>
        <w:gridCol w:w="1708"/>
        <w:gridCol w:w="1567"/>
      </w:tblGrid>
      <w:tr w:rsidR="003B2873" w:rsidRPr="007136E1" w14:paraId="15E0396D" w14:textId="77777777" w:rsidTr="00DF3571">
        <w:trPr>
          <w:cnfStyle w:val="100000000000" w:firstRow="1" w:lastRow="0" w:firstColumn="0" w:lastColumn="0" w:oddVBand="0" w:evenVBand="0" w:oddHBand="0" w:evenHBand="0" w:firstRowFirstColumn="0" w:firstRowLastColumn="0" w:lastRowFirstColumn="0" w:lastRowLastColumn="0"/>
          <w:trHeight w:val="477"/>
          <w:tblHeader/>
        </w:trPr>
        <w:tc>
          <w:tcPr>
            <w:tcW w:w="0" w:type="auto"/>
          </w:tcPr>
          <w:p w14:paraId="7BBE2F96" w14:textId="77777777" w:rsidR="003B2873" w:rsidRPr="007136E1" w:rsidRDefault="003B2873" w:rsidP="001F62B4">
            <w:pPr>
              <w:pStyle w:val="Tableheader"/>
              <w:rPr>
                <w:color w:val="FFFFFF" w:themeColor="background1"/>
                <w:lang w:eastAsia="en-AU"/>
              </w:rPr>
            </w:pPr>
          </w:p>
        </w:tc>
        <w:tc>
          <w:tcPr>
            <w:tcW w:w="3409" w:type="dxa"/>
            <w:gridSpan w:val="2"/>
          </w:tcPr>
          <w:p w14:paraId="4A34970F" w14:textId="37F4F54A" w:rsidR="003B2873" w:rsidRPr="007136E1" w:rsidRDefault="003B2873" w:rsidP="001F62B4">
            <w:pPr>
              <w:pStyle w:val="Tableheader"/>
              <w:rPr>
                <w:color w:val="FFFFFF" w:themeColor="background1"/>
                <w:lang w:eastAsia="en-AU"/>
              </w:rPr>
            </w:pPr>
            <w:r>
              <w:rPr>
                <w:color w:val="FFFFFF" w:themeColor="background1"/>
                <w:lang w:eastAsia="en-AU"/>
              </w:rPr>
              <w:t xml:space="preserve">New </w:t>
            </w:r>
            <w:r w:rsidR="000B6FFD">
              <w:rPr>
                <w:color w:val="FFFFFF" w:themeColor="background1"/>
                <w:lang w:eastAsia="en-AU"/>
              </w:rPr>
              <w:t>advanced feasibility</w:t>
            </w:r>
            <w:r>
              <w:rPr>
                <w:color w:val="FFFFFF" w:themeColor="background1"/>
                <w:lang w:eastAsia="en-AU"/>
              </w:rPr>
              <w:t xml:space="preserve"> studies</w:t>
            </w:r>
          </w:p>
        </w:tc>
        <w:tc>
          <w:tcPr>
            <w:tcW w:w="3471" w:type="dxa"/>
            <w:gridSpan w:val="2"/>
          </w:tcPr>
          <w:p w14:paraId="5E94072B" w14:textId="77777777" w:rsidR="003B2873" w:rsidRPr="007136E1" w:rsidRDefault="003B2873" w:rsidP="001F62B4">
            <w:pPr>
              <w:pStyle w:val="Tableheader"/>
              <w:rPr>
                <w:color w:val="FFFFFF" w:themeColor="background1"/>
                <w:lang w:eastAsia="en-AU"/>
              </w:rPr>
            </w:pPr>
            <w:r>
              <w:rPr>
                <w:color w:val="FFFFFF" w:themeColor="background1"/>
                <w:lang w:eastAsia="en-AU"/>
              </w:rPr>
              <w:t>New commitments</w:t>
            </w:r>
          </w:p>
        </w:tc>
        <w:tc>
          <w:tcPr>
            <w:tcW w:w="3275" w:type="dxa"/>
            <w:gridSpan w:val="2"/>
          </w:tcPr>
          <w:p w14:paraId="6FE3EBF6" w14:textId="77777777" w:rsidR="003B2873" w:rsidRPr="007136E1" w:rsidRDefault="003B2873" w:rsidP="001F62B4">
            <w:pPr>
              <w:pStyle w:val="Tableheader"/>
              <w:rPr>
                <w:color w:val="FFFFFF" w:themeColor="background1"/>
                <w:lang w:eastAsia="en-AU"/>
              </w:rPr>
            </w:pPr>
            <w:r w:rsidRPr="007136E1">
              <w:rPr>
                <w:color w:val="FFFFFF" w:themeColor="background1"/>
                <w:lang w:eastAsia="en-AU"/>
              </w:rPr>
              <w:t>Completed</w:t>
            </w:r>
          </w:p>
        </w:tc>
      </w:tr>
      <w:tr w:rsidR="00244DB1" w:rsidRPr="007136E1" w14:paraId="604433E8" w14:textId="77777777" w:rsidTr="008D3675">
        <w:trPr>
          <w:cnfStyle w:val="000000100000" w:firstRow="0" w:lastRow="0" w:firstColumn="0" w:lastColumn="0" w:oddVBand="0" w:evenVBand="0" w:oddHBand="1" w:evenHBand="0" w:firstRowFirstColumn="0" w:firstRowLastColumn="0" w:lastRowFirstColumn="0" w:lastRowLastColumn="0"/>
          <w:trHeight w:val="343"/>
        </w:trPr>
        <w:tc>
          <w:tcPr>
            <w:tcW w:w="0" w:type="auto"/>
            <w:shd w:val="clear" w:color="auto" w:fill="005CAF"/>
          </w:tcPr>
          <w:p w14:paraId="5607C437" w14:textId="77777777" w:rsidR="003B2873" w:rsidRPr="007136E1" w:rsidRDefault="003B2873" w:rsidP="001F62B4">
            <w:pPr>
              <w:pStyle w:val="Tabletext"/>
              <w:rPr>
                <w:color w:val="FFFFFF" w:themeColor="background1"/>
                <w:lang w:eastAsia="en-AU"/>
              </w:rPr>
            </w:pPr>
          </w:p>
        </w:tc>
        <w:tc>
          <w:tcPr>
            <w:tcW w:w="1704" w:type="dxa"/>
            <w:shd w:val="clear" w:color="auto" w:fill="005CAF"/>
          </w:tcPr>
          <w:p w14:paraId="02FF65F9" w14:textId="77777777" w:rsidR="003B2873" w:rsidRPr="007136E1" w:rsidRDefault="003B2873" w:rsidP="001F62B4">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1704" w:type="dxa"/>
            <w:shd w:val="clear" w:color="auto" w:fill="005CAF"/>
          </w:tcPr>
          <w:p w14:paraId="1AF7BBD4" w14:textId="77777777" w:rsidR="003B2873" w:rsidRPr="007136E1" w:rsidRDefault="003B2873" w:rsidP="001F62B4">
            <w:pPr>
              <w:pStyle w:val="Tabletext"/>
              <w:jc w:val="right"/>
              <w:rPr>
                <w:color w:val="FFFFFF" w:themeColor="background1"/>
                <w:sz w:val="16"/>
                <w:szCs w:val="16"/>
                <w:lang w:eastAsia="en-AU"/>
              </w:rPr>
            </w:pPr>
            <w:r w:rsidRPr="007136E1">
              <w:rPr>
                <w:color w:val="FFFFFF" w:themeColor="background1"/>
                <w:sz w:val="16"/>
                <w:szCs w:val="16"/>
                <w:lang w:eastAsia="en-AU"/>
              </w:rPr>
              <w:t>Value A$b</w:t>
            </w:r>
          </w:p>
        </w:tc>
        <w:tc>
          <w:tcPr>
            <w:tcW w:w="1704" w:type="dxa"/>
            <w:shd w:val="clear" w:color="auto" w:fill="005CAF"/>
          </w:tcPr>
          <w:p w14:paraId="2CED7A9A" w14:textId="77777777" w:rsidR="003B2873" w:rsidRPr="007136E1" w:rsidRDefault="003B2873"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766" w:type="dxa"/>
            <w:shd w:val="clear" w:color="auto" w:fill="005CAF"/>
          </w:tcPr>
          <w:p w14:paraId="2D853479" w14:textId="77777777" w:rsidR="003B2873" w:rsidRPr="007136E1" w:rsidRDefault="003B2873" w:rsidP="001F62B4">
            <w:pPr>
              <w:pStyle w:val="Tabletext"/>
              <w:jc w:val="right"/>
              <w:rPr>
                <w:color w:val="FFFFFF" w:themeColor="background1"/>
                <w:lang w:eastAsia="en-AU"/>
              </w:rPr>
            </w:pPr>
            <w:r w:rsidRPr="007136E1">
              <w:rPr>
                <w:color w:val="FFFFFF" w:themeColor="background1"/>
                <w:sz w:val="16"/>
                <w:szCs w:val="16"/>
                <w:lang w:eastAsia="en-AU"/>
              </w:rPr>
              <w:t>Value A$b</w:t>
            </w:r>
          </w:p>
        </w:tc>
        <w:tc>
          <w:tcPr>
            <w:tcW w:w="1708" w:type="dxa"/>
            <w:shd w:val="clear" w:color="auto" w:fill="005CAF"/>
          </w:tcPr>
          <w:p w14:paraId="6A3AC738" w14:textId="77777777" w:rsidR="003B2873" w:rsidRPr="007136E1" w:rsidRDefault="003B2873"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566" w:type="dxa"/>
            <w:shd w:val="clear" w:color="auto" w:fill="005CAF"/>
          </w:tcPr>
          <w:p w14:paraId="6BF99133" w14:textId="77777777" w:rsidR="003B2873" w:rsidRPr="007136E1" w:rsidRDefault="003B2873" w:rsidP="001F62B4">
            <w:pPr>
              <w:pStyle w:val="Tabletext"/>
              <w:jc w:val="right"/>
              <w:rPr>
                <w:color w:val="FFFFFF" w:themeColor="background1"/>
                <w:lang w:eastAsia="en-AU"/>
              </w:rPr>
            </w:pPr>
            <w:r w:rsidRPr="007136E1">
              <w:rPr>
                <w:color w:val="FFFFFF" w:themeColor="background1"/>
                <w:sz w:val="16"/>
                <w:szCs w:val="16"/>
                <w:lang w:eastAsia="en-AU"/>
              </w:rPr>
              <w:t>Value A$b</w:t>
            </w:r>
          </w:p>
        </w:tc>
      </w:tr>
      <w:tr w:rsidR="00244DB1" w:rsidRPr="007136E1" w14:paraId="179D5C7F"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33883827" w14:textId="77777777" w:rsidR="00D02BA9" w:rsidRPr="007136E1" w:rsidRDefault="00D02BA9" w:rsidP="00D02BA9">
            <w:pPr>
              <w:pStyle w:val="Tabletext"/>
              <w:rPr>
                <w:lang w:eastAsia="en-AU"/>
              </w:rPr>
            </w:pPr>
            <w:r w:rsidRPr="007136E1">
              <w:rPr>
                <w:lang w:eastAsia="en-AU"/>
              </w:rPr>
              <w:t>Aluminium, Alumina, Bauxite</w:t>
            </w:r>
          </w:p>
        </w:tc>
        <w:tc>
          <w:tcPr>
            <w:tcW w:w="1704" w:type="dxa"/>
            <w:tcBorders>
              <w:left w:val="single" w:sz="4" w:space="0" w:color="auto"/>
              <w:bottom w:val="nil"/>
            </w:tcBorders>
            <w:shd w:val="clear" w:color="auto" w:fill="auto"/>
            <w:vAlign w:val="center"/>
          </w:tcPr>
          <w:p w14:paraId="0BDF0717" w14:textId="69312EFE" w:rsidR="00D02BA9" w:rsidRPr="00FF0524" w:rsidRDefault="00D02BA9" w:rsidP="00D02BA9">
            <w:pPr>
              <w:pStyle w:val="Tabletext"/>
              <w:jc w:val="right"/>
              <w:rPr>
                <w:rFonts w:asciiTheme="minorHAnsi" w:hAnsiTheme="minorHAnsi" w:cstheme="minorHAnsi"/>
                <w:lang w:eastAsia="en-AU"/>
              </w:rPr>
            </w:pPr>
            <w:r w:rsidRPr="008C48EC">
              <w:t>2</w:t>
            </w:r>
          </w:p>
        </w:tc>
        <w:tc>
          <w:tcPr>
            <w:tcW w:w="1704" w:type="dxa"/>
            <w:tcBorders>
              <w:bottom w:val="nil"/>
              <w:right w:val="single" w:sz="4" w:space="0" w:color="auto"/>
            </w:tcBorders>
            <w:shd w:val="clear" w:color="auto" w:fill="auto"/>
            <w:vAlign w:val="center"/>
          </w:tcPr>
          <w:p w14:paraId="061FA572" w14:textId="46494E67" w:rsidR="00D02BA9" w:rsidRPr="00FF0524" w:rsidRDefault="00D02BA9" w:rsidP="00D02BA9">
            <w:pPr>
              <w:pStyle w:val="Tabletext"/>
              <w:jc w:val="right"/>
              <w:rPr>
                <w:rFonts w:asciiTheme="minorHAnsi" w:hAnsiTheme="minorHAnsi" w:cstheme="minorHAnsi"/>
                <w:lang w:eastAsia="en-AU"/>
              </w:rPr>
            </w:pPr>
            <w:r w:rsidRPr="008C48EC">
              <w:t>0.6</w:t>
            </w:r>
          </w:p>
        </w:tc>
        <w:tc>
          <w:tcPr>
            <w:tcW w:w="1704" w:type="dxa"/>
            <w:tcBorders>
              <w:left w:val="single" w:sz="4" w:space="0" w:color="auto"/>
              <w:bottom w:val="nil"/>
            </w:tcBorders>
            <w:shd w:val="clear" w:color="auto" w:fill="auto"/>
            <w:vAlign w:val="center"/>
          </w:tcPr>
          <w:p w14:paraId="071AC0B6" w14:textId="26B95FC3" w:rsidR="00D02BA9" w:rsidRPr="00FF0524" w:rsidRDefault="00D02BA9" w:rsidP="00D02BA9">
            <w:pPr>
              <w:pStyle w:val="Tabletext"/>
              <w:jc w:val="right"/>
              <w:rPr>
                <w:rFonts w:asciiTheme="minorHAnsi" w:hAnsiTheme="minorHAnsi" w:cstheme="minorHAnsi"/>
                <w:lang w:eastAsia="en-AU"/>
              </w:rPr>
            </w:pPr>
            <w:r w:rsidRPr="008C48EC">
              <w:t>4</w:t>
            </w:r>
          </w:p>
        </w:tc>
        <w:tc>
          <w:tcPr>
            <w:tcW w:w="1766" w:type="dxa"/>
            <w:tcBorders>
              <w:bottom w:val="nil"/>
              <w:right w:val="single" w:sz="4" w:space="0" w:color="auto"/>
            </w:tcBorders>
            <w:shd w:val="clear" w:color="auto" w:fill="auto"/>
            <w:vAlign w:val="center"/>
          </w:tcPr>
          <w:p w14:paraId="285FC5BC" w14:textId="5B31ACBC" w:rsidR="00D02BA9" w:rsidRPr="00FF0524" w:rsidRDefault="00D02BA9" w:rsidP="00D02BA9">
            <w:pPr>
              <w:pStyle w:val="Tabletext"/>
              <w:jc w:val="right"/>
              <w:rPr>
                <w:rFonts w:asciiTheme="minorHAnsi" w:hAnsiTheme="minorHAnsi" w:cstheme="minorHAnsi"/>
                <w:lang w:eastAsia="en-AU"/>
              </w:rPr>
            </w:pPr>
            <w:r w:rsidRPr="008C48EC">
              <w:t>0.8</w:t>
            </w:r>
          </w:p>
        </w:tc>
        <w:tc>
          <w:tcPr>
            <w:tcW w:w="1708" w:type="dxa"/>
            <w:tcBorders>
              <w:left w:val="single" w:sz="4" w:space="0" w:color="auto"/>
              <w:bottom w:val="nil"/>
            </w:tcBorders>
            <w:shd w:val="clear" w:color="auto" w:fill="auto"/>
            <w:vAlign w:val="center"/>
          </w:tcPr>
          <w:p w14:paraId="7D3178F0" w14:textId="2DC47D41" w:rsidR="00D02BA9" w:rsidRPr="00FF0524" w:rsidRDefault="00D02BA9" w:rsidP="00D02BA9">
            <w:pPr>
              <w:pStyle w:val="Tabletext"/>
              <w:jc w:val="right"/>
              <w:rPr>
                <w:rFonts w:asciiTheme="minorHAnsi" w:hAnsiTheme="minorHAnsi" w:cstheme="minorHAnsi"/>
                <w:lang w:eastAsia="en-AU"/>
              </w:rPr>
            </w:pPr>
            <w:r w:rsidRPr="008C48EC">
              <w:t>1</w:t>
            </w:r>
          </w:p>
        </w:tc>
        <w:tc>
          <w:tcPr>
            <w:tcW w:w="1566" w:type="dxa"/>
            <w:tcBorders>
              <w:bottom w:val="nil"/>
              <w:right w:val="single" w:sz="4" w:space="0" w:color="auto"/>
            </w:tcBorders>
            <w:shd w:val="clear" w:color="auto" w:fill="auto"/>
            <w:vAlign w:val="center"/>
          </w:tcPr>
          <w:p w14:paraId="6DF97F81" w14:textId="0C69750D" w:rsidR="00D02BA9" w:rsidRPr="00FF0524" w:rsidRDefault="00D02BA9" w:rsidP="00D02BA9">
            <w:pPr>
              <w:pStyle w:val="Tabletext"/>
              <w:jc w:val="right"/>
              <w:rPr>
                <w:rFonts w:asciiTheme="minorHAnsi" w:hAnsiTheme="minorHAnsi" w:cstheme="minorHAnsi"/>
                <w:lang w:eastAsia="en-AU"/>
              </w:rPr>
            </w:pPr>
            <w:r w:rsidRPr="008C48EC">
              <w:t>0.1</w:t>
            </w:r>
          </w:p>
        </w:tc>
      </w:tr>
      <w:tr w:rsidR="000E4E9E" w:rsidRPr="007136E1" w14:paraId="37CFF670"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0AF22585" w14:textId="77777777" w:rsidR="00D02BA9" w:rsidRPr="007136E1" w:rsidRDefault="00D02BA9" w:rsidP="00D02BA9">
            <w:pPr>
              <w:pStyle w:val="Tabletext"/>
              <w:rPr>
                <w:lang w:eastAsia="en-AU"/>
              </w:rPr>
            </w:pPr>
            <w:r w:rsidRPr="007136E1">
              <w:rPr>
                <w:lang w:eastAsia="en-AU"/>
              </w:rPr>
              <w:t>Coal</w:t>
            </w:r>
          </w:p>
        </w:tc>
        <w:tc>
          <w:tcPr>
            <w:tcW w:w="1704" w:type="dxa"/>
            <w:tcBorders>
              <w:top w:val="nil"/>
              <w:left w:val="single" w:sz="4" w:space="0" w:color="auto"/>
              <w:bottom w:val="nil"/>
            </w:tcBorders>
            <w:vAlign w:val="center"/>
          </w:tcPr>
          <w:p w14:paraId="06960755" w14:textId="04A559C2" w:rsidR="00D02BA9" w:rsidRPr="00FF0524" w:rsidRDefault="00D02BA9" w:rsidP="00D02BA9">
            <w:pPr>
              <w:pStyle w:val="Tabletext"/>
              <w:jc w:val="right"/>
              <w:rPr>
                <w:rFonts w:asciiTheme="minorHAnsi" w:hAnsiTheme="minorHAnsi" w:cstheme="minorHAnsi"/>
                <w:lang w:eastAsia="en-AU"/>
              </w:rPr>
            </w:pPr>
            <w:r w:rsidRPr="008C48EC">
              <w:t>1</w:t>
            </w:r>
          </w:p>
        </w:tc>
        <w:tc>
          <w:tcPr>
            <w:tcW w:w="1704" w:type="dxa"/>
            <w:tcBorders>
              <w:top w:val="nil"/>
              <w:bottom w:val="nil"/>
              <w:right w:val="single" w:sz="4" w:space="0" w:color="auto"/>
            </w:tcBorders>
            <w:vAlign w:val="center"/>
          </w:tcPr>
          <w:p w14:paraId="44A3FB34" w14:textId="4D6E6571" w:rsidR="00D02BA9" w:rsidRPr="00FF0524" w:rsidRDefault="00D02BA9" w:rsidP="00D02BA9">
            <w:pPr>
              <w:pStyle w:val="Tabletext"/>
              <w:jc w:val="right"/>
              <w:rPr>
                <w:rFonts w:asciiTheme="minorHAnsi" w:hAnsiTheme="minorHAnsi" w:cstheme="minorHAnsi"/>
                <w:lang w:eastAsia="en-AU"/>
              </w:rPr>
            </w:pPr>
            <w:r w:rsidRPr="008C48EC">
              <w:t>1.0</w:t>
            </w:r>
          </w:p>
        </w:tc>
        <w:tc>
          <w:tcPr>
            <w:tcW w:w="1704" w:type="dxa"/>
            <w:tcBorders>
              <w:top w:val="nil"/>
              <w:left w:val="single" w:sz="4" w:space="0" w:color="auto"/>
              <w:bottom w:val="nil"/>
            </w:tcBorders>
            <w:vAlign w:val="center"/>
          </w:tcPr>
          <w:p w14:paraId="61E8E3FD" w14:textId="05D569B0" w:rsidR="00D02BA9" w:rsidRPr="00FF0524" w:rsidRDefault="00D02BA9" w:rsidP="00D02BA9">
            <w:pPr>
              <w:pStyle w:val="Tabletext"/>
              <w:jc w:val="right"/>
              <w:rPr>
                <w:rFonts w:asciiTheme="minorHAnsi" w:hAnsiTheme="minorHAnsi" w:cstheme="minorHAnsi"/>
                <w:lang w:eastAsia="en-AU"/>
              </w:rPr>
            </w:pPr>
            <w:r w:rsidRPr="008C48EC">
              <w:t>3</w:t>
            </w:r>
          </w:p>
        </w:tc>
        <w:tc>
          <w:tcPr>
            <w:tcW w:w="1766" w:type="dxa"/>
            <w:tcBorders>
              <w:top w:val="nil"/>
              <w:bottom w:val="nil"/>
              <w:right w:val="single" w:sz="4" w:space="0" w:color="auto"/>
            </w:tcBorders>
            <w:vAlign w:val="center"/>
          </w:tcPr>
          <w:p w14:paraId="3E7F428B" w14:textId="3FA52723" w:rsidR="00D02BA9" w:rsidRPr="00FF0524" w:rsidRDefault="00D02BA9" w:rsidP="00D02BA9">
            <w:pPr>
              <w:pStyle w:val="Tabletext"/>
              <w:jc w:val="right"/>
              <w:rPr>
                <w:rFonts w:asciiTheme="minorHAnsi" w:hAnsiTheme="minorHAnsi" w:cstheme="minorHAnsi"/>
                <w:lang w:eastAsia="en-AU"/>
              </w:rPr>
            </w:pPr>
            <w:r w:rsidRPr="008C48EC">
              <w:t>1.3</w:t>
            </w:r>
          </w:p>
        </w:tc>
        <w:tc>
          <w:tcPr>
            <w:tcW w:w="1708" w:type="dxa"/>
            <w:tcBorders>
              <w:top w:val="nil"/>
              <w:left w:val="single" w:sz="4" w:space="0" w:color="auto"/>
              <w:bottom w:val="nil"/>
            </w:tcBorders>
            <w:vAlign w:val="center"/>
          </w:tcPr>
          <w:p w14:paraId="33289BF9" w14:textId="1E935D95" w:rsidR="00D02BA9" w:rsidRPr="00FF0524" w:rsidRDefault="00D02BA9" w:rsidP="00D02BA9">
            <w:pPr>
              <w:pStyle w:val="Tabletext"/>
              <w:jc w:val="right"/>
              <w:rPr>
                <w:rFonts w:asciiTheme="minorHAnsi" w:hAnsiTheme="minorHAnsi" w:cstheme="minorHAnsi"/>
                <w:lang w:eastAsia="en-AU"/>
              </w:rPr>
            </w:pPr>
            <w:r w:rsidRPr="008C48EC">
              <w:t>3</w:t>
            </w:r>
          </w:p>
        </w:tc>
        <w:tc>
          <w:tcPr>
            <w:tcW w:w="1566" w:type="dxa"/>
            <w:tcBorders>
              <w:top w:val="nil"/>
              <w:bottom w:val="nil"/>
              <w:right w:val="single" w:sz="4" w:space="0" w:color="auto"/>
            </w:tcBorders>
            <w:vAlign w:val="center"/>
          </w:tcPr>
          <w:p w14:paraId="37F47241" w14:textId="5A92387D" w:rsidR="00D02BA9" w:rsidRPr="00FF0524" w:rsidRDefault="00D02BA9" w:rsidP="00D02BA9">
            <w:pPr>
              <w:pStyle w:val="Tabletext"/>
              <w:jc w:val="right"/>
              <w:rPr>
                <w:rFonts w:asciiTheme="minorHAnsi" w:hAnsiTheme="minorHAnsi" w:cstheme="minorHAnsi"/>
                <w:lang w:eastAsia="en-AU"/>
              </w:rPr>
            </w:pPr>
            <w:r w:rsidRPr="008C48EC">
              <w:t>0.9</w:t>
            </w:r>
          </w:p>
        </w:tc>
      </w:tr>
      <w:tr w:rsidR="000E4E9E" w:rsidRPr="007136E1" w14:paraId="19119A19"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shd w:val="clear" w:color="auto" w:fill="auto"/>
            <w:vAlign w:val="center"/>
          </w:tcPr>
          <w:p w14:paraId="402E03D3" w14:textId="77777777" w:rsidR="00D02BA9" w:rsidRPr="007136E1" w:rsidRDefault="00D02BA9" w:rsidP="00D02BA9">
            <w:pPr>
              <w:pStyle w:val="Tabletext"/>
              <w:rPr>
                <w:lang w:eastAsia="en-AU"/>
              </w:rPr>
            </w:pPr>
            <w:r w:rsidRPr="007136E1">
              <w:rPr>
                <w:lang w:eastAsia="en-AU"/>
              </w:rPr>
              <w:t>Copper</w:t>
            </w:r>
          </w:p>
        </w:tc>
        <w:tc>
          <w:tcPr>
            <w:tcW w:w="1704" w:type="dxa"/>
            <w:tcBorders>
              <w:top w:val="nil"/>
              <w:left w:val="single" w:sz="4" w:space="0" w:color="auto"/>
              <w:bottom w:val="nil"/>
            </w:tcBorders>
            <w:shd w:val="clear" w:color="auto" w:fill="auto"/>
            <w:vAlign w:val="center"/>
          </w:tcPr>
          <w:p w14:paraId="40558706" w14:textId="7E54DC19" w:rsidR="00D02BA9" w:rsidRPr="00FF0524" w:rsidRDefault="00D02BA9" w:rsidP="00D02BA9">
            <w:pPr>
              <w:pStyle w:val="Tabletext"/>
              <w:jc w:val="right"/>
              <w:rPr>
                <w:rFonts w:asciiTheme="minorHAnsi" w:hAnsiTheme="minorHAnsi" w:cstheme="minorHAnsi"/>
                <w:lang w:eastAsia="en-AU"/>
              </w:rPr>
            </w:pPr>
            <w:r w:rsidRPr="008C48EC">
              <w:t>2</w:t>
            </w:r>
          </w:p>
        </w:tc>
        <w:tc>
          <w:tcPr>
            <w:tcW w:w="1704" w:type="dxa"/>
            <w:tcBorders>
              <w:top w:val="nil"/>
              <w:bottom w:val="nil"/>
              <w:right w:val="single" w:sz="4" w:space="0" w:color="auto"/>
            </w:tcBorders>
            <w:shd w:val="clear" w:color="auto" w:fill="auto"/>
            <w:vAlign w:val="center"/>
          </w:tcPr>
          <w:p w14:paraId="2C29D510" w14:textId="6876F71F" w:rsidR="00D02BA9" w:rsidRPr="00FF0524" w:rsidRDefault="00D02BA9" w:rsidP="00D02BA9">
            <w:pPr>
              <w:pStyle w:val="Tabletext"/>
              <w:jc w:val="right"/>
              <w:rPr>
                <w:rFonts w:asciiTheme="minorHAnsi" w:hAnsiTheme="minorHAnsi" w:cstheme="minorHAnsi"/>
                <w:lang w:eastAsia="en-AU"/>
              </w:rPr>
            </w:pPr>
            <w:r w:rsidRPr="008C48EC">
              <w:t>0.4</w:t>
            </w:r>
          </w:p>
        </w:tc>
        <w:tc>
          <w:tcPr>
            <w:tcW w:w="1704" w:type="dxa"/>
            <w:tcBorders>
              <w:top w:val="nil"/>
              <w:left w:val="single" w:sz="4" w:space="0" w:color="auto"/>
              <w:bottom w:val="nil"/>
            </w:tcBorders>
            <w:shd w:val="clear" w:color="auto" w:fill="auto"/>
            <w:vAlign w:val="center"/>
          </w:tcPr>
          <w:p w14:paraId="5BDF7F28" w14:textId="77777777" w:rsidR="00D02BA9" w:rsidRPr="00FF0524" w:rsidRDefault="00D02BA9" w:rsidP="00D02BA9">
            <w:pPr>
              <w:pStyle w:val="Tabletext"/>
              <w:jc w:val="right"/>
              <w:rPr>
                <w:rFonts w:asciiTheme="minorHAnsi" w:hAnsiTheme="minorHAnsi" w:cstheme="minorHAnsi"/>
                <w:lang w:eastAsia="en-AU"/>
              </w:rPr>
            </w:pPr>
          </w:p>
        </w:tc>
        <w:tc>
          <w:tcPr>
            <w:tcW w:w="1766" w:type="dxa"/>
            <w:tcBorders>
              <w:top w:val="nil"/>
              <w:bottom w:val="nil"/>
              <w:right w:val="single" w:sz="4" w:space="0" w:color="auto"/>
            </w:tcBorders>
            <w:shd w:val="clear" w:color="auto" w:fill="auto"/>
            <w:vAlign w:val="center"/>
          </w:tcPr>
          <w:p w14:paraId="281E1226" w14:textId="77777777" w:rsidR="00D02BA9" w:rsidRPr="00FF0524" w:rsidRDefault="00D02BA9" w:rsidP="00D02BA9">
            <w:pPr>
              <w:pStyle w:val="Tabletext"/>
              <w:jc w:val="right"/>
              <w:rPr>
                <w:rFonts w:asciiTheme="minorHAnsi" w:hAnsiTheme="minorHAnsi" w:cstheme="minorHAnsi"/>
                <w:lang w:eastAsia="en-AU"/>
              </w:rPr>
            </w:pPr>
          </w:p>
        </w:tc>
        <w:tc>
          <w:tcPr>
            <w:tcW w:w="1708" w:type="dxa"/>
            <w:tcBorders>
              <w:top w:val="nil"/>
              <w:left w:val="single" w:sz="4" w:space="0" w:color="auto"/>
              <w:bottom w:val="nil"/>
            </w:tcBorders>
            <w:shd w:val="clear" w:color="auto" w:fill="auto"/>
            <w:vAlign w:val="center"/>
          </w:tcPr>
          <w:p w14:paraId="24AB15DF" w14:textId="77777777" w:rsidR="00D02BA9" w:rsidRPr="00FF0524" w:rsidRDefault="00D02BA9" w:rsidP="00D02BA9">
            <w:pPr>
              <w:pStyle w:val="Tabletext"/>
              <w:jc w:val="right"/>
              <w:rPr>
                <w:rFonts w:asciiTheme="minorHAnsi" w:hAnsiTheme="minorHAnsi" w:cstheme="minorHAnsi"/>
                <w:lang w:eastAsia="en-AU"/>
              </w:rPr>
            </w:pPr>
          </w:p>
        </w:tc>
        <w:tc>
          <w:tcPr>
            <w:tcW w:w="1566" w:type="dxa"/>
            <w:tcBorders>
              <w:top w:val="nil"/>
              <w:bottom w:val="nil"/>
              <w:right w:val="single" w:sz="4" w:space="0" w:color="auto"/>
            </w:tcBorders>
            <w:shd w:val="clear" w:color="auto" w:fill="auto"/>
            <w:vAlign w:val="center"/>
          </w:tcPr>
          <w:p w14:paraId="5272CC39" w14:textId="77777777" w:rsidR="00D02BA9" w:rsidRPr="00FF0524" w:rsidRDefault="00D02BA9" w:rsidP="00D02BA9">
            <w:pPr>
              <w:pStyle w:val="Tabletext"/>
              <w:jc w:val="right"/>
              <w:rPr>
                <w:rFonts w:asciiTheme="minorHAnsi" w:hAnsiTheme="minorHAnsi" w:cstheme="minorHAnsi"/>
                <w:lang w:eastAsia="en-AU"/>
              </w:rPr>
            </w:pPr>
          </w:p>
        </w:tc>
      </w:tr>
      <w:tr w:rsidR="000E4E9E" w:rsidRPr="007136E1" w14:paraId="158DACE7"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5351806E" w14:textId="77777777" w:rsidR="00D02BA9" w:rsidRPr="007136E1" w:rsidRDefault="00D02BA9" w:rsidP="00D02BA9">
            <w:pPr>
              <w:pStyle w:val="Tabletext"/>
              <w:rPr>
                <w:lang w:eastAsia="en-AU"/>
              </w:rPr>
            </w:pPr>
            <w:r>
              <w:rPr>
                <w:lang w:eastAsia="en-AU"/>
              </w:rPr>
              <w:t>Gold</w:t>
            </w:r>
          </w:p>
        </w:tc>
        <w:tc>
          <w:tcPr>
            <w:tcW w:w="1704" w:type="dxa"/>
            <w:tcBorders>
              <w:top w:val="nil"/>
              <w:left w:val="single" w:sz="4" w:space="0" w:color="auto"/>
              <w:bottom w:val="nil"/>
            </w:tcBorders>
            <w:vAlign w:val="center"/>
          </w:tcPr>
          <w:p w14:paraId="78B8E382" w14:textId="31022FD4" w:rsidR="00D02BA9" w:rsidRPr="00FF0524" w:rsidRDefault="00D02BA9" w:rsidP="00D02BA9">
            <w:pPr>
              <w:pStyle w:val="Tabletext"/>
              <w:jc w:val="right"/>
              <w:rPr>
                <w:rFonts w:asciiTheme="minorHAnsi" w:hAnsiTheme="minorHAnsi" w:cstheme="minorHAnsi"/>
              </w:rPr>
            </w:pPr>
            <w:r w:rsidRPr="008C48EC">
              <w:t>4</w:t>
            </w:r>
          </w:p>
        </w:tc>
        <w:tc>
          <w:tcPr>
            <w:tcW w:w="1704" w:type="dxa"/>
            <w:tcBorders>
              <w:top w:val="nil"/>
              <w:bottom w:val="nil"/>
              <w:right w:val="single" w:sz="4" w:space="0" w:color="auto"/>
            </w:tcBorders>
            <w:vAlign w:val="center"/>
          </w:tcPr>
          <w:p w14:paraId="67FCF37A" w14:textId="3ECE77EF" w:rsidR="00D02BA9" w:rsidRPr="00FF0524" w:rsidRDefault="00D02BA9" w:rsidP="00D02BA9">
            <w:pPr>
              <w:pStyle w:val="Tabletext"/>
              <w:jc w:val="right"/>
              <w:rPr>
                <w:rFonts w:asciiTheme="minorHAnsi" w:hAnsiTheme="minorHAnsi" w:cstheme="minorHAnsi"/>
              </w:rPr>
            </w:pPr>
            <w:r w:rsidRPr="008C48EC">
              <w:t>3.2</w:t>
            </w:r>
          </w:p>
        </w:tc>
        <w:tc>
          <w:tcPr>
            <w:tcW w:w="1704" w:type="dxa"/>
            <w:tcBorders>
              <w:top w:val="nil"/>
              <w:left w:val="single" w:sz="4" w:space="0" w:color="auto"/>
              <w:bottom w:val="nil"/>
            </w:tcBorders>
            <w:vAlign w:val="center"/>
          </w:tcPr>
          <w:p w14:paraId="6E1575E5" w14:textId="3BD59EA1" w:rsidR="00D02BA9" w:rsidRPr="00FF0524" w:rsidRDefault="00D02BA9" w:rsidP="00D02BA9">
            <w:pPr>
              <w:pStyle w:val="Tabletext"/>
              <w:jc w:val="right"/>
              <w:rPr>
                <w:rFonts w:asciiTheme="minorHAnsi" w:hAnsiTheme="minorHAnsi" w:cstheme="minorHAnsi"/>
              </w:rPr>
            </w:pPr>
            <w:r w:rsidRPr="008C48EC">
              <w:t>3</w:t>
            </w:r>
          </w:p>
        </w:tc>
        <w:tc>
          <w:tcPr>
            <w:tcW w:w="1766" w:type="dxa"/>
            <w:tcBorders>
              <w:top w:val="nil"/>
              <w:bottom w:val="nil"/>
              <w:right w:val="single" w:sz="4" w:space="0" w:color="auto"/>
            </w:tcBorders>
            <w:vAlign w:val="center"/>
          </w:tcPr>
          <w:p w14:paraId="4858C595" w14:textId="05F2347A" w:rsidR="00D02BA9" w:rsidRPr="00FF0524" w:rsidRDefault="00D02BA9" w:rsidP="00D02BA9">
            <w:pPr>
              <w:pStyle w:val="Tabletext"/>
              <w:jc w:val="right"/>
              <w:rPr>
                <w:rFonts w:asciiTheme="minorHAnsi" w:hAnsiTheme="minorHAnsi" w:cstheme="minorHAnsi"/>
              </w:rPr>
            </w:pPr>
            <w:r w:rsidRPr="008C48EC">
              <w:t>1.8</w:t>
            </w:r>
          </w:p>
        </w:tc>
        <w:tc>
          <w:tcPr>
            <w:tcW w:w="1708" w:type="dxa"/>
            <w:tcBorders>
              <w:top w:val="nil"/>
              <w:left w:val="single" w:sz="4" w:space="0" w:color="auto"/>
              <w:bottom w:val="nil"/>
            </w:tcBorders>
            <w:vAlign w:val="center"/>
          </w:tcPr>
          <w:p w14:paraId="10A0B47B" w14:textId="5759F9FA" w:rsidR="00D02BA9" w:rsidRPr="00FF0524" w:rsidRDefault="00D02BA9" w:rsidP="00D02BA9">
            <w:pPr>
              <w:pStyle w:val="Tabletext"/>
              <w:jc w:val="right"/>
              <w:rPr>
                <w:rFonts w:asciiTheme="minorHAnsi" w:hAnsiTheme="minorHAnsi" w:cstheme="minorHAnsi"/>
              </w:rPr>
            </w:pPr>
            <w:r w:rsidRPr="008C48EC">
              <w:t>5</w:t>
            </w:r>
          </w:p>
        </w:tc>
        <w:tc>
          <w:tcPr>
            <w:tcW w:w="1566" w:type="dxa"/>
            <w:tcBorders>
              <w:top w:val="nil"/>
              <w:bottom w:val="nil"/>
              <w:right w:val="single" w:sz="4" w:space="0" w:color="auto"/>
            </w:tcBorders>
            <w:vAlign w:val="center"/>
          </w:tcPr>
          <w:p w14:paraId="003893E0" w14:textId="3FCEFEA9" w:rsidR="00D02BA9" w:rsidRPr="00FF0524" w:rsidRDefault="00D02BA9" w:rsidP="00D02BA9">
            <w:pPr>
              <w:pStyle w:val="Tabletext"/>
              <w:jc w:val="right"/>
              <w:rPr>
                <w:rFonts w:asciiTheme="minorHAnsi" w:hAnsiTheme="minorHAnsi" w:cstheme="minorHAnsi"/>
              </w:rPr>
            </w:pPr>
            <w:r w:rsidRPr="008C48EC">
              <w:t>1.2</w:t>
            </w:r>
          </w:p>
        </w:tc>
      </w:tr>
      <w:tr w:rsidR="00244DB1" w:rsidRPr="007136E1" w14:paraId="08853844"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772EDA0E" w14:textId="77777777" w:rsidR="00D02BA9" w:rsidRPr="007136E1" w:rsidRDefault="00D02BA9" w:rsidP="00D02BA9">
            <w:pPr>
              <w:pStyle w:val="Tabletext"/>
              <w:rPr>
                <w:lang w:eastAsia="en-AU"/>
              </w:rPr>
            </w:pPr>
            <w:r>
              <w:rPr>
                <w:lang w:eastAsia="en-AU"/>
              </w:rPr>
              <w:t>Hydrogen</w:t>
            </w:r>
          </w:p>
        </w:tc>
        <w:tc>
          <w:tcPr>
            <w:tcW w:w="1704" w:type="dxa"/>
            <w:tcBorders>
              <w:top w:val="nil"/>
              <w:left w:val="single" w:sz="4" w:space="0" w:color="auto"/>
              <w:bottom w:val="nil"/>
            </w:tcBorders>
            <w:shd w:val="clear" w:color="auto" w:fill="auto"/>
            <w:vAlign w:val="center"/>
          </w:tcPr>
          <w:p w14:paraId="5B7045E0"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nil"/>
              <w:right w:val="single" w:sz="4" w:space="0" w:color="auto"/>
            </w:tcBorders>
            <w:shd w:val="clear" w:color="auto" w:fill="auto"/>
            <w:vAlign w:val="center"/>
          </w:tcPr>
          <w:p w14:paraId="7D3578EA"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nil"/>
            </w:tcBorders>
            <w:shd w:val="clear" w:color="auto" w:fill="auto"/>
            <w:vAlign w:val="center"/>
          </w:tcPr>
          <w:p w14:paraId="076CA159" w14:textId="0D0FD49B" w:rsidR="00D02BA9" w:rsidRPr="00FF0524" w:rsidRDefault="00D02BA9" w:rsidP="00D02BA9">
            <w:pPr>
              <w:pStyle w:val="Tabletext"/>
              <w:jc w:val="right"/>
              <w:rPr>
                <w:rFonts w:asciiTheme="minorHAnsi" w:hAnsiTheme="minorHAnsi" w:cstheme="minorHAnsi"/>
                <w:lang w:eastAsia="en-AU"/>
              </w:rPr>
            </w:pPr>
            <w:r w:rsidRPr="008C48EC">
              <w:t>2</w:t>
            </w:r>
          </w:p>
        </w:tc>
        <w:tc>
          <w:tcPr>
            <w:tcW w:w="1766" w:type="dxa"/>
            <w:tcBorders>
              <w:top w:val="nil"/>
              <w:bottom w:val="nil"/>
              <w:right w:val="single" w:sz="4" w:space="0" w:color="auto"/>
            </w:tcBorders>
            <w:shd w:val="clear" w:color="auto" w:fill="auto"/>
            <w:vAlign w:val="center"/>
          </w:tcPr>
          <w:p w14:paraId="6D767C04" w14:textId="69717385" w:rsidR="00D02BA9" w:rsidRPr="00FF0524" w:rsidRDefault="00D02BA9" w:rsidP="00D02BA9">
            <w:pPr>
              <w:pStyle w:val="Tabletext"/>
              <w:jc w:val="right"/>
              <w:rPr>
                <w:rFonts w:asciiTheme="minorHAnsi" w:hAnsiTheme="minorHAnsi" w:cstheme="minorHAnsi"/>
                <w:lang w:eastAsia="en-AU"/>
              </w:rPr>
            </w:pPr>
            <w:r w:rsidRPr="008C48EC">
              <w:t>0.1</w:t>
            </w:r>
          </w:p>
        </w:tc>
        <w:tc>
          <w:tcPr>
            <w:tcW w:w="1708" w:type="dxa"/>
            <w:tcBorders>
              <w:top w:val="nil"/>
              <w:left w:val="single" w:sz="4" w:space="0" w:color="auto"/>
              <w:bottom w:val="nil"/>
            </w:tcBorders>
            <w:shd w:val="clear" w:color="auto" w:fill="auto"/>
            <w:vAlign w:val="center"/>
          </w:tcPr>
          <w:p w14:paraId="7580977E" w14:textId="77777777" w:rsidR="00D02BA9" w:rsidRPr="00FF0524" w:rsidRDefault="00D02BA9" w:rsidP="00D02BA9">
            <w:pPr>
              <w:pStyle w:val="Tabletext"/>
              <w:jc w:val="right"/>
              <w:rPr>
                <w:rFonts w:asciiTheme="minorHAnsi" w:hAnsiTheme="minorHAnsi" w:cstheme="minorHAnsi"/>
                <w:lang w:eastAsia="en-AU"/>
              </w:rPr>
            </w:pPr>
          </w:p>
        </w:tc>
        <w:tc>
          <w:tcPr>
            <w:tcW w:w="1566" w:type="dxa"/>
            <w:tcBorders>
              <w:top w:val="nil"/>
              <w:bottom w:val="nil"/>
              <w:right w:val="single" w:sz="4" w:space="0" w:color="auto"/>
            </w:tcBorders>
            <w:shd w:val="clear" w:color="auto" w:fill="auto"/>
            <w:vAlign w:val="center"/>
          </w:tcPr>
          <w:p w14:paraId="6140A84B" w14:textId="77777777" w:rsidR="00D02BA9" w:rsidRPr="00FF0524" w:rsidRDefault="00D02BA9" w:rsidP="00D02BA9">
            <w:pPr>
              <w:pStyle w:val="Tabletext"/>
              <w:jc w:val="right"/>
              <w:rPr>
                <w:rFonts w:asciiTheme="minorHAnsi" w:hAnsiTheme="minorHAnsi" w:cstheme="minorHAnsi"/>
                <w:lang w:eastAsia="en-AU"/>
              </w:rPr>
            </w:pPr>
          </w:p>
        </w:tc>
      </w:tr>
      <w:tr w:rsidR="000E4E9E" w:rsidRPr="007136E1" w14:paraId="56F7C03C"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79CC3535" w14:textId="77777777" w:rsidR="00D02BA9" w:rsidRPr="007136E1" w:rsidRDefault="00D02BA9" w:rsidP="00D02BA9">
            <w:pPr>
              <w:pStyle w:val="Tabletext"/>
              <w:rPr>
                <w:lang w:eastAsia="en-AU"/>
              </w:rPr>
            </w:pPr>
            <w:r w:rsidRPr="007136E1">
              <w:rPr>
                <w:lang w:eastAsia="en-AU"/>
              </w:rPr>
              <w:t xml:space="preserve">Infrastructure </w:t>
            </w:r>
            <w:r w:rsidRPr="007136E1">
              <w:rPr>
                <w:sz w:val="12"/>
                <w:szCs w:val="12"/>
                <w:lang w:eastAsia="en-AU"/>
              </w:rPr>
              <w:t>a</w:t>
            </w:r>
          </w:p>
        </w:tc>
        <w:tc>
          <w:tcPr>
            <w:tcW w:w="1704" w:type="dxa"/>
            <w:tcBorders>
              <w:top w:val="nil"/>
              <w:left w:val="single" w:sz="4" w:space="0" w:color="auto"/>
              <w:bottom w:val="nil"/>
            </w:tcBorders>
            <w:vAlign w:val="center"/>
          </w:tcPr>
          <w:p w14:paraId="2A222E69"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nil"/>
              <w:right w:val="single" w:sz="4" w:space="0" w:color="auto"/>
            </w:tcBorders>
            <w:vAlign w:val="center"/>
          </w:tcPr>
          <w:p w14:paraId="7C5B4B3B"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nil"/>
            </w:tcBorders>
            <w:vAlign w:val="center"/>
          </w:tcPr>
          <w:p w14:paraId="55621583" w14:textId="2EE0597F" w:rsidR="00D02BA9" w:rsidRPr="00FF0524" w:rsidRDefault="00D02BA9" w:rsidP="00D02BA9">
            <w:pPr>
              <w:pStyle w:val="Tabletext"/>
              <w:jc w:val="right"/>
              <w:rPr>
                <w:rFonts w:asciiTheme="minorHAnsi" w:hAnsiTheme="minorHAnsi" w:cstheme="minorHAnsi"/>
                <w:lang w:eastAsia="en-AU"/>
              </w:rPr>
            </w:pPr>
            <w:r w:rsidRPr="008C48EC">
              <w:t>1</w:t>
            </w:r>
          </w:p>
        </w:tc>
        <w:tc>
          <w:tcPr>
            <w:tcW w:w="1766" w:type="dxa"/>
            <w:tcBorders>
              <w:top w:val="nil"/>
              <w:bottom w:val="nil"/>
              <w:right w:val="single" w:sz="4" w:space="0" w:color="auto"/>
            </w:tcBorders>
            <w:vAlign w:val="center"/>
          </w:tcPr>
          <w:p w14:paraId="2EE01ED4" w14:textId="059542B0" w:rsidR="00D02BA9" w:rsidRPr="00FF0524" w:rsidRDefault="00D02BA9" w:rsidP="00D02BA9">
            <w:pPr>
              <w:pStyle w:val="Tabletext"/>
              <w:jc w:val="right"/>
              <w:rPr>
                <w:rFonts w:asciiTheme="minorHAnsi" w:hAnsiTheme="minorHAnsi" w:cstheme="minorHAnsi"/>
                <w:lang w:eastAsia="en-AU"/>
              </w:rPr>
            </w:pPr>
            <w:r w:rsidRPr="008C48EC">
              <w:t>0.2</w:t>
            </w:r>
          </w:p>
        </w:tc>
        <w:tc>
          <w:tcPr>
            <w:tcW w:w="1708" w:type="dxa"/>
            <w:tcBorders>
              <w:top w:val="nil"/>
              <w:left w:val="single" w:sz="4" w:space="0" w:color="auto"/>
              <w:bottom w:val="nil"/>
            </w:tcBorders>
            <w:vAlign w:val="center"/>
          </w:tcPr>
          <w:p w14:paraId="670B757E" w14:textId="19615248" w:rsidR="00D02BA9" w:rsidRPr="00FF0524" w:rsidRDefault="00D02BA9" w:rsidP="00D02BA9">
            <w:pPr>
              <w:pStyle w:val="Tabletext"/>
              <w:jc w:val="right"/>
              <w:rPr>
                <w:rFonts w:asciiTheme="minorHAnsi" w:hAnsiTheme="minorHAnsi" w:cstheme="minorHAnsi"/>
                <w:lang w:eastAsia="en-AU"/>
              </w:rPr>
            </w:pPr>
            <w:r w:rsidRPr="008C48EC">
              <w:t>2</w:t>
            </w:r>
          </w:p>
        </w:tc>
        <w:tc>
          <w:tcPr>
            <w:tcW w:w="1566" w:type="dxa"/>
            <w:tcBorders>
              <w:top w:val="nil"/>
              <w:bottom w:val="nil"/>
              <w:right w:val="single" w:sz="4" w:space="0" w:color="auto"/>
            </w:tcBorders>
            <w:vAlign w:val="center"/>
          </w:tcPr>
          <w:p w14:paraId="3DA751BE" w14:textId="67E378D8" w:rsidR="00D02BA9" w:rsidRPr="00FF0524" w:rsidRDefault="00D02BA9" w:rsidP="00D02BA9">
            <w:pPr>
              <w:pStyle w:val="Tabletext"/>
              <w:jc w:val="right"/>
              <w:rPr>
                <w:rFonts w:asciiTheme="minorHAnsi" w:hAnsiTheme="minorHAnsi" w:cstheme="minorHAnsi"/>
                <w:lang w:eastAsia="en-AU"/>
              </w:rPr>
            </w:pPr>
            <w:r w:rsidRPr="008C48EC">
              <w:t>0.6</w:t>
            </w:r>
          </w:p>
        </w:tc>
      </w:tr>
      <w:tr w:rsidR="00244DB1" w:rsidRPr="007136E1" w14:paraId="2B2EE937"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7996B24F" w14:textId="77777777" w:rsidR="00D02BA9" w:rsidRPr="007136E1" w:rsidRDefault="00D02BA9" w:rsidP="00D02BA9">
            <w:pPr>
              <w:pStyle w:val="Tabletext"/>
              <w:rPr>
                <w:lang w:eastAsia="en-AU"/>
              </w:rPr>
            </w:pPr>
            <w:r w:rsidRPr="007136E1">
              <w:rPr>
                <w:lang w:eastAsia="en-AU"/>
              </w:rPr>
              <w:t>Iron ore</w:t>
            </w:r>
          </w:p>
        </w:tc>
        <w:tc>
          <w:tcPr>
            <w:tcW w:w="1704" w:type="dxa"/>
            <w:tcBorders>
              <w:top w:val="nil"/>
              <w:left w:val="single" w:sz="4" w:space="0" w:color="auto"/>
              <w:bottom w:val="nil"/>
            </w:tcBorders>
            <w:shd w:val="clear" w:color="auto" w:fill="auto"/>
            <w:vAlign w:val="center"/>
          </w:tcPr>
          <w:p w14:paraId="25436BD9" w14:textId="3D2094AD" w:rsidR="00D02BA9" w:rsidRPr="00FF0524" w:rsidRDefault="00D02BA9" w:rsidP="00D02BA9">
            <w:pPr>
              <w:pStyle w:val="Tabletext"/>
              <w:jc w:val="right"/>
              <w:rPr>
                <w:rFonts w:asciiTheme="minorHAnsi" w:hAnsiTheme="minorHAnsi" w:cstheme="minorHAnsi"/>
                <w:lang w:eastAsia="en-AU"/>
              </w:rPr>
            </w:pPr>
            <w:r w:rsidRPr="008C48EC">
              <w:t>1</w:t>
            </w:r>
          </w:p>
        </w:tc>
        <w:tc>
          <w:tcPr>
            <w:tcW w:w="1704" w:type="dxa"/>
            <w:tcBorders>
              <w:top w:val="nil"/>
              <w:bottom w:val="nil"/>
              <w:right w:val="single" w:sz="4" w:space="0" w:color="auto"/>
            </w:tcBorders>
            <w:shd w:val="clear" w:color="auto" w:fill="auto"/>
            <w:vAlign w:val="center"/>
          </w:tcPr>
          <w:p w14:paraId="268D3415" w14:textId="336D7D1C" w:rsidR="00D02BA9" w:rsidRPr="00FF0524" w:rsidRDefault="00D02BA9" w:rsidP="00D02BA9">
            <w:pPr>
              <w:pStyle w:val="Tabletext"/>
              <w:jc w:val="right"/>
              <w:rPr>
                <w:rFonts w:asciiTheme="minorHAnsi" w:hAnsiTheme="minorHAnsi" w:cstheme="minorHAnsi"/>
                <w:lang w:eastAsia="en-AU"/>
              </w:rPr>
            </w:pPr>
            <w:r w:rsidRPr="008C48EC">
              <w:t>0.2</w:t>
            </w:r>
          </w:p>
        </w:tc>
        <w:tc>
          <w:tcPr>
            <w:tcW w:w="1704" w:type="dxa"/>
            <w:tcBorders>
              <w:top w:val="nil"/>
              <w:left w:val="single" w:sz="4" w:space="0" w:color="auto"/>
              <w:bottom w:val="nil"/>
            </w:tcBorders>
            <w:shd w:val="clear" w:color="auto" w:fill="auto"/>
            <w:vAlign w:val="center"/>
          </w:tcPr>
          <w:p w14:paraId="1213D1B7" w14:textId="6D3BF451" w:rsidR="00D02BA9" w:rsidRPr="00FF0524" w:rsidRDefault="00D02BA9" w:rsidP="00D02BA9">
            <w:pPr>
              <w:pStyle w:val="Tabletext"/>
              <w:jc w:val="right"/>
              <w:rPr>
                <w:rFonts w:asciiTheme="minorHAnsi" w:hAnsiTheme="minorHAnsi" w:cstheme="minorHAnsi"/>
                <w:lang w:eastAsia="en-AU"/>
              </w:rPr>
            </w:pPr>
            <w:r w:rsidRPr="008C48EC">
              <w:t>2</w:t>
            </w:r>
          </w:p>
        </w:tc>
        <w:tc>
          <w:tcPr>
            <w:tcW w:w="1766" w:type="dxa"/>
            <w:tcBorders>
              <w:top w:val="nil"/>
              <w:bottom w:val="nil"/>
              <w:right w:val="single" w:sz="4" w:space="0" w:color="auto"/>
            </w:tcBorders>
            <w:shd w:val="clear" w:color="auto" w:fill="auto"/>
            <w:vAlign w:val="center"/>
          </w:tcPr>
          <w:p w14:paraId="1D6102EB" w14:textId="3FBB13BD" w:rsidR="00D02BA9" w:rsidRPr="00FF0524" w:rsidRDefault="00D02BA9" w:rsidP="00D02BA9">
            <w:pPr>
              <w:pStyle w:val="Tabletext"/>
              <w:jc w:val="right"/>
              <w:rPr>
                <w:rFonts w:asciiTheme="minorHAnsi" w:hAnsiTheme="minorHAnsi" w:cstheme="minorHAnsi"/>
                <w:lang w:eastAsia="en-AU"/>
              </w:rPr>
            </w:pPr>
            <w:r w:rsidRPr="008C48EC">
              <w:t>4.1</w:t>
            </w:r>
          </w:p>
        </w:tc>
        <w:tc>
          <w:tcPr>
            <w:tcW w:w="1708" w:type="dxa"/>
            <w:tcBorders>
              <w:top w:val="nil"/>
              <w:left w:val="single" w:sz="4" w:space="0" w:color="auto"/>
              <w:bottom w:val="nil"/>
            </w:tcBorders>
            <w:shd w:val="clear" w:color="auto" w:fill="auto"/>
            <w:vAlign w:val="center"/>
          </w:tcPr>
          <w:p w14:paraId="2DB9B602" w14:textId="68B9D05A" w:rsidR="00D02BA9" w:rsidRPr="00FF0524" w:rsidRDefault="00D02BA9" w:rsidP="00D02BA9">
            <w:pPr>
              <w:pStyle w:val="Tabletext"/>
              <w:jc w:val="right"/>
              <w:rPr>
                <w:rFonts w:asciiTheme="minorHAnsi" w:hAnsiTheme="minorHAnsi" w:cstheme="minorHAnsi"/>
                <w:lang w:eastAsia="en-AU"/>
              </w:rPr>
            </w:pPr>
            <w:r w:rsidRPr="008C48EC">
              <w:t>2</w:t>
            </w:r>
          </w:p>
        </w:tc>
        <w:tc>
          <w:tcPr>
            <w:tcW w:w="1566" w:type="dxa"/>
            <w:tcBorders>
              <w:top w:val="nil"/>
              <w:bottom w:val="nil"/>
              <w:right w:val="single" w:sz="4" w:space="0" w:color="auto"/>
            </w:tcBorders>
            <w:shd w:val="clear" w:color="auto" w:fill="auto"/>
            <w:vAlign w:val="center"/>
          </w:tcPr>
          <w:p w14:paraId="48882CE3" w14:textId="04C0E7A0" w:rsidR="00D02BA9" w:rsidRPr="00FF0524" w:rsidRDefault="002D6759" w:rsidP="00D02BA9">
            <w:pPr>
              <w:pStyle w:val="Tabletext"/>
              <w:jc w:val="right"/>
              <w:rPr>
                <w:rFonts w:asciiTheme="minorHAnsi" w:hAnsiTheme="minorHAnsi" w:cstheme="minorHAnsi"/>
                <w:lang w:eastAsia="en-AU"/>
              </w:rPr>
            </w:pPr>
            <w:r>
              <w:t>7.3</w:t>
            </w:r>
          </w:p>
        </w:tc>
      </w:tr>
      <w:tr w:rsidR="000E4E9E" w:rsidRPr="007136E1" w14:paraId="6FF5A8D1"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41B5BA46" w14:textId="77777777" w:rsidR="00D02BA9" w:rsidRPr="007136E1" w:rsidRDefault="00D02BA9" w:rsidP="00D02BA9">
            <w:pPr>
              <w:pStyle w:val="Tabletext"/>
              <w:rPr>
                <w:lang w:eastAsia="en-AU"/>
              </w:rPr>
            </w:pPr>
            <w:r w:rsidRPr="007136E1">
              <w:rPr>
                <w:lang w:eastAsia="en-AU"/>
              </w:rPr>
              <w:t>Lead, Zinc, Silver</w:t>
            </w:r>
          </w:p>
        </w:tc>
        <w:tc>
          <w:tcPr>
            <w:tcW w:w="1704" w:type="dxa"/>
            <w:tcBorders>
              <w:top w:val="nil"/>
              <w:left w:val="single" w:sz="4" w:space="0" w:color="auto"/>
              <w:bottom w:val="nil"/>
            </w:tcBorders>
            <w:vAlign w:val="center"/>
          </w:tcPr>
          <w:p w14:paraId="73B7DA5B" w14:textId="01807427" w:rsidR="00D02BA9" w:rsidRPr="00FF0524" w:rsidRDefault="00D02BA9" w:rsidP="00D02BA9">
            <w:pPr>
              <w:pStyle w:val="Tabletext"/>
              <w:jc w:val="right"/>
              <w:rPr>
                <w:rFonts w:asciiTheme="minorHAnsi" w:hAnsiTheme="minorHAnsi" w:cstheme="minorHAnsi"/>
                <w:lang w:eastAsia="en-AU"/>
              </w:rPr>
            </w:pPr>
            <w:r w:rsidRPr="008C48EC">
              <w:t>1</w:t>
            </w:r>
          </w:p>
        </w:tc>
        <w:tc>
          <w:tcPr>
            <w:tcW w:w="1704" w:type="dxa"/>
            <w:tcBorders>
              <w:top w:val="nil"/>
              <w:bottom w:val="nil"/>
              <w:right w:val="single" w:sz="4" w:space="0" w:color="auto"/>
            </w:tcBorders>
            <w:vAlign w:val="center"/>
          </w:tcPr>
          <w:p w14:paraId="6F40C779" w14:textId="3F62515E" w:rsidR="00D02BA9" w:rsidRPr="00FF0524" w:rsidRDefault="00D02BA9" w:rsidP="00D02BA9">
            <w:pPr>
              <w:pStyle w:val="Tabletext"/>
              <w:jc w:val="right"/>
              <w:rPr>
                <w:rFonts w:asciiTheme="minorHAnsi" w:hAnsiTheme="minorHAnsi" w:cstheme="minorHAnsi"/>
                <w:lang w:eastAsia="en-AU"/>
              </w:rPr>
            </w:pPr>
            <w:r w:rsidRPr="008C48EC">
              <w:t>0.2</w:t>
            </w:r>
          </w:p>
        </w:tc>
        <w:tc>
          <w:tcPr>
            <w:tcW w:w="1704" w:type="dxa"/>
            <w:tcBorders>
              <w:top w:val="nil"/>
              <w:left w:val="single" w:sz="4" w:space="0" w:color="auto"/>
              <w:bottom w:val="nil"/>
            </w:tcBorders>
            <w:vAlign w:val="center"/>
          </w:tcPr>
          <w:p w14:paraId="233154E2" w14:textId="77777777" w:rsidR="00D02BA9" w:rsidRPr="00FF0524" w:rsidRDefault="00D02BA9" w:rsidP="00D02BA9">
            <w:pPr>
              <w:pStyle w:val="Tabletext"/>
              <w:jc w:val="right"/>
              <w:rPr>
                <w:rFonts w:asciiTheme="minorHAnsi" w:hAnsiTheme="minorHAnsi" w:cstheme="minorHAnsi"/>
                <w:lang w:eastAsia="en-AU"/>
              </w:rPr>
            </w:pPr>
          </w:p>
        </w:tc>
        <w:tc>
          <w:tcPr>
            <w:tcW w:w="1766" w:type="dxa"/>
            <w:tcBorders>
              <w:top w:val="nil"/>
              <w:bottom w:val="nil"/>
              <w:right w:val="single" w:sz="4" w:space="0" w:color="auto"/>
            </w:tcBorders>
            <w:vAlign w:val="center"/>
          </w:tcPr>
          <w:p w14:paraId="3692398B" w14:textId="77777777" w:rsidR="00D02BA9" w:rsidRPr="00FF0524" w:rsidRDefault="00D02BA9" w:rsidP="00D02BA9">
            <w:pPr>
              <w:pStyle w:val="Tabletext"/>
              <w:jc w:val="right"/>
              <w:rPr>
                <w:rFonts w:asciiTheme="minorHAnsi" w:hAnsiTheme="minorHAnsi" w:cstheme="minorHAnsi"/>
                <w:lang w:eastAsia="en-AU"/>
              </w:rPr>
            </w:pPr>
          </w:p>
        </w:tc>
        <w:tc>
          <w:tcPr>
            <w:tcW w:w="1708" w:type="dxa"/>
            <w:tcBorders>
              <w:top w:val="nil"/>
              <w:left w:val="single" w:sz="4" w:space="0" w:color="auto"/>
              <w:bottom w:val="nil"/>
            </w:tcBorders>
            <w:vAlign w:val="center"/>
          </w:tcPr>
          <w:p w14:paraId="22B6625D" w14:textId="3BAAF0A3" w:rsidR="00D02BA9" w:rsidRPr="00FF0524" w:rsidRDefault="00D02BA9" w:rsidP="00D02BA9">
            <w:pPr>
              <w:pStyle w:val="Tabletext"/>
              <w:jc w:val="right"/>
              <w:rPr>
                <w:rFonts w:asciiTheme="minorHAnsi" w:hAnsiTheme="minorHAnsi" w:cstheme="minorHAnsi"/>
                <w:lang w:eastAsia="en-AU"/>
              </w:rPr>
            </w:pPr>
            <w:r w:rsidRPr="008C48EC">
              <w:t>2</w:t>
            </w:r>
          </w:p>
        </w:tc>
        <w:tc>
          <w:tcPr>
            <w:tcW w:w="1566" w:type="dxa"/>
            <w:tcBorders>
              <w:top w:val="nil"/>
              <w:bottom w:val="nil"/>
              <w:right w:val="single" w:sz="4" w:space="0" w:color="auto"/>
            </w:tcBorders>
            <w:vAlign w:val="center"/>
          </w:tcPr>
          <w:p w14:paraId="49E84D98" w14:textId="19B5C65A" w:rsidR="00D02BA9" w:rsidRPr="00FF0524" w:rsidRDefault="00D02BA9" w:rsidP="00D02BA9">
            <w:pPr>
              <w:pStyle w:val="Tabletext"/>
              <w:jc w:val="right"/>
              <w:rPr>
                <w:rFonts w:asciiTheme="minorHAnsi" w:hAnsiTheme="minorHAnsi" w:cstheme="minorHAnsi"/>
                <w:lang w:eastAsia="en-AU"/>
              </w:rPr>
            </w:pPr>
            <w:r w:rsidRPr="008C48EC">
              <w:t>0.7</w:t>
            </w:r>
          </w:p>
        </w:tc>
      </w:tr>
      <w:tr w:rsidR="00244DB1" w:rsidRPr="007136E1" w14:paraId="2C45E630"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3E5A49A5" w14:textId="77777777" w:rsidR="00D02BA9" w:rsidRPr="007136E1" w:rsidRDefault="00D02BA9" w:rsidP="00D02BA9">
            <w:pPr>
              <w:pStyle w:val="Tabletext"/>
              <w:rPr>
                <w:lang w:eastAsia="en-AU"/>
              </w:rPr>
            </w:pPr>
            <w:r>
              <w:rPr>
                <w:lang w:eastAsia="en-AU"/>
              </w:rPr>
              <w:t>Lithium</w:t>
            </w:r>
          </w:p>
        </w:tc>
        <w:tc>
          <w:tcPr>
            <w:tcW w:w="1704" w:type="dxa"/>
            <w:tcBorders>
              <w:top w:val="nil"/>
              <w:left w:val="single" w:sz="4" w:space="0" w:color="auto"/>
              <w:bottom w:val="nil"/>
            </w:tcBorders>
            <w:shd w:val="clear" w:color="auto" w:fill="auto"/>
            <w:vAlign w:val="center"/>
          </w:tcPr>
          <w:p w14:paraId="28C81230"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nil"/>
              <w:right w:val="single" w:sz="4" w:space="0" w:color="auto"/>
            </w:tcBorders>
            <w:shd w:val="clear" w:color="auto" w:fill="auto"/>
            <w:vAlign w:val="center"/>
          </w:tcPr>
          <w:p w14:paraId="1E6E8DB6"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nil"/>
            </w:tcBorders>
            <w:shd w:val="clear" w:color="auto" w:fill="auto"/>
            <w:vAlign w:val="center"/>
          </w:tcPr>
          <w:p w14:paraId="123F4388" w14:textId="73F38BC6" w:rsidR="00D02BA9" w:rsidRPr="00FF0524" w:rsidRDefault="00D02BA9" w:rsidP="00D02BA9">
            <w:pPr>
              <w:pStyle w:val="Tabletext"/>
              <w:jc w:val="right"/>
              <w:rPr>
                <w:rFonts w:asciiTheme="minorHAnsi" w:hAnsiTheme="minorHAnsi" w:cstheme="minorHAnsi"/>
                <w:lang w:eastAsia="en-AU"/>
              </w:rPr>
            </w:pPr>
            <w:r w:rsidRPr="008C48EC">
              <w:t>3</w:t>
            </w:r>
          </w:p>
        </w:tc>
        <w:tc>
          <w:tcPr>
            <w:tcW w:w="1766" w:type="dxa"/>
            <w:tcBorders>
              <w:top w:val="nil"/>
              <w:bottom w:val="nil"/>
              <w:right w:val="single" w:sz="4" w:space="0" w:color="auto"/>
            </w:tcBorders>
            <w:shd w:val="clear" w:color="auto" w:fill="auto"/>
            <w:vAlign w:val="center"/>
          </w:tcPr>
          <w:p w14:paraId="200E65AA" w14:textId="5A98989E" w:rsidR="00D02BA9" w:rsidRPr="00FF0524" w:rsidRDefault="00D02BA9" w:rsidP="00D02BA9">
            <w:pPr>
              <w:pStyle w:val="Tabletext"/>
              <w:jc w:val="right"/>
              <w:rPr>
                <w:rFonts w:asciiTheme="minorHAnsi" w:hAnsiTheme="minorHAnsi" w:cstheme="minorHAnsi"/>
                <w:lang w:eastAsia="en-AU"/>
              </w:rPr>
            </w:pPr>
            <w:r w:rsidRPr="008C48EC">
              <w:t>2.5</w:t>
            </w:r>
          </w:p>
        </w:tc>
        <w:tc>
          <w:tcPr>
            <w:tcW w:w="1708" w:type="dxa"/>
            <w:tcBorders>
              <w:top w:val="nil"/>
              <w:left w:val="single" w:sz="4" w:space="0" w:color="auto"/>
              <w:bottom w:val="nil"/>
            </w:tcBorders>
            <w:shd w:val="clear" w:color="auto" w:fill="auto"/>
            <w:vAlign w:val="center"/>
          </w:tcPr>
          <w:p w14:paraId="635EF981" w14:textId="15C574D3" w:rsidR="00D02BA9" w:rsidRPr="00FF0524" w:rsidRDefault="00D02BA9" w:rsidP="00D02BA9">
            <w:pPr>
              <w:pStyle w:val="Tabletext"/>
              <w:jc w:val="right"/>
              <w:rPr>
                <w:rFonts w:asciiTheme="minorHAnsi" w:hAnsiTheme="minorHAnsi" w:cstheme="minorHAnsi"/>
                <w:lang w:eastAsia="en-AU"/>
              </w:rPr>
            </w:pPr>
            <w:r w:rsidRPr="008C48EC">
              <w:t>4</w:t>
            </w:r>
          </w:p>
        </w:tc>
        <w:tc>
          <w:tcPr>
            <w:tcW w:w="1566" w:type="dxa"/>
            <w:tcBorders>
              <w:top w:val="nil"/>
              <w:bottom w:val="nil"/>
              <w:right w:val="single" w:sz="4" w:space="0" w:color="auto"/>
            </w:tcBorders>
            <w:shd w:val="clear" w:color="auto" w:fill="auto"/>
            <w:vAlign w:val="center"/>
          </w:tcPr>
          <w:p w14:paraId="4D96C665" w14:textId="7CCC5613" w:rsidR="00D02BA9" w:rsidRPr="00FF0524" w:rsidRDefault="00D02BA9" w:rsidP="00D02BA9">
            <w:pPr>
              <w:pStyle w:val="Tabletext"/>
              <w:jc w:val="right"/>
              <w:rPr>
                <w:rFonts w:asciiTheme="minorHAnsi" w:hAnsiTheme="minorHAnsi" w:cstheme="minorHAnsi"/>
                <w:lang w:eastAsia="en-AU"/>
              </w:rPr>
            </w:pPr>
            <w:r w:rsidRPr="008C48EC">
              <w:t>3.2</w:t>
            </w:r>
          </w:p>
        </w:tc>
      </w:tr>
      <w:tr w:rsidR="000E4E9E" w:rsidRPr="007136E1" w14:paraId="4021F3AF"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109C7C95" w14:textId="77777777" w:rsidR="00D02BA9" w:rsidRPr="007136E1" w:rsidRDefault="00D02BA9" w:rsidP="00D02BA9">
            <w:pPr>
              <w:pStyle w:val="Tabletext"/>
              <w:rPr>
                <w:lang w:eastAsia="en-AU"/>
              </w:rPr>
            </w:pPr>
            <w:r>
              <w:rPr>
                <w:lang w:eastAsia="en-AU"/>
              </w:rPr>
              <w:t>Oil &amp; gas</w:t>
            </w:r>
          </w:p>
        </w:tc>
        <w:tc>
          <w:tcPr>
            <w:tcW w:w="1704" w:type="dxa"/>
            <w:tcBorders>
              <w:top w:val="nil"/>
              <w:left w:val="single" w:sz="4" w:space="0" w:color="auto"/>
              <w:bottom w:val="nil"/>
            </w:tcBorders>
            <w:vAlign w:val="center"/>
          </w:tcPr>
          <w:p w14:paraId="5E641BFF"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nil"/>
              <w:right w:val="single" w:sz="4" w:space="0" w:color="auto"/>
            </w:tcBorders>
            <w:vAlign w:val="center"/>
          </w:tcPr>
          <w:p w14:paraId="4192E47F"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nil"/>
            </w:tcBorders>
            <w:vAlign w:val="center"/>
          </w:tcPr>
          <w:p w14:paraId="3B54B454" w14:textId="4ABCE6BA" w:rsidR="00D02BA9" w:rsidRPr="00FF0524" w:rsidRDefault="00D02BA9" w:rsidP="00D02BA9">
            <w:pPr>
              <w:pStyle w:val="Tabletext"/>
              <w:jc w:val="right"/>
              <w:rPr>
                <w:rFonts w:asciiTheme="minorHAnsi" w:hAnsiTheme="minorHAnsi" w:cstheme="minorHAnsi"/>
                <w:lang w:eastAsia="en-AU"/>
              </w:rPr>
            </w:pPr>
            <w:r w:rsidRPr="008C48EC">
              <w:t>1</w:t>
            </w:r>
          </w:p>
        </w:tc>
        <w:tc>
          <w:tcPr>
            <w:tcW w:w="1766" w:type="dxa"/>
            <w:tcBorders>
              <w:top w:val="nil"/>
              <w:bottom w:val="nil"/>
              <w:right w:val="single" w:sz="4" w:space="0" w:color="auto"/>
            </w:tcBorders>
            <w:vAlign w:val="center"/>
          </w:tcPr>
          <w:p w14:paraId="3B96CC57" w14:textId="42D574CF" w:rsidR="00D02BA9" w:rsidRPr="00FF0524" w:rsidRDefault="00D02BA9" w:rsidP="00D02BA9">
            <w:pPr>
              <w:pStyle w:val="Tabletext"/>
              <w:jc w:val="right"/>
              <w:rPr>
                <w:rFonts w:asciiTheme="minorHAnsi" w:hAnsiTheme="minorHAnsi" w:cstheme="minorHAnsi"/>
                <w:lang w:eastAsia="en-AU"/>
              </w:rPr>
            </w:pPr>
            <w:r w:rsidRPr="008C48EC">
              <w:t>0.5</w:t>
            </w:r>
          </w:p>
        </w:tc>
        <w:tc>
          <w:tcPr>
            <w:tcW w:w="1708" w:type="dxa"/>
            <w:tcBorders>
              <w:top w:val="nil"/>
              <w:left w:val="single" w:sz="4" w:space="0" w:color="auto"/>
              <w:bottom w:val="nil"/>
            </w:tcBorders>
            <w:vAlign w:val="center"/>
          </w:tcPr>
          <w:p w14:paraId="2329E692" w14:textId="175D5EF1" w:rsidR="00D02BA9" w:rsidRPr="00FF0524" w:rsidRDefault="00D02BA9" w:rsidP="00D02BA9">
            <w:pPr>
              <w:pStyle w:val="Tabletext"/>
              <w:jc w:val="right"/>
              <w:rPr>
                <w:rFonts w:asciiTheme="minorHAnsi" w:hAnsiTheme="minorHAnsi" w:cstheme="minorHAnsi"/>
                <w:lang w:eastAsia="en-AU"/>
              </w:rPr>
            </w:pPr>
            <w:r w:rsidRPr="008C48EC">
              <w:t>5</w:t>
            </w:r>
          </w:p>
        </w:tc>
        <w:tc>
          <w:tcPr>
            <w:tcW w:w="1566" w:type="dxa"/>
            <w:tcBorders>
              <w:top w:val="nil"/>
              <w:bottom w:val="nil"/>
              <w:right w:val="single" w:sz="4" w:space="0" w:color="auto"/>
            </w:tcBorders>
            <w:vAlign w:val="center"/>
          </w:tcPr>
          <w:p w14:paraId="197F3506" w14:textId="224B4750" w:rsidR="00D02BA9" w:rsidRPr="00FF0524" w:rsidRDefault="00D02BA9" w:rsidP="00D02BA9">
            <w:pPr>
              <w:pStyle w:val="Tabletext"/>
              <w:jc w:val="right"/>
              <w:rPr>
                <w:rFonts w:asciiTheme="minorHAnsi" w:hAnsiTheme="minorHAnsi" w:cstheme="minorHAnsi"/>
                <w:lang w:eastAsia="en-AU"/>
              </w:rPr>
            </w:pPr>
            <w:r w:rsidRPr="008C48EC">
              <w:t>6.4</w:t>
            </w:r>
          </w:p>
        </w:tc>
      </w:tr>
      <w:tr w:rsidR="00244DB1" w:rsidRPr="007136E1" w14:paraId="4BC2431C"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718E4581" w14:textId="77777777" w:rsidR="00D02BA9" w:rsidRPr="007136E1" w:rsidRDefault="00D02BA9" w:rsidP="00D02BA9">
            <w:pPr>
              <w:pStyle w:val="Tabletext"/>
              <w:rPr>
                <w:lang w:eastAsia="en-AU"/>
              </w:rPr>
            </w:pPr>
            <w:r w:rsidRPr="007136E1">
              <w:rPr>
                <w:lang w:eastAsia="en-AU"/>
              </w:rPr>
              <w:t>Nickel, Cobalt</w:t>
            </w:r>
          </w:p>
        </w:tc>
        <w:tc>
          <w:tcPr>
            <w:tcW w:w="1704" w:type="dxa"/>
            <w:tcBorders>
              <w:top w:val="nil"/>
              <w:left w:val="single" w:sz="4" w:space="0" w:color="auto"/>
              <w:bottom w:val="nil"/>
            </w:tcBorders>
            <w:shd w:val="clear" w:color="auto" w:fill="auto"/>
            <w:vAlign w:val="center"/>
          </w:tcPr>
          <w:p w14:paraId="7A0D6A42"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nil"/>
              <w:right w:val="single" w:sz="4" w:space="0" w:color="auto"/>
            </w:tcBorders>
            <w:shd w:val="clear" w:color="auto" w:fill="auto"/>
            <w:vAlign w:val="center"/>
          </w:tcPr>
          <w:p w14:paraId="6FB264AD"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nil"/>
            </w:tcBorders>
            <w:shd w:val="clear" w:color="auto" w:fill="auto"/>
            <w:vAlign w:val="center"/>
          </w:tcPr>
          <w:p w14:paraId="29CD470C" w14:textId="77777777" w:rsidR="00D02BA9" w:rsidRPr="00FF0524" w:rsidRDefault="00D02BA9" w:rsidP="00D02BA9">
            <w:pPr>
              <w:pStyle w:val="Tabletext"/>
              <w:jc w:val="right"/>
              <w:rPr>
                <w:rFonts w:asciiTheme="minorHAnsi" w:hAnsiTheme="minorHAnsi" w:cstheme="minorHAnsi"/>
                <w:lang w:eastAsia="en-AU"/>
              </w:rPr>
            </w:pPr>
          </w:p>
        </w:tc>
        <w:tc>
          <w:tcPr>
            <w:tcW w:w="1766" w:type="dxa"/>
            <w:tcBorders>
              <w:top w:val="nil"/>
              <w:bottom w:val="nil"/>
              <w:right w:val="single" w:sz="4" w:space="0" w:color="auto"/>
            </w:tcBorders>
            <w:shd w:val="clear" w:color="auto" w:fill="auto"/>
            <w:vAlign w:val="center"/>
          </w:tcPr>
          <w:p w14:paraId="432B5720" w14:textId="77777777" w:rsidR="00D02BA9" w:rsidRPr="00FF0524" w:rsidRDefault="00D02BA9" w:rsidP="00D02BA9">
            <w:pPr>
              <w:pStyle w:val="Tabletext"/>
              <w:jc w:val="right"/>
              <w:rPr>
                <w:rFonts w:asciiTheme="minorHAnsi" w:hAnsiTheme="minorHAnsi" w:cstheme="minorHAnsi"/>
                <w:lang w:eastAsia="en-AU"/>
              </w:rPr>
            </w:pPr>
          </w:p>
        </w:tc>
        <w:tc>
          <w:tcPr>
            <w:tcW w:w="1708" w:type="dxa"/>
            <w:tcBorders>
              <w:top w:val="nil"/>
              <w:left w:val="single" w:sz="4" w:space="0" w:color="auto"/>
              <w:bottom w:val="nil"/>
            </w:tcBorders>
            <w:shd w:val="clear" w:color="auto" w:fill="auto"/>
            <w:vAlign w:val="center"/>
          </w:tcPr>
          <w:p w14:paraId="70BA3034" w14:textId="1AC44082" w:rsidR="00D02BA9" w:rsidRPr="00FF0524" w:rsidRDefault="00D02BA9" w:rsidP="00D02BA9">
            <w:pPr>
              <w:pStyle w:val="Tabletext"/>
              <w:jc w:val="right"/>
              <w:rPr>
                <w:rFonts w:asciiTheme="minorHAnsi" w:hAnsiTheme="minorHAnsi" w:cstheme="minorHAnsi"/>
                <w:lang w:eastAsia="en-AU"/>
              </w:rPr>
            </w:pPr>
            <w:r w:rsidRPr="008C48EC">
              <w:t>1</w:t>
            </w:r>
          </w:p>
        </w:tc>
        <w:tc>
          <w:tcPr>
            <w:tcW w:w="1566" w:type="dxa"/>
            <w:tcBorders>
              <w:top w:val="nil"/>
              <w:bottom w:val="nil"/>
              <w:right w:val="single" w:sz="4" w:space="0" w:color="auto"/>
            </w:tcBorders>
            <w:shd w:val="clear" w:color="auto" w:fill="auto"/>
            <w:vAlign w:val="center"/>
          </w:tcPr>
          <w:p w14:paraId="31D822F8" w14:textId="67109DE2" w:rsidR="00D02BA9" w:rsidRPr="00FF0524" w:rsidRDefault="00D02BA9" w:rsidP="00D02BA9">
            <w:pPr>
              <w:pStyle w:val="Tabletext"/>
              <w:jc w:val="right"/>
              <w:rPr>
                <w:rFonts w:asciiTheme="minorHAnsi" w:hAnsiTheme="minorHAnsi" w:cstheme="minorHAnsi"/>
                <w:lang w:eastAsia="en-AU"/>
              </w:rPr>
            </w:pPr>
            <w:r w:rsidRPr="008C48EC">
              <w:t>0.1</w:t>
            </w:r>
          </w:p>
        </w:tc>
      </w:tr>
      <w:tr w:rsidR="000E4E9E" w:rsidRPr="007136E1" w14:paraId="621D6704" w14:textId="77777777" w:rsidTr="004B119B">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769559CB" w14:textId="77777777" w:rsidR="00D02BA9" w:rsidRPr="007136E1" w:rsidRDefault="00D02BA9" w:rsidP="00D02BA9">
            <w:pPr>
              <w:pStyle w:val="Tabletext"/>
              <w:rPr>
                <w:lang w:eastAsia="en-AU"/>
              </w:rPr>
            </w:pPr>
            <w:r w:rsidRPr="007136E1">
              <w:rPr>
                <w:lang w:eastAsia="en-AU"/>
              </w:rPr>
              <w:t xml:space="preserve">Other Commodities </w:t>
            </w:r>
            <w:r w:rsidRPr="007136E1">
              <w:rPr>
                <w:sz w:val="12"/>
                <w:szCs w:val="12"/>
                <w:lang w:eastAsia="en-AU"/>
              </w:rPr>
              <w:t>b</w:t>
            </w:r>
          </w:p>
        </w:tc>
        <w:tc>
          <w:tcPr>
            <w:tcW w:w="1704" w:type="dxa"/>
            <w:tcBorders>
              <w:top w:val="nil"/>
              <w:left w:val="single" w:sz="4" w:space="0" w:color="auto"/>
              <w:bottom w:val="nil"/>
            </w:tcBorders>
            <w:vAlign w:val="center"/>
          </w:tcPr>
          <w:p w14:paraId="5AA2ABAB" w14:textId="41B9FC03" w:rsidR="00D02BA9" w:rsidRPr="00FF0524" w:rsidRDefault="00D02BA9" w:rsidP="00D02BA9">
            <w:pPr>
              <w:pStyle w:val="Tabletext"/>
              <w:jc w:val="right"/>
              <w:rPr>
                <w:rFonts w:asciiTheme="minorHAnsi" w:hAnsiTheme="minorHAnsi" w:cstheme="minorHAnsi"/>
                <w:lang w:eastAsia="en-AU"/>
              </w:rPr>
            </w:pPr>
            <w:r w:rsidRPr="008C48EC">
              <w:t>6</w:t>
            </w:r>
          </w:p>
        </w:tc>
        <w:tc>
          <w:tcPr>
            <w:tcW w:w="1704" w:type="dxa"/>
            <w:tcBorders>
              <w:top w:val="nil"/>
              <w:bottom w:val="nil"/>
              <w:right w:val="single" w:sz="4" w:space="0" w:color="auto"/>
            </w:tcBorders>
            <w:vAlign w:val="center"/>
          </w:tcPr>
          <w:p w14:paraId="2DA0A0C1" w14:textId="5335589A" w:rsidR="00D02BA9" w:rsidRPr="00FF0524" w:rsidRDefault="00D02BA9" w:rsidP="00D02BA9">
            <w:pPr>
              <w:pStyle w:val="Tabletext"/>
              <w:jc w:val="right"/>
              <w:rPr>
                <w:rFonts w:asciiTheme="minorHAnsi" w:hAnsiTheme="minorHAnsi" w:cstheme="minorHAnsi"/>
                <w:lang w:eastAsia="en-AU"/>
              </w:rPr>
            </w:pPr>
            <w:r w:rsidRPr="008C48EC">
              <w:t>1.5</w:t>
            </w:r>
          </w:p>
        </w:tc>
        <w:tc>
          <w:tcPr>
            <w:tcW w:w="1704" w:type="dxa"/>
            <w:tcBorders>
              <w:top w:val="nil"/>
              <w:left w:val="single" w:sz="4" w:space="0" w:color="auto"/>
              <w:bottom w:val="nil"/>
            </w:tcBorders>
            <w:vAlign w:val="center"/>
          </w:tcPr>
          <w:p w14:paraId="0643D998" w14:textId="2CDE0F12" w:rsidR="00D02BA9" w:rsidRPr="00FF0524" w:rsidRDefault="00D02BA9" w:rsidP="00D02BA9">
            <w:pPr>
              <w:pStyle w:val="Tabletext"/>
              <w:jc w:val="right"/>
              <w:rPr>
                <w:rFonts w:asciiTheme="minorHAnsi" w:hAnsiTheme="minorHAnsi" w:cstheme="minorHAnsi"/>
                <w:lang w:eastAsia="en-AU"/>
              </w:rPr>
            </w:pPr>
            <w:r w:rsidRPr="008C48EC">
              <w:t>6</w:t>
            </w:r>
          </w:p>
        </w:tc>
        <w:tc>
          <w:tcPr>
            <w:tcW w:w="1766" w:type="dxa"/>
            <w:tcBorders>
              <w:top w:val="nil"/>
              <w:bottom w:val="nil"/>
              <w:right w:val="single" w:sz="4" w:space="0" w:color="auto"/>
            </w:tcBorders>
            <w:vAlign w:val="center"/>
          </w:tcPr>
          <w:p w14:paraId="73FF48A6" w14:textId="1832DDBA" w:rsidR="00D02BA9" w:rsidRPr="00FF0524" w:rsidRDefault="00D02BA9" w:rsidP="00D02BA9">
            <w:pPr>
              <w:pStyle w:val="Tabletext"/>
              <w:jc w:val="right"/>
              <w:rPr>
                <w:rFonts w:asciiTheme="minorHAnsi" w:hAnsiTheme="minorHAnsi" w:cstheme="minorHAnsi"/>
                <w:lang w:eastAsia="en-AU"/>
              </w:rPr>
            </w:pPr>
            <w:r w:rsidRPr="008C48EC">
              <w:t>1.9</w:t>
            </w:r>
          </w:p>
        </w:tc>
        <w:tc>
          <w:tcPr>
            <w:tcW w:w="1708" w:type="dxa"/>
            <w:tcBorders>
              <w:top w:val="nil"/>
              <w:left w:val="single" w:sz="4" w:space="0" w:color="auto"/>
              <w:bottom w:val="nil"/>
            </w:tcBorders>
            <w:vAlign w:val="center"/>
          </w:tcPr>
          <w:p w14:paraId="2392FD7F" w14:textId="7117EE9D" w:rsidR="00D02BA9" w:rsidRPr="00FF0524" w:rsidRDefault="00D02BA9" w:rsidP="00D02BA9">
            <w:pPr>
              <w:pStyle w:val="Tabletext"/>
              <w:jc w:val="right"/>
              <w:rPr>
                <w:rFonts w:asciiTheme="minorHAnsi" w:hAnsiTheme="minorHAnsi" w:cstheme="minorHAnsi"/>
                <w:lang w:eastAsia="en-AU"/>
              </w:rPr>
            </w:pPr>
            <w:r w:rsidRPr="008C48EC">
              <w:t>4</w:t>
            </w:r>
          </w:p>
        </w:tc>
        <w:tc>
          <w:tcPr>
            <w:tcW w:w="1566" w:type="dxa"/>
            <w:tcBorders>
              <w:top w:val="nil"/>
              <w:bottom w:val="nil"/>
              <w:right w:val="single" w:sz="4" w:space="0" w:color="auto"/>
            </w:tcBorders>
            <w:vAlign w:val="center"/>
          </w:tcPr>
          <w:p w14:paraId="5913A7E8" w14:textId="676712A3" w:rsidR="00D02BA9" w:rsidRPr="00FF0524" w:rsidRDefault="00D02BA9" w:rsidP="00D02BA9">
            <w:pPr>
              <w:pStyle w:val="Tabletext"/>
              <w:jc w:val="right"/>
              <w:rPr>
                <w:rFonts w:asciiTheme="minorHAnsi" w:hAnsiTheme="minorHAnsi" w:cstheme="minorHAnsi"/>
                <w:lang w:eastAsia="en-AU"/>
              </w:rPr>
            </w:pPr>
            <w:r w:rsidRPr="008C48EC">
              <w:t>0.9</w:t>
            </w:r>
          </w:p>
        </w:tc>
      </w:tr>
      <w:tr w:rsidR="00244DB1" w:rsidRPr="007136E1" w14:paraId="72981C8C" w14:textId="77777777" w:rsidTr="002C0720">
        <w:trPr>
          <w:cnfStyle w:val="000000010000" w:firstRow="0" w:lastRow="0" w:firstColumn="0" w:lastColumn="0" w:oddVBand="0" w:evenVBand="0" w:oddHBand="0" w:evenHBand="1" w:firstRowFirstColumn="0" w:firstRowLastColumn="0" w:lastRowFirstColumn="0" w:lastRowLastColumn="0"/>
          <w:trHeight w:val="432"/>
        </w:trPr>
        <w:tc>
          <w:tcPr>
            <w:tcW w:w="0" w:type="auto"/>
            <w:tcBorders>
              <w:bottom w:val="single" w:sz="4" w:space="0" w:color="auto"/>
              <w:right w:val="single" w:sz="4" w:space="0" w:color="auto"/>
            </w:tcBorders>
            <w:vAlign w:val="center"/>
          </w:tcPr>
          <w:p w14:paraId="1D05E856" w14:textId="77777777" w:rsidR="00D02BA9" w:rsidRPr="007136E1" w:rsidRDefault="00D02BA9" w:rsidP="00D02BA9">
            <w:pPr>
              <w:pStyle w:val="Tabletext"/>
              <w:rPr>
                <w:lang w:eastAsia="en-AU"/>
              </w:rPr>
            </w:pPr>
            <w:r w:rsidRPr="007136E1">
              <w:rPr>
                <w:lang w:eastAsia="en-AU"/>
              </w:rPr>
              <w:t>Uranium</w:t>
            </w:r>
          </w:p>
        </w:tc>
        <w:tc>
          <w:tcPr>
            <w:tcW w:w="1704" w:type="dxa"/>
            <w:tcBorders>
              <w:top w:val="nil"/>
              <w:left w:val="single" w:sz="4" w:space="0" w:color="auto"/>
              <w:bottom w:val="single" w:sz="4" w:space="0" w:color="auto"/>
            </w:tcBorders>
            <w:shd w:val="clear" w:color="auto" w:fill="auto"/>
            <w:vAlign w:val="center"/>
          </w:tcPr>
          <w:p w14:paraId="06AEE398"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bottom w:val="single" w:sz="4" w:space="0" w:color="auto"/>
              <w:right w:val="single" w:sz="4" w:space="0" w:color="auto"/>
            </w:tcBorders>
            <w:shd w:val="clear" w:color="auto" w:fill="auto"/>
            <w:vAlign w:val="center"/>
          </w:tcPr>
          <w:p w14:paraId="7E5DE21B" w14:textId="77777777" w:rsidR="00D02BA9" w:rsidRPr="00FF0524" w:rsidRDefault="00D02BA9" w:rsidP="00D02BA9">
            <w:pPr>
              <w:pStyle w:val="Tabletext"/>
              <w:jc w:val="right"/>
              <w:rPr>
                <w:rFonts w:asciiTheme="minorHAnsi" w:hAnsiTheme="minorHAnsi" w:cstheme="minorHAnsi"/>
                <w:lang w:eastAsia="en-AU"/>
              </w:rPr>
            </w:pPr>
          </w:p>
        </w:tc>
        <w:tc>
          <w:tcPr>
            <w:tcW w:w="1704" w:type="dxa"/>
            <w:tcBorders>
              <w:top w:val="nil"/>
              <w:left w:val="single" w:sz="4" w:space="0" w:color="auto"/>
              <w:bottom w:val="single" w:sz="4" w:space="0" w:color="auto"/>
            </w:tcBorders>
            <w:shd w:val="clear" w:color="auto" w:fill="auto"/>
            <w:vAlign w:val="center"/>
          </w:tcPr>
          <w:p w14:paraId="72B8263C" w14:textId="77777777" w:rsidR="00D02BA9" w:rsidRPr="00FF0524" w:rsidRDefault="00D02BA9" w:rsidP="00D02BA9">
            <w:pPr>
              <w:pStyle w:val="Tabletext"/>
              <w:jc w:val="right"/>
              <w:rPr>
                <w:rFonts w:asciiTheme="minorHAnsi" w:hAnsiTheme="minorHAnsi" w:cstheme="minorHAnsi"/>
                <w:lang w:eastAsia="en-AU"/>
              </w:rPr>
            </w:pPr>
          </w:p>
        </w:tc>
        <w:tc>
          <w:tcPr>
            <w:tcW w:w="1766" w:type="dxa"/>
            <w:tcBorders>
              <w:top w:val="nil"/>
              <w:bottom w:val="single" w:sz="4" w:space="0" w:color="auto"/>
              <w:right w:val="single" w:sz="4" w:space="0" w:color="auto"/>
            </w:tcBorders>
            <w:shd w:val="clear" w:color="auto" w:fill="auto"/>
            <w:vAlign w:val="center"/>
          </w:tcPr>
          <w:p w14:paraId="1D9FB287" w14:textId="77777777" w:rsidR="00D02BA9" w:rsidRPr="00FF0524" w:rsidRDefault="00D02BA9" w:rsidP="00D02BA9">
            <w:pPr>
              <w:pStyle w:val="Tabletext"/>
              <w:jc w:val="right"/>
              <w:rPr>
                <w:rFonts w:asciiTheme="minorHAnsi" w:hAnsiTheme="minorHAnsi" w:cstheme="minorHAnsi"/>
                <w:lang w:eastAsia="en-AU"/>
              </w:rPr>
            </w:pPr>
          </w:p>
        </w:tc>
        <w:tc>
          <w:tcPr>
            <w:tcW w:w="1708" w:type="dxa"/>
            <w:tcBorders>
              <w:top w:val="nil"/>
              <w:left w:val="single" w:sz="4" w:space="0" w:color="auto"/>
              <w:bottom w:val="single" w:sz="4" w:space="0" w:color="auto"/>
            </w:tcBorders>
            <w:shd w:val="clear" w:color="auto" w:fill="auto"/>
            <w:vAlign w:val="center"/>
          </w:tcPr>
          <w:p w14:paraId="129099B8" w14:textId="77777777" w:rsidR="00D02BA9" w:rsidRPr="00FF0524" w:rsidRDefault="00D02BA9" w:rsidP="00D02BA9">
            <w:pPr>
              <w:pStyle w:val="Tabletext"/>
              <w:jc w:val="right"/>
              <w:rPr>
                <w:rFonts w:asciiTheme="minorHAnsi" w:hAnsiTheme="minorHAnsi" w:cstheme="minorHAnsi"/>
                <w:lang w:eastAsia="en-AU"/>
              </w:rPr>
            </w:pPr>
          </w:p>
        </w:tc>
        <w:tc>
          <w:tcPr>
            <w:tcW w:w="1566" w:type="dxa"/>
            <w:tcBorders>
              <w:top w:val="nil"/>
              <w:bottom w:val="single" w:sz="4" w:space="0" w:color="auto"/>
              <w:right w:val="single" w:sz="4" w:space="0" w:color="auto"/>
            </w:tcBorders>
            <w:shd w:val="clear" w:color="auto" w:fill="auto"/>
            <w:vAlign w:val="center"/>
          </w:tcPr>
          <w:p w14:paraId="5065F5EB" w14:textId="77777777" w:rsidR="00D02BA9" w:rsidRPr="00FF0524" w:rsidRDefault="00D02BA9" w:rsidP="00D02BA9">
            <w:pPr>
              <w:pStyle w:val="Tabletext"/>
              <w:jc w:val="right"/>
              <w:rPr>
                <w:rFonts w:asciiTheme="minorHAnsi" w:hAnsiTheme="minorHAnsi" w:cstheme="minorHAnsi"/>
                <w:lang w:eastAsia="en-AU"/>
              </w:rPr>
            </w:pPr>
          </w:p>
        </w:tc>
      </w:tr>
      <w:tr w:rsidR="00244DB1" w:rsidRPr="007136E1" w14:paraId="4FE5A87C" w14:textId="77777777" w:rsidTr="004B119B">
        <w:trPr>
          <w:cnfStyle w:val="000000100000" w:firstRow="0" w:lastRow="0" w:firstColumn="0" w:lastColumn="0" w:oddVBand="0" w:evenVBand="0" w:oddHBand="1" w:evenHBand="0" w:firstRowFirstColumn="0" w:firstRowLastColumn="0" w:lastRowFirstColumn="0" w:lastRowLastColumn="0"/>
          <w:trHeight w:val="343"/>
        </w:trPr>
        <w:tc>
          <w:tcPr>
            <w:tcW w:w="0" w:type="auto"/>
            <w:tcBorders>
              <w:top w:val="single" w:sz="4" w:space="0" w:color="auto"/>
              <w:right w:val="single" w:sz="4" w:space="0" w:color="auto"/>
            </w:tcBorders>
            <w:vAlign w:val="center"/>
          </w:tcPr>
          <w:p w14:paraId="508C2171" w14:textId="006989BF" w:rsidR="00D02BA9" w:rsidRPr="007136E1" w:rsidRDefault="00D02BA9" w:rsidP="00D02BA9">
            <w:pPr>
              <w:pStyle w:val="Tabletext"/>
              <w:rPr>
                <w:b/>
                <w:lang w:eastAsia="en-AU"/>
              </w:rPr>
            </w:pPr>
            <w:r w:rsidRPr="007136E1">
              <w:rPr>
                <w:b/>
                <w:lang w:eastAsia="en-AU"/>
              </w:rPr>
              <w:t>Total</w:t>
            </w:r>
            <w:r w:rsidR="003644E9">
              <w:rPr>
                <w:b/>
                <w:lang w:eastAsia="en-AU"/>
              </w:rPr>
              <w:t xml:space="preserve"> </w:t>
            </w:r>
            <w:r w:rsidR="003644E9">
              <w:rPr>
                <w:sz w:val="12"/>
                <w:szCs w:val="12"/>
                <w:lang w:eastAsia="en-AU"/>
              </w:rPr>
              <w:t>c</w:t>
            </w:r>
          </w:p>
        </w:tc>
        <w:tc>
          <w:tcPr>
            <w:tcW w:w="1704" w:type="dxa"/>
            <w:tcBorders>
              <w:top w:val="single" w:sz="4" w:space="0" w:color="auto"/>
              <w:left w:val="single" w:sz="4" w:space="0" w:color="auto"/>
            </w:tcBorders>
            <w:vAlign w:val="center"/>
          </w:tcPr>
          <w:p w14:paraId="2AEBCC2F" w14:textId="3726EE94" w:rsidR="00D02BA9" w:rsidRPr="00D02BA9" w:rsidRDefault="00D02BA9" w:rsidP="00D02BA9">
            <w:pPr>
              <w:pStyle w:val="Tabletext"/>
              <w:jc w:val="right"/>
              <w:rPr>
                <w:b/>
                <w:bCs/>
                <w:sz w:val="17"/>
                <w:szCs w:val="17"/>
                <w:lang w:eastAsia="en-AU"/>
              </w:rPr>
            </w:pPr>
            <w:r w:rsidRPr="00D02BA9">
              <w:rPr>
                <w:b/>
                <w:bCs/>
              </w:rPr>
              <w:t>17</w:t>
            </w:r>
          </w:p>
        </w:tc>
        <w:tc>
          <w:tcPr>
            <w:tcW w:w="1704" w:type="dxa"/>
            <w:tcBorders>
              <w:top w:val="single" w:sz="4" w:space="0" w:color="auto"/>
              <w:right w:val="single" w:sz="4" w:space="0" w:color="auto"/>
            </w:tcBorders>
            <w:vAlign w:val="center"/>
          </w:tcPr>
          <w:p w14:paraId="330502A3" w14:textId="43855F24" w:rsidR="00D02BA9" w:rsidRPr="00D02BA9" w:rsidRDefault="00D02BA9" w:rsidP="00D02BA9">
            <w:pPr>
              <w:pStyle w:val="Tabletext"/>
              <w:jc w:val="right"/>
              <w:rPr>
                <w:b/>
                <w:bCs/>
                <w:sz w:val="17"/>
                <w:szCs w:val="17"/>
                <w:lang w:eastAsia="en-AU"/>
              </w:rPr>
            </w:pPr>
            <w:r w:rsidRPr="00D02BA9">
              <w:rPr>
                <w:b/>
                <w:bCs/>
              </w:rPr>
              <w:t>6.9</w:t>
            </w:r>
          </w:p>
        </w:tc>
        <w:tc>
          <w:tcPr>
            <w:tcW w:w="1704" w:type="dxa"/>
            <w:tcBorders>
              <w:top w:val="single" w:sz="4" w:space="0" w:color="auto"/>
              <w:left w:val="single" w:sz="4" w:space="0" w:color="auto"/>
            </w:tcBorders>
            <w:vAlign w:val="center"/>
          </w:tcPr>
          <w:p w14:paraId="6242FFB4" w14:textId="01EAA588" w:rsidR="00D02BA9" w:rsidRPr="00D02BA9" w:rsidRDefault="00D02BA9" w:rsidP="00D02BA9">
            <w:pPr>
              <w:pStyle w:val="Tabletext"/>
              <w:jc w:val="right"/>
              <w:rPr>
                <w:b/>
                <w:bCs/>
                <w:sz w:val="17"/>
                <w:szCs w:val="17"/>
                <w:lang w:eastAsia="en-AU"/>
              </w:rPr>
            </w:pPr>
            <w:r w:rsidRPr="00D02BA9">
              <w:rPr>
                <w:b/>
                <w:bCs/>
              </w:rPr>
              <w:t>25</w:t>
            </w:r>
          </w:p>
        </w:tc>
        <w:tc>
          <w:tcPr>
            <w:tcW w:w="1766" w:type="dxa"/>
            <w:tcBorders>
              <w:top w:val="single" w:sz="4" w:space="0" w:color="auto"/>
              <w:right w:val="single" w:sz="4" w:space="0" w:color="auto"/>
            </w:tcBorders>
            <w:vAlign w:val="center"/>
          </w:tcPr>
          <w:p w14:paraId="3F588A16" w14:textId="34B39DBF" w:rsidR="00D02BA9" w:rsidRPr="00D02BA9" w:rsidRDefault="00D02BA9" w:rsidP="00D02BA9">
            <w:pPr>
              <w:pStyle w:val="Tabletext"/>
              <w:jc w:val="right"/>
              <w:rPr>
                <w:b/>
                <w:bCs/>
                <w:sz w:val="17"/>
                <w:szCs w:val="17"/>
                <w:lang w:eastAsia="en-AU"/>
              </w:rPr>
            </w:pPr>
            <w:r w:rsidRPr="00D02BA9">
              <w:rPr>
                <w:b/>
                <w:bCs/>
              </w:rPr>
              <w:t>13.2</w:t>
            </w:r>
          </w:p>
        </w:tc>
        <w:tc>
          <w:tcPr>
            <w:tcW w:w="1708" w:type="dxa"/>
            <w:tcBorders>
              <w:top w:val="single" w:sz="4" w:space="0" w:color="auto"/>
              <w:left w:val="single" w:sz="4" w:space="0" w:color="auto"/>
            </w:tcBorders>
            <w:vAlign w:val="center"/>
          </w:tcPr>
          <w:p w14:paraId="42B644D6" w14:textId="3E0933E4" w:rsidR="00D02BA9" w:rsidRPr="00D02BA9" w:rsidRDefault="00D02BA9" w:rsidP="00D02BA9">
            <w:pPr>
              <w:pStyle w:val="Tabletext"/>
              <w:jc w:val="right"/>
              <w:rPr>
                <w:b/>
                <w:bCs/>
                <w:sz w:val="17"/>
                <w:szCs w:val="17"/>
                <w:lang w:eastAsia="en-AU"/>
              </w:rPr>
            </w:pPr>
            <w:r w:rsidRPr="00D02BA9">
              <w:rPr>
                <w:b/>
                <w:bCs/>
              </w:rPr>
              <w:t>29</w:t>
            </w:r>
          </w:p>
        </w:tc>
        <w:tc>
          <w:tcPr>
            <w:tcW w:w="1566" w:type="dxa"/>
            <w:tcBorders>
              <w:top w:val="single" w:sz="4" w:space="0" w:color="auto"/>
              <w:right w:val="single" w:sz="4" w:space="0" w:color="auto"/>
            </w:tcBorders>
            <w:vAlign w:val="center"/>
          </w:tcPr>
          <w:p w14:paraId="657B8D39" w14:textId="6875DBF9" w:rsidR="00D02BA9" w:rsidRPr="00D02BA9" w:rsidRDefault="002D6759" w:rsidP="00D02BA9">
            <w:pPr>
              <w:pStyle w:val="Tabletext"/>
              <w:jc w:val="right"/>
              <w:rPr>
                <w:b/>
                <w:bCs/>
                <w:sz w:val="17"/>
                <w:szCs w:val="17"/>
                <w:lang w:eastAsia="en-AU"/>
              </w:rPr>
            </w:pPr>
            <w:r>
              <w:rPr>
                <w:b/>
                <w:bCs/>
              </w:rPr>
              <w:t>21.3</w:t>
            </w:r>
          </w:p>
        </w:tc>
      </w:tr>
    </w:tbl>
    <w:p w14:paraId="387D82A7" w14:textId="77777777" w:rsidR="003B2873" w:rsidRPr="007136E1" w:rsidRDefault="003B2873" w:rsidP="003B2873">
      <w:pPr>
        <w:pStyle w:val="Source"/>
      </w:pPr>
    </w:p>
    <w:p w14:paraId="4209FFD5" w14:textId="77777777" w:rsidR="003B2873" w:rsidRPr="007136E1" w:rsidRDefault="003B2873" w:rsidP="003B2873">
      <w:pPr>
        <w:pStyle w:val="Source"/>
        <w:rPr>
          <w:lang w:eastAsia="en-AU"/>
        </w:rPr>
      </w:pPr>
      <w:r w:rsidRPr="007136E1">
        <w:rPr>
          <w:lang w:eastAsia="en-AU"/>
        </w:rPr>
        <w:t xml:space="preserve">Notes: </w:t>
      </w:r>
      <w:r w:rsidRPr="007136E1">
        <w:rPr>
          <w:b/>
        </w:rPr>
        <w:t xml:space="preserve">a </w:t>
      </w:r>
      <w:r w:rsidRPr="007136E1">
        <w:t xml:space="preserve">Infrastructure is limited to resource, energy infrastructure projects including CCS. </w:t>
      </w:r>
      <w:r>
        <w:t>Several</w:t>
      </w:r>
      <w:r w:rsidRPr="007136E1">
        <w:t xml:space="preserve"> gas pipelines span across more than one state but have been allocated to one state for reporting purposes. </w:t>
      </w:r>
      <w:r w:rsidRPr="007136E1">
        <w:rPr>
          <w:b/>
        </w:rPr>
        <w:t>b</w:t>
      </w:r>
      <w:r w:rsidRPr="007136E1">
        <w:t xml:space="preserve"> Other Commodities is limited to resource</w:t>
      </w:r>
      <w:r>
        <w:t>s</w:t>
      </w:r>
      <w:r w:rsidRPr="007136E1">
        <w:t xml:space="preserve"> and energy commodities not elsewhere identified.</w:t>
      </w:r>
      <w:r w:rsidRPr="007136E1">
        <w:rPr>
          <w:lang w:eastAsia="en-AU"/>
        </w:rPr>
        <w:t xml:space="preserve"> </w:t>
      </w:r>
      <w:r w:rsidRPr="007136E1">
        <w:rPr>
          <w:b/>
          <w:lang w:eastAsia="en-AU"/>
        </w:rPr>
        <w:t xml:space="preserve">c </w:t>
      </w:r>
      <w:r w:rsidRPr="007136E1">
        <w:t xml:space="preserve">Totals may not add due to rounding at commodity level. </w:t>
      </w:r>
    </w:p>
    <w:p w14:paraId="14A86CF1" w14:textId="2E82DD22" w:rsidR="003B2873" w:rsidRPr="007136E1" w:rsidRDefault="003B2873" w:rsidP="003B2873">
      <w:pPr>
        <w:pStyle w:val="Source"/>
      </w:pPr>
      <w:r w:rsidRPr="007136E1">
        <w:t xml:space="preserve">Source: </w:t>
      </w:r>
      <w:r>
        <w:t xml:space="preserve">Department of Industry, Science and Resources </w:t>
      </w:r>
      <w:r w:rsidRPr="007136E1">
        <w:t>(202</w:t>
      </w:r>
      <w:r w:rsidR="003653E0">
        <w:t>3</w:t>
      </w:r>
      <w:r w:rsidRPr="007136E1">
        <w:t>)</w:t>
      </w:r>
    </w:p>
    <w:bookmarkEnd w:id="41"/>
    <w:p w14:paraId="039ED13E" w14:textId="1C6815DF" w:rsidR="00612CA5" w:rsidRPr="007136E1" w:rsidRDefault="00612CA5" w:rsidP="008D590E">
      <w:pPr>
        <w:pStyle w:val="BodyText"/>
        <w:rPr>
          <w:rFonts w:eastAsia="Times New Roman" w:cs="Arial"/>
          <w:color w:val="005CAF"/>
          <w:sz w:val="16"/>
          <w:szCs w:val="20"/>
          <w:lang w:val="en"/>
        </w:rPr>
      </w:pPr>
    </w:p>
    <w:p w14:paraId="6E45D065" w14:textId="77777777" w:rsidR="00E31049" w:rsidRDefault="00E31049" w:rsidP="00E31049">
      <w:pPr>
        <w:pStyle w:val="Source"/>
        <w:sectPr w:rsidR="00E31049" w:rsidSect="00E37754">
          <w:pgSz w:w="16838" w:h="11906" w:orient="landscape" w:code="9"/>
          <w:pgMar w:top="992" w:right="1440" w:bottom="1440" w:left="1440" w:header="709" w:footer="709" w:gutter="0"/>
          <w:cols w:space="720"/>
          <w:docGrid w:linePitch="360"/>
        </w:sectPr>
      </w:pPr>
    </w:p>
    <w:p w14:paraId="0758AC3B" w14:textId="05F86D28" w:rsidR="00E31049" w:rsidRPr="007136E1" w:rsidRDefault="0062714C" w:rsidP="00E31049">
      <w:pPr>
        <w:pStyle w:val="Source"/>
      </w:pPr>
      <w:r>
        <w:rPr>
          <w:noProof/>
        </w:rPr>
        <w:drawing>
          <wp:anchor distT="0" distB="0" distL="114300" distR="114300" simplePos="0" relativeHeight="251658242" behindDoc="1" locked="0" layoutInCell="1" allowOverlap="1" wp14:anchorId="261A7180" wp14:editId="544FF02A">
            <wp:simplePos x="0" y="0"/>
            <wp:positionH relativeFrom="column">
              <wp:posOffset>-638810</wp:posOffset>
            </wp:positionH>
            <wp:positionV relativeFrom="paragraph">
              <wp:posOffset>66675</wp:posOffset>
            </wp:positionV>
            <wp:extent cx="10106660" cy="6023610"/>
            <wp:effectExtent l="0" t="0" r="889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106660" cy="6023610"/>
                    </a:xfrm>
                    <a:prstGeom prst="rect">
                      <a:avLst/>
                    </a:prstGeom>
                  </pic:spPr>
                </pic:pic>
              </a:graphicData>
            </a:graphic>
            <wp14:sizeRelH relativeFrom="margin">
              <wp14:pctWidth>0</wp14:pctWidth>
            </wp14:sizeRelH>
            <wp14:sizeRelV relativeFrom="margin">
              <wp14:pctHeight>0</wp14:pctHeight>
            </wp14:sizeRelV>
          </wp:anchor>
        </w:drawing>
      </w:r>
      <w:r w:rsidR="002A62C6">
        <w:rPr>
          <w:noProof/>
          <w:lang w:val="en-AU" w:eastAsia="en-AU"/>
        </w:rPr>
        <mc:AlternateContent>
          <mc:Choice Requires="wps">
            <w:drawing>
              <wp:inline distT="0" distB="0" distL="0" distR="0" wp14:anchorId="5DE39615" wp14:editId="2FFA6E0B">
                <wp:extent cx="5305425" cy="261257"/>
                <wp:effectExtent l="0" t="0" r="9525"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1257"/>
                        </a:xfrm>
                        <a:prstGeom prst="rect">
                          <a:avLst/>
                        </a:prstGeom>
                        <a:solidFill>
                          <a:srgbClr val="FFFFFF"/>
                        </a:solidFill>
                        <a:ln w="9525">
                          <a:noFill/>
                          <a:miter lim="800000"/>
                          <a:headEnd/>
                          <a:tailEnd/>
                        </a:ln>
                      </wps:spPr>
                      <wps:txbx>
                        <w:txbxContent>
                          <w:p w14:paraId="470EEAD1" w14:textId="69FF3FC7" w:rsidR="00E31049" w:rsidRDefault="00E31049" w:rsidP="00E31049">
                            <w:pPr>
                              <w:pStyle w:val="Caption"/>
                            </w:pPr>
                            <w:r>
                              <w:t>Figure</w:t>
                            </w:r>
                            <w:r w:rsidRPr="00E81A76">
                              <w:t xml:space="preserve"> </w:t>
                            </w:r>
                            <w:r>
                              <w:t>1</w:t>
                            </w:r>
                            <w:r w:rsidRPr="00E81A76">
                              <w:t>.</w:t>
                            </w:r>
                            <w:r w:rsidR="004D7E38">
                              <w:rPr>
                                <w:noProof/>
                              </w:rPr>
                              <w:t>6</w:t>
                            </w:r>
                            <w:r w:rsidRPr="00E81A76">
                              <w:t xml:space="preserve">: Location of projects at the committed stage, </w:t>
                            </w:r>
                            <w:bookmarkStart w:id="42" w:name="_Hlk122001000"/>
                            <w:r w:rsidRPr="00E81A76">
                              <w:t>as at 31 October 202</w:t>
                            </w:r>
                            <w:bookmarkEnd w:id="42"/>
                            <w:r>
                              <w:t>3</w:t>
                            </w:r>
                          </w:p>
                        </w:txbxContent>
                      </wps:txbx>
                      <wps:bodyPr rot="0" vert="horz" wrap="square" lIns="91440" tIns="45720" rIns="91440" bIns="45720" anchor="t" anchorCtr="0">
                        <a:noAutofit/>
                      </wps:bodyPr>
                    </wps:wsp>
                  </a:graphicData>
                </a:graphic>
              </wp:inline>
            </w:drawing>
          </mc:Choice>
          <mc:Fallback>
            <w:pict>
              <v:shapetype w14:anchorId="5DE39615" id="_x0000_t202" coordsize="21600,21600" o:spt="202" path="m,l,21600r21600,l21600,xe">
                <v:stroke joinstyle="miter"/>
                <v:path gradientshapeok="t" o:connecttype="rect"/>
              </v:shapetype>
              <v:shape id="Text Box 5" o:spid="_x0000_s1026" type="#_x0000_t202" style="width:417.7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" stroked="f">
                <v:textbox>
                  <w:txbxContent>
                    <w:p w14:paraId="470EEAD1" w14:textId="69FF3FC7" w:rsidR="00E31049" w:rsidRDefault="00E31049" w:rsidP="00E31049">
                      <w:pPr>
                        <w:pStyle w:val="Caption"/>
                      </w:pPr>
                      <w:r>
                        <w:t>Figure</w:t>
                      </w:r>
                      <w:r w:rsidRPr="00E81A76">
                        <w:t xml:space="preserve"> </w:t>
                      </w:r>
                      <w:r>
                        <w:t>1</w:t>
                      </w:r>
                      <w:r w:rsidRPr="00E81A76">
                        <w:t>.</w:t>
                      </w:r>
                      <w:r w:rsidR="004D7E38">
                        <w:rPr>
                          <w:noProof/>
                        </w:rPr>
                        <w:t>6</w:t>
                      </w:r>
                      <w:r w:rsidRPr="00E81A76">
                        <w:t xml:space="preserve">: Location of projects at the committed stage, </w:t>
                      </w:r>
                      <w:bookmarkStart w:id="43" w:name="_Hlk122001000"/>
                      <w:r w:rsidRPr="00E81A76">
                        <w:t>as at 31 October 202</w:t>
                      </w:r>
                      <w:bookmarkEnd w:id="43"/>
                      <w:r>
                        <w:t>3</w:t>
                      </w:r>
                    </w:p>
                  </w:txbxContent>
                </v:textbox>
                <w10:anchorlock/>
              </v:shape>
            </w:pict>
          </mc:Fallback>
        </mc:AlternateContent>
      </w:r>
      <w:r w:rsidR="000E1FA6">
        <w:rPr>
          <w:noProof/>
          <w:lang w:val="en-AU" w:eastAsia="en-AU"/>
        </w:rPr>
        <mc:AlternateContent>
          <mc:Choice Requires="wps">
            <w:drawing>
              <wp:anchor distT="45720" distB="45720" distL="114300" distR="114300" simplePos="0" relativeHeight="251658243" behindDoc="0" locked="0" layoutInCell="1" allowOverlap="1" wp14:anchorId="76B5DC15" wp14:editId="26887459">
                <wp:simplePos x="0" y="0"/>
                <wp:positionH relativeFrom="column">
                  <wp:posOffset>5143733</wp:posOffset>
                </wp:positionH>
                <wp:positionV relativeFrom="paragraph">
                  <wp:posOffset>5821086</wp:posOffset>
                </wp:positionV>
                <wp:extent cx="3448050" cy="140462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22533C87" w14:textId="77777777" w:rsidR="00E31049" w:rsidRPr="00392E29" w:rsidRDefault="00E31049" w:rsidP="00E31049">
                            <w:pPr>
                              <w:rPr>
                                <w:color w:val="0070C0"/>
                                <w:sz w:val="18"/>
                                <w:szCs w:val="18"/>
                              </w:rPr>
                            </w:pPr>
                            <w:r w:rsidRPr="00392E29">
                              <w:rPr>
                                <w:color w:val="0070C0"/>
                                <w:sz w:val="18"/>
                                <w:szCs w:val="18"/>
                              </w:rPr>
                              <w:t>Source: Department of Industry, Science and Resources (202</w:t>
                            </w:r>
                            <w:r>
                              <w:rPr>
                                <w:color w:val="0070C0"/>
                                <w:sz w:val="18"/>
                                <w:szCs w:val="18"/>
                              </w:rPr>
                              <w:t>3</w:t>
                            </w:r>
                            <w:r w:rsidRPr="00392E29">
                              <w:rPr>
                                <w:color w:val="0070C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5DC15" id="Text Box 217" o:spid="_x0000_s1027" type="#_x0000_t202" alt="&quot;&quot;" style="position:absolute;margin-left:405pt;margin-top:458.35pt;width:271.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T2EA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" stroked="f">
                <v:textbox style="mso-fit-shape-to-text:t">
                  <w:txbxContent>
                    <w:p w14:paraId="22533C87" w14:textId="77777777" w:rsidR="00E31049" w:rsidRPr="00392E29" w:rsidRDefault="00E31049" w:rsidP="00E31049">
                      <w:pPr>
                        <w:rPr>
                          <w:color w:val="0070C0"/>
                          <w:sz w:val="18"/>
                          <w:szCs w:val="18"/>
                        </w:rPr>
                      </w:pPr>
                      <w:r w:rsidRPr="00392E29">
                        <w:rPr>
                          <w:color w:val="0070C0"/>
                          <w:sz w:val="18"/>
                          <w:szCs w:val="18"/>
                        </w:rPr>
                        <w:t>Source: Department of Industry, Science and Resources (202</w:t>
                      </w:r>
                      <w:r>
                        <w:rPr>
                          <w:color w:val="0070C0"/>
                          <w:sz w:val="18"/>
                          <w:szCs w:val="18"/>
                        </w:rPr>
                        <w:t>3</w:t>
                      </w:r>
                      <w:r w:rsidRPr="00392E29">
                        <w:rPr>
                          <w:color w:val="0070C0"/>
                          <w:sz w:val="18"/>
                          <w:szCs w:val="18"/>
                        </w:rPr>
                        <w:t>)</w:t>
                      </w:r>
                    </w:p>
                  </w:txbxContent>
                </v:textbox>
              </v:shape>
            </w:pict>
          </mc:Fallback>
        </mc:AlternateContent>
      </w:r>
      <w:r w:rsidR="00617D13" w:rsidRPr="00617D13">
        <w:rPr>
          <w:noProof/>
        </w:rPr>
        <w:t xml:space="preserve"> </w:t>
      </w:r>
    </w:p>
    <w:tbl>
      <w:tblPr>
        <w:tblStyle w:val="OCETable"/>
        <w:tblW w:w="4925" w:type="pct"/>
        <w:tblLayout w:type="fixed"/>
        <w:tblCellMar>
          <w:left w:w="0" w:type="dxa"/>
          <w:right w:w="0" w:type="dxa"/>
        </w:tblCellMar>
        <w:tblLook w:val="04A0" w:firstRow="1" w:lastRow="0" w:firstColumn="1" w:lastColumn="0" w:noHBand="0" w:noVBand="1"/>
        <w:tblCaption w:val="Image 17.1: "/>
        <w:tblDescription w:val="Location of projects at the committed stage"/>
      </w:tblPr>
      <w:tblGrid>
        <w:gridCol w:w="13749"/>
      </w:tblGrid>
      <w:tr w:rsidR="00E31049" w:rsidRPr="007136E1" w14:paraId="2C6F93F6" w14:textId="77777777" w:rsidTr="005B62D1">
        <w:trPr>
          <w:cnfStyle w:val="100000000000" w:firstRow="1" w:lastRow="0" w:firstColumn="0" w:lastColumn="0" w:oddVBand="0" w:evenVBand="0" w:oddHBand="0" w:evenHBand="0" w:firstRowFirstColumn="0" w:firstRowLastColumn="0" w:lastRowFirstColumn="0" w:lastRowLastColumn="0"/>
          <w:cantSplit/>
          <w:trHeight w:hRule="exact" w:val="8982"/>
          <w:tblHeader/>
        </w:trPr>
        <w:tc>
          <w:tcPr>
            <w:tcW w:w="13749" w:type="dxa"/>
            <w:shd w:val="clear" w:color="auto" w:fill="auto"/>
          </w:tcPr>
          <w:p w14:paraId="6FD3F885" w14:textId="08AD934C" w:rsidR="00E31049" w:rsidRDefault="00E31049" w:rsidP="005B62D1">
            <w:pPr>
              <w:pStyle w:val="Placeholder"/>
            </w:pPr>
          </w:p>
          <w:p w14:paraId="31F20326" w14:textId="2E72777D" w:rsidR="00E31049" w:rsidRPr="007136E1" w:rsidRDefault="00E31049" w:rsidP="005B62D1">
            <w:pPr>
              <w:pStyle w:val="Placeholder"/>
            </w:pPr>
          </w:p>
        </w:tc>
      </w:tr>
    </w:tbl>
    <w:p w14:paraId="3F83E3CC" w14:textId="6070145E" w:rsidR="00E31049" w:rsidRPr="00790C62" w:rsidRDefault="00E31049" w:rsidP="00790C62">
      <w:pPr>
        <w:pStyle w:val="BodyText"/>
        <w:rPr>
          <w:lang w:val="en"/>
        </w:rPr>
        <w:sectPr w:rsidR="00E31049" w:rsidRPr="00790C62" w:rsidSect="00E37754">
          <w:pgSz w:w="16838" w:h="11906" w:orient="landscape" w:code="9"/>
          <w:pgMar w:top="992" w:right="1440" w:bottom="1440" w:left="1440" w:header="709" w:footer="709" w:gutter="0"/>
          <w:cols w:space="720"/>
          <w:docGrid w:linePitch="360"/>
        </w:sectPr>
      </w:pPr>
    </w:p>
    <w:p w14:paraId="69BC6CC2" w14:textId="57F7D930" w:rsidR="00FB428A" w:rsidRPr="00077BE9" w:rsidRDefault="00FB428A" w:rsidP="00FB428A">
      <w:pPr>
        <w:pStyle w:val="Heading1"/>
        <w:ind w:left="426" w:hanging="426"/>
      </w:pPr>
      <w:bookmarkStart w:id="44" w:name="_Toc120285893"/>
      <w:bookmarkStart w:id="45" w:name="_Toc120287124"/>
      <w:bookmarkStart w:id="46" w:name="_Toc120541230"/>
      <w:bookmarkStart w:id="47" w:name="_Toc120628914"/>
      <w:bookmarkStart w:id="48" w:name="_Toc120629523"/>
      <w:bookmarkStart w:id="49" w:name="_Toc120630046"/>
      <w:bookmarkStart w:id="50" w:name="_Toc120632569"/>
      <w:bookmarkStart w:id="51" w:name="_Toc152865201"/>
      <w:r w:rsidRPr="00077BE9">
        <w:t>Critical minerals</w:t>
      </w:r>
      <w:bookmarkEnd w:id="44"/>
      <w:bookmarkEnd w:id="45"/>
      <w:bookmarkEnd w:id="46"/>
      <w:bookmarkEnd w:id="47"/>
      <w:bookmarkEnd w:id="48"/>
      <w:bookmarkEnd w:id="49"/>
      <w:bookmarkEnd w:id="50"/>
      <w:bookmarkEnd w:id="51"/>
    </w:p>
    <w:p w14:paraId="154F73EE" w14:textId="641AF112" w:rsidR="007529FA" w:rsidRPr="00BC3408" w:rsidRDefault="007529FA" w:rsidP="007529FA">
      <w:pPr>
        <w:pStyle w:val="Heading3"/>
      </w:pPr>
      <w:r>
        <w:t>Australian c</w:t>
      </w:r>
      <w:r w:rsidRPr="00BC3408">
        <w:t>ritical mineral</w:t>
      </w:r>
      <w:r>
        <w:t>s</w:t>
      </w:r>
      <w:r w:rsidRPr="00BC3408">
        <w:t xml:space="preserve"> </w:t>
      </w:r>
      <w:r w:rsidR="0000227E">
        <w:t>sector</w:t>
      </w:r>
      <w:r>
        <w:t xml:space="preserve"> </w:t>
      </w:r>
      <w:r w:rsidR="005237A3">
        <w:t>expanding and diversifying</w:t>
      </w:r>
    </w:p>
    <w:p w14:paraId="2E58C76A" w14:textId="502EAB91" w:rsidR="009104D3" w:rsidRDefault="007529FA" w:rsidP="007529FA">
      <w:pPr>
        <w:pStyle w:val="BodyText"/>
      </w:pPr>
      <w:r>
        <w:t>Australia’s critical</w:t>
      </w:r>
      <w:r w:rsidRPr="00BC3408">
        <w:t xml:space="preserve"> mineral</w:t>
      </w:r>
      <w:r>
        <w:t>s</w:t>
      </w:r>
      <w:r w:rsidRPr="00BC3408">
        <w:t xml:space="preserve"> </w:t>
      </w:r>
      <w:r>
        <w:t xml:space="preserve">major project </w:t>
      </w:r>
      <w:r w:rsidR="00DA76FF">
        <w:t>list</w:t>
      </w:r>
      <w:r>
        <w:t xml:space="preserve"> </w:t>
      </w:r>
      <w:r w:rsidR="00DA76FF">
        <w:t xml:space="preserve">now includes </w:t>
      </w:r>
      <w:r w:rsidR="00B51256">
        <w:t>100</w:t>
      </w:r>
      <w:r w:rsidRPr="00AE438F">
        <w:t xml:space="preserve"> projects</w:t>
      </w:r>
      <w:r w:rsidR="005C35DC">
        <w:t xml:space="preserve">, with </w:t>
      </w:r>
      <w:r w:rsidR="009104D3">
        <w:t>an estimated $24 billion in proposed investment for</w:t>
      </w:r>
      <w:r w:rsidRPr="00AE438F">
        <w:t xml:space="preserve"> </w:t>
      </w:r>
      <w:r w:rsidR="009104D3">
        <w:t>projects at later stages</w:t>
      </w:r>
      <w:r>
        <w:t xml:space="preserve"> of </w:t>
      </w:r>
      <w:r w:rsidR="009104D3">
        <w:t xml:space="preserve">development </w:t>
      </w:r>
      <w:r w:rsidRPr="00AE438F">
        <w:t xml:space="preserve">as </w:t>
      </w:r>
      <w:r w:rsidR="00915143">
        <w:t>at</w:t>
      </w:r>
      <w:r w:rsidR="00915143" w:rsidRPr="00AE438F">
        <w:t xml:space="preserve"> </w:t>
      </w:r>
      <w:r>
        <w:t>31 October 2023</w:t>
      </w:r>
      <w:r w:rsidRPr="009573EA">
        <w:t xml:space="preserve"> (Table </w:t>
      </w:r>
      <w:r>
        <w:t>2</w:t>
      </w:r>
      <w:r w:rsidRPr="009573EA">
        <w:t>.</w:t>
      </w:r>
      <w:r w:rsidR="00F1509E">
        <w:t>2</w:t>
      </w:r>
      <w:r w:rsidRPr="009573EA">
        <w:t>).</w:t>
      </w:r>
      <w:r w:rsidR="00373FC4">
        <w:t xml:space="preserve"> This include</w:t>
      </w:r>
      <w:r w:rsidR="005C35DC">
        <w:t xml:space="preserve">s </w:t>
      </w:r>
      <w:r w:rsidR="00373FC4">
        <w:t>$11.8 billion in committed investments, a 75% increase from last year’s report.</w:t>
      </w:r>
    </w:p>
    <w:p w14:paraId="5C45C0EC" w14:textId="672FE1FC" w:rsidR="007529FA" w:rsidRDefault="007529FA" w:rsidP="007529FA">
      <w:pPr>
        <w:pStyle w:val="BodyText"/>
      </w:pPr>
      <w:r>
        <w:t xml:space="preserve">This year’s report sees rare earths </w:t>
      </w:r>
      <w:r w:rsidR="00525130">
        <w:t xml:space="preserve">emerge </w:t>
      </w:r>
      <w:r w:rsidR="00BC509A">
        <w:t>as</w:t>
      </w:r>
      <w:r w:rsidR="00D93026">
        <w:t xml:space="preserve"> </w:t>
      </w:r>
      <w:r>
        <w:t xml:space="preserve">Australia’s largest </w:t>
      </w:r>
      <w:r w:rsidR="00525130" w:rsidRPr="00AE438F">
        <w:t>category of critical mineral</w:t>
      </w:r>
      <w:r w:rsidR="0050675E">
        <w:t>s</w:t>
      </w:r>
      <w:r w:rsidR="00525130">
        <w:t xml:space="preserve"> at later stages of development (by value)</w:t>
      </w:r>
      <w:r w:rsidR="00525130" w:rsidRPr="00AE438F">
        <w:t>, with $</w:t>
      </w:r>
      <w:r w:rsidR="00525130">
        <w:t>7</w:t>
      </w:r>
      <w:r w:rsidR="00525130" w:rsidRPr="00AE438F">
        <w:t>.</w:t>
      </w:r>
      <w:r w:rsidR="00525130">
        <w:t>3 </w:t>
      </w:r>
      <w:r w:rsidR="00525130" w:rsidRPr="00AE438F">
        <w:t xml:space="preserve">billion in </w:t>
      </w:r>
      <w:r w:rsidR="00525130">
        <w:t xml:space="preserve">proposed </w:t>
      </w:r>
      <w:r w:rsidR="00525130" w:rsidRPr="00AE438F">
        <w:t>investment.</w:t>
      </w:r>
      <w:r w:rsidR="00525130">
        <w:t xml:space="preserve"> This</w:t>
      </w:r>
      <w:r w:rsidR="00525130" w:rsidDel="00C53D0B">
        <w:t xml:space="preserve"> </w:t>
      </w:r>
      <w:r w:rsidR="00C53D0B">
        <w:t xml:space="preserve">is </w:t>
      </w:r>
      <w:r w:rsidR="00525130">
        <w:t>closely followed by l</w:t>
      </w:r>
      <w:r w:rsidR="00525130" w:rsidRPr="00AE438F">
        <w:t>ithium, with $</w:t>
      </w:r>
      <w:r w:rsidR="00525130">
        <w:t>7</w:t>
      </w:r>
      <w:r w:rsidR="00525130" w:rsidRPr="00AE438F">
        <w:t>.</w:t>
      </w:r>
      <w:r w:rsidR="0040679D">
        <w:t>2</w:t>
      </w:r>
      <w:r w:rsidR="00525130" w:rsidRPr="00AE438F">
        <w:t xml:space="preserve"> billion in </w:t>
      </w:r>
      <w:r w:rsidR="00525130">
        <w:t xml:space="preserve">proposed </w:t>
      </w:r>
      <w:r w:rsidR="00525130" w:rsidRPr="00AE438F">
        <w:t>investment.</w:t>
      </w:r>
      <w:r w:rsidRPr="00787B24">
        <w:t xml:space="preserve"> </w:t>
      </w:r>
      <w:r>
        <w:t xml:space="preserve">Other major categories </w:t>
      </w:r>
      <w:r w:rsidR="00BC509A">
        <w:t xml:space="preserve">of </w:t>
      </w:r>
      <w:r w:rsidR="00525130">
        <w:t>later stage</w:t>
      </w:r>
      <w:r w:rsidR="00BC509A">
        <w:t xml:space="preserve"> projects </w:t>
      </w:r>
      <w:r>
        <w:t>include nickel-cobalt</w:t>
      </w:r>
      <w:r w:rsidR="00525130">
        <w:t xml:space="preserve"> ($3.6 </w:t>
      </w:r>
      <w:r w:rsidR="00F1509E">
        <w:t>billion</w:t>
      </w:r>
      <w:r w:rsidR="00525130">
        <w:t>), vanadium ($1.</w:t>
      </w:r>
      <w:r w:rsidR="008C0527">
        <w:t>6</w:t>
      </w:r>
      <w:r w:rsidR="00F1509E">
        <w:t xml:space="preserve"> billion</w:t>
      </w:r>
      <w:r w:rsidR="00525130">
        <w:t xml:space="preserve">), and </w:t>
      </w:r>
      <w:r>
        <w:t xml:space="preserve">titanium &amp; mineral sands </w:t>
      </w:r>
      <w:r w:rsidRPr="00B92EBC">
        <w:t>(</w:t>
      </w:r>
      <w:r w:rsidRPr="00AE438F">
        <w:t>$</w:t>
      </w:r>
      <w:r w:rsidR="00BC509A">
        <w:t>1</w:t>
      </w:r>
      <w:r w:rsidRPr="00AE438F">
        <w:t>.</w:t>
      </w:r>
      <w:r w:rsidR="00525130">
        <w:t>4</w:t>
      </w:r>
      <w:r w:rsidRPr="00AE438F">
        <w:t> </w:t>
      </w:r>
      <w:r w:rsidR="00F1509E">
        <w:t>billion</w:t>
      </w:r>
      <w:r>
        <w:t xml:space="preserve">). This year’s </w:t>
      </w:r>
      <w:r w:rsidR="002921AB">
        <w:t>report</w:t>
      </w:r>
      <w:r>
        <w:t xml:space="preserve"> also reflects the sector’s ongoing </w:t>
      </w:r>
      <w:r w:rsidR="00BF2859">
        <w:t>efforts</w:t>
      </w:r>
      <w:r>
        <w:t xml:space="preserve"> to </w:t>
      </w:r>
      <w:r w:rsidR="00BF2859">
        <w:t>build downstream processing capabilities</w:t>
      </w:r>
      <w:r>
        <w:t xml:space="preserve">, with </w:t>
      </w:r>
      <w:r w:rsidRPr="00AE438F">
        <w:t>$</w:t>
      </w:r>
      <w:r w:rsidR="00F847A5">
        <w:t>11.8</w:t>
      </w:r>
      <w:r w:rsidR="008C0527">
        <w:t> </w:t>
      </w:r>
      <w:r w:rsidRPr="00AE438F">
        <w:t>billion</w:t>
      </w:r>
      <w:r>
        <w:t xml:space="preserve"> in </w:t>
      </w:r>
      <w:r w:rsidR="00F847A5">
        <w:t>proposed</w:t>
      </w:r>
      <w:r w:rsidR="00BC509A">
        <w:t xml:space="preserve"> </w:t>
      </w:r>
      <w:r>
        <w:t>investments</w:t>
      </w:r>
      <w:r w:rsidR="00F847A5">
        <w:t xml:space="preserve"> for later</w:t>
      </w:r>
      <w:r w:rsidR="0028556E">
        <w:t>-</w:t>
      </w:r>
      <w:r w:rsidR="00F847A5">
        <w:t>stage projects</w:t>
      </w:r>
      <w:r>
        <w:t>.</w:t>
      </w:r>
    </w:p>
    <w:p w14:paraId="7B0715B1" w14:textId="1F6CDD1A" w:rsidR="007529FA" w:rsidRPr="00D97B67" w:rsidRDefault="007529FA" w:rsidP="007529FA">
      <w:pPr>
        <w:pStyle w:val="BodyText"/>
      </w:pPr>
      <w:r w:rsidRPr="00D97B67">
        <w:t>More than half of all critical minerals projects (</w:t>
      </w:r>
      <w:r w:rsidRPr="00AE438F">
        <w:t>5</w:t>
      </w:r>
      <w:r w:rsidR="005F3859">
        <w:t>2</w:t>
      </w:r>
      <w:r w:rsidRPr="00AE438F">
        <w:t xml:space="preserve"> projects</w:t>
      </w:r>
      <w:r w:rsidRPr="00D97B67">
        <w:t xml:space="preserve">) </w:t>
      </w:r>
      <w:r w:rsidR="0028556E">
        <w:t>are</w:t>
      </w:r>
      <w:r w:rsidRPr="00D97B67">
        <w:t xml:space="preserve"> located in W</w:t>
      </w:r>
      <w:r>
        <w:t>estern Australia</w:t>
      </w:r>
      <w:r w:rsidRPr="00D97B67">
        <w:t xml:space="preserve">. </w:t>
      </w:r>
      <w:r>
        <w:t>R</w:t>
      </w:r>
      <w:r w:rsidRPr="00D97B67">
        <w:t>emaining projects were distributed a</w:t>
      </w:r>
      <w:r w:rsidR="00A5664D">
        <w:t>cross</w:t>
      </w:r>
      <w:r w:rsidRPr="00D97B67">
        <w:t xml:space="preserve"> most Australian </w:t>
      </w:r>
      <w:r w:rsidR="0028556E">
        <w:t>S</w:t>
      </w:r>
      <w:r w:rsidRPr="00D97B67">
        <w:t xml:space="preserve">tates and </w:t>
      </w:r>
      <w:r w:rsidR="0028556E">
        <w:t>T</w:t>
      </w:r>
      <w:r w:rsidRPr="00D97B67">
        <w:t xml:space="preserve">erritories, </w:t>
      </w:r>
      <w:r>
        <w:t>including</w:t>
      </w:r>
      <w:r w:rsidRPr="00D97B67">
        <w:t xml:space="preserve"> Queensland (</w:t>
      </w:r>
      <w:r w:rsidRPr="00AE438F">
        <w:t>1</w:t>
      </w:r>
      <w:r w:rsidR="005A5B7C" w:rsidRPr="00AE438F">
        <w:t>2</w:t>
      </w:r>
      <w:r w:rsidRPr="00D97B67">
        <w:t xml:space="preserve">), </w:t>
      </w:r>
      <w:r w:rsidR="005A5B7C" w:rsidRPr="00D97B67">
        <w:t>Northern Territory (</w:t>
      </w:r>
      <w:r w:rsidR="005A5B7C" w:rsidRPr="00AE438F">
        <w:t>10</w:t>
      </w:r>
      <w:r w:rsidR="005A5B7C" w:rsidRPr="00D97B67">
        <w:t>)</w:t>
      </w:r>
      <w:r w:rsidR="005A5B7C">
        <w:t xml:space="preserve">, </w:t>
      </w:r>
      <w:r w:rsidRPr="00D97B67">
        <w:t xml:space="preserve">New South Wales </w:t>
      </w:r>
      <w:r w:rsidR="005A5B7C">
        <w:t xml:space="preserve">and South Australia </w:t>
      </w:r>
      <w:r w:rsidRPr="00D97B67">
        <w:t>(</w:t>
      </w:r>
      <w:r w:rsidRPr="00AE438F">
        <w:t>9 </w:t>
      </w:r>
      <w:r w:rsidR="005A5B7C">
        <w:t>each)</w:t>
      </w:r>
      <w:r w:rsidR="008A6FE1">
        <w:t>,</w:t>
      </w:r>
      <w:r w:rsidR="00632A13">
        <w:t xml:space="preserve"> Victoria (</w:t>
      </w:r>
      <w:r w:rsidR="00B51256">
        <w:t>6</w:t>
      </w:r>
      <w:r w:rsidR="00632A13">
        <w:t>) and Tasmania (2</w:t>
      </w:r>
      <w:r w:rsidR="005A5B7C">
        <w:t>)</w:t>
      </w:r>
      <w:r w:rsidRPr="00D97B67">
        <w:t>.</w:t>
      </w:r>
    </w:p>
    <w:p w14:paraId="59D82015" w14:textId="57F2BD73" w:rsidR="007529FA" w:rsidRDefault="007529FA" w:rsidP="007529FA">
      <w:pPr>
        <w:pStyle w:val="BodyText"/>
      </w:pPr>
      <w:r w:rsidRPr="009272F6">
        <w:t>By st</w:t>
      </w:r>
      <w:r>
        <w:t>atus</w:t>
      </w:r>
      <w:r w:rsidRPr="009272F6">
        <w:t xml:space="preserve">, </w:t>
      </w:r>
      <w:r w:rsidR="00684B48">
        <w:t>around</w:t>
      </w:r>
      <w:r w:rsidRPr="009272F6">
        <w:t xml:space="preserve"> half of all projects were in </w:t>
      </w:r>
      <w:r>
        <w:t xml:space="preserve">the </w:t>
      </w:r>
      <w:r w:rsidRPr="009272F6">
        <w:t xml:space="preserve">early stages of development (publicly announced). </w:t>
      </w:r>
      <w:r>
        <w:t>For later</w:t>
      </w:r>
      <w:r w:rsidR="0028556E">
        <w:t>-</w:t>
      </w:r>
      <w:r>
        <w:t xml:space="preserve">stage projects, </w:t>
      </w:r>
      <w:r w:rsidRPr="00AE438F">
        <w:t>around 20% of projects</w:t>
      </w:r>
      <w:r w:rsidRPr="009272F6">
        <w:t xml:space="preserve"> had delivered a</w:t>
      </w:r>
      <w:r w:rsidR="00A844BB">
        <w:t xml:space="preserve">n advanced </w:t>
      </w:r>
      <w:r w:rsidRPr="009272F6">
        <w:t xml:space="preserve">feasibility study and a further </w:t>
      </w:r>
      <w:r w:rsidRPr="00AE438F">
        <w:t>20%</w:t>
      </w:r>
      <w:r w:rsidRPr="009272F6">
        <w:t xml:space="preserve"> </w:t>
      </w:r>
      <w:r w:rsidR="00A844BB">
        <w:t>had been committed</w:t>
      </w:r>
      <w:r w:rsidRPr="009272F6">
        <w:t xml:space="preserve">. </w:t>
      </w:r>
      <w:r>
        <w:t xml:space="preserve">Finally, </w:t>
      </w:r>
      <w:r w:rsidR="00684B48">
        <w:t>8</w:t>
      </w:r>
      <w:r w:rsidR="0042452C">
        <w:t> </w:t>
      </w:r>
      <w:r w:rsidRPr="009272F6">
        <w:t xml:space="preserve">projects were completed </w:t>
      </w:r>
      <w:r>
        <w:t>in the last 12</w:t>
      </w:r>
      <w:r w:rsidR="00B51256">
        <w:t> </w:t>
      </w:r>
      <w:r>
        <w:t>months</w:t>
      </w:r>
      <w:r w:rsidRPr="009272F6">
        <w:t xml:space="preserve">. </w:t>
      </w:r>
    </w:p>
    <w:p w14:paraId="69DC6779" w14:textId="32CCBD0E" w:rsidR="002921AB" w:rsidRPr="009272F6" w:rsidRDefault="007529FA" w:rsidP="002921AB">
      <w:pPr>
        <w:pStyle w:val="BodyText"/>
      </w:pPr>
      <w:r>
        <w:t xml:space="preserve">This year’s </w:t>
      </w:r>
      <w:r w:rsidR="00D322C5">
        <w:t>results</w:t>
      </w:r>
      <w:r w:rsidDel="00952032">
        <w:t xml:space="preserve"> </w:t>
      </w:r>
      <w:r>
        <w:t xml:space="preserve">highlight the ongoing </w:t>
      </w:r>
      <w:r w:rsidR="00A5664D">
        <w:t xml:space="preserve">and </w:t>
      </w:r>
      <w:r>
        <w:t>rapid development of the critical minerals sector in Australia. Around half of all projects (</w:t>
      </w:r>
      <w:r w:rsidR="00696EB6">
        <w:t>5</w:t>
      </w:r>
      <w:r w:rsidR="00B51256">
        <w:t>1</w:t>
      </w:r>
      <w:r>
        <w:t xml:space="preserve">) on this year’s list either progressed in their development stage </w:t>
      </w:r>
      <w:r w:rsidR="00A5664D">
        <w:t>in the last 12 </w:t>
      </w:r>
      <w:r w:rsidR="00343597" w:rsidRPr="00AE438F">
        <w:t>months or</w:t>
      </w:r>
      <w:r>
        <w:t xml:space="preserve"> are new additions to the report. New projects </w:t>
      </w:r>
      <w:r w:rsidR="00952032">
        <w:t>a</w:t>
      </w:r>
      <w:r>
        <w:t xml:space="preserve">re concentrated in </w:t>
      </w:r>
      <w:r w:rsidR="00684B48">
        <w:t xml:space="preserve">titanium </w:t>
      </w:r>
      <w:r w:rsidR="0028556E">
        <w:t>and</w:t>
      </w:r>
      <w:r w:rsidR="00684B48">
        <w:t xml:space="preserve"> minerals sands (</w:t>
      </w:r>
      <w:r w:rsidR="00B51256">
        <w:t>5</w:t>
      </w:r>
      <w:r w:rsidR="00684B48" w:rsidRPr="00AE438F">
        <w:t xml:space="preserve"> projects</w:t>
      </w:r>
      <w:r w:rsidR="00684B48">
        <w:t>),</w:t>
      </w:r>
      <w:r>
        <w:t xml:space="preserve"> </w:t>
      </w:r>
      <w:r w:rsidR="00684B48">
        <w:t xml:space="preserve">active materials </w:t>
      </w:r>
      <w:r>
        <w:t>(</w:t>
      </w:r>
      <w:r w:rsidR="00684B48" w:rsidRPr="00AE438F">
        <w:t>4</w:t>
      </w:r>
      <w:r w:rsidRPr="00AE438F">
        <w:t> projects</w:t>
      </w:r>
      <w:r>
        <w:t>), as well as</w:t>
      </w:r>
      <w:r w:rsidR="00684B48" w:rsidRPr="00684B48">
        <w:t xml:space="preserve"> </w:t>
      </w:r>
      <w:r w:rsidR="00684B48">
        <w:t>nickel-cobalt, magnesium</w:t>
      </w:r>
      <w:r w:rsidR="00171CF0">
        <w:t>,</w:t>
      </w:r>
      <w:r w:rsidR="00684B48">
        <w:t xml:space="preserve"> and </w:t>
      </w:r>
      <w:r w:rsidR="0028556E">
        <w:t xml:space="preserve">high purity </w:t>
      </w:r>
      <w:r w:rsidR="00107938">
        <w:t xml:space="preserve">alumina </w:t>
      </w:r>
      <w:r w:rsidR="0028556E">
        <w:t>(</w:t>
      </w:r>
      <w:r w:rsidR="00684B48" w:rsidDel="0028556E">
        <w:t>H</w:t>
      </w:r>
      <w:r w:rsidR="00684B48">
        <w:t>PA</w:t>
      </w:r>
      <w:r w:rsidR="0028556E">
        <w:t>)</w:t>
      </w:r>
      <w:r w:rsidR="002921AB">
        <w:t xml:space="preserve"> (</w:t>
      </w:r>
      <w:r w:rsidR="00684B48" w:rsidRPr="00AE438F">
        <w:t>3</w:t>
      </w:r>
      <w:r w:rsidR="002921AB" w:rsidRPr="00AE438F">
        <w:t xml:space="preserve"> projects each</w:t>
      </w:r>
      <w:r w:rsidR="002921AB">
        <w:t>)</w:t>
      </w:r>
      <w:r w:rsidR="00696EB6">
        <w:t xml:space="preserve"> a</w:t>
      </w:r>
      <w:r w:rsidR="003F043B">
        <w:t>s well as</w:t>
      </w:r>
      <w:r w:rsidR="00696EB6">
        <w:t xml:space="preserve"> several other minerals</w:t>
      </w:r>
      <w:r w:rsidR="002921AB">
        <w:t>.</w:t>
      </w:r>
    </w:p>
    <w:p w14:paraId="6F3F6CA2" w14:textId="28C36E12" w:rsidR="008A5097" w:rsidRPr="00AE438F" w:rsidRDefault="008A5097" w:rsidP="008A5097">
      <w:pPr>
        <w:pStyle w:val="Note"/>
      </w:pPr>
      <w:r w:rsidRPr="00AE438F">
        <w:rPr>
          <w:rFonts w:eastAsiaTheme="minorHAnsi" w:cstheme="minorBidi"/>
          <w:b/>
          <w:sz w:val="20"/>
          <w:szCs w:val="18"/>
          <w:lang w:val="en-AU"/>
        </w:rPr>
        <w:t xml:space="preserve">Figure </w:t>
      </w:r>
      <w:r w:rsidRPr="00AE438F">
        <w:rPr>
          <w:rFonts w:eastAsiaTheme="minorHAnsi" w:cstheme="minorBidi"/>
          <w:b/>
          <w:sz w:val="20"/>
          <w:szCs w:val="18"/>
          <w:lang w:val="en-AU"/>
        </w:rPr>
        <w:fldChar w:fldCharType="begin"/>
      </w:r>
      <w:r w:rsidRPr="00AE438F">
        <w:rPr>
          <w:rFonts w:eastAsiaTheme="minorHAnsi" w:cstheme="minorBidi"/>
          <w:b/>
          <w:sz w:val="20"/>
          <w:szCs w:val="18"/>
          <w:lang w:val="en-AU"/>
        </w:rPr>
        <w:instrText xml:space="preserve"> STYLEREF 1 \s </w:instrText>
      </w:r>
      <w:r w:rsidRPr="00AE438F">
        <w:rPr>
          <w:rFonts w:eastAsiaTheme="minorHAnsi" w:cstheme="minorBidi"/>
          <w:b/>
          <w:sz w:val="20"/>
          <w:szCs w:val="18"/>
          <w:lang w:val="en-AU"/>
        </w:rPr>
        <w:fldChar w:fldCharType="separate"/>
      </w:r>
      <w:r w:rsidR="006D6E1F">
        <w:rPr>
          <w:rFonts w:eastAsiaTheme="minorHAnsi" w:cstheme="minorBidi"/>
          <w:b/>
          <w:noProof/>
          <w:sz w:val="20"/>
          <w:szCs w:val="18"/>
          <w:lang w:val="en-AU"/>
        </w:rPr>
        <w:t>2</w:t>
      </w:r>
      <w:r w:rsidRPr="00AE438F">
        <w:rPr>
          <w:rFonts w:eastAsiaTheme="minorHAnsi" w:cstheme="minorBidi"/>
          <w:b/>
          <w:sz w:val="20"/>
          <w:szCs w:val="18"/>
          <w:lang w:val="en-AU"/>
        </w:rPr>
        <w:fldChar w:fldCharType="end"/>
      </w:r>
      <w:r w:rsidRPr="00AE438F">
        <w:rPr>
          <w:rFonts w:eastAsiaTheme="minorHAnsi" w:cstheme="minorBidi"/>
          <w:b/>
          <w:sz w:val="20"/>
          <w:szCs w:val="18"/>
          <w:lang w:val="en-AU"/>
        </w:rPr>
        <w:t xml:space="preserve">.1: </w:t>
      </w:r>
      <w:r w:rsidR="008C0527">
        <w:rPr>
          <w:rFonts w:eastAsiaTheme="minorHAnsi" w:cstheme="minorBidi"/>
          <w:b/>
          <w:bCs/>
          <w:sz w:val="20"/>
          <w:szCs w:val="18"/>
          <w:lang w:val="en-AU"/>
        </w:rPr>
        <w:t>Critical minerals project count by</w:t>
      </w:r>
      <w:r>
        <w:rPr>
          <w:rFonts w:eastAsiaTheme="minorHAnsi" w:cstheme="minorBidi"/>
          <w:b/>
          <w:bCs/>
          <w:sz w:val="20"/>
          <w:szCs w:val="18"/>
          <w:lang w:val="en-AU"/>
        </w:rPr>
        <w:t xml:space="preserve"> stage</w:t>
      </w:r>
    </w:p>
    <w:p w14:paraId="6F377A5C" w14:textId="290C46A8" w:rsidR="008A5097" w:rsidRPr="00AE438F" w:rsidRDefault="00ED2794" w:rsidP="008A5097">
      <w:pPr>
        <w:pStyle w:val="Source"/>
      </w:pPr>
      <w:r>
        <w:rPr>
          <w:noProof/>
        </w:rPr>
        <w:drawing>
          <wp:inline distT="0" distB="0" distL="0" distR="0" wp14:anchorId="4E6BAA7C" wp14:editId="3A56BD88">
            <wp:extent cx="4356000" cy="2412000"/>
            <wp:effectExtent l="0" t="0" r="6985" b="7620"/>
            <wp:docPr id="19" name="Chart 19" descr="This figure shows the number and value of critical mineral projects, by stage">
              <a:extLst xmlns:a="http://schemas.openxmlformats.org/drawingml/2006/main">
                <a:ext uri="{FF2B5EF4-FFF2-40B4-BE49-F238E27FC236}">
                  <a16:creationId xmlns:a16="http://schemas.microsoft.com/office/drawing/2014/main" id="{50C85671-1286-47E5-AB9D-CCE0281DA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A5097" w:rsidRPr="00AE438F">
        <w:t xml:space="preserve"> </w:t>
      </w:r>
    </w:p>
    <w:p w14:paraId="39B8AD7F" w14:textId="77777777" w:rsidR="008A5097" w:rsidRPr="00AE438F" w:rsidRDefault="008A5097" w:rsidP="008A5097">
      <w:pPr>
        <w:pStyle w:val="Source"/>
        <w:spacing w:after="180"/>
        <w:rPr>
          <w:lang w:eastAsia="en-AU"/>
        </w:rPr>
      </w:pPr>
      <w:r w:rsidRPr="00AE438F">
        <w:t xml:space="preserve">Source: </w:t>
      </w:r>
      <w:r w:rsidRPr="00AE438F">
        <w:rPr>
          <w:lang w:eastAsia="en-AU"/>
        </w:rPr>
        <w:t>Department of Industry, Science and Resources (2023)</w:t>
      </w:r>
    </w:p>
    <w:p w14:paraId="013A2E1F" w14:textId="16BB3CBF" w:rsidR="008C0527" w:rsidRPr="00AE438F" w:rsidRDefault="007529FA" w:rsidP="00B12E9D">
      <w:pPr>
        <w:pStyle w:val="Note"/>
        <w:spacing w:before="180"/>
      </w:pPr>
      <w:r w:rsidRPr="00AE438F">
        <w:rPr>
          <w:rFonts w:eastAsiaTheme="minorHAnsi" w:cstheme="minorBidi"/>
          <w:b/>
          <w:sz w:val="20"/>
          <w:szCs w:val="18"/>
          <w:lang w:val="en-AU"/>
        </w:rPr>
        <w:t xml:space="preserve">Figure </w:t>
      </w:r>
      <w:r w:rsidRPr="00AE438F">
        <w:rPr>
          <w:rFonts w:eastAsiaTheme="minorHAnsi" w:cstheme="minorBidi"/>
          <w:b/>
          <w:sz w:val="20"/>
          <w:szCs w:val="18"/>
          <w:lang w:val="en-AU"/>
        </w:rPr>
        <w:fldChar w:fldCharType="begin"/>
      </w:r>
      <w:r w:rsidRPr="00AE438F">
        <w:rPr>
          <w:rFonts w:eastAsiaTheme="minorHAnsi" w:cstheme="minorBidi"/>
          <w:b/>
          <w:sz w:val="20"/>
          <w:szCs w:val="18"/>
          <w:lang w:val="en-AU"/>
        </w:rPr>
        <w:instrText xml:space="preserve"> STYLEREF 1 \s </w:instrText>
      </w:r>
      <w:r w:rsidRPr="00AE438F">
        <w:rPr>
          <w:rFonts w:eastAsiaTheme="minorHAnsi" w:cstheme="minorBidi"/>
          <w:b/>
          <w:sz w:val="20"/>
          <w:szCs w:val="18"/>
          <w:lang w:val="en-AU"/>
        </w:rPr>
        <w:fldChar w:fldCharType="separate"/>
      </w:r>
      <w:r w:rsidR="006D6E1F">
        <w:rPr>
          <w:rFonts w:eastAsiaTheme="minorHAnsi" w:cstheme="minorBidi"/>
          <w:b/>
          <w:noProof/>
          <w:sz w:val="20"/>
          <w:szCs w:val="18"/>
          <w:lang w:val="en-AU"/>
        </w:rPr>
        <w:t>2</w:t>
      </w:r>
      <w:r w:rsidRPr="00AE438F">
        <w:rPr>
          <w:rFonts w:eastAsiaTheme="minorHAnsi" w:cstheme="minorBidi"/>
          <w:b/>
          <w:sz w:val="20"/>
          <w:szCs w:val="18"/>
          <w:lang w:val="en-AU"/>
        </w:rPr>
        <w:fldChar w:fldCharType="end"/>
      </w:r>
      <w:r w:rsidRPr="00AE438F">
        <w:rPr>
          <w:rFonts w:eastAsiaTheme="minorHAnsi" w:cstheme="minorBidi"/>
          <w:b/>
          <w:sz w:val="20"/>
          <w:szCs w:val="18"/>
          <w:lang w:val="en-AU"/>
        </w:rPr>
        <w:t>.</w:t>
      </w:r>
      <w:r w:rsidR="008C0527">
        <w:rPr>
          <w:rFonts w:eastAsiaTheme="minorHAnsi" w:cstheme="minorBidi"/>
          <w:b/>
          <w:sz w:val="20"/>
          <w:szCs w:val="18"/>
          <w:lang w:val="en-AU"/>
        </w:rPr>
        <w:t>2</w:t>
      </w:r>
      <w:r w:rsidR="008C0527" w:rsidRPr="00AE438F">
        <w:rPr>
          <w:rFonts w:eastAsiaTheme="minorHAnsi" w:cstheme="minorBidi"/>
          <w:b/>
          <w:sz w:val="20"/>
          <w:szCs w:val="18"/>
          <w:lang w:val="en-AU"/>
        </w:rPr>
        <w:t xml:space="preserve">: </w:t>
      </w:r>
      <w:r w:rsidR="008C0527">
        <w:rPr>
          <w:rFonts w:eastAsiaTheme="minorHAnsi" w:cstheme="minorBidi"/>
          <w:b/>
          <w:bCs/>
          <w:sz w:val="20"/>
          <w:szCs w:val="18"/>
          <w:lang w:val="en-AU"/>
        </w:rPr>
        <w:t>Critical minerals project count by state or territory</w:t>
      </w:r>
    </w:p>
    <w:p w14:paraId="30080513" w14:textId="4430BFC5" w:rsidR="008C0527" w:rsidRPr="00AE438F" w:rsidRDefault="008C0527" w:rsidP="008C0527">
      <w:pPr>
        <w:pStyle w:val="Source"/>
      </w:pPr>
      <w:r>
        <w:rPr>
          <w:noProof/>
        </w:rPr>
        <w:drawing>
          <wp:inline distT="0" distB="0" distL="0" distR="0" wp14:anchorId="1D39C27C" wp14:editId="3F5BA2D1">
            <wp:extent cx="4356000" cy="2556000"/>
            <wp:effectExtent l="0" t="0" r="6985" b="0"/>
            <wp:docPr id="21" name="Chart 21" descr="This figure shows the number of critical mineral projects, by state or territory">
              <a:extLst xmlns:a="http://schemas.openxmlformats.org/drawingml/2006/main">
                <a:ext uri="{FF2B5EF4-FFF2-40B4-BE49-F238E27FC236}">
                  <a16:creationId xmlns:a16="http://schemas.microsoft.com/office/drawing/2014/main" id="{5E83BB55-F886-4A11-B03D-EE856996F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E438F">
        <w:t xml:space="preserve"> </w:t>
      </w:r>
    </w:p>
    <w:p w14:paraId="3EB76B04" w14:textId="77777777" w:rsidR="008C0527" w:rsidRPr="00AE438F" w:rsidRDefault="008C0527" w:rsidP="008C0527">
      <w:pPr>
        <w:pStyle w:val="Source"/>
        <w:spacing w:after="180"/>
        <w:rPr>
          <w:lang w:eastAsia="en-AU"/>
        </w:rPr>
      </w:pPr>
      <w:r w:rsidRPr="00AE438F">
        <w:t xml:space="preserve">Source: </w:t>
      </w:r>
      <w:r w:rsidRPr="00AE438F">
        <w:rPr>
          <w:lang w:eastAsia="en-AU"/>
        </w:rPr>
        <w:t>Department of Industry, Science and Resources (2023)</w:t>
      </w:r>
    </w:p>
    <w:p w14:paraId="4EB9DAFC" w14:textId="741DD0C8" w:rsidR="007529FA" w:rsidRPr="00AE438F" w:rsidRDefault="007529FA" w:rsidP="007529FA">
      <w:pPr>
        <w:pStyle w:val="Note"/>
      </w:pPr>
      <w:r w:rsidRPr="00AE438F">
        <w:rPr>
          <w:rFonts w:eastAsiaTheme="minorHAnsi" w:cstheme="minorBidi"/>
          <w:b/>
          <w:sz w:val="20"/>
          <w:szCs w:val="18"/>
          <w:lang w:val="en-AU"/>
        </w:rPr>
        <w:t xml:space="preserve">Figure </w:t>
      </w:r>
      <w:r w:rsidRPr="00AE438F">
        <w:rPr>
          <w:rFonts w:eastAsiaTheme="minorHAnsi" w:cstheme="minorBidi"/>
          <w:b/>
          <w:sz w:val="20"/>
          <w:szCs w:val="18"/>
          <w:lang w:val="en-AU"/>
        </w:rPr>
        <w:fldChar w:fldCharType="begin"/>
      </w:r>
      <w:r w:rsidRPr="00AE438F">
        <w:rPr>
          <w:rFonts w:eastAsiaTheme="minorHAnsi" w:cstheme="minorBidi"/>
          <w:b/>
          <w:sz w:val="20"/>
          <w:szCs w:val="18"/>
          <w:lang w:val="en-AU"/>
        </w:rPr>
        <w:instrText xml:space="preserve"> STYLEREF 1 \s </w:instrText>
      </w:r>
      <w:r w:rsidRPr="00AE438F">
        <w:rPr>
          <w:rFonts w:eastAsiaTheme="minorHAnsi" w:cstheme="minorBidi"/>
          <w:b/>
          <w:sz w:val="20"/>
          <w:szCs w:val="18"/>
          <w:lang w:val="en-AU"/>
        </w:rPr>
        <w:fldChar w:fldCharType="separate"/>
      </w:r>
      <w:r w:rsidR="006D6E1F">
        <w:rPr>
          <w:rFonts w:eastAsiaTheme="minorHAnsi" w:cstheme="minorBidi"/>
          <w:b/>
          <w:noProof/>
          <w:sz w:val="20"/>
          <w:szCs w:val="18"/>
          <w:lang w:val="en-AU"/>
        </w:rPr>
        <w:t>2</w:t>
      </w:r>
      <w:r w:rsidRPr="00AE438F">
        <w:rPr>
          <w:rFonts w:eastAsiaTheme="minorHAnsi" w:cstheme="minorBidi"/>
          <w:b/>
          <w:sz w:val="20"/>
          <w:szCs w:val="18"/>
          <w:lang w:val="en-AU"/>
        </w:rPr>
        <w:fldChar w:fldCharType="end"/>
      </w:r>
      <w:r w:rsidRPr="00AE438F">
        <w:rPr>
          <w:rFonts w:eastAsiaTheme="minorHAnsi" w:cstheme="minorBidi"/>
          <w:b/>
          <w:sz w:val="20"/>
          <w:szCs w:val="18"/>
          <w:lang w:val="en-AU"/>
        </w:rPr>
        <w:t>.</w:t>
      </w:r>
      <w:r w:rsidR="008C0527">
        <w:rPr>
          <w:rFonts w:eastAsiaTheme="minorHAnsi" w:cstheme="minorBidi"/>
          <w:b/>
          <w:sz w:val="20"/>
          <w:szCs w:val="18"/>
          <w:lang w:val="en-AU"/>
        </w:rPr>
        <w:t>3</w:t>
      </w:r>
      <w:r w:rsidRPr="00AE438F">
        <w:rPr>
          <w:rFonts w:eastAsiaTheme="minorHAnsi" w:cstheme="minorBidi"/>
          <w:b/>
          <w:sz w:val="20"/>
          <w:szCs w:val="18"/>
          <w:lang w:val="en-AU"/>
        </w:rPr>
        <w:t xml:space="preserve">: </w:t>
      </w:r>
      <w:r w:rsidR="009104D3">
        <w:rPr>
          <w:rFonts w:eastAsiaTheme="minorHAnsi" w:cstheme="minorBidi"/>
          <w:b/>
          <w:bCs/>
          <w:sz w:val="20"/>
          <w:szCs w:val="18"/>
          <w:lang w:val="en-AU"/>
        </w:rPr>
        <w:t>I</w:t>
      </w:r>
      <w:r w:rsidR="00423C6C">
        <w:rPr>
          <w:rFonts w:eastAsiaTheme="minorHAnsi" w:cstheme="minorBidi"/>
          <w:b/>
          <w:bCs/>
          <w:sz w:val="20"/>
          <w:szCs w:val="18"/>
          <w:lang w:val="en-AU"/>
        </w:rPr>
        <w:t xml:space="preserve">nvestment in </w:t>
      </w:r>
      <w:r w:rsidR="009104D3">
        <w:rPr>
          <w:rFonts w:eastAsiaTheme="minorHAnsi" w:cstheme="minorBidi"/>
          <w:b/>
          <w:bCs/>
          <w:sz w:val="20"/>
          <w:szCs w:val="18"/>
          <w:lang w:val="en-AU"/>
        </w:rPr>
        <w:t>later stage</w:t>
      </w:r>
      <w:r w:rsidR="00423C6C">
        <w:rPr>
          <w:rFonts w:eastAsiaTheme="minorHAnsi" w:cstheme="minorBidi"/>
          <w:b/>
          <w:bCs/>
          <w:sz w:val="20"/>
          <w:szCs w:val="18"/>
          <w:lang w:val="en-AU"/>
        </w:rPr>
        <w:t xml:space="preserve"> c</w:t>
      </w:r>
      <w:r w:rsidRPr="00AE438F">
        <w:rPr>
          <w:rFonts w:eastAsiaTheme="minorHAnsi" w:cstheme="minorBidi"/>
          <w:b/>
          <w:bCs/>
          <w:sz w:val="20"/>
          <w:szCs w:val="18"/>
          <w:lang w:val="en-AU"/>
        </w:rPr>
        <w:t>ritical</w:t>
      </w:r>
      <w:r w:rsidRPr="00AE438F">
        <w:rPr>
          <w:rFonts w:eastAsiaTheme="minorHAnsi" w:cstheme="minorBidi"/>
          <w:b/>
          <w:sz w:val="20"/>
          <w:szCs w:val="18"/>
          <w:lang w:val="en-AU"/>
        </w:rPr>
        <w:t xml:space="preserve"> mineral projects ($bn)</w:t>
      </w:r>
    </w:p>
    <w:p w14:paraId="4B12C50C" w14:textId="4C23D450" w:rsidR="007529FA" w:rsidRPr="00AE438F" w:rsidRDefault="008A5097" w:rsidP="007529FA">
      <w:pPr>
        <w:pStyle w:val="Source"/>
      </w:pPr>
      <w:r>
        <w:rPr>
          <w:noProof/>
        </w:rPr>
        <mc:AlternateContent>
          <mc:Choice Requires="cx1">
            <w:drawing>
              <wp:inline distT="0" distB="0" distL="0" distR="0" wp14:anchorId="3B772E22" wp14:editId="6C34DB3D">
                <wp:extent cx="4206875" cy="2874010"/>
                <wp:effectExtent l="0" t="0" r="3175" b="2540"/>
                <wp:docPr id="1" name="Chart 1" descr="This figures shows the total investment value (in billions AUD) of later stage critical minerals projects (those either that have delivered a definitive feasibility study or equivalent, or reached a Final Investment Decision), further broken down by commodity type.">
                  <a:extLst xmlns:a="http://schemas.openxmlformats.org/drawingml/2006/main">
                    <a:ext uri="{FF2B5EF4-FFF2-40B4-BE49-F238E27FC236}">
                      <a16:creationId xmlns:a16="http://schemas.microsoft.com/office/drawing/2014/main" id="{9A74EBB8-F9EF-43A5-8349-682AE1F3AB9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3B772E22" wp14:editId="6C34DB3D">
                <wp:extent cx="4206875" cy="2874010"/>
                <wp:effectExtent l="0" t="0" r="3175" b="2540"/>
                <wp:docPr id="1" name="Chart 1" descr="This figures shows the total investment value (in billions AUD) of later stage critical minerals projects (those either that have delivered a definitive feasibility study or equivalent, or reached a Final Investment Decision), further broken down by commodity type.">
                  <a:extLst xmlns:a="http://schemas.openxmlformats.org/drawingml/2006/main">
                    <a:ext uri="{FF2B5EF4-FFF2-40B4-BE49-F238E27FC236}">
                      <a16:creationId xmlns:a16="http://schemas.microsoft.com/office/drawing/2014/main" id="{9A74EBB8-F9EF-43A5-8349-682AE1F3AB9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descr="This figures shows the total investment value (in billions AUD) of later stage critical minerals projects (those either that have delivered a definitive feasibility study or equivalent, or reached a Final Investment Decision), further broken down by commodity type.">
                          <a:extLst>
                            <a:ext uri="{FF2B5EF4-FFF2-40B4-BE49-F238E27FC236}">
                              <a16:creationId xmlns:a16="http://schemas.microsoft.com/office/drawing/2014/main" id="{9A74EBB8-F9EF-43A5-8349-682AE1F3AB90}"/>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4206875" cy="2874010"/>
                        </a:xfrm>
                        <a:prstGeom prst="rect">
                          <a:avLst/>
                        </a:prstGeom>
                      </pic:spPr>
                    </pic:pic>
                  </a:graphicData>
                </a:graphic>
              </wp:inline>
            </w:drawing>
          </mc:Fallback>
        </mc:AlternateContent>
      </w:r>
      <w:r w:rsidR="007529FA" w:rsidRPr="00AE438F">
        <w:t xml:space="preserve"> </w:t>
      </w:r>
    </w:p>
    <w:p w14:paraId="2BB7C2F6" w14:textId="22244C3B" w:rsidR="009104D3" w:rsidRPr="007136E1" w:rsidRDefault="009104D3" w:rsidP="009104D3">
      <w:pPr>
        <w:pStyle w:val="Source"/>
        <w:rPr>
          <w:lang w:eastAsia="en-AU"/>
        </w:rPr>
      </w:pPr>
      <w:r w:rsidRPr="007136E1">
        <w:rPr>
          <w:lang w:eastAsia="en-AU"/>
        </w:rPr>
        <w:t xml:space="preserve">Notes: </w:t>
      </w:r>
      <w:r w:rsidRPr="00FC10C9">
        <w:rPr>
          <w:bCs/>
        </w:rPr>
        <w:t xml:space="preserve">Later stage projects </w:t>
      </w:r>
      <w:r w:rsidRPr="009104D3">
        <w:rPr>
          <w:bCs/>
        </w:rPr>
        <w:t>includes</w:t>
      </w:r>
      <w:r w:rsidRPr="00FC10C9">
        <w:rPr>
          <w:bCs/>
        </w:rPr>
        <w:t xml:space="preserve"> those that have delivered a Definitive Feasibility Study (or equivalent)</w:t>
      </w:r>
      <w:r w:rsidR="001B4032">
        <w:rPr>
          <w:bCs/>
        </w:rPr>
        <w:t>, and/</w:t>
      </w:r>
      <w:r w:rsidRPr="00FC10C9">
        <w:rPr>
          <w:bCs/>
        </w:rPr>
        <w:t xml:space="preserve">or </w:t>
      </w:r>
      <w:r w:rsidR="001B4032">
        <w:rPr>
          <w:bCs/>
        </w:rPr>
        <w:t xml:space="preserve">have </w:t>
      </w:r>
      <w:r w:rsidRPr="00FC10C9">
        <w:rPr>
          <w:bCs/>
        </w:rPr>
        <w:t>reached a Final Investment Decision (i.e Committed</w:t>
      </w:r>
      <w:r w:rsidR="001B4032">
        <w:rPr>
          <w:bCs/>
        </w:rPr>
        <w:t xml:space="preserve"> stage</w:t>
      </w:r>
      <w:r w:rsidRPr="00FC10C9">
        <w:rPr>
          <w:bCs/>
        </w:rPr>
        <w:t>)</w:t>
      </w:r>
    </w:p>
    <w:p w14:paraId="2A1E2C7C" w14:textId="3A627AF2" w:rsidR="007529FA" w:rsidRPr="00AE438F" w:rsidRDefault="007529FA" w:rsidP="007529FA">
      <w:pPr>
        <w:pStyle w:val="Source"/>
        <w:spacing w:after="180"/>
        <w:rPr>
          <w:lang w:eastAsia="en-AU"/>
        </w:rPr>
      </w:pPr>
      <w:r w:rsidRPr="00AE438F">
        <w:t xml:space="preserve">Source: </w:t>
      </w:r>
      <w:r w:rsidRPr="00AE438F">
        <w:rPr>
          <w:lang w:eastAsia="en-AU"/>
        </w:rPr>
        <w:t>Department of Industry, Science and Resources (2023)</w:t>
      </w:r>
    </w:p>
    <w:p w14:paraId="5EF0CC06" w14:textId="672E8B0F" w:rsidR="00F431DF" w:rsidRPr="00AE438F" w:rsidRDefault="00F431DF" w:rsidP="00F431DF">
      <w:pPr>
        <w:pStyle w:val="Heading3"/>
      </w:pPr>
      <w:r>
        <w:t>Rare earths the new leader for investment in later</w:t>
      </w:r>
      <w:r w:rsidR="00F22731">
        <w:t>-</w:t>
      </w:r>
      <w:r>
        <w:t>stage projects</w:t>
      </w:r>
    </w:p>
    <w:p w14:paraId="15D7E810" w14:textId="6865E3C8" w:rsidR="00F431DF" w:rsidRDefault="00F431DF" w:rsidP="00F431DF">
      <w:pPr>
        <w:pStyle w:val="BodyText"/>
      </w:pPr>
      <w:r>
        <w:t>This year’s report reflects r</w:t>
      </w:r>
      <w:r w:rsidRPr="00AE438F">
        <w:t>are earths</w:t>
      </w:r>
      <w:r>
        <w:t>’</w:t>
      </w:r>
      <w:r w:rsidRPr="00AE438F">
        <w:t xml:space="preserve"> </w:t>
      </w:r>
      <w:r>
        <w:t xml:space="preserve">emergence as </w:t>
      </w:r>
      <w:r w:rsidRPr="00AE438F">
        <w:t xml:space="preserve">Australia’s largest critical mineral </w:t>
      </w:r>
      <w:r>
        <w:t xml:space="preserve">major </w:t>
      </w:r>
      <w:r w:rsidRPr="00AE438F">
        <w:t xml:space="preserve">project category, with 15 projects </w:t>
      </w:r>
      <w:r w:rsidR="00DA76FF">
        <w:t>recorded</w:t>
      </w:r>
      <w:r>
        <w:t xml:space="preserve"> (from publicly announced through to committed) </w:t>
      </w:r>
      <w:r w:rsidRPr="00AE438F">
        <w:t>and</w:t>
      </w:r>
      <w:r>
        <w:t xml:space="preserve"> proposed</w:t>
      </w:r>
      <w:r w:rsidRPr="00AE438F">
        <w:t xml:space="preserve"> investment</w:t>
      </w:r>
      <w:r>
        <w:t xml:space="preserve"> for later stage projects</w:t>
      </w:r>
      <w:r w:rsidRPr="00AE438F">
        <w:t xml:space="preserve"> of $</w:t>
      </w:r>
      <w:r>
        <w:t>7.3</w:t>
      </w:r>
      <w:r w:rsidRPr="00AE438F">
        <w:t xml:space="preserve"> billion. </w:t>
      </w:r>
    </w:p>
    <w:p w14:paraId="56CFF079" w14:textId="3F6E9B7F" w:rsidR="00F431DF" w:rsidRPr="00AE438F" w:rsidRDefault="00F431DF" w:rsidP="00F431DF">
      <w:pPr>
        <w:pStyle w:val="BodyText"/>
      </w:pPr>
      <w:r>
        <w:t>In the last 12 months, there</w:t>
      </w:r>
      <w:r w:rsidRPr="00AE438F">
        <w:t xml:space="preserve"> has </w:t>
      </w:r>
      <w:r>
        <w:t>b</w:t>
      </w:r>
      <w:r w:rsidRPr="00AE438F">
        <w:t xml:space="preserve">een continued growth in greenfield </w:t>
      </w:r>
      <w:r w:rsidR="00F22731">
        <w:t xml:space="preserve">rare earth </w:t>
      </w:r>
      <w:r w:rsidRPr="00AE438F">
        <w:t>mining projects, with the addition of Australian Rare Earths L</w:t>
      </w:r>
      <w:r w:rsidR="00642065">
        <w:t>imi</w:t>
      </w:r>
      <w:r w:rsidRPr="00AE438F">
        <w:t>t</w:t>
      </w:r>
      <w:r w:rsidR="00642065">
        <w:t>e</w:t>
      </w:r>
      <w:r w:rsidRPr="00AE438F">
        <w:t xml:space="preserve">d’s Koppamurra project in South Australia. </w:t>
      </w:r>
      <w:r w:rsidR="00F22731">
        <w:t xml:space="preserve">Existing projects have </w:t>
      </w:r>
      <w:r>
        <w:t xml:space="preserve">also </w:t>
      </w:r>
      <w:r w:rsidR="00F22731">
        <w:t>advanced:</w:t>
      </w:r>
      <w:r w:rsidRPr="00AE438F">
        <w:t xml:space="preserve"> such as </w:t>
      </w:r>
      <w:r w:rsidR="00F22731">
        <w:t xml:space="preserve">the </w:t>
      </w:r>
      <w:r w:rsidRPr="00AE438F">
        <w:t>delivery of a definitive feasibility study for the Donald Project in Victoria, and early work underway on Lynas Rare Earths’ $500 million expansion of its Mount Weld operation</w:t>
      </w:r>
      <w:r w:rsidR="00F22731">
        <w:t xml:space="preserve"> </w:t>
      </w:r>
      <w:r w:rsidR="00F22731" w:rsidRPr="007136E1">
        <w:t>—</w:t>
      </w:r>
      <w:r w:rsidRPr="00AE438F">
        <w:t xml:space="preserve"> with first production expected from 2024.</w:t>
      </w:r>
    </w:p>
    <w:p w14:paraId="02493A30" w14:textId="3994529A" w:rsidR="00F431DF" w:rsidRPr="00AE438F" w:rsidRDefault="00F431DF" w:rsidP="00F431DF">
      <w:pPr>
        <w:pStyle w:val="BodyText"/>
      </w:pPr>
      <w:r w:rsidRPr="00AE438F">
        <w:t xml:space="preserve">A key trend for rare earths major projects is the continued expansion into downstream processing, with </w:t>
      </w:r>
      <w:r>
        <w:t>three</w:t>
      </w:r>
      <w:r w:rsidRPr="00AE438F">
        <w:t xml:space="preserve"> refining-focused projects on this year’s list. </w:t>
      </w:r>
      <w:r w:rsidR="006C5E49">
        <w:t>A</w:t>
      </w:r>
      <w:r w:rsidR="006C5E49" w:rsidRPr="00AE438F">
        <w:t>s of late 2023</w:t>
      </w:r>
      <w:r w:rsidR="006C5E49">
        <w:t xml:space="preserve">, </w:t>
      </w:r>
      <w:r w:rsidRPr="00AE438F">
        <w:t xml:space="preserve">Lynas Rare Earths’ new $780 million Kalgoorlie processing plant has final commissioning underway, with an estimated start for commercial production of 2024. Iluka Resources’ $1.25 billion Eneabba rare earths refinery expects early site works to be completed </w:t>
      </w:r>
      <w:r w:rsidR="001D66F0">
        <w:t>in coming months</w:t>
      </w:r>
      <w:r w:rsidR="00C40ECC">
        <w:t>, with</w:t>
      </w:r>
      <w:r w:rsidRPr="00AE438F">
        <w:t xml:space="preserve"> first production from 2025. This year’s report also includes a new project</w:t>
      </w:r>
      <w:r w:rsidR="006C5E49">
        <w:t>:</w:t>
      </w:r>
      <w:r w:rsidRPr="00AE438F">
        <w:t xml:space="preserve"> Hastings Technology Metals’ Onslow plant, expected to produce mixed rare earth carbonate from 2028.</w:t>
      </w:r>
    </w:p>
    <w:p w14:paraId="2F68E6D9" w14:textId="07855406" w:rsidR="009104D3" w:rsidRPr="00AE438F" w:rsidRDefault="00F431DF" w:rsidP="009104D3">
      <w:pPr>
        <w:pStyle w:val="Heading3"/>
        <w:rPr>
          <w:rFonts w:cstheme="majorHAnsi"/>
        </w:rPr>
      </w:pPr>
      <w:r>
        <w:t>S</w:t>
      </w:r>
      <w:r w:rsidR="009104D3" w:rsidRPr="00AE438F">
        <w:t xml:space="preserve">ignificant </w:t>
      </w:r>
      <w:r>
        <w:t>ongoing</w:t>
      </w:r>
      <w:r w:rsidR="009104D3" w:rsidRPr="00AE438F">
        <w:t xml:space="preserve"> investment in both lithium mining and refining</w:t>
      </w:r>
    </w:p>
    <w:p w14:paraId="3F3C9692" w14:textId="7ECBCD41" w:rsidR="007529FA" w:rsidRDefault="009104D3" w:rsidP="007529FA">
      <w:pPr>
        <w:pStyle w:val="BodyText"/>
        <w:rPr>
          <w:lang w:val="en"/>
        </w:rPr>
      </w:pPr>
      <w:r w:rsidRPr="00AE438F">
        <w:rPr>
          <w:lang w:val="en"/>
        </w:rPr>
        <w:t>Australia’s lithium sector has continued to grow in the last 12 months, with total committed investments increasing by $2.5 billion (from 3 projects).</w:t>
      </w:r>
      <w:r w:rsidR="000F746B">
        <w:rPr>
          <w:lang w:val="en"/>
        </w:rPr>
        <w:t xml:space="preserve"> </w:t>
      </w:r>
      <w:r w:rsidR="007529FA">
        <w:rPr>
          <w:lang w:val="en"/>
        </w:rPr>
        <w:t xml:space="preserve">The largest of these projects is the Stage 3-4 expansion of the Kemerton lithium hydroxide refinery. With an announced investment of $1.9 billion, this </w:t>
      </w:r>
      <w:r w:rsidR="001A73EC">
        <w:rPr>
          <w:lang w:val="en"/>
        </w:rPr>
        <w:t>expansion</w:t>
      </w:r>
      <w:r w:rsidR="007529FA">
        <w:rPr>
          <w:lang w:val="en"/>
        </w:rPr>
        <w:t xml:space="preserve"> is expected to </w:t>
      </w:r>
      <w:r w:rsidR="000F746B">
        <w:rPr>
          <w:lang w:val="en"/>
        </w:rPr>
        <w:t xml:space="preserve">boost lithium hydroxide </w:t>
      </w:r>
      <w:r w:rsidR="007529FA">
        <w:rPr>
          <w:lang w:val="en"/>
        </w:rPr>
        <w:t xml:space="preserve">production </w:t>
      </w:r>
      <w:r w:rsidR="000F746B">
        <w:rPr>
          <w:lang w:val="en"/>
        </w:rPr>
        <w:t>a</w:t>
      </w:r>
      <w:r w:rsidR="007529FA">
        <w:rPr>
          <w:lang w:val="en"/>
        </w:rPr>
        <w:t>t this facility by 50,000 tonnes per year. The $560 million Pilgangoora P1000 project also reached committed stage</w:t>
      </w:r>
      <w:r w:rsidR="00724117">
        <w:rPr>
          <w:lang w:val="en"/>
        </w:rPr>
        <w:t>,</w:t>
      </w:r>
      <w:r w:rsidR="007529FA">
        <w:rPr>
          <w:lang w:val="en"/>
        </w:rPr>
        <w:t xml:space="preserve"> and is expected to </w:t>
      </w:r>
      <w:r w:rsidR="000F746B">
        <w:rPr>
          <w:lang w:val="en"/>
        </w:rPr>
        <w:t>lift</w:t>
      </w:r>
      <w:r w:rsidR="007529FA">
        <w:rPr>
          <w:lang w:val="en"/>
        </w:rPr>
        <w:t xml:space="preserve"> spodumene production capacity at the existing facility by 320,000 tonnes annually. Finally, the $105 million Pilgangoora lithium phosphate demonstration refinery reached committed stage in 2023. This plant is expected to produce 3,000 tonnes of </w:t>
      </w:r>
      <w:r w:rsidR="007529FA" w:rsidRPr="00005BDC">
        <w:rPr>
          <w:lang w:val="en"/>
        </w:rPr>
        <w:t>lithium phosphate salt</w:t>
      </w:r>
      <w:r w:rsidR="007529FA" w:rsidRPr="00362093">
        <w:rPr>
          <w:lang w:val="en"/>
        </w:rPr>
        <w:t xml:space="preserve"> </w:t>
      </w:r>
      <w:r w:rsidR="007529FA">
        <w:rPr>
          <w:lang w:val="en"/>
        </w:rPr>
        <w:t>per year</w:t>
      </w:r>
      <w:r w:rsidR="00990F69">
        <w:rPr>
          <w:lang w:val="en"/>
        </w:rPr>
        <w:t>. In</w:t>
      </w:r>
      <w:r w:rsidR="001A73EC" w:rsidDel="00990F69">
        <w:rPr>
          <w:lang w:val="en"/>
        </w:rPr>
        <w:t xml:space="preserve"> doing so</w:t>
      </w:r>
      <w:r w:rsidR="001A73EC">
        <w:rPr>
          <w:lang w:val="en"/>
        </w:rPr>
        <w:t xml:space="preserve">, </w:t>
      </w:r>
      <w:r w:rsidR="00990F69">
        <w:rPr>
          <w:lang w:val="en"/>
        </w:rPr>
        <w:t xml:space="preserve">it will </w:t>
      </w:r>
      <w:r w:rsidR="007529FA">
        <w:rPr>
          <w:lang w:val="en"/>
        </w:rPr>
        <w:t>demonstrat</w:t>
      </w:r>
      <w:r w:rsidR="001A73EC">
        <w:rPr>
          <w:lang w:val="en"/>
        </w:rPr>
        <w:t>e</w:t>
      </w:r>
      <w:r w:rsidR="007529FA">
        <w:rPr>
          <w:lang w:val="en"/>
        </w:rPr>
        <w:t xml:space="preserve"> a patented</w:t>
      </w:r>
      <w:r w:rsidR="0014797E">
        <w:rPr>
          <w:lang w:val="en"/>
        </w:rPr>
        <w:t>, emerging</w:t>
      </w:r>
      <w:r w:rsidR="007529FA">
        <w:rPr>
          <w:lang w:val="en"/>
        </w:rPr>
        <w:t xml:space="preserve"> low emissions refining technology. </w:t>
      </w:r>
    </w:p>
    <w:p w14:paraId="1269239A" w14:textId="4527C186" w:rsidR="007529FA" w:rsidRDefault="007529FA" w:rsidP="007529FA">
      <w:pPr>
        <w:pStyle w:val="BodyText"/>
        <w:rPr>
          <w:lang w:val="en"/>
        </w:rPr>
      </w:pPr>
      <w:r>
        <w:rPr>
          <w:lang w:val="en"/>
        </w:rPr>
        <w:t xml:space="preserve">The </w:t>
      </w:r>
      <w:r w:rsidDel="00952032">
        <w:rPr>
          <w:lang w:val="en"/>
        </w:rPr>
        <w:t xml:space="preserve">full </w:t>
      </w:r>
      <w:r>
        <w:rPr>
          <w:lang w:val="en"/>
        </w:rPr>
        <w:t xml:space="preserve">lithium project </w:t>
      </w:r>
      <w:r w:rsidR="007E7E7D">
        <w:rPr>
          <w:lang w:val="en"/>
        </w:rPr>
        <w:t>list</w:t>
      </w:r>
      <w:r>
        <w:rPr>
          <w:lang w:val="en"/>
        </w:rPr>
        <w:t xml:space="preserve"> consists of </w:t>
      </w:r>
      <w:r w:rsidRPr="00AE438F">
        <w:rPr>
          <w:lang w:val="en"/>
        </w:rPr>
        <w:t>1</w:t>
      </w:r>
      <w:r w:rsidR="00045889">
        <w:rPr>
          <w:lang w:val="en"/>
        </w:rPr>
        <w:t>7</w:t>
      </w:r>
      <w:r w:rsidRPr="00AE438F">
        <w:rPr>
          <w:lang w:val="en"/>
        </w:rPr>
        <w:t xml:space="preserve"> projects</w:t>
      </w:r>
      <w:r>
        <w:rPr>
          <w:lang w:val="en"/>
        </w:rPr>
        <w:t xml:space="preserve"> with total </w:t>
      </w:r>
      <w:r w:rsidR="00F431DF">
        <w:rPr>
          <w:lang w:val="en"/>
        </w:rPr>
        <w:t xml:space="preserve">proposed </w:t>
      </w:r>
      <w:r w:rsidRPr="00AE438F">
        <w:rPr>
          <w:lang w:val="en"/>
        </w:rPr>
        <w:t>investment</w:t>
      </w:r>
      <w:r w:rsidR="00F431DF">
        <w:rPr>
          <w:lang w:val="en"/>
        </w:rPr>
        <w:t xml:space="preserve"> at later development stages</w:t>
      </w:r>
      <w:r>
        <w:rPr>
          <w:lang w:val="en"/>
        </w:rPr>
        <w:t xml:space="preserve"> of </w:t>
      </w:r>
      <w:r w:rsidR="008712F2">
        <w:rPr>
          <w:lang w:val="en"/>
        </w:rPr>
        <w:t xml:space="preserve">around </w:t>
      </w:r>
      <w:r w:rsidRPr="00AE438F">
        <w:rPr>
          <w:lang w:val="en"/>
        </w:rPr>
        <w:t>$</w:t>
      </w:r>
      <w:r w:rsidR="00F431DF">
        <w:rPr>
          <w:lang w:val="en"/>
        </w:rPr>
        <w:t>7.</w:t>
      </w:r>
      <w:r w:rsidR="00B30173">
        <w:rPr>
          <w:lang w:val="en"/>
        </w:rPr>
        <w:t>2</w:t>
      </w:r>
      <w:r w:rsidRPr="00AE438F">
        <w:rPr>
          <w:lang w:val="en"/>
        </w:rPr>
        <w:t xml:space="preserve"> billion</w:t>
      </w:r>
      <w:r>
        <w:rPr>
          <w:lang w:val="en"/>
        </w:rPr>
        <w:t xml:space="preserve">. Of </w:t>
      </w:r>
      <w:r w:rsidR="00F431DF">
        <w:rPr>
          <w:lang w:val="en"/>
        </w:rPr>
        <w:t>the full cohort of projects,</w:t>
      </w:r>
      <w:r>
        <w:rPr>
          <w:lang w:val="en"/>
        </w:rPr>
        <w:t xml:space="preserve"> </w:t>
      </w:r>
      <w:r w:rsidRPr="00AE438F">
        <w:rPr>
          <w:lang w:val="en"/>
        </w:rPr>
        <w:t>9</w:t>
      </w:r>
      <w:r w:rsidR="00F431DF">
        <w:rPr>
          <w:lang w:val="en"/>
        </w:rPr>
        <w:t> </w:t>
      </w:r>
      <w:r>
        <w:rPr>
          <w:lang w:val="en"/>
        </w:rPr>
        <w:t xml:space="preserve">are in the committed stage and </w:t>
      </w:r>
      <w:r w:rsidR="00990F69">
        <w:rPr>
          <w:lang w:val="en"/>
        </w:rPr>
        <w:t xml:space="preserve">are </w:t>
      </w:r>
      <w:r>
        <w:rPr>
          <w:lang w:val="en"/>
        </w:rPr>
        <w:t xml:space="preserve">expected to reach completion in coming years to 2025. A further </w:t>
      </w:r>
      <w:r w:rsidRPr="00AE438F">
        <w:rPr>
          <w:lang w:val="en"/>
        </w:rPr>
        <w:t>4 projects</w:t>
      </w:r>
      <w:r>
        <w:rPr>
          <w:lang w:val="en"/>
        </w:rPr>
        <w:t xml:space="preserve"> reached completion this year, including Stages 1-2 of the Kemerton hydroxide refinery ($2.3 billion), Stage 1 of the Kwinana (Tianqi/IGO) hydroxide refinery ($770 million), Stage 2 of the Mt Marion mine ($120 million), and Stage 1 of the Finniss lithium project ($84 million). </w:t>
      </w:r>
    </w:p>
    <w:p w14:paraId="66878623" w14:textId="6090892A" w:rsidR="007529FA" w:rsidRDefault="007529FA" w:rsidP="007529FA">
      <w:pPr>
        <w:pStyle w:val="BodyText"/>
        <w:rPr>
          <w:lang w:val="en"/>
        </w:rPr>
      </w:pPr>
      <w:r>
        <w:rPr>
          <w:lang w:val="en"/>
        </w:rPr>
        <w:t xml:space="preserve">The </w:t>
      </w:r>
      <w:r w:rsidDel="00952032">
        <w:rPr>
          <w:lang w:val="en"/>
        </w:rPr>
        <w:t xml:space="preserve">current </w:t>
      </w:r>
      <w:r w:rsidR="007E7E7D">
        <w:rPr>
          <w:lang w:val="en"/>
        </w:rPr>
        <w:t>array</w:t>
      </w:r>
      <w:r>
        <w:rPr>
          <w:lang w:val="en"/>
        </w:rPr>
        <w:t xml:space="preserve"> of Australian lithium projects is expected to support continued growth in mine production</w:t>
      </w:r>
      <w:r w:rsidR="00AA4A16">
        <w:rPr>
          <w:lang w:val="en"/>
        </w:rPr>
        <w:t>,</w:t>
      </w:r>
      <w:r>
        <w:rPr>
          <w:lang w:val="en"/>
        </w:rPr>
        <w:t xml:space="preserve"> alongside the development of domestic refining capacity. </w:t>
      </w:r>
      <w:r w:rsidR="00D33DD9">
        <w:rPr>
          <w:lang w:val="en"/>
        </w:rPr>
        <w:t xml:space="preserve">By 2030, </w:t>
      </w:r>
      <w:r>
        <w:rPr>
          <w:lang w:val="en"/>
        </w:rPr>
        <w:t xml:space="preserve">Australia’s mined production is projected to be close to double </w:t>
      </w:r>
      <w:r w:rsidR="00D33DD9">
        <w:rPr>
          <w:lang w:val="en"/>
        </w:rPr>
        <w:t>the</w:t>
      </w:r>
      <w:r>
        <w:rPr>
          <w:lang w:val="en"/>
        </w:rPr>
        <w:t xml:space="preserve"> level </w:t>
      </w:r>
      <w:r w:rsidR="00D33DD9">
        <w:rPr>
          <w:lang w:val="en"/>
        </w:rPr>
        <w:t>in 2022 (based on market estimates, including projects not committed)</w:t>
      </w:r>
      <w:r>
        <w:rPr>
          <w:lang w:val="en"/>
        </w:rPr>
        <w:t xml:space="preserve">. For refining, Australia currently has </w:t>
      </w:r>
      <w:r w:rsidDel="00D322C5">
        <w:rPr>
          <w:lang w:val="en"/>
        </w:rPr>
        <w:t xml:space="preserve">three </w:t>
      </w:r>
      <w:r>
        <w:rPr>
          <w:lang w:val="en"/>
        </w:rPr>
        <w:t xml:space="preserve">refineries completed or under construction, with a combined capacity of 198,000 tonnes, implying Australia could refine around 20% of </w:t>
      </w:r>
      <w:r w:rsidR="00990F69">
        <w:rPr>
          <w:lang w:val="en"/>
        </w:rPr>
        <w:t xml:space="preserve">domestically </w:t>
      </w:r>
      <w:r>
        <w:rPr>
          <w:lang w:val="en"/>
        </w:rPr>
        <w:t>mined spodumene by 2030.</w:t>
      </w:r>
    </w:p>
    <w:p w14:paraId="27069FE1" w14:textId="67718B67" w:rsidR="007529FA" w:rsidRDefault="007529FA" w:rsidP="007529FA">
      <w:pPr>
        <w:pStyle w:val="Heading3"/>
      </w:pPr>
      <w:r>
        <w:t xml:space="preserve">New investment in other downstream battery materials processing </w:t>
      </w:r>
    </w:p>
    <w:p w14:paraId="44303A5A" w14:textId="201491A3" w:rsidR="007529FA" w:rsidRDefault="007529FA" w:rsidP="007529FA">
      <w:pPr>
        <w:pStyle w:val="BodyText"/>
      </w:pPr>
      <w:r>
        <w:t>This year’s report highlights another key trend in the critical minerals sector</w:t>
      </w:r>
      <w:r w:rsidR="000F746B">
        <w:t xml:space="preserve">: </w:t>
      </w:r>
      <w:r>
        <w:t xml:space="preserve">a number of </w:t>
      </w:r>
      <w:r w:rsidR="00E80F7B">
        <w:t>significant</w:t>
      </w:r>
      <w:r>
        <w:t xml:space="preserve"> projects </w:t>
      </w:r>
      <w:r w:rsidR="000F746B">
        <w:t xml:space="preserve">are </w:t>
      </w:r>
      <w:r>
        <w:t xml:space="preserve">targeting the production of refined and active materials (the next stage of processing) for different battery technologies. </w:t>
      </w:r>
      <w:r w:rsidR="008F2547">
        <w:t>Excluding lithium, t</w:t>
      </w:r>
      <w:r>
        <w:t xml:space="preserve">his year’s report includes </w:t>
      </w:r>
      <w:r w:rsidR="008F2547" w:rsidRPr="00AE438F">
        <w:t>15 </w:t>
      </w:r>
      <w:r w:rsidRPr="00AE438F">
        <w:t>projects</w:t>
      </w:r>
      <w:r>
        <w:t xml:space="preserve">, with total </w:t>
      </w:r>
      <w:r w:rsidR="006C3364">
        <w:t>proposed</w:t>
      </w:r>
      <w:r w:rsidR="00BC509A" w:rsidRPr="00AE438F">
        <w:t xml:space="preserve"> </w:t>
      </w:r>
      <w:r>
        <w:t xml:space="preserve">investment </w:t>
      </w:r>
      <w:r w:rsidR="006C3364">
        <w:t>for later stage projects of</w:t>
      </w:r>
      <w:r w:rsidR="006C3364" w:rsidRPr="00AE438F">
        <w:t xml:space="preserve"> </w:t>
      </w:r>
      <w:r w:rsidR="008F2547">
        <w:t xml:space="preserve">around </w:t>
      </w:r>
      <w:r w:rsidRPr="00AE438F">
        <w:t>$</w:t>
      </w:r>
      <w:r w:rsidR="006C3364">
        <w:t>1</w:t>
      </w:r>
      <w:r w:rsidR="00533667">
        <w:t>2</w:t>
      </w:r>
      <w:r w:rsidRPr="00AE438F">
        <w:t xml:space="preserve"> billion.</w:t>
      </w:r>
    </w:p>
    <w:p w14:paraId="093B70B5" w14:textId="692C357C" w:rsidR="007529FA" w:rsidRDefault="007529FA" w:rsidP="007529FA">
      <w:pPr>
        <w:pStyle w:val="BodyText"/>
      </w:pPr>
      <w:r>
        <w:t xml:space="preserve">For active materials, the last 12 months has seen </w:t>
      </w:r>
      <w:r w:rsidRPr="00AE438F">
        <w:t>four new projects</w:t>
      </w:r>
      <w:r>
        <w:t xml:space="preserve"> </w:t>
      </w:r>
      <w:r w:rsidR="00B62842">
        <w:t>announced</w:t>
      </w:r>
      <w:r>
        <w:t xml:space="preserve">. These projects are aiming to produce precursor active materials for cathodes and anodes used in electric vehicle battery manufacturing. This includes Avenira Limited’s </w:t>
      </w:r>
      <w:r w:rsidR="008F2547">
        <w:t xml:space="preserve">proposed </w:t>
      </w:r>
      <w:r>
        <w:t>manufacturing plant based in Darwin, expected to produce</w:t>
      </w:r>
      <w:r w:rsidRPr="00854EB4">
        <w:t xml:space="preserve"> </w:t>
      </w:r>
      <w:r w:rsidR="0042452C">
        <w:t>Lithium Iron Phosphate (</w:t>
      </w:r>
      <w:r>
        <w:t>LFP</w:t>
      </w:r>
      <w:r w:rsidR="0042452C">
        <w:t>)</w:t>
      </w:r>
      <w:r>
        <w:t xml:space="preserve"> cathode active material from 2026; and IGO Ltd and Wyloo Metals’ Kwinana Integrated Battery Material Facility, expected to produce a nickel, manganese, cobalt </w:t>
      </w:r>
      <w:r w:rsidR="0042452C" w:rsidRPr="0042452C">
        <w:t>precursor cathode active material</w:t>
      </w:r>
      <w:r w:rsidR="0042452C">
        <w:t xml:space="preserve"> (</w:t>
      </w:r>
      <w:r>
        <w:t>PCAM</w:t>
      </w:r>
      <w:r w:rsidR="0042452C">
        <w:t>)</w:t>
      </w:r>
      <w:r>
        <w:t>.</w:t>
      </w:r>
    </w:p>
    <w:p w14:paraId="4C56F69D" w14:textId="603FAD18" w:rsidR="009239F3" w:rsidRPr="009239F3" w:rsidRDefault="0000520B" w:rsidP="007529FA">
      <w:pPr>
        <w:pStyle w:val="BodyText"/>
      </w:pPr>
      <w:bookmarkStart w:id="52" w:name="_Hlk150941624"/>
      <w:r>
        <w:t>B</w:t>
      </w:r>
      <w:r w:rsidR="00B30173">
        <w:t>ehind</w:t>
      </w:r>
      <w:r>
        <w:t xml:space="preserve"> lithium, n</w:t>
      </w:r>
      <w:r w:rsidR="00F46F2B">
        <w:t>ickel</w:t>
      </w:r>
      <w:r w:rsidR="009239F3">
        <w:t>-cobalt</w:t>
      </w:r>
      <w:r w:rsidR="007529FA" w:rsidRPr="009239F3">
        <w:t xml:space="preserve"> </w:t>
      </w:r>
      <w:r w:rsidR="009239F3" w:rsidRPr="009239F3">
        <w:t>continue</w:t>
      </w:r>
      <w:r w:rsidR="00B62842">
        <w:t>s</w:t>
      </w:r>
      <w:r w:rsidR="009239F3" w:rsidRPr="009239F3">
        <w:t xml:space="preserve"> to be </w:t>
      </w:r>
      <w:r w:rsidR="006C3364">
        <w:t>the largest</w:t>
      </w:r>
      <w:r w:rsidR="00BC509A">
        <w:t xml:space="preserve"> </w:t>
      </w:r>
      <w:r w:rsidR="009239F3" w:rsidRPr="009239F3">
        <w:t xml:space="preserve">category of </w:t>
      </w:r>
      <w:r w:rsidR="006C3364">
        <w:t>later stage</w:t>
      </w:r>
      <w:r w:rsidR="00BE48D6">
        <w:t xml:space="preserve"> </w:t>
      </w:r>
      <w:r w:rsidR="009239F3" w:rsidRPr="00AE438F">
        <w:t>project</w:t>
      </w:r>
      <w:r w:rsidR="00BE48D6">
        <w:t>s</w:t>
      </w:r>
      <w:r w:rsidR="009239F3" w:rsidRPr="00AE438F">
        <w:t xml:space="preserve"> </w:t>
      </w:r>
      <w:r w:rsidR="009239F3" w:rsidRPr="009239F3">
        <w:t>with refining capability</w:t>
      </w:r>
      <w:r w:rsidR="009239F3">
        <w:t>.</w:t>
      </w:r>
      <w:r w:rsidR="00836D84">
        <w:t xml:space="preserve"> This includes the $1.75</w:t>
      </w:r>
      <w:r w:rsidR="00BE48D6">
        <w:t> </w:t>
      </w:r>
      <w:r w:rsidR="00836D84">
        <w:t>billion Townsville Energy Chemical Hub Stage 2 expansion, for which a scoping study was completed in late 2022. The other new project this year is Nico Resource L</w:t>
      </w:r>
      <w:r w:rsidR="0043481F">
        <w:t>imi</w:t>
      </w:r>
      <w:r w:rsidR="00836D84">
        <w:t>t</w:t>
      </w:r>
      <w:r w:rsidR="0043481F">
        <w:t>e</w:t>
      </w:r>
      <w:r w:rsidR="00836D84">
        <w:t xml:space="preserve">d’s Wingellina, expected to produce </w:t>
      </w:r>
      <w:r w:rsidR="00836D84" w:rsidRPr="00836D84">
        <w:t xml:space="preserve">3,000 </w:t>
      </w:r>
      <w:r w:rsidR="00836D84">
        <w:t>tonnes per year</w:t>
      </w:r>
      <w:r w:rsidR="00836D84" w:rsidRPr="00836D84">
        <w:t xml:space="preserve"> of cobalt concentrate</w:t>
      </w:r>
      <w:r w:rsidR="00836D84">
        <w:t xml:space="preserve"> from 2027.</w:t>
      </w:r>
    </w:p>
    <w:p w14:paraId="2A165CEA" w14:textId="1F3A3DA2" w:rsidR="00836D84" w:rsidRPr="00836D84" w:rsidRDefault="00836D84" w:rsidP="007529FA">
      <w:pPr>
        <w:pStyle w:val="BodyText"/>
      </w:pPr>
      <w:r w:rsidRPr="00836D84">
        <w:t xml:space="preserve">This year’s report </w:t>
      </w:r>
      <w:r w:rsidR="000F746B">
        <w:t>includes</w:t>
      </w:r>
      <w:r w:rsidRPr="00836D84">
        <w:t xml:space="preserve"> </w:t>
      </w:r>
      <w:r w:rsidR="009125E9">
        <w:t>three</w:t>
      </w:r>
      <w:r w:rsidRPr="00AE438F">
        <w:t xml:space="preserve"> projects</w:t>
      </w:r>
      <w:r w:rsidRPr="00836D84">
        <w:t xml:space="preserve"> targeting downstream processing for </w:t>
      </w:r>
      <w:r w:rsidRPr="00AE438F">
        <w:t>vanadiu</w:t>
      </w:r>
      <w:r w:rsidR="00BC509A">
        <w:t>m</w:t>
      </w:r>
      <w:r w:rsidRPr="00836D84">
        <w:t>.</w:t>
      </w:r>
      <w:r>
        <w:t xml:space="preserve"> </w:t>
      </w:r>
      <w:r w:rsidR="006B508C">
        <w:t xml:space="preserve">This includes the Australian Vanadium Project and </w:t>
      </w:r>
      <w:r w:rsidR="000F746B">
        <w:t xml:space="preserve">the </w:t>
      </w:r>
      <w:r w:rsidR="006B508C">
        <w:t>Murchison Technology Metals Project</w:t>
      </w:r>
      <w:r w:rsidR="0000520B">
        <w:t xml:space="preserve"> </w:t>
      </w:r>
      <w:r w:rsidR="0000520B" w:rsidRPr="007136E1">
        <w:t>—</w:t>
      </w:r>
      <w:r w:rsidR="006B508C" w:rsidDel="0000520B">
        <w:t xml:space="preserve"> b</w:t>
      </w:r>
      <w:r w:rsidR="006B508C">
        <w:t>oth based in Western Australia</w:t>
      </w:r>
      <w:r w:rsidR="0000520B">
        <w:t xml:space="preserve"> </w:t>
      </w:r>
      <w:r w:rsidR="0000520B" w:rsidRPr="007136E1">
        <w:t>—</w:t>
      </w:r>
      <w:r w:rsidR="0000520B">
        <w:t xml:space="preserve"> and</w:t>
      </w:r>
      <w:r w:rsidR="006B508C">
        <w:t xml:space="preserve"> aiming to produce vanadium electrolyte (a product </w:t>
      </w:r>
      <w:r w:rsidR="00B62842">
        <w:t>with applications including</w:t>
      </w:r>
      <w:r w:rsidR="006B508C">
        <w:t xml:space="preserve"> </w:t>
      </w:r>
      <w:r w:rsidR="00C91745">
        <w:t xml:space="preserve">in </w:t>
      </w:r>
      <w:r w:rsidR="006B508C">
        <w:t xml:space="preserve">vanadium </w:t>
      </w:r>
      <w:r w:rsidR="006B508C" w:rsidRPr="006B508C">
        <w:t>redox flow</w:t>
      </w:r>
      <w:r w:rsidR="006B508C">
        <w:t xml:space="preserve"> batteries).</w:t>
      </w:r>
    </w:p>
    <w:bookmarkEnd w:id="52"/>
    <w:p w14:paraId="6A6A7460" w14:textId="6538A75F" w:rsidR="007529FA" w:rsidRDefault="007529FA" w:rsidP="007529FA">
      <w:pPr>
        <w:pStyle w:val="Heading3"/>
      </w:pPr>
      <w:r>
        <w:t xml:space="preserve">High Purity </w:t>
      </w:r>
      <w:r w:rsidR="00107938">
        <w:t>Alumina</w:t>
      </w:r>
      <w:r>
        <w:t xml:space="preserve"> sector continuing to see new projects</w:t>
      </w:r>
    </w:p>
    <w:p w14:paraId="10FF78C5" w14:textId="204DDA73" w:rsidR="007529FA" w:rsidRPr="0084652D" w:rsidRDefault="007529FA" w:rsidP="007529FA">
      <w:pPr>
        <w:pStyle w:val="BodyText"/>
        <w:rPr>
          <w:lang w:val="en"/>
        </w:rPr>
      </w:pPr>
      <w:r>
        <w:rPr>
          <w:lang w:val="en"/>
        </w:rPr>
        <w:t>H</w:t>
      </w:r>
      <w:r w:rsidRPr="0084652D">
        <w:rPr>
          <w:lang w:val="en"/>
        </w:rPr>
        <w:t xml:space="preserve">igh </w:t>
      </w:r>
      <w:r>
        <w:rPr>
          <w:lang w:val="en"/>
        </w:rPr>
        <w:t>P</w:t>
      </w:r>
      <w:r w:rsidRPr="0084652D">
        <w:rPr>
          <w:lang w:val="en"/>
        </w:rPr>
        <w:t xml:space="preserve">urity </w:t>
      </w:r>
      <w:r>
        <w:rPr>
          <w:lang w:val="en"/>
        </w:rPr>
        <w:t>A</w:t>
      </w:r>
      <w:r w:rsidRPr="0084652D">
        <w:rPr>
          <w:lang w:val="en"/>
        </w:rPr>
        <w:t>lumina</w:t>
      </w:r>
      <w:r>
        <w:rPr>
          <w:lang w:val="en"/>
        </w:rPr>
        <w:t xml:space="preserve"> or </w:t>
      </w:r>
      <w:r w:rsidR="00A86516">
        <w:rPr>
          <w:lang w:val="en"/>
        </w:rPr>
        <w:t>‘</w:t>
      </w:r>
      <w:r w:rsidRPr="0084652D">
        <w:rPr>
          <w:lang w:val="en"/>
        </w:rPr>
        <w:t>HPA</w:t>
      </w:r>
      <w:r w:rsidR="00A86516">
        <w:rPr>
          <w:lang w:val="en"/>
        </w:rPr>
        <w:t>’</w:t>
      </w:r>
      <w:r>
        <w:rPr>
          <w:lang w:val="en"/>
        </w:rPr>
        <w:t xml:space="preserve"> was added</w:t>
      </w:r>
      <w:r w:rsidRPr="0084652D">
        <w:rPr>
          <w:lang w:val="en"/>
        </w:rPr>
        <w:t xml:space="preserve"> to Australia’s critical minerals list in 2022</w:t>
      </w:r>
      <w:r w:rsidR="00A86516">
        <w:rPr>
          <w:lang w:val="en"/>
        </w:rPr>
        <w:t>. HPA has</w:t>
      </w:r>
      <w:r w:rsidRPr="0084652D">
        <w:rPr>
          <w:lang w:val="en"/>
        </w:rPr>
        <w:t xml:space="preserve"> broad-ranging economic and strategic </w:t>
      </w:r>
      <w:r w:rsidR="00FC1091">
        <w:rPr>
          <w:lang w:val="en"/>
        </w:rPr>
        <w:t>uses</w:t>
      </w:r>
      <w:r w:rsidRPr="0084652D">
        <w:rPr>
          <w:lang w:val="en"/>
        </w:rPr>
        <w:t xml:space="preserve"> in the automotive and aerospace sectors</w:t>
      </w:r>
      <w:r>
        <w:rPr>
          <w:lang w:val="en"/>
        </w:rPr>
        <w:t xml:space="preserve">, </w:t>
      </w:r>
      <w:r w:rsidR="00FC1091">
        <w:rPr>
          <w:lang w:val="en"/>
        </w:rPr>
        <w:t>particular</w:t>
      </w:r>
      <w:r>
        <w:rPr>
          <w:lang w:val="en"/>
        </w:rPr>
        <w:t xml:space="preserve"> </w:t>
      </w:r>
      <w:r w:rsidRPr="0084652D">
        <w:rPr>
          <w:lang w:val="en"/>
        </w:rPr>
        <w:t xml:space="preserve">high-performance electronics and optics. As the world’s second-largest producer of smelting grade alumina, Australia </w:t>
      </w:r>
      <w:r>
        <w:rPr>
          <w:lang w:val="en"/>
        </w:rPr>
        <w:t>remains</w:t>
      </w:r>
      <w:r w:rsidRPr="0084652D">
        <w:rPr>
          <w:lang w:val="en"/>
        </w:rPr>
        <w:t xml:space="preserve"> well placed to build capacity in HPA</w:t>
      </w:r>
      <w:r>
        <w:rPr>
          <w:lang w:val="en"/>
        </w:rPr>
        <w:t xml:space="preserve"> in </w:t>
      </w:r>
      <w:r w:rsidR="00A86516">
        <w:rPr>
          <w:lang w:val="en"/>
        </w:rPr>
        <w:t xml:space="preserve">the </w:t>
      </w:r>
      <w:r>
        <w:rPr>
          <w:lang w:val="en"/>
        </w:rPr>
        <w:t>coming years</w:t>
      </w:r>
      <w:r w:rsidRPr="0084652D">
        <w:rPr>
          <w:lang w:val="en"/>
        </w:rPr>
        <w:t xml:space="preserve">. </w:t>
      </w:r>
    </w:p>
    <w:p w14:paraId="33C8D4A4" w14:textId="5B07182E" w:rsidR="007529FA" w:rsidRDefault="007529FA" w:rsidP="007529FA">
      <w:pPr>
        <w:pStyle w:val="BodyText"/>
        <w:rPr>
          <w:lang w:val="en"/>
        </w:rPr>
      </w:pPr>
      <w:r>
        <w:rPr>
          <w:lang w:val="en"/>
        </w:rPr>
        <w:t xml:space="preserve">The full HPA project </w:t>
      </w:r>
      <w:r w:rsidR="007E7E7D">
        <w:rPr>
          <w:lang w:val="en"/>
        </w:rPr>
        <w:t>list</w:t>
      </w:r>
      <w:r>
        <w:rPr>
          <w:lang w:val="en"/>
        </w:rPr>
        <w:t xml:space="preserve"> consists of </w:t>
      </w:r>
      <w:r w:rsidRPr="00AE438F">
        <w:rPr>
          <w:lang w:val="en"/>
        </w:rPr>
        <w:t>6 projects</w:t>
      </w:r>
      <w:r>
        <w:rPr>
          <w:lang w:val="en"/>
        </w:rPr>
        <w:t xml:space="preserve">. This year’s report sees a further three HPA projects added to the list. In April 2023, Alpha HPA announced it would go ahead with </w:t>
      </w:r>
      <w:r w:rsidR="00FC1091">
        <w:rPr>
          <w:lang w:val="en"/>
        </w:rPr>
        <w:t>a</w:t>
      </w:r>
      <w:r>
        <w:rPr>
          <w:lang w:val="en"/>
        </w:rPr>
        <w:t xml:space="preserve"> $300 million Stage 2 of its HPA First Project. This comes after Stage 1 of the project reached commercial production in late 2022.</w:t>
      </w:r>
      <w:r w:rsidRPr="00EC4E42">
        <w:rPr>
          <w:lang w:val="en"/>
        </w:rPr>
        <w:t xml:space="preserve"> </w:t>
      </w:r>
      <w:r>
        <w:rPr>
          <w:lang w:val="en"/>
        </w:rPr>
        <w:t>Queensland Pacific Metals’ $82 million Lava Blue HPA Project is a further addition to this year’s report, and is expected to start commercial production in 2024.</w:t>
      </w:r>
      <w:r w:rsidRPr="00701DD2">
        <w:rPr>
          <w:lang w:val="en"/>
        </w:rPr>
        <w:t xml:space="preserve"> </w:t>
      </w:r>
      <w:r>
        <w:rPr>
          <w:lang w:val="en"/>
        </w:rPr>
        <w:t xml:space="preserve">The third new HPA project included in this year’s report is </w:t>
      </w:r>
      <w:r w:rsidR="00C91745">
        <w:rPr>
          <w:lang w:val="en"/>
        </w:rPr>
        <w:t xml:space="preserve">Lake Hope’s </w:t>
      </w:r>
      <w:r>
        <w:rPr>
          <w:lang w:val="en"/>
        </w:rPr>
        <w:t xml:space="preserve">$65 million HPA Project in Western Australia. </w:t>
      </w:r>
    </w:p>
    <w:p w14:paraId="3A925E76" w14:textId="14554893" w:rsidR="007529FA" w:rsidRDefault="00A61014" w:rsidP="007529FA">
      <w:pPr>
        <w:pStyle w:val="Heading3"/>
      </w:pPr>
      <w:r>
        <w:t>Projects c</w:t>
      </w:r>
      <w:r w:rsidR="007529FA">
        <w:t>ompleted this year</w:t>
      </w:r>
      <w:r w:rsidR="00FC1091">
        <w:t xml:space="preserve"> concentrated in lithium and mineral sands</w:t>
      </w:r>
    </w:p>
    <w:p w14:paraId="1C3EA844" w14:textId="24214B30" w:rsidR="007529FA" w:rsidRDefault="00C26695" w:rsidP="007529FA">
      <w:pPr>
        <w:pStyle w:val="BodyText"/>
      </w:pPr>
      <w:r>
        <w:t xml:space="preserve">A total of </w:t>
      </w:r>
      <w:r w:rsidR="0005497D" w:rsidRPr="00AE438F">
        <w:t>8</w:t>
      </w:r>
      <w:r w:rsidR="007529FA" w:rsidRPr="00AE438F">
        <w:t xml:space="preserve"> projects</w:t>
      </w:r>
      <w:r w:rsidR="007529FA" w:rsidRPr="00701DD2">
        <w:t xml:space="preserve"> were completed in the year to 31 October 2023</w:t>
      </w:r>
      <w:r w:rsidR="007529FA">
        <w:t xml:space="preserve">, with a total capital investment of close to </w:t>
      </w:r>
      <w:r w:rsidR="007529FA" w:rsidRPr="00AE438F">
        <w:t>$</w:t>
      </w:r>
      <w:r w:rsidR="0005497D" w:rsidRPr="00AE438F">
        <w:t>4.1</w:t>
      </w:r>
      <w:r w:rsidR="007529FA" w:rsidRPr="00AE438F">
        <w:t xml:space="preserve"> billion</w:t>
      </w:r>
      <w:r w:rsidR="007529FA" w:rsidRPr="00701DD2">
        <w:t>.</w:t>
      </w:r>
      <w:r w:rsidR="007529FA">
        <w:t xml:space="preserve"> Completed projects were concentrated in the lithium sector, </w:t>
      </w:r>
      <w:r>
        <w:t xml:space="preserve">and also included </w:t>
      </w:r>
      <w:r w:rsidR="007529FA">
        <w:t xml:space="preserve">titanium </w:t>
      </w:r>
      <w:r w:rsidR="0043481F">
        <w:t xml:space="preserve">and </w:t>
      </w:r>
      <w:r w:rsidR="007529FA">
        <w:t>minerals sands, tungsten and HPA.</w:t>
      </w:r>
    </w:p>
    <w:p w14:paraId="206AC764" w14:textId="0C606680" w:rsidR="007529FA" w:rsidRDefault="007529FA" w:rsidP="007529FA">
      <w:pPr>
        <w:pStyle w:val="BodyText"/>
      </w:pPr>
      <w:r>
        <w:t xml:space="preserve">For lithium, a total of </w:t>
      </w:r>
      <w:r w:rsidRPr="00AE438F">
        <w:t>4 projects</w:t>
      </w:r>
      <w:r>
        <w:t xml:space="preserve"> were completed in the last 12 months. This includes Albemarle’s $2.25 billion Kemerton lithium hydroxide facility and Tia</w:t>
      </w:r>
      <w:r w:rsidR="000F7DEA">
        <w:t>n</w:t>
      </w:r>
      <w:r>
        <w:t xml:space="preserve">qui and IGO’s $770 million Kwinana refinery. Collectively, these facilities are expected </w:t>
      </w:r>
      <w:r w:rsidR="003F4C5C">
        <w:t>to</w:t>
      </w:r>
      <w:r>
        <w:t xml:space="preserve"> add around 74,000 tonnes per year in new lithium hydroxide production capacity, the equivalent of around 16% of global production of this product in 2022. This year’s report also shows further expansion of lithium mining capacity in Australia</w:t>
      </w:r>
      <w:r w:rsidR="00F13DC9">
        <w:t>, including</w:t>
      </w:r>
      <w:r>
        <w:t xml:space="preserve"> completion of Finniss’s 175,000 tonne per </w:t>
      </w:r>
      <w:r w:rsidR="00D357B6">
        <w:t>year</w:t>
      </w:r>
      <w:r>
        <w:t xml:space="preserve"> spodumene concentrate project, which reached commercial production in February this year</w:t>
      </w:r>
      <w:r w:rsidR="00B1007E">
        <w:t xml:space="preserve">, </w:t>
      </w:r>
      <w:r w:rsidR="00F13DC9">
        <w:t>and a</w:t>
      </w:r>
      <w:r>
        <w:t xml:space="preserve"> 300,000 tonne per year expansion of </w:t>
      </w:r>
      <w:r w:rsidR="006B508C">
        <w:t>MRL</w:t>
      </w:r>
      <w:r>
        <w:t xml:space="preserve"> and Jiangxi Ganfeng’s </w:t>
      </w:r>
      <w:r w:rsidR="00A86516">
        <w:t xml:space="preserve">joint venture </w:t>
      </w:r>
      <w:r>
        <w:t>Mt Marion operation.</w:t>
      </w:r>
    </w:p>
    <w:p w14:paraId="7A11072B" w14:textId="3BBFD83C" w:rsidR="00A00888" w:rsidRDefault="00A00888" w:rsidP="00A00888">
      <w:pPr>
        <w:pStyle w:val="Heading3"/>
      </w:pPr>
      <w:r>
        <w:t>Comparing critical minerals projects to last year’s report</w:t>
      </w:r>
    </w:p>
    <w:p w14:paraId="69C68F05" w14:textId="1458EB84" w:rsidR="00A00888" w:rsidRDefault="00A00888" w:rsidP="00A00888">
      <w:pPr>
        <w:pStyle w:val="BodyText"/>
      </w:pPr>
      <w:r>
        <w:t>The list of included critical minerals projects (which includes both mined materials and immediate downstream processed products) included in</w:t>
      </w:r>
      <w:r w:rsidRPr="0038182B">
        <w:t xml:space="preserve"> this year’s report </w:t>
      </w:r>
      <w:r>
        <w:t>is consistent with the Australian Government’s Critical Minerals</w:t>
      </w:r>
      <w:r w:rsidRPr="0038182B">
        <w:t xml:space="preserve"> </w:t>
      </w:r>
      <w:r>
        <w:t>list as at 31 October 2023</w:t>
      </w:r>
      <w:r w:rsidRPr="00A153CE">
        <w:t>. Further information on</w:t>
      </w:r>
      <w:r w:rsidR="00E56813">
        <w:t xml:space="preserve"> the </w:t>
      </w:r>
      <w:r w:rsidR="00302376">
        <w:t>current</w:t>
      </w:r>
      <w:r w:rsidRPr="00A153CE">
        <w:t xml:space="preserve"> list </w:t>
      </w:r>
      <w:r w:rsidR="00302376">
        <w:t xml:space="preserve">of Australia’s </w:t>
      </w:r>
      <w:r w:rsidR="00E56813">
        <w:t xml:space="preserve">Critical Minerals </w:t>
      </w:r>
      <w:r w:rsidRPr="00A153CE">
        <w:t>can be found on the Department of Industry, Science and Resources’ website.</w:t>
      </w:r>
    </w:p>
    <w:p w14:paraId="10354755" w14:textId="58639AEC" w:rsidR="00A00888" w:rsidRDefault="00A00888" w:rsidP="00A00888">
      <w:pPr>
        <w:pStyle w:val="BodyText"/>
      </w:pPr>
      <w:r>
        <w:t>T</w:t>
      </w:r>
      <w:r w:rsidRPr="00AE438F">
        <w:t xml:space="preserve">his year’s report has </w:t>
      </w:r>
      <w:r>
        <w:t xml:space="preserve">also </w:t>
      </w:r>
      <w:r w:rsidRPr="00AE438F">
        <w:t xml:space="preserve">excluded </w:t>
      </w:r>
      <w:r>
        <w:t>a small number of</w:t>
      </w:r>
      <w:r w:rsidRPr="00AE438F">
        <w:t xml:space="preserve"> nickel-only projects that were included </w:t>
      </w:r>
      <w:r>
        <w:t>last year</w:t>
      </w:r>
      <w:r w:rsidRPr="00AE438F">
        <w:t xml:space="preserve">. </w:t>
      </w:r>
      <w:r>
        <w:t>T</w:t>
      </w:r>
      <w:r w:rsidRPr="00AE438F">
        <w:t>hese nickel-</w:t>
      </w:r>
      <w:r>
        <w:t>specific</w:t>
      </w:r>
      <w:r w:rsidRPr="00AE438F">
        <w:t xml:space="preserve"> projects were included due to the </w:t>
      </w:r>
      <w:r>
        <w:t xml:space="preserve">extremely </w:t>
      </w:r>
      <w:r w:rsidRPr="00AE438F">
        <w:t>common co-location of both minerals</w:t>
      </w:r>
      <w:r>
        <w:t>, and expectation of the production of some cobalt by</w:t>
      </w:r>
      <w:r w:rsidRPr="00AE438F">
        <w:t xml:space="preserve"> </w:t>
      </w:r>
      <w:r>
        <w:t>these</w:t>
      </w:r>
      <w:r w:rsidRPr="00AE438F">
        <w:t xml:space="preserve"> projects.</w:t>
      </w:r>
      <w:r>
        <w:t xml:space="preserve"> However, further analysis undertaken this year has found these projects </w:t>
      </w:r>
      <w:r w:rsidR="00212FC7">
        <w:t xml:space="preserve">will </w:t>
      </w:r>
      <w:r>
        <w:t>no longer be targeting the commercial production of cobalt.</w:t>
      </w:r>
    </w:p>
    <w:p w14:paraId="40EC5856" w14:textId="12E3CA9E" w:rsidR="00A00888" w:rsidRDefault="00A00888" w:rsidP="00A00888">
      <w:pPr>
        <w:pStyle w:val="BodyText"/>
      </w:pPr>
      <w:r>
        <w:t>To provide a comparison to the previous year, the methodology and critical minerals list used in this year’s report have been applied to last year’s eligible projects. For proposed investment, the table below includes projects that have either: (i) delivered a definitive, detailed or bankable feasibility study (ii) reached FID, or (iii) reached completion in the past 12 months.</w:t>
      </w:r>
    </w:p>
    <w:p w14:paraId="75EB5EA5" w14:textId="61D0937A" w:rsidR="00A00888" w:rsidRPr="007136E1" w:rsidRDefault="00A00888" w:rsidP="00A00888">
      <w:pPr>
        <w:pStyle w:val="BoxCaption"/>
      </w:pPr>
      <w:r w:rsidRPr="00FF0524">
        <w:t xml:space="preserve">Table </w:t>
      </w:r>
      <w:r w:rsidR="00F1509E">
        <w:rPr>
          <w:noProof/>
        </w:rPr>
        <w:t>2</w:t>
      </w:r>
      <w:r w:rsidRPr="00FF0524">
        <w:t>.</w:t>
      </w:r>
      <w:r>
        <w:rPr>
          <w:noProof/>
        </w:rPr>
        <w:t>1</w:t>
      </w:r>
      <w:r w:rsidRPr="00FF0524">
        <w:t xml:space="preserve">: </w:t>
      </w:r>
      <w:r>
        <w:t>Comparing major critical minerals projects to last year</w:t>
      </w:r>
    </w:p>
    <w:tbl>
      <w:tblPr>
        <w:tblStyle w:val="OCETable"/>
        <w:tblW w:w="5908" w:type="dxa"/>
        <w:tblLayout w:type="fixed"/>
        <w:tblLook w:val="04A0" w:firstRow="1" w:lastRow="0" w:firstColumn="1" w:lastColumn="0" w:noHBand="0" w:noVBand="1"/>
      </w:tblPr>
      <w:tblGrid>
        <w:gridCol w:w="2670"/>
        <w:gridCol w:w="1701"/>
        <w:gridCol w:w="1537"/>
      </w:tblGrid>
      <w:tr w:rsidR="00A00888" w:rsidRPr="0078584E" w14:paraId="54F0C7FD" w14:textId="77777777" w:rsidTr="00DD223A">
        <w:trPr>
          <w:cnfStyle w:val="100000000000" w:firstRow="1" w:lastRow="0" w:firstColumn="0" w:lastColumn="0" w:oddVBand="0" w:evenVBand="0" w:oddHBand="0" w:evenHBand="0" w:firstRowFirstColumn="0" w:firstRowLastColumn="0" w:lastRowFirstColumn="0" w:lastRowLastColumn="0"/>
          <w:trHeight w:val="290"/>
        </w:trPr>
        <w:tc>
          <w:tcPr>
            <w:tcW w:w="2670" w:type="dxa"/>
            <w:noWrap/>
            <w:hideMark/>
          </w:tcPr>
          <w:p w14:paraId="3379E3F7" w14:textId="77777777" w:rsidR="00A00888" w:rsidRPr="00BB4E96" w:rsidRDefault="00A00888" w:rsidP="005B1863">
            <w:pPr>
              <w:spacing w:after="0" w:line="240" w:lineRule="auto"/>
              <w:rPr>
                <w:rFonts w:asciiTheme="minorHAnsi" w:eastAsia="Times New Roman" w:hAnsiTheme="minorHAnsi" w:cstheme="minorHAnsi"/>
                <w:color w:val="FFFFFF" w:themeColor="background1"/>
                <w:szCs w:val="20"/>
                <w:lang w:eastAsia="en-AU"/>
              </w:rPr>
            </w:pPr>
          </w:p>
        </w:tc>
        <w:tc>
          <w:tcPr>
            <w:tcW w:w="1701" w:type="dxa"/>
            <w:noWrap/>
            <w:hideMark/>
          </w:tcPr>
          <w:p w14:paraId="662B517F" w14:textId="77777777" w:rsidR="00A00888" w:rsidRPr="00BB4E96" w:rsidRDefault="00A00888" w:rsidP="005B1863">
            <w:pPr>
              <w:spacing w:after="0" w:line="240" w:lineRule="auto"/>
              <w:jc w:val="center"/>
              <w:rPr>
                <w:rFonts w:asciiTheme="minorHAnsi" w:eastAsia="Times New Roman" w:hAnsiTheme="minorHAnsi" w:cstheme="minorHAnsi"/>
                <w:b/>
                <w:bCs/>
                <w:color w:val="FFFFFF" w:themeColor="background1"/>
                <w:szCs w:val="20"/>
                <w:lang w:eastAsia="en-AU"/>
              </w:rPr>
            </w:pPr>
            <w:r w:rsidRPr="00BB4E96">
              <w:rPr>
                <w:rFonts w:asciiTheme="minorHAnsi" w:eastAsia="Times New Roman" w:hAnsiTheme="minorHAnsi" w:cstheme="minorHAnsi"/>
                <w:b/>
                <w:bCs/>
                <w:color w:val="FFFFFF" w:themeColor="background1"/>
                <w:szCs w:val="20"/>
                <w:lang w:eastAsia="en-AU"/>
              </w:rPr>
              <w:t>2022</w:t>
            </w:r>
            <w:r w:rsidRPr="0078584E">
              <w:rPr>
                <w:rFonts w:asciiTheme="minorHAnsi" w:eastAsia="Times New Roman" w:hAnsiTheme="minorHAnsi" w:cstheme="minorHAnsi"/>
                <w:b/>
                <w:bCs/>
                <w:color w:val="FFFFFF" w:themeColor="background1"/>
                <w:szCs w:val="20"/>
                <w:lang w:eastAsia="en-AU"/>
              </w:rPr>
              <w:t xml:space="preserve"> report</w:t>
            </w:r>
          </w:p>
        </w:tc>
        <w:tc>
          <w:tcPr>
            <w:tcW w:w="1537" w:type="dxa"/>
            <w:noWrap/>
            <w:hideMark/>
          </w:tcPr>
          <w:p w14:paraId="26E25C04" w14:textId="77777777" w:rsidR="00A00888" w:rsidRPr="00BB4E96" w:rsidRDefault="00A00888" w:rsidP="005B1863">
            <w:pPr>
              <w:spacing w:after="0" w:line="240" w:lineRule="auto"/>
              <w:jc w:val="center"/>
              <w:rPr>
                <w:rFonts w:asciiTheme="minorHAnsi" w:eastAsia="Times New Roman" w:hAnsiTheme="minorHAnsi" w:cstheme="minorHAnsi"/>
                <w:b/>
                <w:bCs/>
                <w:color w:val="FFFFFF" w:themeColor="background1"/>
                <w:szCs w:val="20"/>
                <w:lang w:eastAsia="en-AU"/>
              </w:rPr>
            </w:pPr>
            <w:r w:rsidRPr="00BB4E96">
              <w:rPr>
                <w:rFonts w:asciiTheme="minorHAnsi" w:eastAsia="Times New Roman" w:hAnsiTheme="minorHAnsi" w:cstheme="minorHAnsi"/>
                <w:b/>
                <w:bCs/>
                <w:color w:val="FFFFFF" w:themeColor="background1"/>
                <w:szCs w:val="20"/>
                <w:lang w:eastAsia="en-AU"/>
              </w:rPr>
              <w:t>2023</w:t>
            </w:r>
            <w:r w:rsidRPr="0078584E">
              <w:rPr>
                <w:rFonts w:asciiTheme="minorHAnsi" w:eastAsia="Times New Roman" w:hAnsiTheme="minorHAnsi" w:cstheme="minorHAnsi"/>
                <w:b/>
                <w:bCs/>
                <w:color w:val="FFFFFF" w:themeColor="background1"/>
                <w:szCs w:val="20"/>
                <w:lang w:eastAsia="en-AU"/>
              </w:rPr>
              <w:t xml:space="preserve"> report</w:t>
            </w:r>
          </w:p>
        </w:tc>
      </w:tr>
      <w:tr w:rsidR="00A00888" w:rsidRPr="00BB4E96" w14:paraId="6C4C243E" w14:textId="77777777" w:rsidTr="00DD223A">
        <w:trPr>
          <w:cnfStyle w:val="000000100000" w:firstRow="0" w:lastRow="0" w:firstColumn="0" w:lastColumn="0" w:oddVBand="0" w:evenVBand="0" w:oddHBand="1" w:evenHBand="0" w:firstRowFirstColumn="0" w:firstRowLastColumn="0" w:lastRowFirstColumn="0" w:lastRowLastColumn="0"/>
          <w:trHeight w:val="290"/>
        </w:trPr>
        <w:tc>
          <w:tcPr>
            <w:tcW w:w="2670" w:type="dxa"/>
            <w:noWrap/>
            <w:hideMark/>
          </w:tcPr>
          <w:p w14:paraId="34351A24" w14:textId="77777777" w:rsidR="00A00888" w:rsidRPr="00BB4E96" w:rsidRDefault="00A00888" w:rsidP="005B1863">
            <w:pPr>
              <w:spacing w:after="0" w:line="240" w:lineRule="auto"/>
              <w:rPr>
                <w:rFonts w:asciiTheme="minorHAnsi" w:eastAsia="Times New Roman" w:hAnsiTheme="minorHAnsi" w:cstheme="minorHAnsi"/>
                <w:b/>
                <w:bCs/>
                <w:color w:val="000000"/>
                <w:szCs w:val="20"/>
                <w:lang w:eastAsia="en-AU"/>
              </w:rPr>
            </w:pPr>
            <w:r w:rsidRPr="00BB4E96">
              <w:rPr>
                <w:rFonts w:asciiTheme="minorHAnsi" w:eastAsia="Times New Roman" w:hAnsiTheme="minorHAnsi" w:cstheme="minorHAnsi"/>
                <w:b/>
                <w:bCs/>
                <w:color w:val="000000"/>
                <w:szCs w:val="20"/>
                <w:lang w:eastAsia="en-AU"/>
              </w:rPr>
              <w:t>Estimated value</w:t>
            </w:r>
            <w:r>
              <w:rPr>
                <w:rFonts w:asciiTheme="minorHAnsi" w:eastAsia="Times New Roman" w:hAnsiTheme="minorHAnsi" w:cstheme="minorHAnsi"/>
                <w:b/>
                <w:bCs/>
                <w:color w:val="000000"/>
                <w:szCs w:val="20"/>
                <w:lang w:eastAsia="en-AU"/>
              </w:rPr>
              <w:t xml:space="preserve"> ($b)</w:t>
            </w:r>
          </w:p>
        </w:tc>
        <w:tc>
          <w:tcPr>
            <w:tcW w:w="1701" w:type="dxa"/>
            <w:noWrap/>
            <w:hideMark/>
          </w:tcPr>
          <w:p w14:paraId="743899C3" w14:textId="77777777" w:rsidR="00A00888" w:rsidRPr="00AE438F" w:rsidRDefault="00A00888" w:rsidP="005B1863">
            <w:pPr>
              <w:spacing w:after="0" w:line="240" w:lineRule="auto"/>
              <w:jc w:val="center"/>
              <w:rPr>
                <w:rFonts w:asciiTheme="minorHAnsi" w:eastAsia="Times New Roman" w:hAnsiTheme="minorHAnsi" w:cstheme="minorHAnsi"/>
                <w:color w:val="000000"/>
                <w:szCs w:val="20"/>
                <w:lang w:eastAsia="en-AU"/>
              </w:rPr>
            </w:pPr>
            <w:r w:rsidRPr="00AE438F">
              <w:rPr>
                <w:rFonts w:asciiTheme="minorHAnsi" w:eastAsia="Times New Roman" w:hAnsiTheme="minorHAnsi" w:cstheme="minorHAnsi"/>
                <w:color w:val="000000"/>
                <w:szCs w:val="20"/>
                <w:lang w:eastAsia="en-AU"/>
              </w:rPr>
              <w:t>26</w:t>
            </w:r>
          </w:p>
        </w:tc>
        <w:tc>
          <w:tcPr>
            <w:tcW w:w="1537" w:type="dxa"/>
            <w:noWrap/>
            <w:hideMark/>
          </w:tcPr>
          <w:p w14:paraId="3A6FC101" w14:textId="77777777" w:rsidR="00A00888" w:rsidRPr="00AE438F" w:rsidRDefault="00A00888" w:rsidP="005B1863">
            <w:pPr>
              <w:spacing w:after="0" w:line="240" w:lineRule="auto"/>
              <w:jc w:val="center"/>
              <w:rPr>
                <w:rFonts w:asciiTheme="minorHAnsi" w:eastAsia="Times New Roman" w:hAnsiTheme="minorHAnsi" w:cstheme="minorHAnsi"/>
                <w:color w:val="000000"/>
                <w:szCs w:val="20"/>
                <w:lang w:eastAsia="en-AU"/>
              </w:rPr>
            </w:pPr>
            <w:r w:rsidRPr="00AE438F">
              <w:rPr>
                <w:rFonts w:asciiTheme="minorHAnsi" w:eastAsia="Times New Roman" w:hAnsiTheme="minorHAnsi" w:cstheme="minorHAnsi"/>
                <w:color w:val="000000"/>
                <w:szCs w:val="20"/>
                <w:lang w:eastAsia="en-AU"/>
              </w:rPr>
              <w:t>28</w:t>
            </w:r>
          </w:p>
        </w:tc>
      </w:tr>
      <w:tr w:rsidR="00A00888" w:rsidRPr="00BB4E96" w14:paraId="39C726D6" w14:textId="77777777" w:rsidTr="00DD223A">
        <w:trPr>
          <w:cnfStyle w:val="000000010000" w:firstRow="0" w:lastRow="0" w:firstColumn="0" w:lastColumn="0" w:oddVBand="0" w:evenVBand="0" w:oddHBand="0" w:evenHBand="1" w:firstRowFirstColumn="0" w:firstRowLastColumn="0" w:lastRowFirstColumn="0" w:lastRowLastColumn="0"/>
          <w:trHeight w:val="290"/>
        </w:trPr>
        <w:tc>
          <w:tcPr>
            <w:tcW w:w="2670" w:type="dxa"/>
            <w:noWrap/>
            <w:hideMark/>
          </w:tcPr>
          <w:p w14:paraId="40175968" w14:textId="77777777" w:rsidR="00A00888" w:rsidRPr="00BB4E96" w:rsidRDefault="00A00888" w:rsidP="005B1863">
            <w:pPr>
              <w:spacing w:after="0" w:line="240" w:lineRule="auto"/>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Total number of projects</w:t>
            </w:r>
          </w:p>
        </w:tc>
        <w:tc>
          <w:tcPr>
            <w:tcW w:w="1701" w:type="dxa"/>
            <w:noWrap/>
            <w:hideMark/>
          </w:tcPr>
          <w:p w14:paraId="5ACDC06C" w14:textId="77777777" w:rsidR="00A00888" w:rsidRPr="00AE438F" w:rsidRDefault="00A00888" w:rsidP="005B1863">
            <w:pPr>
              <w:spacing w:after="0" w:line="240" w:lineRule="auto"/>
              <w:jc w:val="center"/>
              <w:rPr>
                <w:rFonts w:asciiTheme="minorHAnsi" w:eastAsia="Times New Roman" w:hAnsiTheme="minorHAnsi" w:cstheme="minorHAnsi"/>
                <w:color w:val="000000"/>
                <w:szCs w:val="20"/>
                <w:lang w:eastAsia="en-AU"/>
              </w:rPr>
            </w:pPr>
            <w:r w:rsidRPr="00AE438F">
              <w:rPr>
                <w:rFonts w:asciiTheme="minorHAnsi" w:eastAsia="Times New Roman" w:hAnsiTheme="minorHAnsi" w:cstheme="minorHAnsi"/>
                <w:color w:val="000000"/>
                <w:szCs w:val="20"/>
                <w:lang w:eastAsia="en-AU"/>
              </w:rPr>
              <w:t>77</w:t>
            </w:r>
          </w:p>
        </w:tc>
        <w:tc>
          <w:tcPr>
            <w:tcW w:w="1537" w:type="dxa"/>
            <w:noWrap/>
            <w:hideMark/>
          </w:tcPr>
          <w:p w14:paraId="225BE0AE" w14:textId="216AC57C" w:rsidR="00A00888" w:rsidRPr="00AE438F" w:rsidRDefault="00533667" w:rsidP="005B1863">
            <w:pPr>
              <w:spacing w:after="0" w:line="240" w:lineRule="auto"/>
              <w:jc w:val="center"/>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100</w:t>
            </w:r>
          </w:p>
        </w:tc>
      </w:tr>
    </w:tbl>
    <w:p w14:paraId="4F172E96" w14:textId="2BDADF53" w:rsidR="00543FA4" w:rsidRDefault="00543FA4" w:rsidP="00543FA4">
      <w:pPr>
        <w:pStyle w:val="BodyText"/>
        <w:sectPr w:rsidR="00543FA4" w:rsidSect="00107938">
          <w:headerReference w:type="even" r:id="rId37"/>
          <w:headerReference w:type="default" r:id="rId38"/>
          <w:footerReference w:type="even" r:id="rId39"/>
          <w:headerReference w:type="first" r:id="rId40"/>
          <w:footerReference w:type="first" r:id="rId41"/>
          <w:pgSz w:w="16838" w:h="11906" w:orient="landscape" w:code="9"/>
          <w:pgMar w:top="992" w:right="1440" w:bottom="1418" w:left="1440" w:header="709" w:footer="709" w:gutter="0"/>
          <w:cols w:num="2" w:space="708"/>
          <w:docGrid w:linePitch="360"/>
        </w:sectPr>
      </w:pPr>
    </w:p>
    <w:p w14:paraId="4891C4C7" w14:textId="13E62434" w:rsidR="0035603C" w:rsidRPr="0035603C" w:rsidRDefault="004C3BFB" w:rsidP="0035603C">
      <w:pPr>
        <w:pStyle w:val="Caption"/>
        <w:rPr>
          <w:highlight w:val="yellow"/>
        </w:rPr>
      </w:pPr>
      <w:r w:rsidRPr="00FF0524">
        <w:t xml:space="preserve">Table </w:t>
      </w:r>
      <w:r w:rsidRPr="00FF0524">
        <w:rPr>
          <w:noProof/>
        </w:rPr>
        <w:fldChar w:fldCharType="begin"/>
      </w:r>
      <w:r w:rsidRPr="00FF0524">
        <w:rPr>
          <w:noProof/>
        </w:rPr>
        <w:instrText xml:space="preserve"> STYLEREF 1 \s </w:instrText>
      </w:r>
      <w:r w:rsidRPr="00FF0524">
        <w:rPr>
          <w:noProof/>
        </w:rPr>
        <w:fldChar w:fldCharType="separate"/>
      </w:r>
      <w:r w:rsidR="006D6E1F">
        <w:rPr>
          <w:noProof/>
        </w:rPr>
        <w:t>2</w:t>
      </w:r>
      <w:r w:rsidRPr="00FF0524">
        <w:rPr>
          <w:noProof/>
        </w:rPr>
        <w:fldChar w:fldCharType="end"/>
      </w:r>
      <w:r w:rsidRPr="00FF0524">
        <w:t>.</w:t>
      </w:r>
      <w:r w:rsidR="00F1509E">
        <w:rPr>
          <w:noProof/>
        </w:rPr>
        <w:t>2</w:t>
      </w:r>
      <w:r w:rsidRPr="00FF0524">
        <w:t>:</w:t>
      </w:r>
      <w:r>
        <w:t xml:space="preserve"> </w:t>
      </w:r>
      <w:r w:rsidR="0035603C" w:rsidRPr="0035603C">
        <w:t>Summary of critical mineral projects</w:t>
      </w:r>
      <w:r w:rsidR="0035603C" w:rsidRPr="003C6128">
        <w:t xml:space="preserve"> as at 31 October 202</w:t>
      </w:r>
      <w:r w:rsidR="0035603C">
        <w:t>3</w:t>
      </w:r>
    </w:p>
    <w:tbl>
      <w:tblPr>
        <w:tblStyle w:val="OCETable"/>
        <w:tblW w:w="4519" w:type="pct"/>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4253"/>
        <w:gridCol w:w="1700"/>
        <w:gridCol w:w="1701"/>
        <w:gridCol w:w="1701"/>
        <w:gridCol w:w="1701"/>
        <w:gridCol w:w="1559"/>
      </w:tblGrid>
      <w:tr w:rsidR="0035603C" w:rsidRPr="007136E1" w14:paraId="6CBC4F74" w14:textId="77777777" w:rsidTr="00433D85">
        <w:trPr>
          <w:cnfStyle w:val="100000000000" w:firstRow="1" w:lastRow="0" w:firstColumn="0" w:lastColumn="0" w:oddVBand="0" w:evenVBand="0" w:oddHBand="0" w:evenHBand="0" w:firstRowFirstColumn="0" w:firstRowLastColumn="0" w:lastRowFirstColumn="0" w:lastRowLastColumn="0"/>
          <w:trHeight w:val="438"/>
          <w:tblHeader/>
        </w:trPr>
        <w:tc>
          <w:tcPr>
            <w:tcW w:w="1686" w:type="pct"/>
          </w:tcPr>
          <w:p w14:paraId="306F9467" w14:textId="77777777" w:rsidR="0035603C" w:rsidRPr="007136E1" w:rsidRDefault="0035603C" w:rsidP="001F62B4">
            <w:pPr>
              <w:pStyle w:val="Tableheader"/>
              <w:rPr>
                <w:color w:val="FFFFFF" w:themeColor="background1"/>
                <w:lang w:eastAsia="en-AU"/>
              </w:rPr>
            </w:pPr>
          </w:p>
        </w:tc>
        <w:tc>
          <w:tcPr>
            <w:tcW w:w="674" w:type="pct"/>
          </w:tcPr>
          <w:p w14:paraId="439CFC19" w14:textId="77777777" w:rsidR="0035603C" w:rsidRPr="007136E1" w:rsidRDefault="0035603C" w:rsidP="001F62B4">
            <w:pPr>
              <w:pStyle w:val="Tableheader"/>
              <w:rPr>
                <w:color w:val="FFFFFF" w:themeColor="background1"/>
                <w:lang w:eastAsia="en-AU"/>
              </w:rPr>
            </w:pPr>
            <w:r w:rsidRPr="007136E1">
              <w:rPr>
                <w:color w:val="FFFFFF" w:themeColor="background1"/>
                <w:lang w:eastAsia="en-AU"/>
              </w:rPr>
              <w:t>Publicly Announced</w:t>
            </w:r>
          </w:p>
        </w:tc>
        <w:tc>
          <w:tcPr>
            <w:tcW w:w="1348" w:type="pct"/>
            <w:gridSpan w:val="2"/>
          </w:tcPr>
          <w:p w14:paraId="78802C43" w14:textId="77777777" w:rsidR="0035603C" w:rsidRPr="007136E1" w:rsidRDefault="0035603C" w:rsidP="001F62B4">
            <w:pPr>
              <w:pStyle w:val="Tableheader"/>
              <w:rPr>
                <w:color w:val="FFFFFF" w:themeColor="background1"/>
                <w:lang w:eastAsia="en-AU"/>
              </w:rPr>
            </w:pPr>
            <w:r>
              <w:rPr>
                <w:color w:val="FFFFFF" w:themeColor="background1"/>
                <w:lang w:eastAsia="en-AU"/>
              </w:rPr>
              <w:t xml:space="preserve">Advanced </w:t>
            </w:r>
            <w:r w:rsidRPr="007136E1">
              <w:rPr>
                <w:color w:val="FFFFFF" w:themeColor="background1"/>
                <w:lang w:eastAsia="en-AU"/>
              </w:rPr>
              <w:t>Feasibility</w:t>
            </w:r>
          </w:p>
        </w:tc>
        <w:tc>
          <w:tcPr>
            <w:tcW w:w="1292" w:type="pct"/>
            <w:gridSpan w:val="2"/>
          </w:tcPr>
          <w:p w14:paraId="682EF6BB" w14:textId="77777777" w:rsidR="0035603C" w:rsidRPr="007136E1" w:rsidRDefault="0035603C" w:rsidP="001F62B4">
            <w:pPr>
              <w:pStyle w:val="Tableheader"/>
              <w:rPr>
                <w:color w:val="FFFFFF" w:themeColor="background1"/>
                <w:lang w:eastAsia="en-AU"/>
              </w:rPr>
            </w:pPr>
            <w:r w:rsidRPr="007136E1">
              <w:rPr>
                <w:color w:val="FFFFFF" w:themeColor="background1"/>
                <w:lang w:eastAsia="en-AU"/>
              </w:rPr>
              <w:t>Committed</w:t>
            </w:r>
          </w:p>
        </w:tc>
      </w:tr>
      <w:tr w:rsidR="00112724" w:rsidRPr="007136E1" w14:paraId="38B14850" w14:textId="77777777" w:rsidTr="00112724">
        <w:trPr>
          <w:cnfStyle w:val="000000100000" w:firstRow="0" w:lastRow="0" w:firstColumn="0" w:lastColumn="0" w:oddVBand="0" w:evenVBand="0" w:oddHBand="1" w:evenHBand="0" w:firstRowFirstColumn="0" w:firstRowLastColumn="0" w:lastRowFirstColumn="0" w:lastRowLastColumn="0"/>
          <w:trHeight w:val="315"/>
        </w:trPr>
        <w:tc>
          <w:tcPr>
            <w:tcW w:w="1686" w:type="pct"/>
            <w:shd w:val="clear" w:color="auto" w:fill="005CAF"/>
          </w:tcPr>
          <w:p w14:paraId="0F410815" w14:textId="77777777" w:rsidR="0035603C" w:rsidRPr="007136E1" w:rsidRDefault="0035603C" w:rsidP="001F62B4">
            <w:pPr>
              <w:pStyle w:val="Tabletext"/>
              <w:rPr>
                <w:color w:val="FFFFFF" w:themeColor="background1"/>
                <w:lang w:eastAsia="en-AU"/>
              </w:rPr>
            </w:pPr>
          </w:p>
        </w:tc>
        <w:tc>
          <w:tcPr>
            <w:tcW w:w="674" w:type="pct"/>
            <w:shd w:val="clear" w:color="auto" w:fill="005CAF"/>
          </w:tcPr>
          <w:p w14:paraId="4CDFD9AE" w14:textId="77777777" w:rsidR="0035603C" w:rsidRPr="007136E1" w:rsidRDefault="0035603C" w:rsidP="001F62B4">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674" w:type="pct"/>
            <w:shd w:val="clear" w:color="auto" w:fill="005CAF"/>
          </w:tcPr>
          <w:p w14:paraId="42AED010" w14:textId="77777777" w:rsidR="0035603C" w:rsidRPr="007136E1" w:rsidRDefault="0035603C"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74" w:type="pct"/>
            <w:shd w:val="clear" w:color="auto" w:fill="005CAF"/>
          </w:tcPr>
          <w:p w14:paraId="4770C636" w14:textId="77777777" w:rsidR="0035603C" w:rsidRPr="007136E1" w:rsidRDefault="0035603C" w:rsidP="001F62B4">
            <w:pPr>
              <w:pStyle w:val="Tabletext"/>
              <w:jc w:val="right"/>
              <w:rPr>
                <w:color w:val="FFFFFF" w:themeColor="background1"/>
                <w:lang w:eastAsia="en-AU"/>
              </w:rPr>
            </w:pPr>
            <w:r w:rsidRPr="007136E1">
              <w:rPr>
                <w:color w:val="FFFFFF" w:themeColor="background1"/>
                <w:sz w:val="16"/>
                <w:szCs w:val="16"/>
                <w:lang w:eastAsia="en-AU"/>
              </w:rPr>
              <w:t>Value A$b</w:t>
            </w:r>
          </w:p>
        </w:tc>
        <w:tc>
          <w:tcPr>
            <w:tcW w:w="674" w:type="pct"/>
            <w:shd w:val="clear" w:color="auto" w:fill="005CAF"/>
          </w:tcPr>
          <w:p w14:paraId="4C70DBA2" w14:textId="77777777" w:rsidR="0035603C" w:rsidRPr="007136E1" w:rsidRDefault="0035603C"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18" w:type="pct"/>
            <w:shd w:val="clear" w:color="auto" w:fill="005CAF"/>
          </w:tcPr>
          <w:p w14:paraId="20A6C3C6" w14:textId="77777777" w:rsidR="0035603C" w:rsidRPr="007136E1" w:rsidRDefault="0035603C" w:rsidP="001F62B4">
            <w:pPr>
              <w:pStyle w:val="Tabletext"/>
              <w:jc w:val="right"/>
              <w:rPr>
                <w:color w:val="FFFFFF" w:themeColor="background1"/>
                <w:lang w:eastAsia="en-AU"/>
              </w:rPr>
            </w:pPr>
            <w:r w:rsidRPr="007136E1">
              <w:rPr>
                <w:color w:val="FFFFFF" w:themeColor="background1"/>
                <w:sz w:val="16"/>
                <w:szCs w:val="16"/>
                <w:lang w:eastAsia="en-AU"/>
              </w:rPr>
              <w:t>Value A$b</w:t>
            </w:r>
          </w:p>
        </w:tc>
      </w:tr>
      <w:tr w:rsidR="00112724" w:rsidRPr="007136E1" w14:paraId="1FE62C90" w14:textId="77777777" w:rsidTr="00295D0D">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0430068C" w14:textId="68AA6C43"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Active materials &amp; electrolytes</w:t>
            </w:r>
          </w:p>
        </w:tc>
        <w:tc>
          <w:tcPr>
            <w:tcW w:w="674" w:type="pct"/>
            <w:tcBorders>
              <w:left w:val="single" w:sz="4" w:space="0" w:color="auto"/>
              <w:bottom w:val="nil"/>
            </w:tcBorders>
            <w:shd w:val="clear" w:color="auto" w:fill="auto"/>
            <w:vAlign w:val="center"/>
          </w:tcPr>
          <w:p w14:paraId="4177E866" w14:textId="0AC93CA5" w:rsidR="001B0467" w:rsidRPr="00FF0524" w:rsidRDefault="001B0467" w:rsidP="001B0467">
            <w:pPr>
              <w:pStyle w:val="Tabletext"/>
              <w:jc w:val="right"/>
              <w:rPr>
                <w:rFonts w:asciiTheme="minorHAnsi" w:hAnsiTheme="minorHAnsi" w:cstheme="minorHAnsi"/>
                <w:lang w:eastAsia="en-AU"/>
              </w:rPr>
            </w:pPr>
            <w:r w:rsidRPr="00043C74">
              <w:t>5</w:t>
            </w:r>
          </w:p>
        </w:tc>
        <w:tc>
          <w:tcPr>
            <w:tcW w:w="674" w:type="pct"/>
            <w:tcBorders>
              <w:left w:val="single" w:sz="4" w:space="0" w:color="auto"/>
              <w:bottom w:val="nil"/>
            </w:tcBorders>
            <w:shd w:val="clear" w:color="auto" w:fill="auto"/>
            <w:vAlign w:val="center"/>
          </w:tcPr>
          <w:p w14:paraId="301B6C18" w14:textId="55041A76" w:rsidR="001B0467" w:rsidRPr="00FF0524" w:rsidRDefault="001B0467" w:rsidP="001B0467">
            <w:pPr>
              <w:pStyle w:val="Tabletext"/>
              <w:jc w:val="right"/>
              <w:rPr>
                <w:rFonts w:asciiTheme="minorHAnsi" w:hAnsiTheme="minorHAnsi" w:cstheme="minorHAnsi"/>
                <w:lang w:eastAsia="en-AU"/>
              </w:rPr>
            </w:pPr>
            <w:r w:rsidRPr="00043C74">
              <w:t>1</w:t>
            </w:r>
          </w:p>
        </w:tc>
        <w:tc>
          <w:tcPr>
            <w:tcW w:w="674" w:type="pct"/>
            <w:tcBorders>
              <w:bottom w:val="nil"/>
              <w:right w:val="single" w:sz="4" w:space="0" w:color="auto"/>
            </w:tcBorders>
            <w:shd w:val="clear" w:color="auto" w:fill="auto"/>
            <w:vAlign w:val="center"/>
          </w:tcPr>
          <w:p w14:paraId="270EA2CC" w14:textId="2D9A03BE" w:rsidR="001B0467" w:rsidRPr="00FF0524" w:rsidRDefault="001B0467" w:rsidP="001B0467">
            <w:pPr>
              <w:pStyle w:val="Tabletext"/>
              <w:jc w:val="right"/>
              <w:rPr>
                <w:rFonts w:asciiTheme="minorHAnsi" w:hAnsiTheme="minorHAnsi" w:cstheme="minorHAnsi"/>
                <w:lang w:eastAsia="en-AU"/>
              </w:rPr>
            </w:pPr>
            <w:r w:rsidRPr="00043C74">
              <w:t>0.4</w:t>
            </w:r>
          </w:p>
        </w:tc>
        <w:tc>
          <w:tcPr>
            <w:tcW w:w="674" w:type="pct"/>
            <w:tcBorders>
              <w:left w:val="single" w:sz="4" w:space="0" w:color="auto"/>
              <w:bottom w:val="nil"/>
            </w:tcBorders>
            <w:shd w:val="clear" w:color="auto" w:fill="auto"/>
            <w:vAlign w:val="center"/>
          </w:tcPr>
          <w:p w14:paraId="778829EC" w14:textId="551B3CBD" w:rsidR="001B0467" w:rsidRPr="00FF0524" w:rsidRDefault="001B0467" w:rsidP="001B0467">
            <w:pPr>
              <w:pStyle w:val="Tabletext"/>
              <w:jc w:val="right"/>
              <w:rPr>
                <w:rFonts w:asciiTheme="minorHAnsi" w:hAnsiTheme="minorHAnsi" w:cstheme="minorHAnsi"/>
                <w:lang w:eastAsia="en-AU"/>
              </w:rPr>
            </w:pPr>
          </w:p>
        </w:tc>
        <w:tc>
          <w:tcPr>
            <w:tcW w:w="618" w:type="pct"/>
            <w:tcBorders>
              <w:bottom w:val="nil"/>
              <w:right w:val="single" w:sz="4" w:space="0" w:color="auto"/>
            </w:tcBorders>
            <w:shd w:val="clear" w:color="auto" w:fill="auto"/>
            <w:vAlign w:val="center"/>
          </w:tcPr>
          <w:p w14:paraId="3DBD3D51" w14:textId="10F5FE0C" w:rsidR="001B0467" w:rsidRPr="00FF0524" w:rsidRDefault="001B0467" w:rsidP="001B0467">
            <w:pPr>
              <w:pStyle w:val="Tabletext"/>
              <w:jc w:val="right"/>
              <w:rPr>
                <w:rFonts w:asciiTheme="minorHAnsi" w:hAnsiTheme="minorHAnsi" w:cstheme="minorHAnsi"/>
                <w:lang w:eastAsia="en-AU"/>
              </w:rPr>
            </w:pPr>
          </w:p>
        </w:tc>
      </w:tr>
      <w:tr w:rsidR="00112724" w:rsidRPr="007136E1" w14:paraId="24C50A9A" w14:textId="77777777" w:rsidTr="006B3BE7">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5C484583" w14:textId="6E8C58D8" w:rsidR="001B0467" w:rsidRPr="006B3BE7" w:rsidRDefault="00B432E2" w:rsidP="001B0467">
            <w:pPr>
              <w:pStyle w:val="Tabletext"/>
              <w:rPr>
                <w:rFonts w:asciiTheme="minorHAnsi" w:hAnsiTheme="minorHAnsi" w:cstheme="minorHAnsi"/>
                <w:lang w:eastAsia="en-AU"/>
              </w:rPr>
            </w:pPr>
            <w:r>
              <w:rPr>
                <w:rFonts w:asciiTheme="minorHAnsi" w:hAnsiTheme="minorHAnsi" w:cstheme="minorHAnsi"/>
                <w:color w:val="000000"/>
              </w:rPr>
              <w:t>Nickel-c</w:t>
            </w:r>
            <w:r w:rsidR="001B0467" w:rsidRPr="006B3BE7">
              <w:rPr>
                <w:rFonts w:asciiTheme="minorHAnsi" w:hAnsiTheme="minorHAnsi" w:cstheme="minorHAnsi"/>
                <w:color w:val="000000"/>
              </w:rPr>
              <w:t>obalt</w:t>
            </w:r>
          </w:p>
        </w:tc>
        <w:tc>
          <w:tcPr>
            <w:tcW w:w="674" w:type="pct"/>
            <w:tcBorders>
              <w:top w:val="nil"/>
              <w:left w:val="single" w:sz="4" w:space="0" w:color="auto"/>
              <w:bottom w:val="nil"/>
            </w:tcBorders>
            <w:vAlign w:val="center"/>
          </w:tcPr>
          <w:p w14:paraId="5B9F8B14" w14:textId="589A4AD0" w:rsidR="001B0467" w:rsidRPr="00FF0524" w:rsidRDefault="001B0467" w:rsidP="001B0467">
            <w:pPr>
              <w:pStyle w:val="Tabletext"/>
              <w:jc w:val="right"/>
              <w:rPr>
                <w:rFonts w:asciiTheme="minorHAnsi" w:hAnsiTheme="minorHAnsi" w:cstheme="minorHAnsi"/>
                <w:lang w:eastAsia="en-AU"/>
              </w:rPr>
            </w:pPr>
            <w:r w:rsidRPr="00043C74">
              <w:t>9</w:t>
            </w:r>
          </w:p>
        </w:tc>
        <w:tc>
          <w:tcPr>
            <w:tcW w:w="674" w:type="pct"/>
            <w:tcBorders>
              <w:top w:val="nil"/>
              <w:left w:val="single" w:sz="4" w:space="0" w:color="auto"/>
              <w:bottom w:val="nil"/>
            </w:tcBorders>
            <w:vAlign w:val="center"/>
          </w:tcPr>
          <w:p w14:paraId="12A76BF7" w14:textId="0944E769" w:rsidR="001B0467" w:rsidRPr="00FF0524" w:rsidRDefault="00DB6D71" w:rsidP="001B0467">
            <w:pPr>
              <w:pStyle w:val="Tabletext"/>
              <w:jc w:val="right"/>
              <w:rPr>
                <w:rFonts w:asciiTheme="minorHAnsi" w:hAnsiTheme="minorHAnsi" w:cstheme="minorHAnsi"/>
                <w:lang w:eastAsia="en-AU"/>
              </w:rPr>
            </w:pPr>
            <w:r>
              <w:rPr>
                <w:lang w:eastAsia="en-AU"/>
              </w:rPr>
              <w:t>2</w:t>
            </w:r>
          </w:p>
        </w:tc>
        <w:tc>
          <w:tcPr>
            <w:tcW w:w="674" w:type="pct"/>
            <w:tcBorders>
              <w:top w:val="nil"/>
              <w:bottom w:val="nil"/>
              <w:right w:val="single" w:sz="4" w:space="0" w:color="auto"/>
            </w:tcBorders>
            <w:vAlign w:val="center"/>
          </w:tcPr>
          <w:p w14:paraId="3BE59336" w14:textId="4E183106" w:rsidR="001B0467" w:rsidRPr="00FF0524" w:rsidRDefault="00DB6D71" w:rsidP="001B0467">
            <w:pPr>
              <w:pStyle w:val="Tabletext"/>
              <w:jc w:val="right"/>
              <w:rPr>
                <w:rFonts w:asciiTheme="minorHAnsi" w:hAnsiTheme="minorHAnsi" w:cstheme="minorHAnsi"/>
                <w:lang w:eastAsia="en-AU"/>
              </w:rPr>
            </w:pPr>
            <w:r>
              <w:t>3</w:t>
            </w:r>
            <w:r w:rsidR="001B0467" w:rsidRPr="00043C74">
              <w:t>.</w:t>
            </w:r>
            <w:r>
              <w:t>6</w:t>
            </w:r>
          </w:p>
        </w:tc>
        <w:tc>
          <w:tcPr>
            <w:tcW w:w="674" w:type="pct"/>
            <w:tcBorders>
              <w:top w:val="nil"/>
              <w:left w:val="single" w:sz="4" w:space="0" w:color="auto"/>
              <w:bottom w:val="nil"/>
            </w:tcBorders>
            <w:vAlign w:val="center"/>
          </w:tcPr>
          <w:p w14:paraId="714D4619" w14:textId="18550C38" w:rsidR="001B0467" w:rsidRPr="00FF0524" w:rsidRDefault="001B0467" w:rsidP="001B0467">
            <w:pPr>
              <w:pStyle w:val="Tabletext"/>
              <w:jc w:val="right"/>
              <w:rPr>
                <w:rFonts w:asciiTheme="minorHAnsi" w:hAnsiTheme="minorHAnsi" w:cstheme="minorHAnsi"/>
                <w:lang w:eastAsia="en-AU"/>
              </w:rPr>
            </w:pPr>
          </w:p>
        </w:tc>
        <w:tc>
          <w:tcPr>
            <w:tcW w:w="618" w:type="pct"/>
            <w:tcBorders>
              <w:top w:val="nil"/>
              <w:bottom w:val="nil"/>
              <w:right w:val="single" w:sz="4" w:space="0" w:color="auto"/>
            </w:tcBorders>
            <w:vAlign w:val="center"/>
          </w:tcPr>
          <w:p w14:paraId="3C8711DC" w14:textId="11C279F7" w:rsidR="001B0467" w:rsidRPr="00FF0524" w:rsidRDefault="001B0467" w:rsidP="001B0467">
            <w:pPr>
              <w:pStyle w:val="Tabletext"/>
              <w:jc w:val="right"/>
              <w:rPr>
                <w:rFonts w:asciiTheme="minorHAnsi" w:hAnsiTheme="minorHAnsi" w:cstheme="minorHAnsi"/>
                <w:lang w:eastAsia="en-AU"/>
              </w:rPr>
            </w:pPr>
          </w:p>
        </w:tc>
      </w:tr>
      <w:tr w:rsidR="00112724" w:rsidRPr="007136E1" w14:paraId="18E405DE" w14:textId="77777777" w:rsidTr="00865081">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shd w:val="clear" w:color="auto" w:fill="auto"/>
            <w:vAlign w:val="center"/>
          </w:tcPr>
          <w:p w14:paraId="36347C14" w14:textId="3A648801"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Graphite</w:t>
            </w:r>
          </w:p>
        </w:tc>
        <w:tc>
          <w:tcPr>
            <w:tcW w:w="674" w:type="pct"/>
            <w:tcBorders>
              <w:top w:val="nil"/>
              <w:left w:val="single" w:sz="4" w:space="0" w:color="auto"/>
            </w:tcBorders>
            <w:shd w:val="clear" w:color="auto" w:fill="auto"/>
            <w:vAlign w:val="center"/>
          </w:tcPr>
          <w:p w14:paraId="1688E5B5" w14:textId="4673C767" w:rsidR="001B0467" w:rsidRPr="00FF0524" w:rsidRDefault="001B0467" w:rsidP="001B0467">
            <w:pPr>
              <w:pStyle w:val="Tabletext"/>
              <w:jc w:val="right"/>
              <w:rPr>
                <w:rFonts w:asciiTheme="minorHAnsi" w:hAnsiTheme="minorHAnsi" w:cstheme="minorHAnsi"/>
                <w:lang w:eastAsia="en-AU"/>
              </w:rPr>
            </w:pPr>
            <w:r w:rsidRPr="00043C74">
              <w:t>2</w:t>
            </w:r>
          </w:p>
        </w:tc>
        <w:tc>
          <w:tcPr>
            <w:tcW w:w="674" w:type="pct"/>
            <w:tcBorders>
              <w:top w:val="nil"/>
              <w:left w:val="single" w:sz="4" w:space="0" w:color="auto"/>
              <w:bottom w:val="nil"/>
            </w:tcBorders>
            <w:shd w:val="clear" w:color="auto" w:fill="auto"/>
            <w:vAlign w:val="center"/>
          </w:tcPr>
          <w:p w14:paraId="1CE10D73" w14:textId="68F49171" w:rsidR="001B0467" w:rsidRPr="00FF0524" w:rsidRDefault="001B0467" w:rsidP="001B0467">
            <w:pPr>
              <w:pStyle w:val="Tabletext"/>
              <w:jc w:val="right"/>
              <w:rPr>
                <w:rFonts w:asciiTheme="minorHAnsi" w:hAnsiTheme="minorHAnsi" w:cstheme="minorHAnsi"/>
                <w:lang w:eastAsia="en-AU"/>
              </w:rPr>
            </w:pPr>
            <w:r w:rsidRPr="00043C74">
              <w:t>4</w:t>
            </w:r>
          </w:p>
        </w:tc>
        <w:tc>
          <w:tcPr>
            <w:tcW w:w="674" w:type="pct"/>
            <w:tcBorders>
              <w:top w:val="nil"/>
              <w:bottom w:val="nil"/>
              <w:right w:val="single" w:sz="4" w:space="0" w:color="auto"/>
            </w:tcBorders>
            <w:shd w:val="clear" w:color="auto" w:fill="auto"/>
            <w:vAlign w:val="center"/>
          </w:tcPr>
          <w:p w14:paraId="00CDAD34" w14:textId="0B190B95" w:rsidR="001B0467" w:rsidRPr="00FF0524" w:rsidRDefault="001B0467" w:rsidP="001B0467">
            <w:pPr>
              <w:pStyle w:val="Tabletext"/>
              <w:jc w:val="right"/>
              <w:rPr>
                <w:rFonts w:asciiTheme="minorHAnsi" w:hAnsiTheme="minorHAnsi" w:cstheme="minorHAnsi"/>
                <w:lang w:eastAsia="en-AU"/>
              </w:rPr>
            </w:pPr>
            <w:r w:rsidRPr="00043C74">
              <w:t>0.9</w:t>
            </w:r>
          </w:p>
        </w:tc>
        <w:tc>
          <w:tcPr>
            <w:tcW w:w="674" w:type="pct"/>
            <w:tcBorders>
              <w:top w:val="nil"/>
              <w:left w:val="single" w:sz="4" w:space="0" w:color="auto"/>
              <w:bottom w:val="nil"/>
            </w:tcBorders>
            <w:shd w:val="clear" w:color="auto" w:fill="auto"/>
            <w:vAlign w:val="center"/>
          </w:tcPr>
          <w:p w14:paraId="6D7A4EBF" w14:textId="49D48A7A" w:rsidR="001B0467" w:rsidRPr="00FF0524" w:rsidRDefault="001B0467" w:rsidP="001B0467">
            <w:pPr>
              <w:pStyle w:val="Tabletext"/>
              <w:jc w:val="right"/>
              <w:rPr>
                <w:rFonts w:asciiTheme="minorHAnsi" w:hAnsiTheme="minorHAnsi" w:cstheme="minorHAnsi"/>
                <w:lang w:eastAsia="en-AU"/>
              </w:rPr>
            </w:pPr>
          </w:p>
        </w:tc>
        <w:tc>
          <w:tcPr>
            <w:tcW w:w="618" w:type="pct"/>
            <w:tcBorders>
              <w:top w:val="nil"/>
              <w:bottom w:val="nil"/>
              <w:right w:val="single" w:sz="4" w:space="0" w:color="auto"/>
            </w:tcBorders>
            <w:shd w:val="clear" w:color="auto" w:fill="auto"/>
            <w:vAlign w:val="center"/>
          </w:tcPr>
          <w:p w14:paraId="082BF1B3" w14:textId="79D14A3A" w:rsidR="001B0467" w:rsidRPr="00FF0524" w:rsidRDefault="001B0467" w:rsidP="001B0467">
            <w:pPr>
              <w:pStyle w:val="Tabletext"/>
              <w:jc w:val="right"/>
              <w:rPr>
                <w:rFonts w:asciiTheme="minorHAnsi" w:hAnsiTheme="minorHAnsi" w:cstheme="minorHAnsi"/>
                <w:lang w:eastAsia="en-AU"/>
              </w:rPr>
            </w:pPr>
          </w:p>
        </w:tc>
      </w:tr>
      <w:tr w:rsidR="00112724" w:rsidRPr="007136E1" w14:paraId="5CF2CD8E" w14:textId="77777777" w:rsidTr="006B3BE7">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7EC1E512" w14:textId="7220077F"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 xml:space="preserve">High Purity </w:t>
            </w:r>
            <w:r w:rsidR="00D357B6">
              <w:rPr>
                <w:rFonts w:asciiTheme="minorHAnsi" w:hAnsiTheme="minorHAnsi" w:cstheme="minorHAnsi"/>
                <w:color w:val="000000"/>
              </w:rPr>
              <w:t>Alumina</w:t>
            </w:r>
          </w:p>
        </w:tc>
        <w:tc>
          <w:tcPr>
            <w:tcW w:w="674" w:type="pct"/>
            <w:tcBorders>
              <w:top w:val="nil"/>
              <w:left w:val="single" w:sz="4" w:space="0" w:color="auto"/>
              <w:bottom w:val="nil"/>
            </w:tcBorders>
            <w:vAlign w:val="center"/>
          </w:tcPr>
          <w:p w14:paraId="6F7DD20E" w14:textId="15B29753" w:rsidR="001B0467" w:rsidRPr="00FF0524" w:rsidRDefault="001B0467" w:rsidP="001B0467">
            <w:pPr>
              <w:pStyle w:val="Tabletext"/>
              <w:jc w:val="right"/>
              <w:rPr>
                <w:rFonts w:asciiTheme="minorHAnsi" w:hAnsiTheme="minorHAnsi" w:cstheme="minorHAnsi"/>
              </w:rPr>
            </w:pPr>
            <w:r w:rsidRPr="00043C74">
              <w:t>1</w:t>
            </w:r>
          </w:p>
        </w:tc>
        <w:tc>
          <w:tcPr>
            <w:tcW w:w="674" w:type="pct"/>
            <w:tcBorders>
              <w:top w:val="nil"/>
              <w:left w:val="single" w:sz="4" w:space="0" w:color="auto"/>
              <w:bottom w:val="nil"/>
            </w:tcBorders>
            <w:vAlign w:val="center"/>
          </w:tcPr>
          <w:p w14:paraId="48F0604A" w14:textId="3B516AF8" w:rsidR="001B0467" w:rsidRPr="00FF0524" w:rsidRDefault="001B0467" w:rsidP="001B0467">
            <w:pPr>
              <w:pStyle w:val="Tabletext"/>
              <w:jc w:val="right"/>
              <w:rPr>
                <w:rFonts w:asciiTheme="minorHAnsi" w:hAnsiTheme="minorHAnsi" w:cstheme="minorHAnsi"/>
              </w:rPr>
            </w:pPr>
            <w:r w:rsidRPr="00043C74">
              <w:t>1</w:t>
            </w:r>
          </w:p>
        </w:tc>
        <w:tc>
          <w:tcPr>
            <w:tcW w:w="674" w:type="pct"/>
            <w:tcBorders>
              <w:top w:val="nil"/>
              <w:bottom w:val="nil"/>
              <w:right w:val="single" w:sz="4" w:space="0" w:color="auto"/>
            </w:tcBorders>
            <w:vAlign w:val="center"/>
          </w:tcPr>
          <w:p w14:paraId="48AAE4CD" w14:textId="2D29F16E" w:rsidR="001B0467" w:rsidRPr="00FF0524" w:rsidRDefault="001B0467" w:rsidP="001B0467">
            <w:pPr>
              <w:pStyle w:val="Tabletext"/>
              <w:jc w:val="right"/>
              <w:rPr>
                <w:rFonts w:asciiTheme="minorHAnsi" w:hAnsiTheme="minorHAnsi" w:cstheme="minorHAnsi"/>
              </w:rPr>
            </w:pPr>
            <w:r w:rsidRPr="00043C74">
              <w:t>0.3</w:t>
            </w:r>
          </w:p>
        </w:tc>
        <w:tc>
          <w:tcPr>
            <w:tcW w:w="674" w:type="pct"/>
            <w:tcBorders>
              <w:top w:val="nil"/>
              <w:left w:val="single" w:sz="4" w:space="0" w:color="auto"/>
              <w:bottom w:val="nil"/>
            </w:tcBorders>
            <w:vAlign w:val="center"/>
          </w:tcPr>
          <w:p w14:paraId="5F187838" w14:textId="07199484" w:rsidR="001B0467" w:rsidRPr="00FF0524" w:rsidRDefault="001B0467" w:rsidP="001B0467">
            <w:pPr>
              <w:pStyle w:val="Tabletext"/>
              <w:jc w:val="right"/>
              <w:rPr>
                <w:rFonts w:asciiTheme="minorHAnsi" w:hAnsiTheme="minorHAnsi" w:cstheme="minorHAnsi"/>
                <w:lang w:eastAsia="en-AU"/>
              </w:rPr>
            </w:pPr>
            <w:r w:rsidRPr="00043C74">
              <w:t>3</w:t>
            </w:r>
          </w:p>
        </w:tc>
        <w:tc>
          <w:tcPr>
            <w:tcW w:w="618" w:type="pct"/>
            <w:tcBorders>
              <w:top w:val="nil"/>
              <w:bottom w:val="nil"/>
              <w:right w:val="single" w:sz="4" w:space="0" w:color="auto"/>
            </w:tcBorders>
            <w:vAlign w:val="center"/>
          </w:tcPr>
          <w:p w14:paraId="48C8DDD3" w14:textId="2A76A5C5" w:rsidR="001B0467" w:rsidRPr="00FF0524" w:rsidRDefault="001B0467" w:rsidP="001B0467">
            <w:pPr>
              <w:pStyle w:val="Tabletext"/>
              <w:jc w:val="right"/>
              <w:rPr>
                <w:rFonts w:asciiTheme="minorHAnsi" w:hAnsiTheme="minorHAnsi" w:cstheme="minorHAnsi"/>
                <w:lang w:eastAsia="en-AU"/>
              </w:rPr>
            </w:pPr>
            <w:r w:rsidRPr="00043C74">
              <w:t>0.7</w:t>
            </w:r>
          </w:p>
        </w:tc>
      </w:tr>
      <w:tr w:rsidR="00112724" w:rsidRPr="007136E1" w14:paraId="056BAF5E" w14:textId="77777777" w:rsidTr="00865081">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69C49B9F" w14:textId="480D9E12"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Lithium</w:t>
            </w:r>
          </w:p>
        </w:tc>
        <w:tc>
          <w:tcPr>
            <w:tcW w:w="674" w:type="pct"/>
            <w:tcBorders>
              <w:top w:val="nil"/>
              <w:left w:val="single" w:sz="4" w:space="0" w:color="auto"/>
            </w:tcBorders>
            <w:shd w:val="clear" w:color="auto" w:fill="auto"/>
            <w:vAlign w:val="center"/>
          </w:tcPr>
          <w:p w14:paraId="36931734" w14:textId="4D657986" w:rsidR="001B0467" w:rsidRPr="00FF0524" w:rsidRDefault="001B0467" w:rsidP="001B0467">
            <w:pPr>
              <w:pStyle w:val="Tabletext"/>
              <w:jc w:val="right"/>
              <w:rPr>
                <w:rFonts w:asciiTheme="minorHAnsi" w:hAnsiTheme="minorHAnsi" w:cstheme="minorHAnsi"/>
                <w:lang w:eastAsia="en-AU"/>
              </w:rPr>
            </w:pPr>
            <w:r w:rsidRPr="00043C74">
              <w:t>4</w:t>
            </w:r>
          </w:p>
        </w:tc>
        <w:tc>
          <w:tcPr>
            <w:tcW w:w="674" w:type="pct"/>
            <w:tcBorders>
              <w:top w:val="nil"/>
              <w:left w:val="single" w:sz="4" w:space="0" w:color="auto"/>
            </w:tcBorders>
            <w:shd w:val="clear" w:color="auto" w:fill="auto"/>
            <w:vAlign w:val="center"/>
          </w:tcPr>
          <w:p w14:paraId="43EDE3B5" w14:textId="230B488B" w:rsidR="001B0467" w:rsidRPr="00FF0524" w:rsidRDefault="001B0467" w:rsidP="001B0467">
            <w:pPr>
              <w:pStyle w:val="Tabletext"/>
              <w:jc w:val="right"/>
              <w:rPr>
                <w:rFonts w:asciiTheme="minorHAnsi" w:hAnsiTheme="minorHAnsi" w:cstheme="minorHAnsi"/>
                <w:lang w:eastAsia="en-AU"/>
              </w:rPr>
            </w:pPr>
          </w:p>
        </w:tc>
        <w:tc>
          <w:tcPr>
            <w:tcW w:w="674" w:type="pct"/>
            <w:tcBorders>
              <w:top w:val="nil"/>
              <w:right w:val="single" w:sz="4" w:space="0" w:color="auto"/>
            </w:tcBorders>
            <w:shd w:val="clear" w:color="auto" w:fill="auto"/>
            <w:vAlign w:val="center"/>
          </w:tcPr>
          <w:p w14:paraId="18456AFA" w14:textId="02EAB05A" w:rsidR="001B0467" w:rsidRPr="00FF0524" w:rsidRDefault="001B0467" w:rsidP="001B0467">
            <w:pPr>
              <w:pStyle w:val="Tabletext"/>
              <w:jc w:val="right"/>
              <w:rPr>
                <w:rFonts w:asciiTheme="minorHAnsi" w:hAnsiTheme="minorHAnsi" w:cstheme="minorHAnsi"/>
                <w:lang w:eastAsia="en-AU"/>
              </w:rPr>
            </w:pPr>
          </w:p>
        </w:tc>
        <w:tc>
          <w:tcPr>
            <w:tcW w:w="674" w:type="pct"/>
            <w:tcBorders>
              <w:top w:val="nil"/>
              <w:left w:val="single" w:sz="4" w:space="0" w:color="auto"/>
            </w:tcBorders>
            <w:shd w:val="clear" w:color="auto" w:fill="auto"/>
            <w:vAlign w:val="center"/>
          </w:tcPr>
          <w:p w14:paraId="3A25B297" w14:textId="4DBD0A63" w:rsidR="001B0467" w:rsidRPr="00FF0524" w:rsidRDefault="001B0467" w:rsidP="001B0467">
            <w:pPr>
              <w:pStyle w:val="Tabletext"/>
              <w:jc w:val="right"/>
              <w:rPr>
                <w:rFonts w:asciiTheme="minorHAnsi" w:hAnsiTheme="minorHAnsi" w:cstheme="minorHAnsi"/>
                <w:lang w:eastAsia="en-AU"/>
              </w:rPr>
            </w:pPr>
            <w:r w:rsidRPr="00043C74">
              <w:t>9</w:t>
            </w:r>
          </w:p>
        </w:tc>
        <w:tc>
          <w:tcPr>
            <w:tcW w:w="618" w:type="pct"/>
            <w:tcBorders>
              <w:top w:val="nil"/>
              <w:right w:val="single" w:sz="4" w:space="0" w:color="auto"/>
            </w:tcBorders>
            <w:shd w:val="clear" w:color="auto" w:fill="auto"/>
            <w:vAlign w:val="center"/>
          </w:tcPr>
          <w:p w14:paraId="5341266B" w14:textId="209896C9" w:rsidR="001B0467" w:rsidRPr="00FF0524" w:rsidRDefault="001B0467" w:rsidP="001B0467">
            <w:pPr>
              <w:pStyle w:val="Tabletext"/>
              <w:jc w:val="right"/>
              <w:rPr>
                <w:rFonts w:asciiTheme="minorHAnsi" w:hAnsiTheme="minorHAnsi" w:cstheme="minorHAnsi"/>
                <w:lang w:eastAsia="en-AU"/>
              </w:rPr>
            </w:pPr>
            <w:r w:rsidRPr="00043C74">
              <w:t>7.2</w:t>
            </w:r>
          </w:p>
        </w:tc>
      </w:tr>
      <w:tr w:rsidR="00112724" w:rsidRPr="007136E1" w14:paraId="1D2F9890" w14:textId="77777777" w:rsidTr="00865081">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769C4E85" w14:textId="7792115B"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Manganese</w:t>
            </w:r>
          </w:p>
        </w:tc>
        <w:tc>
          <w:tcPr>
            <w:tcW w:w="674" w:type="pct"/>
            <w:tcBorders>
              <w:top w:val="nil"/>
              <w:left w:val="single" w:sz="4" w:space="0" w:color="auto"/>
              <w:bottom w:val="nil"/>
            </w:tcBorders>
            <w:vAlign w:val="center"/>
          </w:tcPr>
          <w:p w14:paraId="657D4CFC" w14:textId="2D788FED" w:rsidR="001B0467" w:rsidRPr="00865081" w:rsidRDefault="001B0467" w:rsidP="001B0467">
            <w:pPr>
              <w:pStyle w:val="Tabletext"/>
              <w:jc w:val="right"/>
            </w:pPr>
            <w:r w:rsidRPr="00043C74">
              <w:t>2</w:t>
            </w:r>
          </w:p>
        </w:tc>
        <w:tc>
          <w:tcPr>
            <w:tcW w:w="674" w:type="pct"/>
            <w:tcBorders>
              <w:top w:val="nil"/>
              <w:left w:val="single" w:sz="4" w:space="0" w:color="auto"/>
              <w:bottom w:val="nil"/>
            </w:tcBorders>
            <w:vAlign w:val="center"/>
          </w:tcPr>
          <w:p w14:paraId="12FF4561" w14:textId="4C91B542" w:rsidR="001B0467" w:rsidRPr="00865081" w:rsidRDefault="001B0467" w:rsidP="001B0467">
            <w:pPr>
              <w:pStyle w:val="Tabletext"/>
              <w:jc w:val="right"/>
            </w:pPr>
          </w:p>
        </w:tc>
        <w:tc>
          <w:tcPr>
            <w:tcW w:w="674" w:type="pct"/>
            <w:tcBorders>
              <w:top w:val="nil"/>
              <w:bottom w:val="nil"/>
              <w:right w:val="single" w:sz="4" w:space="0" w:color="auto"/>
            </w:tcBorders>
            <w:vAlign w:val="center"/>
          </w:tcPr>
          <w:p w14:paraId="661547F1" w14:textId="0CE37DB2" w:rsidR="001B0467" w:rsidRPr="00865081" w:rsidRDefault="001B0467" w:rsidP="001B0467">
            <w:pPr>
              <w:pStyle w:val="Tabletext"/>
              <w:jc w:val="right"/>
            </w:pPr>
          </w:p>
        </w:tc>
        <w:tc>
          <w:tcPr>
            <w:tcW w:w="674" w:type="pct"/>
            <w:tcBorders>
              <w:top w:val="nil"/>
              <w:left w:val="single" w:sz="4" w:space="0" w:color="auto"/>
              <w:bottom w:val="nil"/>
            </w:tcBorders>
            <w:vAlign w:val="center"/>
          </w:tcPr>
          <w:p w14:paraId="5975E11C" w14:textId="0F3EFF33" w:rsidR="001B0467" w:rsidRPr="00865081" w:rsidRDefault="001B0467" w:rsidP="001B0467">
            <w:pPr>
              <w:pStyle w:val="Tabletext"/>
              <w:jc w:val="right"/>
            </w:pPr>
            <w:r w:rsidRPr="00043C74">
              <w:t>1</w:t>
            </w:r>
          </w:p>
        </w:tc>
        <w:tc>
          <w:tcPr>
            <w:tcW w:w="618" w:type="pct"/>
            <w:tcBorders>
              <w:top w:val="nil"/>
              <w:bottom w:val="nil"/>
              <w:right w:val="single" w:sz="4" w:space="0" w:color="auto"/>
            </w:tcBorders>
            <w:vAlign w:val="center"/>
          </w:tcPr>
          <w:p w14:paraId="1A49D2FB" w14:textId="33ACF65A" w:rsidR="001B0467" w:rsidRPr="00865081" w:rsidRDefault="001B0467" w:rsidP="001B0467">
            <w:pPr>
              <w:pStyle w:val="Tabletext"/>
              <w:jc w:val="right"/>
            </w:pPr>
            <w:r w:rsidRPr="00043C74">
              <w:t>0.1</w:t>
            </w:r>
          </w:p>
        </w:tc>
      </w:tr>
      <w:tr w:rsidR="00112724" w:rsidRPr="007136E1" w14:paraId="1F5B1A80" w14:textId="77777777" w:rsidTr="00865081">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45FC9AB0" w14:textId="4B303A55"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Rare earths</w:t>
            </w:r>
          </w:p>
        </w:tc>
        <w:tc>
          <w:tcPr>
            <w:tcW w:w="674" w:type="pct"/>
            <w:tcBorders>
              <w:top w:val="nil"/>
              <w:left w:val="single" w:sz="4" w:space="0" w:color="auto"/>
            </w:tcBorders>
            <w:vAlign w:val="center"/>
          </w:tcPr>
          <w:p w14:paraId="06C72BA1" w14:textId="2BA534A6" w:rsidR="001B0467" w:rsidRPr="00FF0524" w:rsidRDefault="001B0467" w:rsidP="001B0467">
            <w:pPr>
              <w:pStyle w:val="Tabletext"/>
              <w:jc w:val="right"/>
              <w:rPr>
                <w:rFonts w:asciiTheme="minorHAnsi" w:hAnsiTheme="minorHAnsi" w:cstheme="minorHAnsi"/>
                <w:lang w:eastAsia="en-AU"/>
              </w:rPr>
            </w:pPr>
            <w:r w:rsidRPr="00043C74">
              <w:t>6</w:t>
            </w:r>
          </w:p>
        </w:tc>
        <w:tc>
          <w:tcPr>
            <w:tcW w:w="674" w:type="pct"/>
            <w:tcBorders>
              <w:top w:val="nil"/>
              <w:left w:val="single" w:sz="4" w:space="0" w:color="auto"/>
            </w:tcBorders>
            <w:vAlign w:val="center"/>
          </w:tcPr>
          <w:p w14:paraId="21E1833A" w14:textId="17AB1811" w:rsidR="001B0467" w:rsidRPr="00FF0524" w:rsidRDefault="001B0467" w:rsidP="001B0467">
            <w:pPr>
              <w:pStyle w:val="Tabletext"/>
              <w:jc w:val="right"/>
              <w:rPr>
                <w:rFonts w:asciiTheme="minorHAnsi" w:hAnsiTheme="minorHAnsi" w:cstheme="minorHAnsi"/>
                <w:lang w:eastAsia="en-AU"/>
              </w:rPr>
            </w:pPr>
            <w:r w:rsidRPr="00043C74">
              <w:t>6</w:t>
            </w:r>
          </w:p>
        </w:tc>
        <w:tc>
          <w:tcPr>
            <w:tcW w:w="674" w:type="pct"/>
            <w:tcBorders>
              <w:top w:val="nil"/>
              <w:right w:val="single" w:sz="4" w:space="0" w:color="auto"/>
            </w:tcBorders>
            <w:vAlign w:val="center"/>
          </w:tcPr>
          <w:p w14:paraId="63740356" w14:textId="0356797B" w:rsidR="001B0467" w:rsidRPr="00FF0524" w:rsidRDefault="001B0467" w:rsidP="001B0467">
            <w:pPr>
              <w:pStyle w:val="Tabletext"/>
              <w:jc w:val="right"/>
              <w:rPr>
                <w:rFonts w:asciiTheme="minorHAnsi" w:hAnsiTheme="minorHAnsi" w:cstheme="minorHAnsi"/>
                <w:lang w:eastAsia="en-AU"/>
              </w:rPr>
            </w:pPr>
            <w:r w:rsidRPr="00043C74">
              <w:t>4.8</w:t>
            </w:r>
          </w:p>
        </w:tc>
        <w:tc>
          <w:tcPr>
            <w:tcW w:w="674" w:type="pct"/>
            <w:tcBorders>
              <w:top w:val="nil"/>
              <w:left w:val="single" w:sz="4" w:space="0" w:color="auto"/>
            </w:tcBorders>
            <w:vAlign w:val="center"/>
          </w:tcPr>
          <w:p w14:paraId="74B0EE14" w14:textId="4ECE326A" w:rsidR="001B0467" w:rsidRPr="00FF0524" w:rsidRDefault="001B0467" w:rsidP="001B0467">
            <w:pPr>
              <w:pStyle w:val="Tabletext"/>
              <w:jc w:val="right"/>
              <w:rPr>
                <w:rFonts w:asciiTheme="minorHAnsi" w:hAnsiTheme="minorHAnsi" w:cstheme="minorHAnsi"/>
                <w:lang w:eastAsia="en-AU"/>
              </w:rPr>
            </w:pPr>
            <w:r w:rsidRPr="00043C74">
              <w:t>3</w:t>
            </w:r>
          </w:p>
        </w:tc>
        <w:tc>
          <w:tcPr>
            <w:tcW w:w="618" w:type="pct"/>
            <w:tcBorders>
              <w:top w:val="nil"/>
              <w:right w:val="single" w:sz="4" w:space="0" w:color="auto"/>
            </w:tcBorders>
            <w:vAlign w:val="center"/>
          </w:tcPr>
          <w:p w14:paraId="42AA6E6D" w14:textId="22D423E6" w:rsidR="001B0467" w:rsidRPr="00FF0524" w:rsidRDefault="001B0467" w:rsidP="001B0467">
            <w:pPr>
              <w:pStyle w:val="Tabletext"/>
              <w:jc w:val="right"/>
              <w:rPr>
                <w:rFonts w:asciiTheme="minorHAnsi" w:hAnsiTheme="minorHAnsi" w:cstheme="minorHAnsi"/>
                <w:lang w:eastAsia="en-AU"/>
              </w:rPr>
            </w:pPr>
            <w:r w:rsidRPr="00043C74">
              <w:t>2.5</w:t>
            </w:r>
          </w:p>
        </w:tc>
      </w:tr>
      <w:tr w:rsidR="00112724" w:rsidRPr="007136E1" w14:paraId="6C9FD14C" w14:textId="77777777" w:rsidTr="00865081">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05145E3F" w14:textId="27AFA04E"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Silica/Silicon</w:t>
            </w:r>
          </w:p>
        </w:tc>
        <w:tc>
          <w:tcPr>
            <w:tcW w:w="674" w:type="pct"/>
            <w:tcBorders>
              <w:top w:val="nil"/>
              <w:left w:val="single" w:sz="4" w:space="0" w:color="auto"/>
              <w:bottom w:val="nil"/>
            </w:tcBorders>
            <w:vAlign w:val="center"/>
          </w:tcPr>
          <w:p w14:paraId="79703DC5" w14:textId="146E1FBB" w:rsidR="001B0467" w:rsidRPr="00FF0524" w:rsidRDefault="001B0467" w:rsidP="001B0467">
            <w:pPr>
              <w:pStyle w:val="Tabletext"/>
              <w:jc w:val="right"/>
              <w:rPr>
                <w:rFonts w:asciiTheme="minorHAnsi" w:hAnsiTheme="minorHAnsi" w:cstheme="minorHAnsi"/>
                <w:lang w:eastAsia="en-AU"/>
              </w:rPr>
            </w:pPr>
            <w:r w:rsidRPr="00043C74">
              <w:t>1</w:t>
            </w:r>
          </w:p>
        </w:tc>
        <w:tc>
          <w:tcPr>
            <w:tcW w:w="674" w:type="pct"/>
            <w:tcBorders>
              <w:top w:val="nil"/>
              <w:left w:val="single" w:sz="4" w:space="0" w:color="auto"/>
              <w:bottom w:val="nil"/>
            </w:tcBorders>
            <w:vAlign w:val="center"/>
          </w:tcPr>
          <w:p w14:paraId="61FEB92F" w14:textId="7B75284C" w:rsidR="001B0467" w:rsidRPr="00FF0524" w:rsidRDefault="001B0467" w:rsidP="001B0467">
            <w:pPr>
              <w:pStyle w:val="Tabletext"/>
              <w:jc w:val="right"/>
              <w:rPr>
                <w:rFonts w:asciiTheme="minorHAnsi" w:hAnsiTheme="minorHAnsi" w:cstheme="minorHAnsi"/>
                <w:lang w:eastAsia="en-AU"/>
              </w:rPr>
            </w:pPr>
            <w:r w:rsidRPr="00043C74">
              <w:t>1</w:t>
            </w:r>
          </w:p>
        </w:tc>
        <w:tc>
          <w:tcPr>
            <w:tcW w:w="674" w:type="pct"/>
            <w:tcBorders>
              <w:top w:val="nil"/>
              <w:bottom w:val="nil"/>
              <w:right w:val="single" w:sz="4" w:space="0" w:color="auto"/>
            </w:tcBorders>
            <w:vAlign w:val="center"/>
          </w:tcPr>
          <w:p w14:paraId="04131B6A" w14:textId="575B1B04" w:rsidR="001B0467" w:rsidRPr="00FF0524" w:rsidRDefault="001B0467" w:rsidP="001B0467">
            <w:pPr>
              <w:pStyle w:val="Tabletext"/>
              <w:jc w:val="right"/>
              <w:rPr>
                <w:rFonts w:asciiTheme="minorHAnsi" w:hAnsiTheme="minorHAnsi" w:cstheme="minorHAnsi"/>
                <w:lang w:eastAsia="en-AU"/>
              </w:rPr>
            </w:pPr>
            <w:r w:rsidRPr="00043C74">
              <w:t>0.2</w:t>
            </w:r>
          </w:p>
        </w:tc>
        <w:tc>
          <w:tcPr>
            <w:tcW w:w="674" w:type="pct"/>
            <w:tcBorders>
              <w:top w:val="nil"/>
              <w:left w:val="single" w:sz="4" w:space="0" w:color="auto"/>
              <w:bottom w:val="nil"/>
            </w:tcBorders>
            <w:vAlign w:val="center"/>
          </w:tcPr>
          <w:p w14:paraId="6C0F7517" w14:textId="5165627D" w:rsidR="001B0467" w:rsidRPr="00FF0524" w:rsidRDefault="001B0467" w:rsidP="001B0467">
            <w:pPr>
              <w:pStyle w:val="Tabletext"/>
              <w:jc w:val="right"/>
              <w:rPr>
                <w:rFonts w:asciiTheme="minorHAnsi" w:hAnsiTheme="minorHAnsi" w:cstheme="minorHAnsi"/>
                <w:lang w:eastAsia="en-AU"/>
              </w:rPr>
            </w:pPr>
          </w:p>
        </w:tc>
        <w:tc>
          <w:tcPr>
            <w:tcW w:w="618" w:type="pct"/>
            <w:tcBorders>
              <w:top w:val="nil"/>
              <w:bottom w:val="nil"/>
              <w:right w:val="single" w:sz="4" w:space="0" w:color="auto"/>
            </w:tcBorders>
            <w:vAlign w:val="center"/>
          </w:tcPr>
          <w:p w14:paraId="280BED6A" w14:textId="39803DA3" w:rsidR="001B0467" w:rsidRPr="00FF0524" w:rsidRDefault="001B0467" w:rsidP="001B0467">
            <w:pPr>
              <w:pStyle w:val="Tabletext"/>
              <w:jc w:val="right"/>
              <w:rPr>
                <w:rFonts w:asciiTheme="minorHAnsi" w:hAnsiTheme="minorHAnsi" w:cstheme="minorHAnsi"/>
                <w:lang w:eastAsia="en-AU"/>
              </w:rPr>
            </w:pPr>
          </w:p>
        </w:tc>
      </w:tr>
      <w:tr w:rsidR="00112724" w:rsidRPr="007136E1" w14:paraId="2E14AADC" w14:textId="77777777" w:rsidTr="006B3BE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4A2D4FFD" w14:textId="462E582C"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Titanium &amp; mineral sands</w:t>
            </w:r>
          </w:p>
        </w:tc>
        <w:tc>
          <w:tcPr>
            <w:tcW w:w="674" w:type="pct"/>
            <w:tcBorders>
              <w:top w:val="nil"/>
              <w:left w:val="single" w:sz="4" w:space="0" w:color="auto"/>
              <w:bottom w:val="nil"/>
            </w:tcBorders>
            <w:vAlign w:val="center"/>
          </w:tcPr>
          <w:p w14:paraId="47626EA8" w14:textId="6D10E294" w:rsidR="001B0467" w:rsidRPr="00FF0524" w:rsidRDefault="001B0467" w:rsidP="001B0467">
            <w:pPr>
              <w:pStyle w:val="Tabletext"/>
              <w:jc w:val="right"/>
              <w:rPr>
                <w:rFonts w:asciiTheme="minorHAnsi" w:hAnsiTheme="minorHAnsi" w:cstheme="minorHAnsi"/>
                <w:lang w:eastAsia="en-AU"/>
              </w:rPr>
            </w:pPr>
            <w:r w:rsidRPr="00043C74">
              <w:t>7</w:t>
            </w:r>
          </w:p>
        </w:tc>
        <w:tc>
          <w:tcPr>
            <w:tcW w:w="674" w:type="pct"/>
            <w:tcBorders>
              <w:top w:val="nil"/>
              <w:left w:val="single" w:sz="4" w:space="0" w:color="auto"/>
              <w:bottom w:val="nil"/>
            </w:tcBorders>
            <w:vAlign w:val="center"/>
          </w:tcPr>
          <w:p w14:paraId="263C0364" w14:textId="4AF84E27" w:rsidR="001B0467" w:rsidRPr="00FF0524" w:rsidRDefault="00DB6D71" w:rsidP="001B0467">
            <w:pPr>
              <w:pStyle w:val="Tabletext"/>
              <w:jc w:val="right"/>
              <w:rPr>
                <w:rFonts w:asciiTheme="minorHAnsi" w:hAnsiTheme="minorHAnsi" w:cstheme="minorHAnsi"/>
                <w:lang w:eastAsia="en-AU"/>
              </w:rPr>
            </w:pPr>
            <w:r>
              <w:rPr>
                <w:lang w:eastAsia="en-AU"/>
              </w:rPr>
              <w:t>3</w:t>
            </w:r>
          </w:p>
        </w:tc>
        <w:tc>
          <w:tcPr>
            <w:tcW w:w="674" w:type="pct"/>
            <w:tcBorders>
              <w:top w:val="nil"/>
              <w:bottom w:val="nil"/>
              <w:right w:val="single" w:sz="4" w:space="0" w:color="auto"/>
            </w:tcBorders>
            <w:vAlign w:val="center"/>
          </w:tcPr>
          <w:p w14:paraId="675ADD6E" w14:textId="7E6A0AA2" w:rsidR="001B0467" w:rsidRPr="00FF0524" w:rsidRDefault="001B0467" w:rsidP="001B0467">
            <w:pPr>
              <w:pStyle w:val="Tabletext"/>
              <w:jc w:val="right"/>
              <w:rPr>
                <w:rFonts w:asciiTheme="minorHAnsi" w:hAnsiTheme="minorHAnsi" w:cstheme="minorHAnsi"/>
                <w:lang w:eastAsia="en-AU"/>
              </w:rPr>
            </w:pPr>
            <w:r w:rsidRPr="00043C74">
              <w:t>0.5</w:t>
            </w:r>
          </w:p>
        </w:tc>
        <w:tc>
          <w:tcPr>
            <w:tcW w:w="674" w:type="pct"/>
            <w:tcBorders>
              <w:top w:val="nil"/>
              <w:left w:val="single" w:sz="4" w:space="0" w:color="auto"/>
              <w:bottom w:val="nil"/>
            </w:tcBorders>
            <w:vAlign w:val="center"/>
          </w:tcPr>
          <w:p w14:paraId="23EDB774" w14:textId="7E748A86" w:rsidR="001B0467" w:rsidRPr="00FF0524" w:rsidRDefault="001B0467" w:rsidP="001B0467">
            <w:pPr>
              <w:pStyle w:val="Tabletext"/>
              <w:jc w:val="right"/>
              <w:rPr>
                <w:rFonts w:asciiTheme="minorHAnsi" w:hAnsiTheme="minorHAnsi" w:cstheme="minorHAnsi"/>
                <w:lang w:eastAsia="en-AU"/>
              </w:rPr>
            </w:pPr>
            <w:r w:rsidRPr="00043C74">
              <w:t>2</w:t>
            </w:r>
          </w:p>
        </w:tc>
        <w:tc>
          <w:tcPr>
            <w:tcW w:w="618" w:type="pct"/>
            <w:tcBorders>
              <w:top w:val="nil"/>
              <w:bottom w:val="nil"/>
              <w:right w:val="single" w:sz="4" w:space="0" w:color="auto"/>
            </w:tcBorders>
            <w:vAlign w:val="center"/>
          </w:tcPr>
          <w:p w14:paraId="71A3A598" w14:textId="29D7DF0D" w:rsidR="001B0467" w:rsidRPr="00FF0524" w:rsidRDefault="001B0467" w:rsidP="001B0467">
            <w:pPr>
              <w:pStyle w:val="Tabletext"/>
              <w:jc w:val="right"/>
              <w:rPr>
                <w:rFonts w:asciiTheme="minorHAnsi" w:hAnsiTheme="minorHAnsi" w:cstheme="minorHAnsi"/>
                <w:lang w:eastAsia="en-AU"/>
              </w:rPr>
            </w:pPr>
            <w:r w:rsidRPr="00043C74">
              <w:t>1.0</w:t>
            </w:r>
          </w:p>
        </w:tc>
      </w:tr>
      <w:tr w:rsidR="00112724" w:rsidRPr="007136E1" w14:paraId="7865D47C" w14:textId="77777777" w:rsidTr="006B3BE7">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72AAC0DC" w14:textId="14755323" w:rsidR="001B0467" w:rsidRPr="006B3BE7" w:rsidRDefault="001B0467" w:rsidP="001B0467">
            <w:pPr>
              <w:pStyle w:val="Tabletext"/>
              <w:rPr>
                <w:rFonts w:asciiTheme="minorHAnsi" w:hAnsiTheme="minorHAnsi" w:cstheme="minorHAnsi"/>
                <w:lang w:eastAsia="en-AU"/>
              </w:rPr>
            </w:pPr>
            <w:r w:rsidRPr="006B3BE7">
              <w:rPr>
                <w:rFonts w:asciiTheme="minorHAnsi" w:hAnsiTheme="minorHAnsi" w:cstheme="minorHAnsi"/>
                <w:color w:val="000000"/>
              </w:rPr>
              <w:t>Vanadium</w:t>
            </w:r>
          </w:p>
        </w:tc>
        <w:tc>
          <w:tcPr>
            <w:tcW w:w="674" w:type="pct"/>
            <w:tcBorders>
              <w:top w:val="nil"/>
              <w:left w:val="single" w:sz="4" w:space="0" w:color="auto"/>
              <w:bottom w:val="nil"/>
            </w:tcBorders>
            <w:vAlign w:val="center"/>
          </w:tcPr>
          <w:p w14:paraId="1BB59AE8" w14:textId="28A17936" w:rsidR="001B0467" w:rsidRPr="00FF0524" w:rsidRDefault="001B0467" w:rsidP="001B0467">
            <w:pPr>
              <w:pStyle w:val="Tabletext"/>
              <w:jc w:val="right"/>
              <w:rPr>
                <w:rFonts w:asciiTheme="minorHAnsi" w:hAnsiTheme="minorHAnsi" w:cstheme="minorHAnsi"/>
                <w:lang w:eastAsia="en-AU"/>
              </w:rPr>
            </w:pPr>
            <w:r w:rsidRPr="00043C74">
              <w:t>3</w:t>
            </w:r>
          </w:p>
        </w:tc>
        <w:tc>
          <w:tcPr>
            <w:tcW w:w="674" w:type="pct"/>
            <w:tcBorders>
              <w:top w:val="nil"/>
              <w:left w:val="single" w:sz="4" w:space="0" w:color="auto"/>
              <w:bottom w:val="nil"/>
            </w:tcBorders>
            <w:vAlign w:val="center"/>
          </w:tcPr>
          <w:p w14:paraId="210467D0" w14:textId="70079A68" w:rsidR="001B0467" w:rsidRPr="00FF0524" w:rsidRDefault="001B0467" w:rsidP="001B0467">
            <w:pPr>
              <w:pStyle w:val="Tabletext"/>
              <w:jc w:val="right"/>
              <w:rPr>
                <w:rFonts w:asciiTheme="minorHAnsi" w:hAnsiTheme="minorHAnsi" w:cstheme="minorHAnsi"/>
                <w:lang w:eastAsia="en-AU"/>
              </w:rPr>
            </w:pPr>
            <w:r w:rsidRPr="00043C74">
              <w:t>3</w:t>
            </w:r>
          </w:p>
        </w:tc>
        <w:tc>
          <w:tcPr>
            <w:tcW w:w="674" w:type="pct"/>
            <w:tcBorders>
              <w:top w:val="nil"/>
              <w:bottom w:val="nil"/>
              <w:right w:val="single" w:sz="4" w:space="0" w:color="auto"/>
            </w:tcBorders>
            <w:vAlign w:val="center"/>
          </w:tcPr>
          <w:p w14:paraId="410F4C83" w14:textId="2C22F74C" w:rsidR="001B0467" w:rsidRPr="00FF0524" w:rsidRDefault="001B0467" w:rsidP="001B0467">
            <w:pPr>
              <w:pStyle w:val="Tabletext"/>
              <w:jc w:val="right"/>
              <w:rPr>
                <w:rFonts w:asciiTheme="minorHAnsi" w:hAnsiTheme="minorHAnsi" w:cstheme="minorHAnsi"/>
                <w:lang w:eastAsia="en-AU"/>
              </w:rPr>
            </w:pPr>
            <w:r w:rsidRPr="00043C74">
              <w:t>1.3</w:t>
            </w:r>
          </w:p>
        </w:tc>
        <w:tc>
          <w:tcPr>
            <w:tcW w:w="674" w:type="pct"/>
            <w:tcBorders>
              <w:top w:val="nil"/>
              <w:left w:val="single" w:sz="4" w:space="0" w:color="auto"/>
              <w:bottom w:val="nil"/>
            </w:tcBorders>
            <w:vAlign w:val="center"/>
          </w:tcPr>
          <w:p w14:paraId="02F70F0A" w14:textId="4A5C4162" w:rsidR="001B0467" w:rsidRPr="00FF0524" w:rsidRDefault="001B0467" w:rsidP="001B0467">
            <w:pPr>
              <w:pStyle w:val="Tabletext"/>
              <w:jc w:val="right"/>
              <w:rPr>
                <w:rFonts w:asciiTheme="minorHAnsi" w:hAnsiTheme="minorHAnsi" w:cstheme="minorHAnsi"/>
                <w:lang w:eastAsia="en-AU"/>
              </w:rPr>
            </w:pPr>
            <w:r w:rsidRPr="00043C74">
              <w:t>1</w:t>
            </w:r>
          </w:p>
        </w:tc>
        <w:tc>
          <w:tcPr>
            <w:tcW w:w="618" w:type="pct"/>
            <w:tcBorders>
              <w:top w:val="nil"/>
              <w:bottom w:val="nil"/>
              <w:right w:val="single" w:sz="4" w:space="0" w:color="auto"/>
            </w:tcBorders>
            <w:vAlign w:val="center"/>
          </w:tcPr>
          <w:p w14:paraId="5B08B71E" w14:textId="08FA420D" w:rsidR="001B0467" w:rsidRPr="00FF0524" w:rsidRDefault="001B0467" w:rsidP="001B0467">
            <w:pPr>
              <w:pStyle w:val="Tabletext"/>
              <w:jc w:val="right"/>
              <w:rPr>
                <w:rFonts w:asciiTheme="minorHAnsi" w:hAnsiTheme="minorHAnsi" w:cstheme="minorHAnsi"/>
                <w:lang w:eastAsia="en-AU"/>
              </w:rPr>
            </w:pPr>
            <w:r w:rsidRPr="00043C74">
              <w:t>0.3</w:t>
            </w:r>
          </w:p>
        </w:tc>
      </w:tr>
      <w:tr w:rsidR="00865081" w:rsidRPr="007136E1" w14:paraId="243E8E30" w14:textId="77777777" w:rsidTr="006B3BE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1CC539FF" w14:textId="5F19E005" w:rsidR="00865081" w:rsidRPr="00865081" w:rsidRDefault="00865081" w:rsidP="001B0467">
            <w:pPr>
              <w:pStyle w:val="Tabletext"/>
              <w:rPr>
                <w:rFonts w:asciiTheme="minorHAnsi" w:hAnsiTheme="minorHAnsi" w:cstheme="minorHAnsi"/>
                <w:i/>
                <w:iCs/>
                <w:color w:val="000000"/>
              </w:rPr>
            </w:pPr>
            <w:r>
              <w:rPr>
                <w:rFonts w:asciiTheme="minorHAnsi" w:hAnsiTheme="minorHAnsi" w:cstheme="minorHAnsi"/>
                <w:i/>
                <w:iCs/>
                <w:color w:val="000000"/>
              </w:rPr>
              <w:t>Other</w:t>
            </w:r>
          </w:p>
        </w:tc>
        <w:tc>
          <w:tcPr>
            <w:tcW w:w="674" w:type="pct"/>
            <w:tcBorders>
              <w:top w:val="nil"/>
              <w:left w:val="single" w:sz="4" w:space="0" w:color="auto"/>
              <w:bottom w:val="nil"/>
            </w:tcBorders>
            <w:vAlign w:val="center"/>
          </w:tcPr>
          <w:p w14:paraId="554EAAA7" w14:textId="47385B8A" w:rsidR="00865081" w:rsidRPr="005D0406" w:rsidRDefault="00865081" w:rsidP="001B0467">
            <w:pPr>
              <w:pStyle w:val="Tabletext"/>
              <w:jc w:val="right"/>
              <w:rPr>
                <w:i/>
                <w:iCs/>
              </w:rPr>
            </w:pPr>
            <w:r w:rsidRPr="005D0406">
              <w:rPr>
                <w:i/>
                <w:iCs/>
              </w:rPr>
              <w:t>8</w:t>
            </w:r>
          </w:p>
        </w:tc>
        <w:tc>
          <w:tcPr>
            <w:tcW w:w="674" w:type="pct"/>
            <w:tcBorders>
              <w:top w:val="nil"/>
              <w:left w:val="single" w:sz="4" w:space="0" w:color="auto"/>
              <w:bottom w:val="nil"/>
            </w:tcBorders>
            <w:vAlign w:val="center"/>
          </w:tcPr>
          <w:p w14:paraId="45F5994A" w14:textId="77777777" w:rsidR="00865081" w:rsidRPr="00043C74" w:rsidRDefault="00865081" w:rsidP="001B0467">
            <w:pPr>
              <w:pStyle w:val="Tabletext"/>
              <w:jc w:val="right"/>
            </w:pPr>
          </w:p>
        </w:tc>
        <w:tc>
          <w:tcPr>
            <w:tcW w:w="674" w:type="pct"/>
            <w:tcBorders>
              <w:top w:val="nil"/>
              <w:bottom w:val="nil"/>
              <w:right w:val="single" w:sz="4" w:space="0" w:color="auto"/>
            </w:tcBorders>
            <w:vAlign w:val="center"/>
          </w:tcPr>
          <w:p w14:paraId="7A0696CD" w14:textId="77777777" w:rsidR="00865081" w:rsidRPr="00043C74" w:rsidRDefault="00865081" w:rsidP="001B0467">
            <w:pPr>
              <w:pStyle w:val="Tabletext"/>
              <w:jc w:val="right"/>
            </w:pPr>
          </w:p>
        </w:tc>
        <w:tc>
          <w:tcPr>
            <w:tcW w:w="674" w:type="pct"/>
            <w:tcBorders>
              <w:top w:val="nil"/>
              <w:left w:val="single" w:sz="4" w:space="0" w:color="auto"/>
              <w:bottom w:val="nil"/>
            </w:tcBorders>
            <w:vAlign w:val="center"/>
          </w:tcPr>
          <w:p w14:paraId="69D43E64" w14:textId="77777777" w:rsidR="00865081" w:rsidRPr="00043C74" w:rsidRDefault="00865081" w:rsidP="001B0467">
            <w:pPr>
              <w:pStyle w:val="Tabletext"/>
              <w:jc w:val="right"/>
            </w:pPr>
          </w:p>
        </w:tc>
        <w:tc>
          <w:tcPr>
            <w:tcW w:w="618" w:type="pct"/>
            <w:tcBorders>
              <w:top w:val="nil"/>
              <w:bottom w:val="nil"/>
              <w:right w:val="single" w:sz="4" w:space="0" w:color="auto"/>
            </w:tcBorders>
            <w:vAlign w:val="center"/>
          </w:tcPr>
          <w:p w14:paraId="0E6A6F5A" w14:textId="77777777" w:rsidR="00865081" w:rsidRPr="00043C74" w:rsidRDefault="00865081" w:rsidP="001B0467">
            <w:pPr>
              <w:pStyle w:val="Tabletext"/>
              <w:jc w:val="right"/>
            </w:pPr>
          </w:p>
        </w:tc>
      </w:tr>
      <w:tr w:rsidR="00112724" w:rsidRPr="007136E1" w14:paraId="33AE364F" w14:textId="77777777" w:rsidTr="006B3BE7">
        <w:trPr>
          <w:cnfStyle w:val="000000100000" w:firstRow="0" w:lastRow="0" w:firstColumn="0" w:lastColumn="0" w:oddVBand="0" w:evenVBand="0" w:oddHBand="1" w:evenHBand="0" w:firstRowFirstColumn="0" w:firstRowLastColumn="0" w:lastRowFirstColumn="0" w:lastRowLastColumn="0"/>
          <w:trHeight w:val="331"/>
        </w:trPr>
        <w:tc>
          <w:tcPr>
            <w:tcW w:w="1686" w:type="pct"/>
            <w:tcBorders>
              <w:top w:val="single" w:sz="4" w:space="0" w:color="auto"/>
              <w:right w:val="single" w:sz="4" w:space="0" w:color="auto"/>
            </w:tcBorders>
            <w:vAlign w:val="center"/>
          </w:tcPr>
          <w:p w14:paraId="51F26333" w14:textId="77777777" w:rsidR="001B0467" w:rsidRPr="007136E1" w:rsidRDefault="001B0467" w:rsidP="001B0467">
            <w:pPr>
              <w:pStyle w:val="Tabletext"/>
              <w:rPr>
                <w:b/>
                <w:lang w:eastAsia="en-AU"/>
              </w:rPr>
            </w:pPr>
            <w:r w:rsidRPr="007136E1">
              <w:rPr>
                <w:b/>
                <w:lang w:eastAsia="en-AU"/>
              </w:rPr>
              <w:t>Total</w:t>
            </w:r>
          </w:p>
        </w:tc>
        <w:tc>
          <w:tcPr>
            <w:tcW w:w="674" w:type="pct"/>
            <w:tcBorders>
              <w:top w:val="single" w:sz="4" w:space="0" w:color="auto"/>
              <w:left w:val="single" w:sz="4" w:space="0" w:color="auto"/>
            </w:tcBorders>
            <w:vAlign w:val="center"/>
          </w:tcPr>
          <w:p w14:paraId="5AD47C69" w14:textId="2BE8F7AE" w:rsidR="001B0467" w:rsidRPr="00107938" w:rsidRDefault="001B0467" w:rsidP="001B0467">
            <w:pPr>
              <w:pStyle w:val="Tabletext"/>
              <w:jc w:val="right"/>
              <w:rPr>
                <w:b/>
                <w:lang w:eastAsia="en-AU"/>
              </w:rPr>
            </w:pPr>
            <w:r w:rsidRPr="001B0467">
              <w:rPr>
                <w:b/>
                <w:bCs/>
              </w:rPr>
              <w:t>52</w:t>
            </w:r>
          </w:p>
        </w:tc>
        <w:tc>
          <w:tcPr>
            <w:tcW w:w="674" w:type="pct"/>
            <w:tcBorders>
              <w:top w:val="single" w:sz="4" w:space="0" w:color="auto"/>
              <w:left w:val="single" w:sz="4" w:space="0" w:color="auto"/>
            </w:tcBorders>
            <w:vAlign w:val="center"/>
          </w:tcPr>
          <w:p w14:paraId="24B59CAA" w14:textId="0C335479" w:rsidR="001B0467" w:rsidRPr="00107938" w:rsidRDefault="001B0467" w:rsidP="001B0467">
            <w:pPr>
              <w:pStyle w:val="Tabletext"/>
              <w:jc w:val="right"/>
              <w:rPr>
                <w:b/>
                <w:lang w:eastAsia="en-AU"/>
              </w:rPr>
            </w:pPr>
            <w:r w:rsidRPr="001B0467">
              <w:rPr>
                <w:b/>
                <w:bCs/>
              </w:rPr>
              <w:t>2</w:t>
            </w:r>
            <w:r w:rsidR="00DB6D71">
              <w:rPr>
                <w:b/>
                <w:bCs/>
              </w:rPr>
              <w:t>1</w:t>
            </w:r>
          </w:p>
        </w:tc>
        <w:tc>
          <w:tcPr>
            <w:tcW w:w="674" w:type="pct"/>
            <w:tcBorders>
              <w:top w:val="single" w:sz="4" w:space="0" w:color="auto"/>
              <w:right w:val="single" w:sz="4" w:space="0" w:color="auto"/>
            </w:tcBorders>
            <w:vAlign w:val="center"/>
          </w:tcPr>
          <w:p w14:paraId="6647FB66" w14:textId="53F96637" w:rsidR="001B0467" w:rsidRPr="00107938" w:rsidRDefault="001B0467" w:rsidP="001B0467">
            <w:pPr>
              <w:pStyle w:val="Tabletext"/>
              <w:jc w:val="right"/>
              <w:rPr>
                <w:b/>
                <w:lang w:eastAsia="en-AU"/>
              </w:rPr>
            </w:pPr>
            <w:r w:rsidRPr="001B0467">
              <w:rPr>
                <w:b/>
                <w:bCs/>
              </w:rPr>
              <w:t>12.0</w:t>
            </w:r>
          </w:p>
        </w:tc>
        <w:tc>
          <w:tcPr>
            <w:tcW w:w="674" w:type="pct"/>
            <w:tcBorders>
              <w:top w:val="single" w:sz="4" w:space="0" w:color="auto"/>
              <w:left w:val="single" w:sz="4" w:space="0" w:color="auto"/>
            </w:tcBorders>
            <w:vAlign w:val="center"/>
          </w:tcPr>
          <w:p w14:paraId="7284697E" w14:textId="3BBAE255" w:rsidR="001B0467" w:rsidRPr="00107938" w:rsidRDefault="001B0467" w:rsidP="001B0467">
            <w:pPr>
              <w:pStyle w:val="Tabletext"/>
              <w:jc w:val="right"/>
              <w:rPr>
                <w:b/>
                <w:lang w:eastAsia="en-AU"/>
              </w:rPr>
            </w:pPr>
            <w:r w:rsidRPr="001B0467">
              <w:rPr>
                <w:b/>
                <w:bCs/>
              </w:rPr>
              <w:t>19</w:t>
            </w:r>
          </w:p>
        </w:tc>
        <w:tc>
          <w:tcPr>
            <w:tcW w:w="618" w:type="pct"/>
            <w:tcBorders>
              <w:top w:val="single" w:sz="4" w:space="0" w:color="auto"/>
              <w:right w:val="single" w:sz="4" w:space="0" w:color="auto"/>
            </w:tcBorders>
            <w:vAlign w:val="center"/>
          </w:tcPr>
          <w:p w14:paraId="5CD00720" w14:textId="5EAE2413" w:rsidR="001B0467" w:rsidRPr="00107938" w:rsidRDefault="001B0467" w:rsidP="001B0467">
            <w:pPr>
              <w:pStyle w:val="Tabletext"/>
              <w:jc w:val="right"/>
              <w:rPr>
                <w:b/>
                <w:lang w:eastAsia="en-AU"/>
              </w:rPr>
            </w:pPr>
            <w:r w:rsidRPr="001B0467">
              <w:rPr>
                <w:b/>
                <w:bCs/>
              </w:rPr>
              <w:t>11.</w:t>
            </w:r>
            <w:r w:rsidR="00DB6D71">
              <w:rPr>
                <w:b/>
                <w:bCs/>
              </w:rPr>
              <w:t>8</w:t>
            </w:r>
          </w:p>
        </w:tc>
      </w:tr>
    </w:tbl>
    <w:p w14:paraId="61B779CF" w14:textId="7BB7A35C" w:rsidR="008101A5" w:rsidRDefault="008101A5" w:rsidP="008101A5">
      <w:pPr>
        <w:pStyle w:val="Source"/>
      </w:pPr>
      <w:r>
        <w:t xml:space="preserve">Notes: </w:t>
      </w:r>
      <w:r w:rsidRPr="00505D90">
        <w:t>A number of projects included in the total are mixed operations, such as nickel-cobalt mines, where a substantial proportion of the investment is expected to be directed to nickel extraction and refining.</w:t>
      </w:r>
      <w:r>
        <w:t xml:space="preserve"> Other category includes manganese, magnesium and platinum group metals. Vanadium includes vanadium oxide projects, with outputs including ilmenite, titanium oxide, ferro-vanadium and iron oxides. Tungsten includes tungsten trioxide, molybdenum, tin and other metals. Heavy mineral sands include zircon, ilmenite, niobium, leucoxene, hafnium, leucoxene, rutile and other heavy mineral concentrates.</w:t>
      </w:r>
    </w:p>
    <w:p w14:paraId="68906842" w14:textId="28C1DB08" w:rsidR="00543FA4" w:rsidRPr="007136E1" w:rsidRDefault="008101A5" w:rsidP="00543FA4">
      <w:pPr>
        <w:pStyle w:val="Source"/>
      </w:pPr>
      <w:r w:rsidRPr="007136E1">
        <w:t xml:space="preserve">Source: </w:t>
      </w:r>
      <w:r>
        <w:t xml:space="preserve">Department of Industry, Science and Resources </w:t>
      </w:r>
      <w:r w:rsidRPr="007136E1">
        <w:t>(202</w:t>
      </w:r>
      <w:r>
        <w:t>3)</w:t>
      </w:r>
    </w:p>
    <w:p w14:paraId="3DD87C49" w14:textId="23ED7911" w:rsidR="004C3BFB" w:rsidRPr="007136E1" w:rsidRDefault="004C3BFB" w:rsidP="004C3BFB">
      <w:pPr>
        <w:pStyle w:val="Caption"/>
      </w:pPr>
      <w:r w:rsidRPr="007136E1">
        <w:br w:type="page"/>
      </w:r>
      <w:r w:rsidRPr="00FF0524">
        <w:t xml:space="preserve">Table </w:t>
      </w:r>
      <w:r w:rsidRPr="00FF0524">
        <w:rPr>
          <w:noProof/>
        </w:rPr>
        <w:fldChar w:fldCharType="begin"/>
      </w:r>
      <w:r w:rsidRPr="00FF0524">
        <w:rPr>
          <w:noProof/>
        </w:rPr>
        <w:instrText xml:space="preserve"> STYLEREF 1 \s </w:instrText>
      </w:r>
      <w:r w:rsidRPr="00FF0524">
        <w:rPr>
          <w:noProof/>
        </w:rPr>
        <w:fldChar w:fldCharType="separate"/>
      </w:r>
      <w:r w:rsidR="006D6E1F">
        <w:rPr>
          <w:noProof/>
        </w:rPr>
        <w:t>2</w:t>
      </w:r>
      <w:r w:rsidRPr="00FF0524">
        <w:rPr>
          <w:noProof/>
        </w:rPr>
        <w:fldChar w:fldCharType="end"/>
      </w:r>
      <w:r w:rsidRPr="00FF0524">
        <w:t>.</w:t>
      </w:r>
      <w:r w:rsidR="00F1509E">
        <w:t>3</w:t>
      </w:r>
      <w:r w:rsidRPr="00FF0524">
        <w:t xml:space="preserve">: </w:t>
      </w:r>
      <w:r w:rsidRPr="00FB0E15">
        <w:t xml:space="preserve">New </w:t>
      </w:r>
      <w:r w:rsidR="00E21758">
        <w:t>advanced</w:t>
      </w:r>
      <w:r w:rsidRPr="00FB0E15">
        <w:t xml:space="preserve"> </w:t>
      </w:r>
      <w:r>
        <w:t>f</w:t>
      </w:r>
      <w:r w:rsidRPr="00FB0E15">
        <w:t xml:space="preserve">easibility </w:t>
      </w:r>
      <w:r>
        <w:t>studies</w:t>
      </w:r>
      <w:r w:rsidRPr="00FB0E15">
        <w:t>, commi</w:t>
      </w:r>
      <w:r>
        <w:t>tments to</w:t>
      </w:r>
      <w:r w:rsidRPr="00FB0E15">
        <w:t xml:space="preserve"> projects and projects completed, between </w:t>
      </w:r>
      <w:r w:rsidR="00F1509E">
        <w:t>1 November</w:t>
      </w:r>
      <w:r w:rsidRPr="00FB0E15">
        <w:t xml:space="preserve"> 202</w:t>
      </w:r>
      <w:r>
        <w:t>2</w:t>
      </w:r>
      <w:r w:rsidRPr="00FB0E15">
        <w:t xml:space="preserve"> and 31 Oct 202</w:t>
      </w:r>
      <w:r>
        <w:t>3, for critical minerals</w:t>
      </w:r>
    </w:p>
    <w:tbl>
      <w:tblPr>
        <w:tblStyle w:val="OCETable"/>
        <w:tblW w:w="0" w:type="auto"/>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2247"/>
        <w:gridCol w:w="1302"/>
        <w:gridCol w:w="1701"/>
        <w:gridCol w:w="1701"/>
        <w:gridCol w:w="1701"/>
        <w:gridCol w:w="1701"/>
        <w:gridCol w:w="1559"/>
      </w:tblGrid>
      <w:tr w:rsidR="004C3BFB" w:rsidRPr="007136E1" w14:paraId="3728663D" w14:textId="77777777" w:rsidTr="00112724">
        <w:trPr>
          <w:cnfStyle w:val="100000000000" w:firstRow="1" w:lastRow="0" w:firstColumn="0" w:lastColumn="0" w:oddVBand="0" w:evenVBand="0" w:oddHBand="0" w:evenHBand="0" w:firstRowFirstColumn="0" w:firstRowLastColumn="0" w:lastRowFirstColumn="0" w:lastRowLastColumn="0"/>
          <w:trHeight w:val="438"/>
          <w:tblHeader/>
        </w:trPr>
        <w:tc>
          <w:tcPr>
            <w:tcW w:w="0" w:type="auto"/>
          </w:tcPr>
          <w:p w14:paraId="3524C01B" w14:textId="77777777" w:rsidR="004C3BFB" w:rsidRPr="007136E1" w:rsidRDefault="004C3BFB" w:rsidP="001F62B4">
            <w:pPr>
              <w:pStyle w:val="Tableheader"/>
              <w:rPr>
                <w:color w:val="FFFFFF" w:themeColor="background1"/>
                <w:lang w:eastAsia="en-AU"/>
              </w:rPr>
            </w:pPr>
          </w:p>
        </w:tc>
        <w:tc>
          <w:tcPr>
            <w:tcW w:w="3003" w:type="dxa"/>
            <w:gridSpan w:val="2"/>
          </w:tcPr>
          <w:p w14:paraId="5DEAAAF7" w14:textId="693EB521" w:rsidR="004C3BFB" w:rsidRPr="007136E1" w:rsidRDefault="004C3BFB" w:rsidP="001F62B4">
            <w:pPr>
              <w:pStyle w:val="Tableheader"/>
              <w:rPr>
                <w:color w:val="FFFFFF" w:themeColor="background1"/>
                <w:lang w:eastAsia="en-AU"/>
              </w:rPr>
            </w:pPr>
            <w:r>
              <w:rPr>
                <w:color w:val="FFFFFF" w:themeColor="background1"/>
                <w:lang w:eastAsia="en-AU"/>
              </w:rPr>
              <w:t xml:space="preserve">New </w:t>
            </w:r>
            <w:r w:rsidR="000B6FFD">
              <w:rPr>
                <w:color w:val="FFFFFF" w:themeColor="background1"/>
                <w:lang w:eastAsia="en-AU"/>
              </w:rPr>
              <w:t>advanced feasibility</w:t>
            </w:r>
            <w:r>
              <w:rPr>
                <w:color w:val="FFFFFF" w:themeColor="background1"/>
                <w:lang w:eastAsia="en-AU"/>
              </w:rPr>
              <w:t xml:space="preserve"> studies</w:t>
            </w:r>
          </w:p>
        </w:tc>
        <w:tc>
          <w:tcPr>
            <w:tcW w:w="3402" w:type="dxa"/>
            <w:gridSpan w:val="2"/>
          </w:tcPr>
          <w:p w14:paraId="0EADB9CC" w14:textId="77777777" w:rsidR="004C3BFB" w:rsidRPr="007136E1" w:rsidRDefault="004C3BFB" w:rsidP="001F62B4">
            <w:pPr>
              <w:pStyle w:val="Tableheader"/>
              <w:rPr>
                <w:color w:val="FFFFFF" w:themeColor="background1"/>
                <w:lang w:eastAsia="en-AU"/>
              </w:rPr>
            </w:pPr>
            <w:r>
              <w:rPr>
                <w:color w:val="FFFFFF" w:themeColor="background1"/>
                <w:lang w:eastAsia="en-AU"/>
              </w:rPr>
              <w:t>New commitments</w:t>
            </w:r>
          </w:p>
        </w:tc>
        <w:tc>
          <w:tcPr>
            <w:tcW w:w="3260" w:type="dxa"/>
            <w:gridSpan w:val="2"/>
          </w:tcPr>
          <w:p w14:paraId="39BD8873" w14:textId="77777777" w:rsidR="004C3BFB" w:rsidRPr="007136E1" w:rsidRDefault="004C3BFB" w:rsidP="001F62B4">
            <w:pPr>
              <w:pStyle w:val="Tableheader"/>
              <w:rPr>
                <w:color w:val="FFFFFF" w:themeColor="background1"/>
                <w:lang w:eastAsia="en-AU"/>
              </w:rPr>
            </w:pPr>
            <w:r w:rsidRPr="007136E1">
              <w:rPr>
                <w:color w:val="FFFFFF" w:themeColor="background1"/>
                <w:lang w:eastAsia="en-AU"/>
              </w:rPr>
              <w:t>Completed</w:t>
            </w:r>
          </w:p>
        </w:tc>
      </w:tr>
      <w:tr w:rsidR="004C3BFB" w:rsidRPr="007136E1" w14:paraId="688713D0" w14:textId="77777777" w:rsidTr="00112724">
        <w:trPr>
          <w:cnfStyle w:val="000000100000" w:firstRow="0" w:lastRow="0" w:firstColumn="0" w:lastColumn="0" w:oddVBand="0" w:evenVBand="0" w:oddHBand="1" w:evenHBand="0" w:firstRowFirstColumn="0" w:firstRowLastColumn="0" w:lastRowFirstColumn="0" w:lastRowLastColumn="0"/>
          <w:trHeight w:val="315"/>
        </w:trPr>
        <w:tc>
          <w:tcPr>
            <w:tcW w:w="0" w:type="auto"/>
            <w:shd w:val="clear" w:color="auto" w:fill="005CAF"/>
          </w:tcPr>
          <w:p w14:paraId="23E7106C" w14:textId="77777777" w:rsidR="004C3BFB" w:rsidRPr="007136E1" w:rsidRDefault="004C3BFB" w:rsidP="001F62B4">
            <w:pPr>
              <w:pStyle w:val="Tabletext"/>
              <w:rPr>
                <w:color w:val="FFFFFF" w:themeColor="background1"/>
                <w:lang w:eastAsia="en-AU"/>
              </w:rPr>
            </w:pPr>
          </w:p>
        </w:tc>
        <w:tc>
          <w:tcPr>
            <w:tcW w:w="1302" w:type="dxa"/>
            <w:shd w:val="clear" w:color="auto" w:fill="005CAF"/>
          </w:tcPr>
          <w:p w14:paraId="726DC60A" w14:textId="77777777" w:rsidR="004C3BFB" w:rsidRPr="007136E1" w:rsidRDefault="004C3BFB" w:rsidP="001F62B4">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1701" w:type="dxa"/>
            <w:shd w:val="clear" w:color="auto" w:fill="005CAF"/>
          </w:tcPr>
          <w:p w14:paraId="7853606B" w14:textId="77777777" w:rsidR="004C3BFB" w:rsidRPr="007136E1" w:rsidRDefault="004C3BFB" w:rsidP="001F62B4">
            <w:pPr>
              <w:pStyle w:val="Tabletext"/>
              <w:jc w:val="right"/>
              <w:rPr>
                <w:color w:val="FFFFFF" w:themeColor="background1"/>
                <w:sz w:val="16"/>
                <w:szCs w:val="16"/>
                <w:lang w:eastAsia="en-AU"/>
              </w:rPr>
            </w:pPr>
            <w:r w:rsidRPr="007136E1">
              <w:rPr>
                <w:color w:val="FFFFFF" w:themeColor="background1"/>
                <w:sz w:val="16"/>
                <w:szCs w:val="16"/>
                <w:lang w:eastAsia="en-AU"/>
              </w:rPr>
              <w:t>Value A$b</w:t>
            </w:r>
          </w:p>
        </w:tc>
        <w:tc>
          <w:tcPr>
            <w:tcW w:w="1701" w:type="dxa"/>
            <w:shd w:val="clear" w:color="auto" w:fill="005CAF"/>
          </w:tcPr>
          <w:p w14:paraId="31A6F391" w14:textId="77777777" w:rsidR="004C3BFB" w:rsidRPr="007136E1" w:rsidRDefault="004C3BFB"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701" w:type="dxa"/>
            <w:shd w:val="clear" w:color="auto" w:fill="005CAF"/>
          </w:tcPr>
          <w:p w14:paraId="6CDABD8B" w14:textId="77777777" w:rsidR="004C3BFB" w:rsidRPr="007136E1" w:rsidRDefault="004C3BFB" w:rsidP="001F62B4">
            <w:pPr>
              <w:pStyle w:val="Tabletext"/>
              <w:jc w:val="right"/>
              <w:rPr>
                <w:color w:val="FFFFFF" w:themeColor="background1"/>
                <w:lang w:eastAsia="en-AU"/>
              </w:rPr>
            </w:pPr>
            <w:r w:rsidRPr="007136E1">
              <w:rPr>
                <w:color w:val="FFFFFF" w:themeColor="background1"/>
                <w:sz w:val="16"/>
                <w:szCs w:val="16"/>
                <w:lang w:eastAsia="en-AU"/>
              </w:rPr>
              <w:t>Value A$b</w:t>
            </w:r>
          </w:p>
        </w:tc>
        <w:tc>
          <w:tcPr>
            <w:tcW w:w="1701" w:type="dxa"/>
            <w:shd w:val="clear" w:color="auto" w:fill="005CAF"/>
          </w:tcPr>
          <w:p w14:paraId="1EA65C5C" w14:textId="77777777" w:rsidR="004C3BFB" w:rsidRPr="007136E1" w:rsidRDefault="004C3BFB" w:rsidP="001F62B4">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559" w:type="dxa"/>
            <w:shd w:val="clear" w:color="auto" w:fill="005CAF"/>
          </w:tcPr>
          <w:p w14:paraId="6F31E766" w14:textId="77777777" w:rsidR="004C3BFB" w:rsidRPr="007136E1" w:rsidRDefault="004C3BFB" w:rsidP="001F62B4">
            <w:pPr>
              <w:pStyle w:val="Tabletext"/>
              <w:jc w:val="right"/>
              <w:rPr>
                <w:color w:val="FFFFFF" w:themeColor="background1"/>
                <w:lang w:eastAsia="en-AU"/>
              </w:rPr>
            </w:pPr>
            <w:r w:rsidRPr="007136E1">
              <w:rPr>
                <w:color w:val="FFFFFF" w:themeColor="background1"/>
                <w:sz w:val="16"/>
                <w:szCs w:val="16"/>
                <w:lang w:eastAsia="en-AU"/>
              </w:rPr>
              <w:t>Value A$b</w:t>
            </w:r>
          </w:p>
        </w:tc>
      </w:tr>
      <w:tr w:rsidR="004C3BFB" w:rsidRPr="007136E1" w14:paraId="6F4A4805" w14:textId="77777777" w:rsidTr="005D0406">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3EE9ED48" w14:textId="418A5EB5" w:rsidR="004C3BFB" w:rsidRPr="00107938" w:rsidRDefault="004C3BFB" w:rsidP="004C3BFB">
            <w:pPr>
              <w:pStyle w:val="Tabletext"/>
              <w:rPr>
                <w:rFonts w:asciiTheme="minorHAnsi" w:hAnsiTheme="minorHAnsi" w:cstheme="minorHAnsi"/>
                <w:lang w:eastAsia="en-AU"/>
              </w:rPr>
            </w:pPr>
            <w:r w:rsidRPr="00107938">
              <w:rPr>
                <w:rFonts w:asciiTheme="minorHAnsi" w:hAnsiTheme="minorHAnsi" w:cstheme="minorHAnsi"/>
                <w:color w:val="000000"/>
              </w:rPr>
              <w:t xml:space="preserve">High Purity </w:t>
            </w:r>
            <w:r w:rsidR="00D357B6">
              <w:rPr>
                <w:rFonts w:asciiTheme="minorHAnsi" w:hAnsiTheme="minorHAnsi" w:cstheme="minorHAnsi"/>
                <w:color w:val="000000"/>
              </w:rPr>
              <w:t>Alumina</w:t>
            </w:r>
          </w:p>
        </w:tc>
        <w:tc>
          <w:tcPr>
            <w:tcW w:w="1302" w:type="dxa"/>
            <w:tcBorders>
              <w:top w:val="nil"/>
              <w:left w:val="single" w:sz="4" w:space="0" w:color="auto"/>
            </w:tcBorders>
            <w:vAlign w:val="center"/>
          </w:tcPr>
          <w:p w14:paraId="2F40CA09" w14:textId="3258B12F"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2</w:t>
            </w:r>
          </w:p>
        </w:tc>
        <w:tc>
          <w:tcPr>
            <w:tcW w:w="1701" w:type="dxa"/>
            <w:tcBorders>
              <w:top w:val="nil"/>
              <w:right w:val="single" w:sz="4" w:space="0" w:color="auto"/>
            </w:tcBorders>
            <w:vAlign w:val="center"/>
          </w:tcPr>
          <w:p w14:paraId="63937DCE" w14:textId="736FB3C2"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0.6</w:t>
            </w:r>
          </w:p>
        </w:tc>
        <w:tc>
          <w:tcPr>
            <w:tcW w:w="1701" w:type="dxa"/>
            <w:tcBorders>
              <w:top w:val="nil"/>
              <w:left w:val="single" w:sz="4" w:space="0" w:color="auto"/>
            </w:tcBorders>
            <w:vAlign w:val="center"/>
          </w:tcPr>
          <w:p w14:paraId="2C4E2D11" w14:textId="5EB99CBF"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3</w:t>
            </w:r>
          </w:p>
        </w:tc>
        <w:tc>
          <w:tcPr>
            <w:tcW w:w="1701" w:type="dxa"/>
            <w:tcBorders>
              <w:top w:val="nil"/>
              <w:right w:val="single" w:sz="4" w:space="0" w:color="auto"/>
            </w:tcBorders>
            <w:vAlign w:val="center"/>
          </w:tcPr>
          <w:p w14:paraId="4E23A7DD" w14:textId="7081EB85"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0.7</w:t>
            </w:r>
          </w:p>
        </w:tc>
        <w:tc>
          <w:tcPr>
            <w:tcW w:w="1701" w:type="dxa"/>
            <w:tcBorders>
              <w:top w:val="nil"/>
              <w:left w:val="single" w:sz="4" w:space="0" w:color="auto"/>
            </w:tcBorders>
            <w:vAlign w:val="center"/>
          </w:tcPr>
          <w:p w14:paraId="48EB9616" w14:textId="6C81B4CA"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1</w:t>
            </w:r>
          </w:p>
        </w:tc>
        <w:tc>
          <w:tcPr>
            <w:tcW w:w="1559" w:type="dxa"/>
            <w:tcBorders>
              <w:top w:val="nil"/>
              <w:right w:val="single" w:sz="4" w:space="0" w:color="auto"/>
            </w:tcBorders>
            <w:vAlign w:val="center"/>
          </w:tcPr>
          <w:p w14:paraId="10E9AACE" w14:textId="264F4BC1" w:rsidR="004C3BFB" w:rsidRPr="00FF0524" w:rsidRDefault="004C3BFB" w:rsidP="004C3BFB">
            <w:pPr>
              <w:pStyle w:val="Tabletext"/>
              <w:jc w:val="right"/>
              <w:rPr>
                <w:rFonts w:asciiTheme="minorHAnsi" w:hAnsiTheme="minorHAnsi" w:cstheme="minorHAnsi"/>
              </w:rPr>
            </w:pPr>
            <w:r w:rsidRPr="00107938">
              <w:rPr>
                <w:rFonts w:asciiTheme="minorHAnsi" w:hAnsiTheme="minorHAnsi" w:cstheme="minorHAnsi"/>
              </w:rPr>
              <w:t>0.1</w:t>
            </w:r>
          </w:p>
        </w:tc>
      </w:tr>
      <w:tr w:rsidR="00594D91" w:rsidRPr="007136E1" w14:paraId="7D639433" w14:textId="77777777" w:rsidTr="005D0406">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0FB9E7F2" w14:textId="47C37CD2" w:rsidR="004C3BFB" w:rsidRPr="00107938" w:rsidRDefault="004C3BFB" w:rsidP="004C3BFB">
            <w:pPr>
              <w:pStyle w:val="Tabletext"/>
              <w:rPr>
                <w:rFonts w:asciiTheme="minorHAnsi" w:hAnsiTheme="minorHAnsi" w:cstheme="minorHAnsi"/>
                <w:lang w:eastAsia="en-AU"/>
              </w:rPr>
            </w:pPr>
            <w:r w:rsidRPr="00107938">
              <w:rPr>
                <w:rFonts w:asciiTheme="minorHAnsi" w:hAnsiTheme="minorHAnsi" w:cstheme="minorHAnsi"/>
                <w:color w:val="000000"/>
              </w:rPr>
              <w:t>Lithium</w:t>
            </w:r>
          </w:p>
        </w:tc>
        <w:tc>
          <w:tcPr>
            <w:tcW w:w="1302" w:type="dxa"/>
            <w:tcBorders>
              <w:top w:val="nil"/>
              <w:left w:val="single" w:sz="4" w:space="0" w:color="auto"/>
              <w:bottom w:val="nil"/>
            </w:tcBorders>
            <w:vAlign w:val="center"/>
          </w:tcPr>
          <w:p w14:paraId="6A03F9C4" w14:textId="77777777" w:rsidR="004C3BFB" w:rsidRPr="00FF0524" w:rsidRDefault="004C3BFB" w:rsidP="004C3BFB">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3591BFA7" w14:textId="77777777" w:rsidR="004C3BFB" w:rsidRPr="00FF0524" w:rsidRDefault="004C3BFB" w:rsidP="004C3BFB">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33722F47" w14:textId="3EB30808"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3</w:t>
            </w:r>
          </w:p>
        </w:tc>
        <w:tc>
          <w:tcPr>
            <w:tcW w:w="1701" w:type="dxa"/>
            <w:tcBorders>
              <w:top w:val="nil"/>
              <w:bottom w:val="nil"/>
              <w:right w:val="single" w:sz="4" w:space="0" w:color="auto"/>
            </w:tcBorders>
            <w:vAlign w:val="center"/>
          </w:tcPr>
          <w:p w14:paraId="3E8C86D1" w14:textId="62D30896"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2.5</w:t>
            </w:r>
          </w:p>
        </w:tc>
        <w:tc>
          <w:tcPr>
            <w:tcW w:w="1701" w:type="dxa"/>
            <w:tcBorders>
              <w:top w:val="nil"/>
              <w:left w:val="single" w:sz="4" w:space="0" w:color="auto"/>
              <w:bottom w:val="nil"/>
            </w:tcBorders>
            <w:vAlign w:val="center"/>
          </w:tcPr>
          <w:p w14:paraId="301CD977" w14:textId="54FD446C"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4</w:t>
            </w:r>
          </w:p>
        </w:tc>
        <w:tc>
          <w:tcPr>
            <w:tcW w:w="1559" w:type="dxa"/>
            <w:tcBorders>
              <w:top w:val="nil"/>
              <w:bottom w:val="nil"/>
              <w:right w:val="single" w:sz="4" w:space="0" w:color="auto"/>
            </w:tcBorders>
            <w:vAlign w:val="center"/>
          </w:tcPr>
          <w:p w14:paraId="5DCF8664" w14:textId="1336CC96"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3.2</w:t>
            </w:r>
          </w:p>
        </w:tc>
      </w:tr>
      <w:tr w:rsidR="004C3BFB" w:rsidRPr="007136E1" w14:paraId="0E67795C" w14:textId="77777777" w:rsidTr="00865081">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52377A9C" w14:textId="6FE060B6" w:rsidR="004C3BFB" w:rsidRPr="00107938" w:rsidRDefault="004C3BFB" w:rsidP="004C3BFB">
            <w:pPr>
              <w:pStyle w:val="Tabletext"/>
              <w:rPr>
                <w:rFonts w:asciiTheme="minorHAnsi" w:hAnsiTheme="minorHAnsi" w:cstheme="minorHAnsi"/>
                <w:lang w:eastAsia="en-AU"/>
              </w:rPr>
            </w:pPr>
            <w:r w:rsidRPr="00107938">
              <w:rPr>
                <w:rFonts w:asciiTheme="minorHAnsi" w:hAnsiTheme="minorHAnsi" w:cstheme="minorHAnsi"/>
                <w:color w:val="000000"/>
              </w:rPr>
              <w:t>Rare earths</w:t>
            </w:r>
          </w:p>
        </w:tc>
        <w:tc>
          <w:tcPr>
            <w:tcW w:w="1302" w:type="dxa"/>
            <w:tcBorders>
              <w:top w:val="nil"/>
              <w:left w:val="single" w:sz="4" w:space="0" w:color="auto"/>
              <w:bottom w:val="nil"/>
            </w:tcBorders>
            <w:vAlign w:val="center"/>
          </w:tcPr>
          <w:p w14:paraId="35679B46" w14:textId="5AEA4496"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1</w:t>
            </w:r>
          </w:p>
        </w:tc>
        <w:tc>
          <w:tcPr>
            <w:tcW w:w="1701" w:type="dxa"/>
            <w:tcBorders>
              <w:top w:val="nil"/>
              <w:bottom w:val="nil"/>
              <w:right w:val="single" w:sz="4" w:space="0" w:color="auto"/>
            </w:tcBorders>
            <w:vAlign w:val="center"/>
          </w:tcPr>
          <w:p w14:paraId="62BC95C8" w14:textId="49A3FE5E"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0.4</w:t>
            </w:r>
          </w:p>
        </w:tc>
        <w:tc>
          <w:tcPr>
            <w:tcW w:w="1701" w:type="dxa"/>
            <w:tcBorders>
              <w:top w:val="nil"/>
              <w:left w:val="single" w:sz="4" w:space="0" w:color="auto"/>
              <w:bottom w:val="nil"/>
            </w:tcBorders>
            <w:vAlign w:val="center"/>
          </w:tcPr>
          <w:p w14:paraId="77CB1330" w14:textId="3362322B"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1</w:t>
            </w:r>
          </w:p>
        </w:tc>
        <w:tc>
          <w:tcPr>
            <w:tcW w:w="1701" w:type="dxa"/>
            <w:tcBorders>
              <w:top w:val="nil"/>
              <w:bottom w:val="nil"/>
              <w:right w:val="single" w:sz="4" w:space="0" w:color="auto"/>
            </w:tcBorders>
            <w:vAlign w:val="center"/>
          </w:tcPr>
          <w:p w14:paraId="44AC0A1B" w14:textId="592B632D"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0.5</w:t>
            </w:r>
          </w:p>
        </w:tc>
        <w:tc>
          <w:tcPr>
            <w:tcW w:w="1701" w:type="dxa"/>
            <w:tcBorders>
              <w:top w:val="nil"/>
              <w:left w:val="single" w:sz="4" w:space="0" w:color="auto"/>
              <w:bottom w:val="nil"/>
            </w:tcBorders>
            <w:vAlign w:val="center"/>
          </w:tcPr>
          <w:p w14:paraId="170C766B" w14:textId="7088A118" w:rsidR="004C3BFB" w:rsidRPr="00FF0524" w:rsidRDefault="004C3BFB" w:rsidP="004C3BFB">
            <w:pPr>
              <w:pStyle w:val="Tabletext"/>
              <w:jc w:val="right"/>
              <w:rPr>
                <w:rFonts w:asciiTheme="minorHAnsi" w:hAnsiTheme="minorHAnsi" w:cstheme="minorHAnsi"/>
                <w:lang w:eastAsia="en-AU"/>
              </w:rPr>
            </w:pPr>
          </w:p>
        </w:tc>
        <w:tc>
          <w:tcPr>
            <w:tcW w:w="1559" w:type="dxa"/>
            <w:tcBorders>
              <w:top w:val="nil"/>
              <w:bottom w:val="nil"/>
              <w:right w:val="single" w:sz="4" w:space="0" w:color="auto"/>
            </w:tcBorders>
            <w:vAlign w:val="center"/>
          </w:tcPr>
          <w:p w14:paraId="54279AB8" w14:textId="4498F733" w:rsidR="004C3BFB" w:rsidRPr="00FF0524" w:rsidRDefault="004C3BFB" w:rsidP="004C3BFB">
            <w:pPr>
              <w:pStyle w:val="Tabletext"/>
              <w:jc w:val="right"/>
              <w:rPr>
                <w:rFonts w:asciiTheme="minorHAnsi" w:hAnsiTheme="minorHAnsi" w:cstheme="minorHAnsi"/>
                <w:lang w:eastAsia="en-AU"/>
              </w:rPr>
            </w:pPr>
          </w:p>
        </w:tc>
      </w:tr>
      <w:tr w:rsidR="004C3BFB" w:rsidRPr="007136E1" w14:paraId="5049D403" w14:textId="77777777" w:rsidTr="00865081">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003CD160" w14:textId="55C0C56A" w:rsidR="004C3BFB" w:rsidRPr="00107938" w:rsidRDefault="004C3BFB" w:rsidP="004C3BFB">
            <w:pPr>
              <w:pStyle w:val="Tabletext"/>
              <w:rPr>
                <w:rFonts w:asciiTheme="minorHAnsi" w:hAnsiTheme="minorHAnsi" w:cstheme="minorHAnsi"/>
                <w:lang w:eastAsia="en-AU"/>
              </w:rPr>
            </w:pPr>
            <w:r w:rsidRPr="00107938">
              <w:rPr>
                <w:rFonts w:asciiTheme="minorHAnsi" w:hAnsiTheme="minorHAnsi" w:cstheme="minorHAnsi"/>
                <w:color w:val="000000"/>
              </w:rPr>
              <w:t>Titanium &amp; mineral sands</w:t>
            </w:r>
          </w:p>
        </w:tc>
        <w:tc>
          <w:tcPr>
            <w:tcW w:w="1302" w:type="dxa"/>
            <w:tcBorders>
              <w:top w:val="nil"/>
              <w:left w:val="single" w:sz="4" w:space="0" w:color="auto"/>
              <w:bottom w:val="nil"/>
            </w:tcBorders>
            <w:vAlign w:val="center"/>
          </w:tcPr>
          <w:p w14:paraId="383903CD" w14:textId="3E3F7B52"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1</w:t>
            </w:r>
          </w:p>
        </w:tc>
        <w:tc>
          <w:tcPr>
            <w:tcW w:w="1701" w:type="dxa"/>
            <w:tcBorders>
              <w:top w:val="nil"/>
              <w:bottom w:val="nil"/>
              <w:right w:val="single" w:sz="4" w:space="0" w:color="auto"/>
            </w:tcBorders>
            <w:vAlign w:val="center"/>
          </w:tcPr>
          <w:p w14:paraId="7E53A497" w14:textId="246ABB8D"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0.3</w:t>
            </w:r>
          </w:p>
        </w:tc>
        <w:tc>
          <w:tcPr>
            <w:tcW w:w="1701" w:type="dxa"/>
            <w:tcBorders>
              <w:top w:val="nil"/>
              <w:left w:val="single" w:sz="4" w:space="0" w:color="auto"/>
              <w:bottom w:val="nil"/>
            </w:tcBorders>
            <w:vAlign w:val="center"/>
          </w:tcPr>
          <w:p w14:paraId="69DE2A44" w14:textId="699C63F5"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2</w:t>
            </w:r>
          </w:p>
        </w:tc>
        <w:tc>
          <w:tcPr>
            <w:tcW w:w="1701" w:type="dxa"/>
            <w:tcBorders>
              <w:top w:val="nil"/>
              <w:bottom w:val="nil"/>
              <w:right w:val="single" w:sz="4" w:space="0" w:color="auto"/>
            </w:tcBorders>
            <w:vAlign w:val="center"/>
          </w:tcPr>
          <w:p w14:paraId="0B0864D3" w14:textId="1965ED7E"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1.0</w:t>
            </w:r>
          </w:p>
        </w:tc>
        <w:tc>
          <w:tcPr>
            <w:tcW w:w="1701" w:type="dxa"/>
            <w:tcBorders>
              <w:top w:val="nil"/>
              <w:left w:val="single" w:sz="4" w:space="0" w:color="auto"/>
              <w:bottom w:val="nil"/>
            </w:tcBorders>
            <w:vAlign w:val="center"/>
          </w:tcPr>
          <w:p w14:paraId="5C109844" w14:textId="2A123A66"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2</w:t>
            </w:r>
          </w:p>
        </w:tc>
        <w:tc>
          <w:tcPr>
            <w:tcW w:w="1559" w:type="dxa"/>
            <w:tcBorders>
              <w:top w:val="nil"/>
              <w:bottom w:val="nil"/>
              <w:right w:val="single" w:sz="4" w:space="0" w:color="auto"/>
            </w:tcBorders>
            <w:vAlign w:val="center"/>
          </w:tcPr>
          <w:p w14:paraId="03AE4997" w14:textId="602879D1"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0.6</w:t>
            </w:r>
          </w:p>
        </w:tc>
      </w:tr>
      <w:tr w:rsidR="004C3BFB" w:rsidRPr="007136E1" w14:paraId="3D4A3EB4" w14:textId="77777777" w:rsidTr="00865081">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0CA9356E" w14:textId="44C28326" w:rsidR="004C3BFB" w:rsidRPr="00107938" w:rsidRDefault="004C3BFB" w:rsidP="004C3BFB">
            <w:pPr>
              <w:pStyle w:val="Tabletext"/>
              <w:rPr>
                <w:rFonts w:asciiTheme="minorHAnsi" w:hAnsiTheme="minorHAnsi" w:cstheme="minorHAnsi"/>
                <w:lang w:eastAsia="en-AU"/>
              </w:rPr>
            </w:pPr>
            <w:r w:rsidRPr="00107938">
              <w:rPr>
                <w:rFonts w:asciiTheme="minorHAnsi" w:hAnsiTheme="minorHAnsi" w:cstheme="minorHAnsi"/>
                <w:color w:val="000000"/>
              </w:rPr>
              <w:t>Vanadium</w:t>
            </w:r>
          </w:p>
        </w:tc>
        <w:tc>
          <w:tcPr>
            <w:tcW w:w="1302" w:type="dxa"/>
            <w:tcBorders>
              <w:top w:val="nil"/>
              <w:left w:val="single" w:sz="4" w:space="0" w:color="auto"/>
              <w:bottom w:val="nil"/>
            </w:tcBorders>
            <w:vAlign w:val="center"/>
          </w:tcPr>
          <w:p w14:paraId="52736E43" w14:textId="705A85C0" w:rsidR="004C3BFB" w:rsidRPr="00FF0524" w:rsidRDefault="004C3BFB" w:rsidP="004C3BFB">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3159EE1C" w14:textId="5BCA0B7D" w:rsidR="004C3BFB" w:rsidRPr="00FF0524" w:rsidRDefault="004C3BFB" w:rsidP="004C3BFB">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621085FB" w14:textId="166F2CED"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1</w:t>
            </w:r>
          </w:p>
        </w:tc>
        <w:tc>
          <w:tcPr>
            <w:tcW w:w="1701" w:type="dxa"/>
            <w:tcBorders>
              <w:top w:val="nil"/>
              <w:bottom w:val="nil"/>
              <w:right w:val="single" w:sz="4" w:space="0" w:color="auto"/>
            </w:tcBorders>
            <w:vAlign w:val="center"/>
          </w:tcPr>
          <w:p w14:paraId="2EF0D7E9" w14:textId="288AE098" w:rsidR="004C3BFB" w:rsidRPr="00FF0524" w:rsidRDefault="004C3BFB" w:rsidP="004C3BFB">
            <w:pPr>
              <w:pStyle w:val="Tabletext"/>
              <w:jc w:val="right"/>
              <w:rPr>
                <w:rFonts w:asciiTheme="minorHAnsi" w:hAnsiTheme="minorHAnsi" w:cstheme="minorHAnsi"/>
                <w:lang w:eastAsia="en-AU"/>
              </w:rPr>
            </w:pPr>
            <w:r w:rsidRPr="00107938">
              <w:rPr>
                <w:rFonts w:asciiTheme="minorHAnsi" w:hAnsiTheme="minorHAnsi" w:cstheme="minorHAnsi"/>
              </w:rPr>
              <w:t>0.3</w:t>
            </w:r>
          </w:p>
        </w:tc>
        <w:tc>
          <w:tcPr>
            <w:tcW w:w="1701" w:type="dxa"/>
            <w:tcBorders>
              <w:top w:val="nil"/>
              <w:left w:val="single" w:sz="4" w:space="0" w:color="auto"/>
              <w:bottom w:val="nil"/>
            </w:tcBorders>
            <w:vAlign w:val="center"/>
          </w:tcPr>
          <w:p w14:paraId="6897C46F" w14:textId="72D6EABA" w:rsidR="004C3BFB" w:rsidRPr="00FF0524" w:rsidRDefault="004C3BFB" w:rsidP="004C3BFB">
            <w:pPr>
              <w:pStyle w:val="Tabletext"/>
              <w:jc w:val="right"/>
              <w:rPr>
                <w:rFonts w:asciiTheme="minorHAnsi" w:hAnsiTheme="minorHAnsi" w:cstheme="minorHAnsi"/>
                <w:lang w:eastAsia="en-AU"/>
              </w:rPr>
            </w:pPr>
          </w:p>
        </w:tc>
        <w:tc>
          <w:tcPr>
            <w:tcW w:w="1559" w:type="dxa"/>
            <w:tcBorders>
              <w:top w:val="nil"/>
              <w:bottom w:val="nil"/>
              <w:right w:val="single" w:sz="4" w:space="0" w:color="auto"/>
            </w:tcBorders>
            <w:vAlign w:val="center"/>
          </w:tcPr>
          <w:p w14:paraId="2157B868" w14:textId="39F7D4A9" w:rsidR="004C3BFB" w:rsidRPr="00FF0524" w:rsidRDefault="004C3BFB" w:rsidP="004C3BFB">
            <w:pPr>
              <w:pStyle w:val="Tabletext"/>
              <w:jc w:val="right"/>
              <w:rPr>
                <w:rFonts w:asciiTheme="minorHAnsi" w:hAnsiTheme="minorHAnsi" w:cstheme="minorHAnsi"/>
                <w:lang w:eastAsia="en-AU"/>
              </w:rPr>
            </w:pPr>
          </w:p>
        </w:tc>
      </w:tr>
      <w:tr w:rsidR="005D0406" w:rsidRPr="007136E1" w14:paraId="5F1B8889" w14:textId="77777777" w:rsidTr="00865081">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7CB0475E" w14:textId="13C9EC1A" w:rsidR="005D0406" w:rsidRPr="00865081" w:rsidRDefault="005D0406" w:rsidP="005D0406">
            <w:pPr>
              <w:pStyle w:val="Tabletext"/>
              <w:rPr>
                <w:rFonts w:asciiTheme="minorHAnsi" w:hAnsiTheme="minorHAnsi" w:cstheme="minorHAnsi"/>
                <w:i/>
                <w:iCs/>
                <w:color w:val="000000"/>
              </w:rPr>
            </w:pPr>
            <w:r>
              <w:rPr>
                <w:rFonts w:asciiTheme="minorHAnsi" w:hAnsiTheme="minorHAnsi" w:cstheme="minorHAnsi"/>
                <w:i/>
                <w:iCs/>
                <w:color w:val="000000"/>
              </w:rPr>
              <w:t>Other</w:t>
            </w:r>
          </w:p>
        </w:tc>
        <w:tc>
          <w:tcPr>
            <w:tcW w:w="1302" w:type="dxa"/>
            <w:tcBorders>
              <w:top w:val="nil"/>
              <w:left w:val="single" w:sz="4" w:space="0" w:color="auto"/>
              <w:bottom w:val="nil"/>
            </w:tcBorders>
            <w:vAlign w:val="center"/>
          </w:tcPr>
          <w:p w14:paraId="11AEE9BF" w14:textId="754EB7FC" w:rsidR="005D0406" w:rsidRPr="00FF0524" w:rsidRDefault="005D0406" w:rsidP="005D0406">
            <w:pPr>
              <w:pStyle w:val="Tabletext"/>
              <w:jc w:val="right"/>
              <w:rPr>
                <w:rFonts w:asciiTheme="minorHAnsi" w:hAnsiTheme="minorHAnsi" w:cstheme="minorHAnsi"/>
                <w:lang w:eastAsia="en-AU"/>
              </w:rPr>
            </w:pPr>
            <w:r>
              <w:rPr>
                <w:rFonts w:asciiTheme="minorHAnsi" w:hAnsiTheme="minorHAnsi" w:cstheme="minorHAnsi"/>
                <w:lang w:eastAsia="en-AU"/>
              </w:rPr>
              <w:t>2</w:t>
            </w:r>
          </w:p>
        </w:tc>
        <w:tc>
          <w:tcPr>
            <w:tcW w:w="1701" w:type="dxa"/>
            <w:tcBorders>
              <w:top w:val="nil"/>
              <w:bottom w:val="nil"/>
              <w:right w:val="single" w:sz="4" w:space="0" w:color="auto"/>
            </w:tcBorders>
            <w:vAlign w:val="center"/>
          </w:tcPr>
          <w:p w14:paraId="7E49FCF4" w14:textId="5C56BD80" w:rsidR="005D0406" w:rsidRPr="00FF0524" w:rsidRDefault="005D0406" w:rsidP="005D0406">
            <w:pPr>
              <w:pStyle w:val="Tabletext"/>
              <w:jc w:val="right"/>
              <w:rPr>
                <w:rFonts w:asciiTheme="minorHAnsi" w:hAnsiTheme="minorHAnsi" w:cstheme="minorHAnsi"/>
                <w:lang w:eastAsia="en-AU"/>
              </w:rPr>
            </w:pPr>
            <w:r>
              <w:rPr>
                <w:rFonts w:asciiTheme="minorHAnsi" w:hAnsiTheme="minorHAnsi" w:cstheme="minorHAnsi"/>
                <w:lang w:eastAsia="en-AU"/>
              </w:rPr>
              <w:t>0.6</w:t>
            </w:r>
          </w:p>
        </w:tc>
        <w:tc>
          <w:tcPr>
            <w:tcW w:w="1701" w:type="dxa"/>
            <w:tcBorders>
              <w:top w:val="nil"/>
              <w:left w:val="single" w:sz="4" w:space="0" w:color="auto"/>
              <w:bottom w:val="nil"/>
            </w:tcBorders>
            <w:vAlign w:val="center"/>
          </w:tcPr>
          <w:p w14:paraId="777A2229" w14:textId="6BF26F83" w:rsidR="005D0406" w:rsidRPr="00107938" w:rsidRDefault="005D0406" w:rsidP="005D0406">
            <w:pPr>
              <w:pStyle w:val="Tabletext"/>
              <w:jc w:val="right"/>
              <w:rPr>
                <w:rFonts w:asciiTheme="minorHAnsi" w:hAnsiTheme="minorHAnsi" w:cstheme="minorHAnsi"/>
              </w:rPr>
            </w:pPr>
            <w:r w:rsidRPr="00107938">
              <w:rPr>
                <w:rFonts w:asciiTheme="minorHAnsi" w:hAnsiTheme="minorHAnsi" w:cstheme="minorHAnsi"/>
              </w:rPr>
              <w:t>1</w:t>
            </w:r>
          </w:p>
        </w:tc>
        <w:tc>
          <w:tcPr>
            <w:tcW w:w="1701" w:type="dxa"/>
            <w:tcBorders>
              <w:top w:val="nil"/>
              <w:bottom w:val="nil"/>
              <w:right w:val="single" w:sz="4" w:space="0" w:color="auto"/>
            </w:tcBorders>
            <w:vAlign w:val="center"/>
          </w:tcPr>
          <w:p w14:paraId="237D731C" w14:textId="4EACF77D" w:rsidR="005D0406" w:rsidRPr="00107938" w:rsidRDefault="005D0406" w:rsidP="005D0406">
            <w:pPr>
              <w:pStyle w:val="Tabletext"/>
              <w:jc w:val="right"/>
              <w:rPr>
                <w:rFonts w:asciiTheme="minorHAnsi" w:hAnsiTheme="minorHAnsi" w:cstheme="minorHAnsi"/>
              </w:rPr>
            </w:pPr>
            <w:r w:rsidRPr="00107938">
              <w:rPr>
                <w:rFonts w:asciiTheme="minorHAnsi" w:hAnsiTheme="minorHAnsi" w:cstheme="minorHAnsi"/>
              </w:rPr>
              <w:t>0.1</w:t>
            </w:r>
          </w:p>
        </w:tc>
        <w:tc>
          <w:tcPr>
            <w:tcW w:w="1701" w:type="dxa"/>
            <w:tcBorders>
              <w:top w:val="nil"/>
              <w:left w:val="single" w:sz="4" w:space="0" w:color="auto"/>
              <w:bottom w:val="nil"/>
            </w:tcBorders>
            <w:vAlign w:val="center"/>
          </w:tcPr>
          <w:p w14:paraId="1EB5C886" w14:textId="705767FB" w:rsidR="005D0406" w:rsidRPr="00865081" w:rsidRDefault="005D0406" w:rsidP="005D0406">
            <w:pPr>
              <w:pStyle w:val="Tabletext"/>
              <w:jc w:val="right"/>
              <w:rPr>
                <w:rFonts w:asciiTheme="minorHAnsi" w:hAnsiTheme="minorHAnsi" w:cstheme="minorHAnsi"/>
                <w:i/>
                <w:iCs/>
                <w:lang w:eastAsia="en-AU"/>
              </w:rPr>
            </w:pPr>
            <w:r w:rsidRPr="00865081">
              <w:rPr>
                <w:rFonts w:asciiTheme="minorHAnsi" w:hAnsiTheme="minorHAnsi" w:cstheme="minorHAnsi"/>
                <w:i/>
                <w:iCs/>
              </w:rPr>
              <w:t>1</w:t>
            </w:r>
          </w:p>
        </w:tc>
        <w:tc>
          <w:tcPr>
            <w:tcW w:w="1559" w:type="dxa"/>
            <w:tcBorders>
              <w:top w:val="nil"/>
              <w:bottom w:val="nil"/>
              <w:right w:val="single" w:sz="4" w:space="0" w:color="auto"/>
            </w:tcBorders>
            <w:vAlign w:val="center"/>
          </w:tcPr>
          <w:p w14:paraId="3EDA7DDE" w14:textId="643CEB8A" w:rsidR="005D0406" w:rsidRPr="00865081" w:rsidRDefault="005D0406" w:rsidP="005D0406">
            <w:pPr>
              <w:pStyle w:val="Tabletext"/>
              <w:jc w:val="right"/>
              <w:rPr>
                <w:rFonts w:asciiTheme="minorHAnsi" w:hAnsiTheme="minorHAnsi" w:cstheme="minorHAnsi"/>
                <w:i/>
                <w:iCs/>
                <w:lang w:eastAsia="en-AU"/>
              </w:rPr>
            </w:pPr>
            <w:r w:rsidRPr="00865081">
              <w:rPr>
                <w:rFonts w:asciiTheme="minorHAnsi" w:hAnsiTheme="minorHAnsi" w:cstheme="minorHAnsi"/>
                <w:i/>
                <w:iCs/>
              </w:rPr>
              <w:t>0.3</w:t>
            </w:r>
          </w:p>
        </w:tc>
      </w:tr>
      <w:tr w:rsidR="00194013" w:rsidRPr="007136E1" w14:paraId="7218DF83" w14:textId="77777777" w:rsidTr="00865081">
        <w:trPr>
          <w:cnfStyle w:val="000000010000" w:firstRow="0" w:lastRow="0" w:firstColumn="0" w:lastColumn="0" w:oddVBand="0" w:evenVBand="0" w:oddHBand="0" w:evenHBand="1" w:firstRowFirstColumn="0" w:firstRowLastColumn="0" w:lastRowFirstColumn="0" w:lastRowLastColumn="0"/>
          <w:trHeight w:val="315"/>
        </w:trPr>
        <w:tc>
          <w:tcPr>
            <w:tcW w:w="0" w:type="auto"/>
            <w:tcBorders>
              <w:top w:val="single" w:sz="4" w:space="0" w:color="auto"/>
              <w:right w:val="single" w:sz="4" w:space="0" w:color="auto"/>
            </w:tcBorders>
            <w:vAlign w:val="center"/>
          </w:tcPr>
          <w:p w14:paraId="3CD2A8BD" w14:textId="77777777" w:rsidR="004C3BFB" w:rsidRPr="00107938" w:rsidRDefault="004C3BFB" w:rsidP="004C3BFB">
            <w:pPr>
              <w:pStyle w:val="Tabletext"/>
              <w:rPr>
                <w:rFonts w:asciiTheme="minorHAnsi" w:hAnsiTheme="minorHAnsi" w:cstheme="minorHAnsi"/>
                <w:b/>
                <w:lang w:eastAsia="en-AU"/>
              </w:rPr>
            </w:pPr>
            <w:r w:rsidRPr="00107938">
              <w:rPr>
                <w:rFonts w:asciiTheme="minorHAnsi" w:hAnsiTheme="minorHAnsi" w:cstheme="minorHAnsi"/>
                <w:b/>
                <w:lang w:eastAsia="en-AU"/>
              </w:rPr>
              <w:t>Total</w:t>
            </w:r>
          </w:p>
        </w:tc>
        <w:tc>
          <w:tcPr>
            <w:tcW w:w="1302" w:type="dxa"/>
            <w:tcBorders>
              <w:top w:val="single" w:sz="4" w:space="0" w:color="auto"/>
              <w:left w:val="single" w:sz="4" w:space="0" w:color="auto"/>
            </w:tcBorders>
            <w:vAlign w:val="center"/>
          </w:tcPr>
          <w:p w14:paraId="78A03864" w14:textId="49BB9C78"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6</w:t>
            </w:r>
          </w:p>
        </w:tc>
        <w:tc>
          <w:tcPr>
            <w:tcW w:w="1701" w:type="dxa"/>
            <w:tcBorders>
              <w:top w:val="single" w:sz="4" w:space="0" w:color="auto"/>
              <w:right w:val="single" w:sz="4" w:space="0" w:color="auto"/>
            </w:tcBorders>
            <w:vAlign w:val="center"/>
          </w:tcPr>
          <w:p w14:paraId="35A05D73" w14:textId="535CD183"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1.8</w:t>
            </w:r>
          </w:p>
        </w:tc>
        <w:tc>
          <w:tcPr>
            <w:tcW w:w="1701" w:type="dxa"/>
            <w:tcBorders>
              <w:top w:val="single" w:sz="4" w:space="0" w:color="auto"/>
              <w:left w:val="single" w:sz="4" w:space="0" w:color="auto"/>
            </w:tcBorders>
            <w:vAlign w:val="center"/>
          </w:tcPr>
          <w:p w14:paraId="642DC7D6" w14:textId="33C039F5"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11</w:t>
            </w:r>
          </w:p>
        </w:tc>
        <w:tc>
          <w:tcPr>
            <w:tcW w:w="1701" w:type="dxa"/>
            <w:tcBorders>
              <w:top w:val="single" w:sz="4" w:space="0" w:color="auto"/>
              <w:right w:val="single" w:sz="4" w:space="0" w:color="auto"/>
            </w:tcBorders>
            <w:vAlign w:val="center"/>
          </w:tcPr>
          <w:p w14:paraId="4B584C63" w14:textId="6A904123"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5.0</w:t>
            </w:r>
          </w:p>
        </w:tc>
        <w:tc>
          <w:tcPr>
            <w:tcW w:w="1701" w:type="dxa"/>
            <w:tcBorders>
              <w:top w:val="single" w:sz="4" w:space="0" w:color="auto"/>
              <w:left w:val="single" w:sz="4" w:space="0" w:color="auto"/>
            </w:tcBorders>
            <w:vAlign w:val="center"/>
          </w:tcPr>
          <w:p w14:paraId="15773E2B" w14:textId="5039188F"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8</w:t>
            </w:r>
          </w:p>
        </w:tc>
        <w:tc>
          <w:tcPr>
            <w:tcW w:w="1559" w:type="dxa"/>
            <w:tcBorders>
              <w:top w:val="single" w:sz="4" w:space="0" w:color="auto"/>
              <w:right w:val="single" w:sz="4" w:space="0" w:color="auto"/>
            </w:tcBorders>
            <w:vAlign w:val="center"/>
          </w:tcPr>
          <w:p w14:paraId="1A98C70C" w14:textId="1B1BDE62" w:rsidR="004C3BFB" w:rsidRPr="00107938" w:rsidRDefault="004C3BFB" w:rsidP="004C3BFB">
            <w:pPr>
              <w:pStyle w:val="Tabletext"/>
              <w:jc w:val="right"/>
              <w:rPr>
                <w:rFonts w:asciiTheme="minorHAnsi" w:hAnsiTheme="minorHAnsi" w:cstheme="minorHAnsi"/>
                <w:b/>
                <w:lang w:eastAsia="en-AU"/>
              </w:rPr>
            </w:pPr>
            <w:r w:rsidRPr="00107938">
              <w:rPr>
                <w:rFonts w:asciiTheme="minorHAnsi" w:hAnsiTheme="minorHAnsi" w:cstheme="minorHAnsi"/>
                <w:b/>
              </w:rPr>
              <w:t>4.1</w:t>
            </w:r>
          </w:p>
        </w:tc>
      </w:tr>
    </w:tbl>
    <w:p w14:paraId="3F43A1B8" w14:textId="1D232180" w:rsidR="004C3BFB" w:rsidRPr="007136E1" w:rsidRDefault="004C3BFB" w:rsidP="004C3BFB">
      <w:pPr>
        <w:pStyle w:val="Source"/>
      </w:pPr>
      <w:r>
        <w:t xml:space="preserve">Notes: </w:t>
      </w:r>
      <w:r w:rsidRPr="00505D90">
        <w:t>A number of projects included in the total are mixed operations, such as nickel-cobalt mines, where a substantial proportion of the investment is expected to be directed to nickel extraction and refining.</w:t>
      </w:r>
      <w:r>
        <w:t xml:space="preserve"> Other category includes manganese, magnesium and platinum group metals. Vanadium includes vanadium oxide projects, with outputs including ilmenite, titanium oxide, ferro-vanadium and iron oxides. Tungsten includes tungsten trioxide, molybdenum, tin and other metals. Heavy mineral sands include zircon, ilmenite, niobium, hafnium, leucoxene, rutile and other heavy mineral concentrates.</w:t>
      </w:r>
    </w:p>
    <w:p w14:paraId="33CE997C" w14:textId="08BB63D4" w:rsidR="004C3BFB" w:rsidRPr="007136E1" w:rsidRDefault="004C3BFB" w:rsidP="004C3BFB">
      <w:pPr>
        <w:pStyle w:val="Source"/>
      </w:pPr>
      <w:r w:rsidRPr="007136E1">
        <w:t xml:space="preserve">Source: </w:t>
      </w:r>
      <w:r>
        <w:t xml:space="preserve">Department of Industry, Science and Resources </w:t>
      </w:r>
      <w:r w:rsidRPr="007136E1">
        <w:t>(202</w:t>
      </w:r>
      <w:r w:rsidR="003653E0">
        <w:t>3</w:t>
      </w:r>
      <w:r w:rsidRPr="007136E1">
        <w:t>)</w:t>
      </w:r>
    </w:p>
    <w:p w14:paraId="5CD8B70D" w14:textId="77777777" w:rsidR="00543FA4" w:rsidRPr="007136E1" w:rsidRDefault="00543FA4" w:rsidP="00543FA4">
      <w:pPr>
        <w:pStyle w:val="BodyText"/>
        <w:sectPr w:rsidR="00543FA4" w:rsidRPr="007136E1" w:rsidSect="00543FA4">
          <w:pgSz w:w="16838" w:h="11906" w:orient="landscape" w:code="9"/>
          <w:pgMar w:top="992" w:right="1440" w:bottom="1440" w:left="1440" w:header="709" w:footer="709" w:gutter="0"/>
          <w:cols w:space="708"/>
          <w:docGrid w:linePitch="360"/>
        </w:sectPr>
      </w:pPr>
    </w:p>
    <w:p w14:paraId="753C11EB" w14:textId="77777777" w:rsidR="00790C62" w:rsidRDefault="00790C62" w:rsidP="00790C62">
      <w:pPr>
        <w:pStyle w:val="Heading1"/>
        <w:ind w:left="426" w:hanging="426"/>
      </w:pPr>
      <w:bookmarkStart w:id="53" w:name="_Toc152865202"/>
      <w:bookmarkStart w:id="54" w:name="_Toc120285897"/>
      <w:bookmarkStart w:id="55" w:name="_Toc120287128"/>
      <w:bookmarkStart w:id="56" w:name="_Toc120541234"/>
      <w:bookmarkStart w:id="57" w:name="_Toc120628918"/>
      <w:bookmarkStart w:id="58" w:name="_Toc120629527"/>
      <w:bookmarkStart w:id="59" w:name="_Toc120630050"/>
      <w:bookmarkStart w:id="60" w:name="_Toc120632573"/>
      <w:r>
        <w:t>Hydrogen</w:t>
      </w:r>
      <w:bookmarkEnd w:id="53"/>
    </w:p>
    <w:p w14:paraId="1C88524B" w14:textId="6E2E0136" w:rsidR="00790C62" w:rsidRDefault="00790C62" w:rsidP="00790C62">
      <w:pPr>
        <w:pStyle w:val="Heading3"/>
      </w:pPr>
      <w:r>
        <w:t xml:space="preserve">The hydrogen project </w:t>
      </w:r>
      <w:r w:rsidR="003E282E">
        <w:t>list</w:t>
      </w:r>
      <w:r>
        <w:t xml:space="preserve"> continues to grow</w:t>
      </w:r>
    </w:p>
    <w:p w14:paraId="34C9CCB5" w14:textId="07DCFBEA" w:rsidR="00790C62" w:rsidRDefault="00790C62" w:rsidP="00790C62">
      <w:pPr>
        <w:pStyle w:val="BodyText"/>
      </w:pPr>
      <w:r>
        <w:t xml:space="preserve">The number of hydrogen major projects continues to grow, with 34 new projects being added over the past year for a total of 76 hydrogen projects </w:t>
      </w:r>
      <w:r w:rsidR="00445B93">
        <w:t>for 2023</w:t>
      </w:r>
      <w:r>
        <w:t xml:space="preserve">. This compares </w:t>
      </w:r>
      <w:r w:rsidR="00324425">
        <w:t xml:space="preserve">with 48 hydrogen projects </w:t>
      </w:r>
      <w:r>
        <w:t xml:space="preserve">in the </w:t>
      </w:r>
      <w:r w:rsidR="00324425">
        <w:t>2022</w:t>
      </w:r>
      <w:r w:rsidR="00445B93">
        <w:t xml:space="preserve"> hydrogen list</w:t>
      </w:r>
      <w:r w:rsidR="00324425">
        <w:t xml:space="preserve"> (</w:t>
      </w:r>
      <w:r>
        <w:t xml:space="preserve">accounting for </w:t>
      </w:r>
      <w:r w:rsidRPr="007B5FC9">
        <w:t xml:space="preserve">additions </w:t>
      </w:r>
      <w:r>
        <w:t xml:space="preserve">and </w:t>
      </w:r>
      <w:r w:rsidRPr="007B5FC9">
        <w:t>removals</w:t>
      </w:r>
      <w:r w:rsidR="00324425">
        <w:t>)</w:t>
      </w:r>
      <w:r w:rsidRPr="007B5FC9">
        <w:t>.</w:t>
      </w:r>
    </w:p>
    <w:p w14:paraId="3CBEFDD7" w14:textId="6B10AF5F" w:rsidR="00790C62" w:rsidRDefault="00790C62" w:rsidP="00790C62">
      <w:pPr>
        <w:spacing w:after="120"/>
      </w:pPr>
      <w:r>
        <w:t xml:space="preserve">The hydrogen list does not include regional hubs, which are recorded as infrastructure projects for this report. Hubs </w:t>
      </w:r>
      <w:r w:rsidR="00E25FDF">
        <w:t>do not include</w:t>
      </w:r>
      <w:r>
        <w:t xml:space="preserve"> any production or consumption capacity as they facilitate hydrogen projects. Hydrogen hubs represent a significant portion of investment and will serve as an important springboard for further development.</w:t>
      </w:r>
    </w:p>
    <w:p w14:paraId="061D02E4" w14:textId="77777777" w:rsidR="00790C62" w:rsidRDefault="00790C62" w:rsidP="00790C62">
      <w:pPr>
        <w:pStyle w:val="Heading3"/>
      </w:pPr>
      <w:r>
        <w:t>More hydrogen projects have reached the committed stage</w:t>
      </w:r>
    </w:p>
    <w:p w14:paraId="220499E1" w14:textId="01AD1664" w:rsidR="00790C62" w:rsidRDefault="00790C62" w:rsidP="00790C62">
      <w:pPr>
        <w:pStyle w:val="BodyText"/>
        <w:rPr>
          <w:rStyle w:val="ui-provider"/>
        </w:rPr>
      </w:pPr>
      <w:r>
        <w:t xml:space="preserve">Three out of 76 hydrogen projects reached the committed phase in 2023, compared to one project in 2022. The estimated capital expenditure for these 3 projects is $234 million. The ratio of ‘committed’ projects to the rest of the project </w:t>
      </w:r>
      <w:r w:rsidR="003E282E">
        <w:t>list</w:t>
      </w:r>
      <w:r>
        <w:t xml:space="preserve"> is similar to that of the rest of the world. I</w:t>
      </w:r>
      <w:r>
        <w:rPr>
          <w:rStyle w:val="ui-provider"/>
        </w:rPr>
        <w:t>n September 2023, the International Energy Agency reported that 4% of all announced hydrogen projects globally had reached FID stage.</w:t>
      </w:r>
    </w:p>
    <w:p w14:paraId="2590174B" w14:textId="185CD8CC" w:rsidR="00790C62" w:rsidRDefault="00790C62" w:rsidP="00790C62">
      <w:pPr>
        <w:pStyle w:val="BodyText"/>
      </w:pPr>
      <w:r>
        <w:t>One of the three committed Australian projects, ‘Hydrogen Park Murray Valley’, will produce hydrogen to blend into the existing gas system. The aim of the project is to decrease gas consumption in Albury-Wodonga and surrounding areas, with hydrogen expected to displace up to 10% of the natural gas in the power system. The project is</w:t>
      </w:r>
      <w:r w:rsidDel="002F12A9">
        <w:t xml:space="preserve"> </w:t>
      </w:r>
      <w:r>
        <w:t>scheduled for completion in 2025.</w:t>
      </w:r>
    </w:p>
    <w:p w14:paraId="23DA67D2" w14:textId="77777777" w:rsidR="00790C62" w:rsidRDefault="00790C62" w:rsidP="00790C62">
      <w:pPr>
        <w:pStyle w:val="BodyText"/>
      </w:pPr>
      <w:r>
        <w:t>The other newly committed hydrogen project is the ‘</w:t>
      </w:r>
      <w:r w:rsidRPr="00E75883">
        <w:t>Tallawarra B Dual Fuel Capable Gas/Hydrogen Power Plant</w:t>
      </w:r>
      <w:r>
        <w:t xml:space="preserve">’. This power plant would have the capability to burn both gas and hydrogen. Energy Australia has agreed to buy 200 tonnes of hydrogen per year as part of the project’s funding agreement. </w:t>
      </w:r>
    </w:p>
    <w:p w14:paraId="64A9503C" w14:textId="43D04008" w:rsidR="00E86842" w:rsidRDefault="00E86842" w:rsidP="00E86842">
      <w:pPr>
        <w:pStyle w:val="Heading3"/>
        <w:rPr>
          <w:rFonts w:eastAsiaTheme="minorHAnsi" w:cstheme="minorBidi"/>
          <w:b/>
          <w:szCs w:val="18"/>
        </w:rPr>
      </w:pPr>
      <w:bookmarkStart w:id="61" w:name="_Hlk153459149"/>
      <w:r w:rsidRPr="00E86842">
        <w:rPr>
          <w:rFonts w:ascii="Arial" w:eastAsiaTheme="minorHAnsi" w:hAnsi="Arial" w:cstheme="minorBidi"/>
          <w:b/>
          <w:szCs w:val="18"/>
        </w:rPr>
        <w:t xml:space="preserve"> </w:t>
      </w:r>
      <w:r w:rsidRPr="003166B9">
        <w:rPr>
          <w:rFonts w:ascii="Arial" w:eastAsiaTheme="minorHAnsi" w:hAnsi="Arial" w:cstheme="minorBidi"/>
          <w:b/>
          <w:szCs w:val="18"/>
        </w:rPr>
        <w:t xml:space="preserve">Figure </w:t>
      </w:r>
      <w:r>
        <w:rPr>
          <w:rFonts w:ascii="Arial" w:eastAsiaTheme="minorHAnsi" w:hAnsi="Arial" w:cstheme="minorBidi"/>
          <w:b/>
          <w:szCs w:val="18"/>
        </w:rPr>
        <w:t>3</w:t>
      </w:r>
      <w:r w:rsidRPr="003166B9">
        <w:rPr>
          <w:rFonts w:ascii="Arial" w:eastAsiaTheme="minorHAnsi" w:hAnsi="Arial" w:cstheme="minorBidi"/>
          <w:b/>
          <w:szCs w:val="18"/>
        </w:rPr>
        <w:t>.</w:t>
      </w:r>
      <w:r>
        <w:rPr>
          <w:rFonts w:ascii="Arial" w:eastAsiaTheme="minorHAnsi" w:hAnsi="Arial" w:cstheme="minorBidi"/>
          <w:b/>
          <w:szCs w:val="18"/>
        </w:rPr>
        <w:t>1</w:t>
      </w:r>
      <w:r w:rsidRPr="003166B9">
        <w:rPr>
          <w:rFonts w:ascii="Arial" w:eastAsiaTheme="minorHAnsi" w:hAnsi="Arial" w:cstheme="minorBidi"/>
          <w:b/>
          <w:szCs w:val="18"/>
        </w:rPr>
        <w:t xml:space="preserve"> </w:t>
      </w:r>
      <w:r w:rsidR="00062E56">
        <w:rPr>
          <w:rFonts w:eastAsiaTheme="minorHAnsi" w:cstheme="minorBidi"/>
          <w:b/>
          <w:szCs w:val="18"/>
        </w:rPr>
        <w:t>Hydrogen project count by stage</w:t>
      </w:r>
    </w:p>
    <w:bookmarkEnd w:id="61"/>
    <w:p w14:paraId="0CCDB963" w14:textId="5B73EC4C" w:rsidR="00790C62" w:rsidRPr="00E86842" w:rsidRDefault="00AC5C2F" w:rsidP="00E86842">
      <w:pPr>
        <w:spacing w:after="0" w:line="240" w:lineRule="auto"/>
        <w:rPr>
          <w:color w:val="005CAF"/>
          <w:sz w:val="16"/>
          <w:szCs w:val="16"/>
        </w:rPr>
      </w:pPr>
      <w:r>
        <w:rPr>
          <w:noProof/>
        </w:rPr>
        <w:drawing>
          <wp:inline distT="0" distB="0" distL="0" distR="0" wp14:anchorId="093D067D" wp14:editId="6C89D62B">
            <wp:extent cx="4206875" cy="1866900"/>
            <wp:effectExtent l="0" t="0" r="3175" b="0"/>
            <wp:docPr id="35" name="Chart 35" descr="This chart shows the number of hydrogen projects at each stage of development.">
              <a:extLst xmlns:a="http://schemas.openxmlformats.org/drawingml/2006/main">
                <a:ext uri="{FF2B5EF4-FFF2-40B4-BE49-F238E27FC236}">
                  <a16:creationId xmlns:a16="http://schemas.microsoft.com/office/drawing/2014/main" id="{67AAB91B-B23C-9BBE-5D78-BC5E7478B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E86842" w:rsidRPr="00832748">
        <w:rPr>
          <w:color w:val="005CAF"/>
          <w:sz w:val="16"/>
          <w:szCs w:val="16"/>
        </w:rPr>
        <w:t xml:space="preserve">Source: </w:t>
      </w:r>
      <w:r w:rsidR="00E86842">
        <w:rPr>
          <w:color w:val="005CAF"/>
          <w:sz w:val="16"/>
          <w:szCs w:val="16"/>
        </w:rPr>
        <w:t>Department of Industry, Science and Resources (2023)</w:t>
      </w:r>
    </w:p>
    <w:p w14:paraId="1B3F0B1C" w14:textId="77777777" w:rsidR="00790C62" w:rsidRPr="00681DFA" w:rsidRDefault="00790C62" w:rsidP="00790C62">
      <w:pPr>
        <w:pStyle w:val="Heading3"/>
      </w:pPr>
      <w:r>
        <w:t>Australian hydrogen powered by electrolysers</w:t>
      </w:r>
    </w:p>
    <w:p w14:paraId="5C99ED56" w14:textId="1712080A" w:rsidR="00790C62" w:rsidRDefault="00790C62" w:rsidP="00790C62">
      <w:pPr>
        <w:pStyle w:val="BodyText"/>
      </w:pPr>
      <w:bookmarkStart w:id="62" w:name="_Hlk151034499"/>
      <w:r>
        <w:t xml:space="preserve">Green hydrogen is hydrogen derived from water and renewable energy via electrolysis. Green hydrogen contrasts with grey hydrogen which is derived from natural gas via steam methane reforming, and black hydrogen, which is derived from coal gasification. Most hydrogen projects in Australia (92.1% by count) will use either the existing power grid or their own renewable generation capacity to generate output (Figure </w:t>
      </w:r>
      <w:r w:rsidR="00E903DD">
        <w:t>3</w:t>
      </w:r>
      <w:r>
        <w:t xml:space="preserve">.1). A further 4.7% of projects will use coal gasification to produce hydrogen and its derivatives, and 3.1% of projects will use natural gas via steam methane reforming. All projects listed on the 2023 list that use gas or coal to produce hydrogen — or its derivatives — have indicated they will incorporate some form of carbon capture into their process. </w:t>
      </w:r>
      <w:bookmarkEnd w:id="62"/>
    </w:p>
    <w:p w14:paraId="1832F6FA" w14:textId="0F7FCFB9" w:rsidR="00790C62" w:rsidRPr="0048016D" w:rsidRDefault="00790C62" w:rsidP="00790C62">
      <w:pPr>
        <w:pStyle w:val="Heading3"/>
      </w:pPr>
      <w:r>
        <w:t>Natural hydrogen is yet to become mainstream</w:t>
      </w:r>
    </w:p>
    <w:p w14:paraId="76399C86" w14:textId="77777777" w:rsidR="00790C62" w:rsidRDefault="00790C62" w:rsidP="00790C62">
      <w:pPr>
        <w:pStyle w:val="BodyText"/>
      </w:pPr>
      <w:r>
        <w:t>Natural (white) hydrogen is hydrogen formed in underground deposits through natural processes. Australia’s natural hydrogen potential has been receiving increasing attention. Early exploration is occurring and, as of November 2023, a demonstration project is underway. Despite this, there are no hydrogen extraction projects large enough in scale to be identified as ‘major’ projects by this report’s criteria. Further exploration and technical developments could change this in the future.</w:t>
      </w:r>
    </w:p>
    <w:p w14:paraId="78E8DBD4" w14:textId="77777777" w:rsidR="00790C62" w:rsidRPr="003E1C72" w:rsidRDefault="00790C62" w:rsidP="00790C62">
      <w:pPr>
        <w:pStyle w:val="Heading3"/>
        <w:spacing w:before="180"/>
      </w:pPr>
      <w:r>
        <w:t>Hydrogen as a path to decarbonisation of industry</w:t>
      </w:r>
    </w:p>
    <w:p w14:paraId="18464E60" w14:textId="77777777" w:rsidR="00790C62" w:rsidRDefault="00790C62" w:rsidP="00790C62">
      <w:pPr>
        <w:pStyle w:val="BodyText"/>
      </w:pPr>
      <w:r>
        <w:t xml:space="preserve">Hydrogen is seen as a commodity that could aid the decarbonisation of industry. This year, there are 3 new hydrogen projects that aim to reduce emissions from industrial processes. The 3 projects are the </w:t>
      </w:r>
      <w:r w:rsidDel="00A81220">
        <w:rPr>
          <w:rStyle w:val="ui-provider"/>
        </w:rPr>
        <w:t>‘</w:t>
      </w:r>
      <w:r w:rsidRPr="00A81220">
        <w:rPr>
          <w:rStyle w:val="ui-provider"/>
        </w:rPr>
        <w:t>Yarwun Hydrogen Calcination Pilot Demonstration Program</w:t>
      </w:r>
      <w:r>
        <w:rPr>
          <w:rStyle w:val="ui-provider"/>
        </w:rPr>
        <w:t>’</w:t>
      </w:r>
      <w:r>
        <w:t xml:space="preserve"> ‘</w:t>
      </w:r>
      <w:r w:rsidRPr="00D67BE7">
        <w:t>Green Cement Decarbonisation Project</w:t>
      </w:r>
      <w:r>
        <w:t>’,</w:t>
      </w:r>
      <w:r w:rsidDel="00A81220">
        <w:t xml:space="preserve"> </w:t>
      </w:r>
      <w:r>
        <w:t xml:space="preserve">and </w:t>
      </w:r>
      <w:r w:rsidDel="00A81220">
        <w:t>‘</w:t>
      </w:r>
      <w:r>
        <w:t xml:space="preserve">Zero Emissions Steel Technology Study’. </w:t>
      </w:r>
    </w:p>
    <w:p w14:paraId="5C39842D" w14:textId="1C5A52AD" w:rsidR="00790C62" w:rsidRDefault="00790C62" w:rsidP="00790C62">
      <w:pPr>
        <w:pStyle w:val="BodyText"/>
        <w:rPr>
          <w:rStyle w:val="ui-provider"/>
        </w:rPr>
      </w:pPr>
      <w:bookmarkStart w:id="63" w:name="_Hlk151022126"/>
      <w:r>
        <w:t>The ‘Zero Emissions Steel Technology Study’ is included in the iron ore projects list.</w:t>
      </w:r>
      <w:r w:rsidRPr="009145D3">
        <w:t xml:space="preserve"> </w:t>
      </w:r>
      <w:r>
        <w:t>The project is trialling technology that uses hydrogen as a reducing agent rather than coal. The ‘</w:t>
      </w:r>
      <w:r w:rsidRPr="00A81220">
        <w:rPr>
          <w:rStyle w:val="ui-provider"/>
        </w:rPr>
        <w:t>Yarwun Hydrogen Calcination Pilot Demonstration Program</w:t>
      </w:r>
      <w:r>
        <w:rPr>
          <w:rStyle w:val="ui-provider"/>
        </w:rPr>
        <w:t xml:space="preserve">’, which is included </w:t>
      </w:r>
      <w:r w:rsidR="00235309">
        <w:rPr>
          <w:rStyle w:val="ui-provider"/>
        </w:rPr>
        <w:t xml:space="preserve">in </w:t>
      </w:r>
      <w:r>
        <w:rPr>
          <w:rStyle w:val="ui-provider"/>
        </w:rPr>
        <w:t xml:space="preserve">the aluminium project list, plans to use hydrogen calcination in the production of alumina. The ‘Green Cement Decarbonisation Project’ includes hydrogen production capacity to reduce the plant’s reliance on LPG for heating and drying processes. </w:t>
      </w:r>
    </w:p>
    <w:bookmarkEnd w:id="63"/>
    <w:p w14:paraId="2590A13E" w14:textId="77777777" w:rsidR="00790C62" w:rsidRDefault="00790C62" w:rsidP="00790C62">
      <w:pPr>
        <w:pStyle w:val="Heading3"/>
        <w:rPr>
          <w:rStyle w:val="ui-provider"/>
        </w:rPr>
      </w:pPr>
      <w:r>
        <w:rPr>
          <w:rStyle w:val="ui-provider"/>
        </w:rPr>
        <w:t>Western Australia and Queensland to host a significant number of projects</w:t>
      </w:r>
    </w:p>
    <w:p w14:paraId="3291C306" w14:textId="77777777" w:rsidR="00790C62" w:rsidRDefault="00790C62" w:rsidP="00D7769A">
      <w:pPr>
        <w:pStyle w:val="Heading3"/>
        <w:rPr>
          <w:rStyle w:val="BodyTextChar"/>
        </w:rPr>
      </w:pPr>
      <w:bookmarkStart w:id="64" w:name="_Hlk151034867"/>
      <w:r w:rsidRPr="00D7769A">
        <w:rPr>
          <w:rStyle w:val="BodyTextChar"/>
        </w:rPr>
        <w:t>Western Australia continues to host</w:t>
      </w:r>
      <w:r w:rsidRPr="00D7769A" w:rsidDel="00CC4D3E">
        <w:rPr>
          <w:rStyle w:val="BodyTextChar"/>
        </w:rPr>
        <w:t xml:space="preserve"> </w:t>
      </w:r>
      <w:r w:rsidRPr="00D7769A">
        <w:rPr>
          <w:rStyle w:val="BodyTextChar"/>
        </w:rPr>
        <w:t xml:space="preserve">the highest number of hydrogen projects, with 17 of 64 (excluding expansion stages) projects being based in the state, second is Queensland with 13 projects. These states are characterised by the high availability of land and high solar energy </w:t>
      </w:r>
      <w:r>
        <w:rPr>
          <w:rStyle w:val="BodyTextChar"/>
        </w:rPr>
        <w:t>potential</w:t>
      </w:r>
      <w:r w:rsidRPr="00D7769A">
        <w:rPr>
          <w:rStyle w:val="BodyTextChar"/>
        </w:rPr>
        <w:t xml:space="preserve">, making them prime candidates for renewables-based (green) </w:t>
      </w:r>
      <w:r>
        <w:rPr>
          <w:rStyle w:val="BodyTextChar"/>
        </w:rPr>
        <w:t>h</w:t>
      </w:r>
      <w:r w:rsidRPr="00D7769A">
        <w:rPr>
          <w:rStyle w:val="BodyTextChar"/>
        </w:rPr>
        <w:t>ydrogen.</w:t>
      </w:r>
    </w:p>
    <w:bookmarkEnd w:id="64"/>
    <w:p w14:paraId="624D75B4" w14:textId="77777777" w:rsidR="00E86842" w:rsidRDefault="00790C62" w:rsidP="00E86842">
      <w:pPr>
        <w:pStyle w:val="BodyText"/>
        <w:rPr>
          <w:rFonts w:ascii="Arial" w:hAnsi="Arial"/>
          <w:b/>
          <w:szCs w:val="18"/>
        </w:rPr>
      </w:pPr>
      <w:r w:rsidRPr="00714234">
        <w:rPr>
          <w:lang w:val="en"/>
        </w:rPr>
        <w:t xml:space="preserve">To maintain consistency across information sources in this rapidly changing space, </w:t>
      </w:r>
      <w:r>
        <w:rPr>
          <w:lang w:val="en"/>
        </w:rPr>
        <w:t>the Department of Industry, Science and Resources (</w:t>
      </w:r>
      <w:r w:rsidRPr="00714234">
        <w:rPr>
          <w:lang w:val="en"/>
        </w:rPr>
        <w:t>DISR</w:t>
      </w:r>
      <w:r>
        <w:rPr>
          <w:lang w:val="en"/>
        </w:rPr>
        <w:t>)</w:t>
      </w:r>
      <w:r w:rsidRPr="00714234">
        <w:rPr>
          <w:lang w:val="en"/>
        </w:rPr>
        <w:t xml:space="preserve"> coordinates closely with HyResource (a joint initiative between Australian industry and government organisations)</w:t>
      </w:r>
      <w:r>
        <w:rPr>
          <w:lang w:val="en"/>
        </w:rPr>
        <w:t>,</w:t>
      </w:r>
      <w:r w:rsidRPr="00714234">
        <w:rPr>
          <w:lang w:val="en"/>
        </w:rPr>
        <w:t xml:space="preserve"> which lists currently active projects</w:t>
      </w:r>
      <w:r>
        <w:t>.</w:t>
      </w:r>
      <w:r w:rsidR="00E86842" w:rsidRPr="00E86842">
        <w:rPr>
          <w:rFonts w:ascii="Arial" w:hAnsi="Arial"/>
          <w:b/>
          <w:szCs w:val="18"/>
        </w:rPr>
        <w:t xml:space="preserve"> </w:t>
      </w:r>
    </w:p>
    <w:p w14:paraId="067758EF" w14:textId="4F82A6FF" w:rsidR="00E86842" w:rsidRPr="005A06C9" w:rsidRDefault="00E86842" w:rsidP="00E86842">
      <w:pPr>
        <w:pStyle w:val="Heading3"/>
      </w:pPr>
      <w:bookmarkStart w:id="65" w:name="_Hlk153459174"/>
      <w:r w:rsidRPr="003166B9">
        <w:rPr>
          <w:rFonts w:ascii="Arial" w:eastAsiaTheme="minorHAnsi" w:hAnsi="Arial" w:cstheme="minorBidi"/>
          <w:b/>
          <w:szCs w:val="18"/>
        </w:rPr>
        <w:t xml:space="preserve">Figure </w:t>
      </w:r>
      <w:r>
        <w:rPr>
          <w:rFonts w:ascii="Arial" w:eastAsiaTheme="minorHAnsi" w:hAnsi="Arial" w:cstheme="minorBidi"/>
          <w:b/>
          <w:szCs w:val="18"/>
        </w:rPr>
        <w:t>3</w:t>
      </w:r>
      <w:r w:rsidRPr="003166B9">
        <w:rPr>
          <w:rFonts w:ascii="Arial" w:eastAsiaTheme="minorHAnsi" w:hAnsi="Arial" w:cstheme="minorBidi"/>
          <w:b/>
          <w:szCs w:val="18"/>
        </w:rPr>
        <w:t>.</w:t>
      </w:r>
      <w:r>
        <w:rPr>
          <w:rFonts w:ascii="Arial" w:eastAsiaTheme="minorHAnsi" w:hAnsi="Arial" w:cstheme="minorBidi"/>
          <w:b/>
          <w:szCs w:val="18"/>
        </w:rPr>
        <w:t>2</w:t>
      </w:r>
      <w:r w:rsidRPr="003166B9">
        <w:rPr>
          <w:rFonts w:ascii="Arial" w:eastAsiaTheme="minorHAnsi" w:hAnsi="Arial" w:cstheme="minorBidi"/>
          <w:b/>
          <w:szCs w:val="18"/>
        </w:rPr>
        <w:t xml:space="preserve"> Hydrogen source by project</w:t>
      </w:r>
      <w:bookmarkEnd w:id="65"/>
      <w:r>
        <w:rPr>
          <w:noProof/>
        </w:rPr>
        <w:drawing>
          <wp:inline distT="0" distB="0" distL="0" distR="0" wp14:anchorId="47022BDE" wp14:editId="319D12FA">
            <wp:extent cx="4200525" cy="2305050"/>
            <wp:effectExtent l="0" t="0" r="0" b="0"/>
            <wp:docPr id="10" name="Chart 10" descr="This chart shows the distribution of hydrogen projects by source of hydrogen, broken down into projects using Grid/Renewables, Gas Reforming, or Coal. ">
              <a:extLst xmlns:a="http://schemas.openxmlformats.org/drawingml/2006/main">
                <a:ext uri="{FF2B5EF4-FFF2-40B4-BE49-F238E27FC236}">
                  <a16:creationId xmlns:a16="http://schemas.microsoft.com/office/drawing/2014/main" id="{145A3680-8CD9-685C-8E97-8F38CB524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9B7230" w14:textId="77777777" w:rsidR="00E86842" w:rsidRPr="00E86842" w:rsidRDefault="00E86842" w:rsidP="00E86842">
      <w:pPr>
        <w:spacing w:after="0" w:line="240" w:lineRule="auto"/>
        <w:rPr>
          <w:color w:val="005CAF"/>
          <w:sz w:val="16"/>
          <w:szCs w:val="16"/>
        </w:rPr>
      </w:pPr>
      <w:r w:rsidRPr="00832748">
        <w:rPr>
          <w:color w:val="005CAF"/>
          <w:sz w:val="16"/>
          <w:szCs w:val="16"/>
        </w:rPr>
        <w:t xml:space="preserve">Source: </w:t>
      </w:r>
      <w:r>
        <w:rPr>
          <w:color w:val="005CAF"/>
          <w:sz w:val="16"/>
          <w:szCs w:val="16"/>
        </w:rPr>
        <w:t>Department of Industry, Science and Resources (2023)</w:t>
      </w:r>
    </w:p>
    <w:p w14:paraId="71843EFD" w14:textId="77777777" w:rsidR="00D357B6" w:rsidRPr="00E86842" w:rsidRDefault="00D357B6" w:rsidP="00E86842">
      <w:pPr>
        <w:spacing w:after="0" w:line="240" w:lineRule="auto"/>
        <w:rPr>
          <w:color w:val="005CAF"/>
          <w:sz w:val="16"/>
          <w:szCs w:val="16"/>
        </w:rPr>
      </w:pPr>
    </w:p>
    <w:p w14:paraId="0578591B" w14:textId="21FF4874" w:rsidR="00E86842" w:rsidRPr="003166B9" w:rsidRDefault="00E86842" w:rsidP="00E86842">
      <w:pPr>
        <w:pStyle w:val="Heading3"/>
        <w:spacing w:before="0" w:after="0"/>
        <w:rPr>
          <w:rFonts w:ascii="Arial" w:eastAsiaTheme="minorHAnsi" w:hAnsi="Arial" w:cstheme="minorBidi"/>
          <w:b/>
          <w:szCs w:val="18"/>
        </w:rPr>
      </w:pPr>
      <w:bookmarkStart w:id="66" w:name="_Hlk153459229"/>
      <w:r w:rsidRPr="003166B9">
        <w:rPr>
          <w:rFonts w:ascii="Arial" w:eastAsiaTheme="minorHAnsi" w:hAnsi="Arial" w:cstheme="minorBidi"/>
          <w:b/>
          <w:szCs w:val="18"/>
        </w:rPr>
        <w:t xml:space="preserve">Figure </w:t>
      </w:r>
      <w:r>
        <w:rPr>
          <w:rFonts w:ascii="Arial" w:eastAsiaTheme="minorHAnsi" w:hAnsi="Arial" w:cstheme="minorBidi"/>
          <w:b/>
          <w:szCs w:val="18"/>
        </w:rPr>
        <w:t>3</w:t>
      </w:r>
      <w:r w:rsidRPr="003166B9">
        <w:rPr>
          <w:rFonts w:ascii="Arial" w:eastAsiaTheme="minorHAnsi" w:hAnsi="Arial" w:cstheme="minorBidi"/>
          <w:b/>
          <w:szCs w:val="18"/>
        </w:rPr>
        <w:t>.</w:t>
      </w:r>
      <w:r>
        <w:rPr>
          <w:rFonts w:ascii="Arial" w:eastAsiaTheme="minorHAnsi" w:hAnsi="Arial" w:cstheme="minorBidi"/>
          <w:b/>
          <w:szCs w:val="18"/>
        </w:rPr>
        <w:t>3</w:t>
      </w:r>
      <w:r w:rsidRPr="003166B9">
        <w:rPr>
          <w:rFonts w:ascii="Arial" w:eastAsiaTheme="minorHAnsi" w:hAnsi="Arial" w:cstheme="minorBidi"/>
          <w:b/>
          <w:szCs w:val="18"/>
        </w:rPr>
        <w:t xml:space="preserve"> Number of </w:t>
      </w:r>
      <w:r>
        <w:rPr>
          <w:rFonts w:ascii="Arial" w:eastAsiaTheme="minorHAnsi" w:hAnsi="Arial" w:cstheme="minorBidi"/>
          <w:b/>
          <w:szCs w:val="18"/>
        </w:rPr>
        <w:t>m</w:t>
      </w:r>
      <w:r w:rsidRPr="003166B9">
        <w:rPr>
          <w:rFonts w:ascii="Arial" w:eastAsiaTheme="minorHAnsi" w:hAnsi="Arial" w:cstheme="minorBidi"/>
          <w:b/>
          <w:szCs w:val="18"/>
        </w:rPr>
        <w:t xml:space="preserve">ajor </w:t>
      </w:r>
      <w:r>
        <w:rPr>
          <w:rFonts w:ascii="Arial" w:eastAsiaTheme="minorHAnsi" w:hAnsi="Arial" w:cstheme="minorBidi"/>
          <w:b/>
          <w:szCs w:val="18"/>
        </w:rPr>
        <w:t xml:space="preserve">hydrogen </w:t>
      </w:r>
      <w:r w:rsidRPr="003166B9">
        <w:rPr>
          <w:rFonts w:ascii="Arial" w:eastAsiaTheme="minorHAnsi" w:hAnsi="Arial" w:cstheme="minorBidi"/>
          <w:b/>
          <w:szCs w:val="18"/>
        </w:rPr>
        <w:t xml:space="preserve">projects by </w:t>
      </w:r>
      <w:r>
        <w:rPr>
          <w:rFonts w:ascii="Arial" w:eastAsiaTheme="minorHAnsi" w:hAnsi="Arial" w:cstheme="minorBidi"/>
          <w:b/>
          <w:szCs w:val="18"/>
        </w:rPr>
        <w:t>S</w:t>
      </w:r>
      <w:r w:rsidRPr="003166B9">
        <w:rPr>
          <w:rFonts w:ascii="Arial" w:eastAsiaTheme="minorHAnsi" w:hAnsi="Arial" w:cstheme="minorBidi"/>
          <w:b/>
          <w:szCs w:val="18"/>
        </w:rPr>
        <w:t>tate</w:t>
      </w:r>
      <w:r>
        <w:rPr>
          <w:rFonts w:ascii="Arial" w:eastAsiaTheme="minorHAnsi" w:hAnsi="Arial" w:cstheme="minorBidi"/>
          <w:b/>
          <w:szCs w:val="18"/>
        </w:rPr>
        <w:t>/Territory</w:t>
      </w:r>
    </w:p>
    <w:bookmarkEnd w:id="66"/>
    <w:p w14:paraId="74FF2717" w14:textId="77777777" w:rsidR="00E86842" w:rsidRDefault="00E86842" w:rsidP="00E86842">
      <w:pPr>
        <w:spacing w:after="0" w:line="240" w:lineRule="auto"/>
        <w:rPr>
          <w:color w:val="005CAF"/>
          <w:sz w:val="16"/>
          <w:szCs w:val="16"/>
        </w:rPr>
      </w:pPr>
      <w:r w:rsidRPr="003166B9">
        <w:rPr>
          <w:b/>
          <w:noProof/>
          <w:szCs w:val="18"/>
        </w:rPr>
        <w:drawing>
          <wp:inline distT="0" distB="0" distL="0" distR="0" wp14:anchorId="40DBAC32" wp14:editId="04127665">
            <wp:extent cx="4173855" cy="2402006"/>
            <wp:effectExtent l="0" t="0" r="0" b="0"/>
            <wp:docPr id="3" name="Chart 3" descr="This chart shows the number of hydrogen major projects currently in the pipeline in each state or territory. ">
              <a:extLst xmlns:a="http://schemas.openxmlformats.org/drawingml/2006/main">
                <a:ext uri="{FF2B5EF4-FFF2-40B4-BE49-F238E27FC236}">
                  <a16:creationId xmlns:a16="http://schemas.microsoft.com/office/drawing/2014/main" id="{4BC4BC74-14E7-7732-6847-E11B6CF1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8B85BA" w14:textId="77777777" w:rsidR="00E86842" w:rsidRPr="00E86842" w:rsidRDefault="00E86842" w:rsidP="00E86842">
      <w:pPr>
        <w:spacing w:after="0" w:line="240" w:lineRule="auto"/>
        <w:rPr>
          <w:color w:val="005CAF"/>
          <w:sz w:val="16"/>
          <w:szCs w:val="16"/>
        </w:rPr>
      </w:pPr>
      <w:r w:rsidRPr="00832748">
        <w:rPr>
          <w:color w:val="005CAF"/>
          <w:sz w:val="16"/>
          <w:szCs w:val="16"/>
        </w:rPr>
        <w:t xml:space="preserve">Source: </w:t>
      </w:r>
      <w:r>
        <w:rPr>
          <w:color w:val="005CAF"/>
          <w:sz w:val="16"/>
          <w:szCs w:val="16"/>
        </w:rPr>
        <w:t>Department of Industry, Science and Resources (2023)</w:t>
      </w:r>
    </w:p>
    <w:p w14:paraId="778EA455" w14:textId="77777777" w:rsidR="00790C62" w:rsidRPr="00E86842" w:rsidRDefault="00790C62" w:rsidP="00E86842">
      <w:pPr>
        <w:pStyle w:val="BodyText"/>
        <w:spacing w:before="120"/>
        <w:rPr>
          <w:lang w:val="en"/>
        </w:rPr>
        <w:sectPr w:rsidR="00790C62" w:rsidRPr="00E86842" w:rsidSect="001E2AE7">
          <w:headerReference w:type="default" r:id="rId45"/>
          <w:pgSz w:w="16838" w:h="11906" w:orient="landscape" w:code="9"/>
          <w:pgMar w:top="992" w:right="1440" w:bottom="1440" w:left="1440" w:header="709" w:footer="709" w:gutter="0"/>
          <w:cols w:num="2" w:space="708"/>
          <w:docGrid w:linePitch="360"/>
        </w:sectPr>
      </w:pPr>
    </w:p>
    <w:p w14:paraId="21894223" w14:textId="06398D5B" w:rsidR="009350B9" w:rsidRPr="007136E1" w:rsidRDefault="00D155FA" w:rsidP="009350B9">
      <w:pPr>
        <w:pStyle w:val="Heading1"/>
        <w:ind w:left="426" w:hanging="426"/>
      </w:pPr>
      <w:bookmarkStart w:id="67" w:name="_Toc152865203"/>
      <w:r>
        <w:t>C</w:t>
      </w:r>
      <w:r w:rsidR="009350B9" w:rsidRPr="007136E1">
        <w:t>ommitted</w:t>
      </w:r>
      <w:r>
        <w:t xml:space="preserve"> and completed</w:t>
      </w:r>
      <w:r w:rsidR="009350B9" w:rsidRPr="007136E1">
        <w:t xml:space="preserve"> </w:t>
      </w:r>
      <w:bookmarkEnd w:id="54"/>
      <w:bookmarkEnd w:id="55"/>
      <w:bookmarkEnd w:id="56"/>
      <w:bookmarkEnd w:id="57"/>
      <w:bookmarkEnd w:id="58"/>
      <w:bookmarkEnd w:id="59"/>
      <w:bookmarkEnd w:id="60"/>
      <w:r>
        <w:t>projects</w:t>
      </w:r>
      <w:bookmarkEnd w:id="67"/>
    </w:p>
    <w:p w14:paraId="29BAECB7" w14:textId="0F242772" w:rsidR="009350B9" w:rsidRPr="007136E1" w:rsidRDefault="003E282E" w:rsidP="00020035">
      <w:pPr>
        <w:pStyle w:val="BodyText"/>
        <w:spacing w:before="180"/>
        <w:rPr>
          <w:rFonts w:eastAsiaTheme="minorEastAsia"/>
        </w:rPr>
      </w:pPr>
      <w:r>
        <w:rPr>
          <w:rFonts w:asciiTheme="majorHAnsi" w:hAnsiTheme="majorHAnsi" w:cstheme="majorHAnsi"/>
          <w:color w:val="005CAF"/>
        </w:rPr>
        <w:t>More</w:t>
      </w:r>
      <w:r w:rsidR="001B0467">
        <w:rPr>
          <w:rFonts w:asciiTheme="majorHAnsi" w:hAnsiTheme="majorHAnsi" w:cstheme="majorHAnsi"/>
          <w:color w:val="005CAF"/>
        </w:rPr>
        <w:t xml:space="preserve"> critical </w:t>
      </w:r>
      <w:r>
        <w:rPr>
          <w:rFonts w:asciiTheme="majorHAnsi" w:hAnsiTheme="majorHAnsi" w:cstheme="majorHAnsi"/>
          <w:color w:val="005CAF"/>
        </w:rPr>
        <w:t>minerals</w:t>
      </w:r>
      <w:r w:rsidR="001B0467">
        <w:rPr>
          <w:rFonts w:asciiTheme="majorHAnsi" w:hAnsiTheme="majorHAnsi" w:cstheme="majorHAnsi"/>
          <w:color w:val="005CAF"/>
        </w:rPr>
        <w:t xml:space="preserve"> projects </w:t>
      </w:r>
      <w:r>
        <w:rPr>
          <w:rFonts w:asciiTheme="majorHAnsi" w:hAnsiTheme="majorHAnsi" w:cstheme="majorHAnsi"/>
          <w:color w:val="005CAF"/>
        </w:rPr>
        <w:t>are reaching the</w:t>
      </w:r>
      <w:r w:rsidR="00E7679E">
        <w:rPr>
          <w:rFonts w:asciiTheme="majorHAnsi" w:hAnsiTheme="majorHAnsi" w:cstheme="majorHAnsi"/>
          <w:color w:val="005CAF"/>
        </w:rPr>
        <w:t xml:space="preserve"> committed </w:t>
      </w:r>
      <w:r>
        <w:rPr>
          <w:rFonts w:asciiTheme="majorHAnsi" w:hAnsiTheme="majorHAnsi" w:cstheme="majorHAnsi"/>
          <w:color w:val="005CAF"/>
        </w:rPr>
        <w:t>stage</w:t>
      </w:r>
      <w:r w:rsidR="00E7679E">
        <w:rPr>
          <w:rFonts w:asciiTheme="majorHAnsi" w:hAnsiTheme="majorHAnsi" w:cstheme="majorHAnsi"/>
          <w:color w:val="005CAF"/>
        </w:rPr>
        <w:t xml:space="preserve"> </w:t>
      </w:r>
    </w:p>
    <w:p w14:paraId="4D9ACB7E" w14:textId="1D4FA0C0" w:rsidR="00B13266" w:rsidRDefault="006773E6" w:rsidP="009350B9">
      <w:pPr>
        <w:pStyle w:val="BodyText"/>
      </w:pPr>
      <w:r>
        <w:t xml:space="preserve">Over the year to October 2023, </w:t>
      </w:r>
      <w:r w:rsidR="00667F5C">
        <w:t>29</w:t>
      </w:r>
      <w:r>
        <w:t xml:space="preserve"> projects with a total value of $</w:t>
      </w:r>
      <w:r w:rsidR="00667F5C">
        <w:t>21</w:t>
      </w:r>
      <w:r>
        <w:t xml:space="preserve"> billion were completed, </w:t>
      </w:r>
      <w:r w:rsidR="003D176D">
        <w:t>broadly comparable with the</w:t>
      </w:r>
      <w:r w:rsidR="005E041C">
        <w:t xml:space="preserve"> </w:t>
      </w:r>
      <w:r w:rsidR="003140B1">
        <w:t>30</w:t>
      </w:r>
      <w:r w:rsidR="005E041C">
        <w:t xml:space="preserve"> projects </w:t>
      </w:r>
      <w:r w:rsidR="003D176D">
        <w:t>valued at</w:t>
      </w:r>
      <w:r>
        <w:t xml:space="preserve"> $</w:t>
      </w:r>
      <w:r w:rsidR="00667F5C">
        <w:t>14</w:t>
      </w:r>
      <w:r w:rsidR="00640338">
        <w:t> </w:t>
      </w:r>
      <w:r>
        <w:t xml:space="preserve">billion in the previous report </w:t>
      </w:r>
      <w:r w:rsidRPr="00B66996">
        <w:t xml:space="preserve">(Figure </w:t>
      </w:r>
      <w:r w:rsidR="00331B1E">
        <w:t>4</w:t>
      </w:r>
      <w:r w:rsidRPr="00B66996">
        <w:t xml:space="preserve">.1). </w:t>
      </w:r>
      <w:r w:rsidR="00B13266">
        <w:t xml:space="preserve">Most projects currently committed </w:t>
      </w:r>
      <w:r w:rsidR="00B1007E">
        <w:t xml:space="preserve">are </w:t>
      </w:r>
      <w:r w:rsidR="00B13266">
        <w:t xml:space="preserve">expected to </w:t>
      </w:r>
      <w:r w:rsidR="00E16D2D">
        <w:t xml:space="preserve">reach </w:t>
      </w:r>
      <w:r w:rsidR="00B13266">
        <w:t>complet</w:t>
      </w:r>
      <w:r w:rsidR="00E16D2D">
        <w:t>ion</w:t>
      </w:r>
      <w:r w:rsidR="00B13266">
        <w:t xml:space="preserve"> by the end of 2026. </w:t>
      </w:r>
    </w:p>
    <w:p w14:paraId="7ECE680D" w14:textId="692CFDD1" w:rsidR="00B13266" w:rsidRDefault="00B13266" w:rsidP="009350B9">
      <w:pPr>
        <w:pStyle w:val="BodyText"/>
      </w:pPr>
      <w:r>
        <w:t>T</w:t>
      </w:r>
      <w:r w:rsidR="00667F5C">
        <w:t xml:space="preserve">he projects completed this year </w:t>
      </w:r>
      <w:r w:rsidR="00D3637F">
        <w:t>largely</w:t>
      </w:r>
      <w:r w:rsidR="00B1007E">
        <w:t xml:space="preserve"> </w:t>
      </w:r>
      <w:r w:rsidR="00D3637F">
        <w:t>comprise</w:t>
      </w:r>
      <w:r w:rsidR="00667F5C">
        <w:t xml:space="preserve"> iron ore and oil </w:t>
      </w:r>
      <w:r w:rsidR="007327B8">
        <w:t>and</w:t>
      </w:r>
      <w:r w:rsidR="00667F5C">
        <w:t xml:space="preserve"> gas projects in Western Australia. </w:t>
      </w:r>
      <w:r w:rsidR="009350B9" w:rsidRPr="007136E1">
        <w:t xml:space="preserve">The </w:t>
      </w:r>
      <w:r w:rsidR="00520EEB">
        <w:t>value</w:t>
      </w:r>
      <w:r w:rsidR="009350B9" w:rsidRPr="007136E1">
        <w:t xml:space="preserve"> of projects at the committed </w:t>
      </w:r>
      <w:r w:rsidR="009350B9" w:rsidRPr="00C11943">
        <w:t xml:space="preserve">stage </w:t>
      </w:r>
      <w:r w:rsidR="003E5819">
        <w:t>moderated</w:t>
      </w:r>
      <w:r w:rsidR="00BC0C36">
        <w:t xml:space="preserve"> over the year </w:t>
      </w:r>
      <w:r w:rsidR="00AE264D" w:rsidRPr="00C11943">
        <w:t>to October 202</w:t>
      </w:r>
      <w:r w:rsidR="00BC0C36">
        <w:t xml:space="preserve">3, </w:t>
      </w:r>
      <w:r w:rsidR="003E5819">
        <w:t>easing</w:t>
      </w:r>
      <w:r w:rsidR="009350B9" w:rsidRPr="00C11943">
        <w:t xml:space="preserve"> from </w:t>
      </w:r>
      <w:r w:rsidR="00A85A5E">
        <w:t>$</w:t>
      </w:r>
      <w:r w:rsidR="00BC0C36">
        <w:t>8</w:t>
      </w:r>
      <w:r w:rsidR="003E5819">
        <w:t>3</w:t>
      </w:r>
      <w:r w:rsidR="00D21EC6">
        <w:t xml:space="preserve"> to $</w:t>
      </w:r>
      <w:r w:rsidR="00BC0C36">
        <w:t>7</w:t>
      </w:r>
      <w:r w:rsidR="00BF5C31">
        <w:t>7 </w:t>
      </w:r>
      <w:r w:rsidR="009350B9" w:rsidRPr="00C11943">
        <w:t>billion (Figure</w:t>
      </w:r>
      <w:r w:rsidR="009350B9" w:rsidRPr="007136E1">
        <w:t xml:space="preserve"> </w:t>
      </w:r>
      <w:r w:rsidR="00331B1E">
        <w:t>4</w:t>
      </w:r>
      <w:r w:rsidR="009350B9" w:rsidRPr="007136E1">
        <w:t>.</w:t>
      </w:r>
      <w:r w:rsidR="00AB2FE3">
        <w:t>2</w:t>
      </w:r>
      <w:r w:rsidR="009350B9" w:rsidRPr="007136E1">
        <w:t>).</w:t>
      </w:r>
      <w:r w:rsidR="00A63553">
        <w:t xml:space="preserve"> </w:t>
      </w:r>
      <w:r>
        <w:t xml:space="preserve">Critical mineral projects are an increasingly large part of the committed </w:t>
      </w:r>
      <w:r w:rsidR="003E282E">
        <w:t>list</w:t>
      </w:r>
      <w:r>
        <w:t xml:space="preserve">, with projects valued at $5 billion </w:t>
      </w:r>
      <w:r w:rsidR="00127A44">
        <w:t>in new commitments</w:t>
      </w:r>
      <w:r>
        <w:t xml:space="preserve"> this year</w:t>
      </w:r>
      <w:r w:rsidR="00865EAF">
        <w:t xml:space="preserve">, bringing </w:t>
      </w:r>
      <w:r w:rsidR="0008728F">
        <w:t>the value of all</w:t>
      </w:r>
      <w:r w:rsidR="00865EAF">
        <w:t xml:space="preserve"> committed critical minerals projects to $12</w:t>
      </w:r>
      <w:r w:rsidR="001452E1">
        <w:t> </w:t>
      </w:r>
      <w:r w:rsidR="00865EAF">
        <w:t>billion (</w:t>
      </w:r>
      <w:r>
        <w:t xml:space="preserve">See </w:t>
      </w:r>
      <w:r>
        <w:rPr>
          <w:i/>
        </w:rPr>
        <w:t>Critical Minerals</w:t>
      </w:r>
      <w:r>
        <w:t xml:space="preserve"> section). Lithium surpassed </w:t>
      </w:r>
      <w:r w:rsidR="00B1007E">
        <w:t xml:space="preserve">iron </w:t>
      </w:r>
      <w:r>
        <w:t xml:space="preserve">ore to become the </w:t>
      </w:r>
      <w:r w:rsidR="005C5930">
        <w:t>second</w:t>
      </w:r>
      <w:r>
        <w:rPr>
          <w:vertAlign w:val="superscript"/>
        </w:rPr>
        <w:t xml:space="preserve"> </w:t>
      </w:r>
      <w:r>
        <w:t>largest commodity in committed capital expenditure (Figure 4.3)</w:t>
      </w:r>
      <w:r w:rsidR="00985E36">
        <w:t>.</w:t>
      </w:r>
    </w:p>
    <w:p w14:paraId="7E5F3429" w14:textId="39854848" w:rsidR="00175573" w:rsidRDefault="00175573" w:rsidP="009350B9">
      <w:pPr>
        <w:pStyle w:val="BodyText"/>
      </w:pPr>
      <w:r>
        <w:t xml:space="preserve">For committed projects, estimates for the number of construction jobs is available for 51% of projects, while estimates for the number of ongoing jobs is available for 44% of projects. </w:t>
      </w:r>
      <w:r w:rsidRPr="00175573">
        <w:t xml:space="preserve">Proponents expect at least 21,000 construction and 10,000 ongoing jobs from </w:t>
      </w:r>
      <w:r>
        <w:t>these</w:t>
      </w:r>
      <w:r w:rsidRPr="00175573">
        <w:t xml:space="preserve"> projects</w:t>
      </w:r>
      <w:r>
        <w:t>.</w:t>
      </w:r>
    </w:p>
    <w:p w14:paraId="2D3F3434" w14:textId="0662C3DC" w:rsidR="009A6A24" w:rsidRDefault="00DC10CA" w:rsidP="009A6A24">
      <w:pPr>
        <w:pStyle w:val="Heading3"/>
      </w:pPr>
      <w:r>
        <w:t>P</w:t>
      </w:r>
      <w:r w:rsidR="009A6A24">
        <w:t>rojects</w:t>
      </w:r>
      <w:r>
        <w:t xml:space="preserve"> are progressing for a range of commodities</w:t>
      </w:r>
    </w:p>
    <w:p w14:paraId="673AA398" w14:textId="4E7F4FE0" w:rsidR="00F478A8" w:rsidRDefault="00D3637F" w:rsidP="009350B9">
      <w:pPr>
        <w:pStyle w:val="BodyText"/>
      </w:pPr>
      <w:r>
        <w:t xml:space="preserve">Consistent with previous editions of the REMP, </w:t>
      </w:r>
      <w:r w:rsidRPr="002D3F07">
        <w:rPr>
          <w:b/>
          <w:bCs/>
        </w:rPr>
        <w:t>oil and gas</w:t>
      </w:r>
      <w:r>
        <w:t xml:space="preserve"> projects comprise the largest single group of committed projects by value. T</w:t>
      </w:r>
      <w:r w:rsidR="00750BEE">
        <w:t>here are 1</w:t>
      </w:r>
      <w:r w:rsidR="003E5819">
        <w:t>2</w:t>
      </w:r>
      <w:r w:rsidR="00750BEE">
        <w:t xml:space="preserve"> oil and gas projects that are </w:t>
      </w:r>
      <w:r w:rsidR="00F478A8">
        <w:t>in the committed stage</w:t>
      </w:r>
      <w:r w:rsidR="0008728F">
        <w:t>,</w:t>
      </w:r>
      <w:r w:rsidR="00F478A8">
        <w:t xml:space="preserve"> with a value of $36 billion. </w:t>
      </w:r>
      <w:r w:rsidR="00205353">
        <w:t xml:space="preserve">This compares with $46 billion for the 2022 REMP, with the fall attributed to 5 projects progressing to the completed stage </w:t>
      </w:r>
      <w:r>
        <w:t xml:space="preserve">— </w:t>
      </w:r>
      <w:r w:rsidR="00205353">
        <w:t xml:space="preserve">including the $5.7 billion Gorgon Stage 2 development. </w:t>
      </w:r>
      <w:r w:rsidR="00127A44">
        <w:t>New commitments in 2023</w:t>
      </w:r>
      <w:r w:rsidR="000F2DED">
        <w:t xml:space="preserve"> </w:t>
      </w:r>
      <w:r w:rsidR="00127A44">
        <w:t xml:space="preserve">includes a single project, </w:t>
      </w:r>
      <w:r w:rsidR="000F2DED">
        <w:t>the third phase of the Julimar-Brunello Project in Western Australia</w:t>
      </w:r>
      <w:r w:rsidR="00205353">
        <w:t xml:space="preserve">. </w:t>
      </w:r>
    </w:p>
    <w:p w14:paraId="423AC089" w14:textId="23FBC26F" w:rsidR="00175573" w:rsidRDefault="00175573" w:rsidP="00175573">
      <w:pPr>
        <w:pStyle w:val="Caption"/>
      </w:pPr>
      <w:r>
        <w:t xml:space="preserve">Figure </w:t>
      </w:r>
      <w:r>
        <w:rPr>
          <w:noProof/>
        </w:rPr>
        <w:fldChar w:fldCharType="begin"/>
      </w:r>
      <w:r>
        <w:rPr>
          <w:noProof/>
        </w:rPr>
        <w:instrText xml:space="preserve"> STYLEREF 1 \s </w:instrText>
      </w:r>
      <w:r>
        <w:rPr>
          <w:noProof/>
        </w:rPr>
        <w:fldChar w:fldCharType="separate"/>
      </w:r>
      <w:r w:rsidR="006D6E1F">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1</w:t>
      </w:r>
      <w:r>
        <w:rPr>
          <w:noProof/>
        </w:rPr>
        <w:fldChar w:fldCharType="end"/>
      </w:r>
      <w:r>
        <w:t xml:space="preserve">: </w:t>
      </w:r>
      <w:bookmarkStart w:id="68" w:name="_Hlk153459905"/>
      <w:r>
        <w:t>Expected completion year of projects, from adv</w:t>
      </w:r>
      <w:r w:rsidR="00AE5633">
        <w:t>anced</w:t>
      </w:r>
      <w:r>
        <w:t xml:space="preserve"> feasibility</w:t>
      </w:r>
    </w:p>
    <w:bookmarkEnd w:id="68"/>
    <w:p w14:paraId="7A9D8023" w14:textId="77777777" w:rsidR="005E530E" w:rsidRDefault="00175573" w:rsidP="00175573">
      <w:pPr>
        <w:pStyle w:val="Source"/>
        <w:spacing w:after="180"/>
      </w:pPr>
      <w:r>
        <w:rPr>
          <w:noProof/>
        </w:rPr>
        <w:drawing>
          <wp:inline distT="0" distB="0" distL="0" distR="0" wp14:anchorId="69E6B4DC" wp14:editId="1ABD9237">
            <wp:extent cx="4206875" cy="2228850"/>
            <wp:effectExtent l="0" t="0" r="3175" b="0"/>
            <wp:docPr id="9" name="Chart 9" descr="This graph shows the value of projects in the advanced feasibility stage and beyond by their expected completion year,">
              <a:extLst xmlns:a="http://schemas.openxmlformats.org/drawingml/2006/main">
                <a:ext uri="{FF2B5EF4-FFF2-40B4-BE49-F238E27FC236}">
                  <a16:creationId xmlns:a16="http://schemas.microsoft.com/office/drawing/2014/main" id="{EF2FC554-BE74-4730-977C-107CA5D35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1C4A5AB" w14:textId="061F685D" w:rsidR="005E530E" w:rsidRDefault="005E530E" w:rsidP="00175573">
      <w:pPr>
        <w:pStyle w:val="Source"/>
        <w:spacing w:after="180"/>
      </w:pPr>
      <w:r>
        <w:t>Notes: Expected completion year of projects are based on either company announcement or estimated by DISR if t</w:t>
      </w:r>
      <w:r w:rsidR="00CE4240">
        <w:t>he proponent did not publish an</w:t>
      </w:r>
      <w:r>
        <w:t xml:space="preserve"> expected completion year</w:t>
      </w:r>
      <w:r w:rsidR="00CE4240">
        <w:t>.</w:t>
      </w:r>
    </w:p>
    <w:p w14:paraId="0769336E" w14:textId="74216FA3" w:rsidR="00175573" w:rsidRDefault="00175573" w:rsidP="00175573">
      <w:pPr>
        <w:pStyle w:val="Source"/>
        <w:spacing w:after="180"/>
        <w:rPr>
          <w:lang w:eastAsia="en-AU"/>
        </w:rPr>
      </w:pPr>
      <w:r w:rsidRPr="007136E1">
        <w:t xml:space="preserve">Source: </w:t>
      </w:r>
      <w:r>
        <w:rPr>
          <w:lang w:eastAsia="en-AU"/>
        </w:rPr>
        <w:t xml:space="preserve">Department of Industry, Science and Resources </w:t>
      </w:r>
      <w:r w:rsidRPr="007136E1">
        <w:rPr>
          <w:lang w:eastAsia="en-AU"/>
        </w:rPr>
        <w:t>(202</w:t>
      </w:r>
      <w:r>
        <w:rPr>
          <w:lang w:eastAsia="en-AU"/>
        </w:rPr>
        <w:t>3</w:t>
      </w:r>
      <w:r w:rsidRPr="007136E1">
        <w:rPr>
          <w:lang w:eastAsia="en-AU"/>
        </w:rPr>
        <w:t>)</w:t>
      </w:r>
    </w:p>
    <w:p w14:paraId="52BB7434" w14:textId="0DF93B7C" w:rsidR="00175573" w:rsidRDefault="00175573" w:rsidP="00045A49">
      <w:pPr>
        <w:pStyle w:val="Caption"/>
        <w:spacing w:before="180"/>
      </w:pPr>
      <w:r>
        <w:t xml:space="preserve">Figure </w:t>
      </w:r>
      <w:r>
        <w:rPr>
          <w:noProof/>
        </w:rPr>
        <w:fldChar w:fldCharType="begin"/>
      </w:r>
      <w:r>
        <w:rPr>
          <w:noProof/>
        </w:rPr>
        <w:instrText xml:space="preserve"> STYLEREF 1 \s </w:instrText>
      </w:r>
      <w:r>
        <w:rPr>
          <w:noProof/>
        </w:rPr>
        <w:fldChar w:fldCharType="separate"/>
      </w:r>
      <w:r w:rsidR="006D6E1F">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2</w:t>
      </w:r>
      <w:r>
        <w:rPr>
          <w:noProof/>
        </w:rPr>
        <w:fldChar w:fldCharType="end"/>
      </w:r>
      <w:r>
        <w:t xml:space="preserve">: </w:t>
      </w:r>
      <w:r w:rsidRPr="00494AA4">
        <w:t>Number and value of committed projects</w:t>
      </w:r>
    </w:p>
    <w:p w14:paraId="7C65D46A" w14:textId="77777777" w:rsidR="00175573" w:rsidRPr="007136E1" w:rsidRDefault="00175573" w:rsidP="00175573">
      <w:pPr>
        <w:pStyle w:val="Source"/>
      </w:pPr>
      <w:r>
        <w:rPr>
          <w:noProof/>
        </w:rPr>
        <w:drawing>
          <wp:inline distT="0" distB="0" distL="0" distR="0" wp14:anchorId="445EBDCB" wp14:editId="22EC9E44">
            <wp:extent cx="4206875" cy="2295525"/>
            <wp:effectExtent l="0" t="0" r="3175" b="0"/>
            <wp:docPr id="27" name="Chart 27" descr="This graph shows the value and number of projects at the committed stage by year.">
              <a:extLst xmlns:a="http://schemas.openxmlformats.org/drawingml/2006/main">
                <a:ext uri="{FF2B5EF4-FFF2-40B4-BE49-F238E27FC236}">
                  <a16:creationId xmlns:a16="http://schemas.microsoft.com/office/drawing/2014/main" id="{5A9FD6F9-7BC3-472F-80CE-6F36E57C0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136E1">
        <w:t xml:space="preserve"> </w:t>
      </w:r>
    </w:p>
    <w:p w14:paraId="6992EB6E" w14:textId="77777777" w:rsidR="00175573" w:rsidRDefault="00175573" w:rsidP="00175573">
      <w:pPr>
        <w:pStyle w:val="Source"/>
        <w:rPr>
          <w:lang w:eastAsia="en-AU"/>
        </w:rPr>
      </w:pPr>
      <w:r w:rsidRPr="007136E1">
        <w:t xml:space="preserve">Source: </w:t>
      </w:r>
      <w:r>
        <w:rPr>
          <w:lang w:eastAsia="en-AU"/>
        </w:rPr>
        <w:t xml:space="preserve">Department of Industry, Science and Resources </w:t>
      </w:r>
      <w:r w:rsidRPr="007136E1">
        <w:rPr>
          <w:lang w:eastAsia="en-AU"/>
        </w:rPr>
        <w:t>(202</w:t>
      </w:r>
      <w:r>
        <w:rPr>
          <w:lang w:eastAsia="en-AU"/>
        </w:rPr>
        <w:t>3</w:t>
      </w:r>
      <w:r w:rsidRPr="007136E1">
        <w:rPr>
          <w:lang w:eastAsia="en-AU"/>
        </w:rPr>
        <w:t>)</w:t>
      </w:r>
    </w:p>
    <w:p w14:paraId="37802742" w14:textId="01867D4C" w:rsidR="00CA2A3D" w:rsidRDefault="0030032E" w:rsidP="00CA2A3D">
      <w:pPr>
        <w:pStyle w:val="BodyText"/>
      </w:pPr>
      <w:r>
        <w:t xml:space="preserve">The characteristics of these oil and gas projects vary widely. Some </w:t>
      </w:r>
      <w:r w:rsidR="00CA2A3D">
        <w:t xml:space="preserve">projects </w:t>
      </w:r>
      <w:r w:rsidR="00D3637F">
        <w:t xml:space="preserve">involve </w:t>
      </w:r>
      <w:r w:rsidR="00CA2A3D">
        <w:t>the production of oil and gas, while others include the building of LNG trains which liquify natural gas for export</w:t>
      </w:r>
      <w:r w:rsidR="004159A9">
        <w:t>. Finally</w:t>
      </w:r>
      <w:r w:rsidR="00991903">
        <w:t>,</w:t>
      </w:r>
      <w:r w:rsidR="00CA2A3D">
        <w:t xml:space="preserve"> </w:t>
      </w:r>
      <w:r w:rsidR="004159A9">
        <w:t>there are</w:t>
      </w:r>
      <w:r w:rsidR="00CA2A3D">
        <w:t xml:space="preserve"> </w:t>
      </w:r>
      <w:r w:rsidR="00D87479">
        <w:t xml:space="preserve">LNG </w:t>
      </w:r>
      <w:r w:rsidR="00D67311">
        <w:t>import terminals</w:t>
      </w:r>
      <w:r w:rsidR="00D87479" w:rsidDel="00D67311">
        <w:t xml:space="preserve"> </w:t>
      </w:r>
      <w:r w:rsidR="000006B1">
        <w:t>in committed projects</w:t>
      </w:r>
      <w:r w:rsidR="00D87479" w:rsidDel="00D67311">
        <w:t xml:space="preserve"> </w:t>
      </w:r>
      <w:r w:rsidR="00CA2A3D">
        <w:t>which w</w:t>
      </w:r>
      <w:r w:rsidR="004159A9">
        <w:t xml:space="preserve">ill </w:t>
      </w:r>
      <w:r w:rsidR="00CA2A3D">
        <w:t xml:space="preserve">enable Australia to </w:t>
      </w:r>
      <w:r w:rsidR="00CC0DA1">
        <w:t>receive</w:t>
      </w:r>
      <w:r w:rsidR="00CA2A3D">
        <w:t xml:space="preserve"> LNG for the first time.</w:t>
      </w:r>
    </w:p>
    <w:p w14:paraId="0722D245" w14:textId="4820C488" w:rsidR="00D3637F" w:rsidRDefault="00D3637F" w:rsidP="00D3637F">
      <w:pPr>
        <w:pStyle w:val="BodyText"/>
      </w:pPr>
      <w:r>
        <w:t xml:space="preserve">Several </w:t>
      </w:r>
      <w:r w:rsidR="00C032FE">
        <w:t xml:space="preserve">large </w:t>
      </w:r>
      <w:r w:rsidR="00C032FE" w:rsidRPr="002D3F07">
        <w:rPr>
          <w:b/>
          <w:bCs/>
        </w:rPr>
        <w:t>iron ore</w:t>
      </w:r>
      <w:r w:rsidR="00C032FE">
        <w:t xml:space="preserve"> projects progressed to the committed stage or achieved completion over the past year</w:t>
      </w:r>
      <w:r>
        <w:t xml:space="preserve"> </w:t>
      </w:r>
      <w:r w:rsidR="00C032FE">
        <w:t xml:space="preserve">(Figure 4.4). </w:t>
      </w:r>
      <w:r w:rsidR="004871AA">
        <w:t xml:space="preserve">In June 2023, </w:t>
      </w:r>
      <w:r w:rsidR="00C032FE">
        <w:t xml:space="preserve">Rio Tinto announced </w:t>
      </w:r>
      <w:r w:rsidR="00ED0720">
        <w:t xml:space="preserve">it had awarded </w:t>
      </w:r>
      <w:r w:rsidR="00C032FE">
        <w:t xml:space="preserve">$1 billion in construction contracts for its $3 billion </w:t>
      </w:r>
      <w:r w:rsidR="00C032FE" w:rsidRPr="00E4620B">
        <w:t xml:space="preserve">Western Range </w:t>
      </w:r>
      <w:r w:rsidR="00C032FE">
        <w:t xml:space="preserve">joint </w:t>
      </w:r>
      <w:r>
        <w:t xml:space="preserve">venture with </w:t>
      </w:r>
      <w:r w:rsidRPr="00E4620B">
        <w:t>Baowu Steel</w:t>
      </w:r>
      <w:r>
        <w:t xml:space="preserve"> Group. In August 2023</w:t>
      </w:r>
      <w:r w:rsidR="004871AA">
        <w:t>,</w:t>
      </w:r>
      <w:r>
        <w:t xml:space="preserve"> BlueScope Steel approved a $1 billion blast furnace relining. Alinta </w:t>
      </w:r>
      <w:r w:rsidRPr="00E4620B">
        <w:t>Energy’s Port Hedland Solar Project</w:t>
      </w:r>
      <w:r>
        <w:t xml:space="preserve"> also announced battery and solar installation contracts for its $180 million Port Hedland Solar Battery Hybrid project. The project will </w:t>
      </w:r>
      <w:r w:rsidRPr="00896D7D">
        <w:t>power</w:t>
      </w:r>
      <w:r>
        <w:t xml:space="preserve"> </w:t>
      </w:r>
      <w:r w:rsidRPr="00896D7D">
        <w:t xml:space="preserve">BHP’s </w:t>
      </w:r>
      <w:r w:rsidR="00ED0720" w:rsidRPr="00896D7D">
        <w:t xml:space="preserve">Port Hedland </w:t>
      </w:r>
      <w:r w:rsidRPr="00896D7D">
        <w:t>iron ore port facilities.</w:t>
      </w:r>
      <w:r>
        <w:t xml:space="preserve"> First production of Fortescue’s 22 million tonnes per annum Iron Bridge Magnetite project was achieved during the June quarter 2023.</w:t>
      </w:r>
      <w:r w:rsidR="0030032E">
        <w:t xml:space="preserve"> </w:t>
      </w:r>
      <w:r>
        <w:t xml:space="preserve">The net impact of these changes saw the total estimated value of iron ore </w:t>
      </w:r>
      <w:r w:rsidRPr="00E4620B">
        <w:t>projects in the committed stage</w:t>
      </w:r>
      <w:r>
        <w:t xml:space="preserve"> in this year’s report fall</w:t>
      </w:r>
      <w:r w:rsidRPr="00E4620B">
        <w:t xml:space="preserve"> from $10 billion to $7 billion.</w:t>
      </w:r>
      <w:r w:rsidR="0030032E">
        <w:t xml:space="preserve"> </w:t>
      </w:r>
    </w:p>
    <w:p w14:paraId="4DCFD762" w14:textId="29074646" w:rsidR="002114F5" w:rsidRDefault="002114F5" w:rsidP="00970B33">
      <w:pPr>
        <w:pStyle w:val="BodyText"/>
      </w:pPr>
      <w:r w:rsidRPr="009431AB">
        <w:t xml:space="preserve">There </w:t>
      </w:r>
      <w:r>
        <w:t xml:space="preserve">are 12 </w:t>
      </w:r>
      <w:r w:rsidRPr="002D3F07">
        <w:rPr>
          <w:b/>
          <w:bCs/>
        </w:rPr>
        <w:t>gold</w:t>
      </w:r>
      <w:r>
        <w:t xml:space="preserve"> projects at the committed stage, with a total value estimated at $6.6 billion. </w:t>
      </w:r>
      <w:r w:rsidR="004A1704">
        <w:t>Notable projects at the committed stage include Northern Star Resources’ $1.</w:t>
      </w:r>
      <w:r>
        <w:t xml:space="preserve">5 </w:t>
      </w:r>
      <w:r w:rsidR="004A1704">
        <w:t xml:space="preserve">billion KCGM mill expansion — which is expected to double output at the </w:t>
      </w:r>
      <w:r w:rsidR="008E6BCA">
        <w:t>S</w:t>
      </w:r>
      <w:r w:rsidR="004A1704">
        <w:t xml:space="preserve">uper </w:t>
      </w:r>
      <w:r w:rsidR="008E6BCA">
        <w:t>P</w:t>
      </w:r>
      <w:r w:rsidR="004A1704">
        <w:t>it by 2029 — and Newmont Mining Corporation’s $1.9 billion Tanami expansion phase 2.</w:t>
      </w:r>
      <w:r>
        <w:t xml:space="preserve"> </w:t>
      </w:r>
    </w:p>
    <w:p w14:paraId="64E18488" w14:textId="10E459C1" w:rsidR="00577E8E" w:rsidRDefault="00577E8E" w:rsidP="00877003">
      <w:pPr>
        <w:pStyle w:val="BodyText"/>
      </w:pPr>
      <w:r w:rsidRPr="009431AB">
        <w:t xml:space="preserve">There </w:t>
      </w:r>
      <w:r>
        <w:t xml:space="preserve">are </w:t>
      </w:r>
      <w:r w:rsidR="004A7C64" w:rsidRPr="00554BDF">
        <w:t>currently 1</w:t>
      </w:r>
      <w:r w:rsidR="005C34D5">
        <w:t>0</w:t>
      </w:r>
      <w:r>
        <w:t xml:space="preserve"> </w:t>
      </w:r>
      <w:r w:rsidRPr="002D3F07">
        <w:rPr>
          <w:b/>
          <w:bCs/>
        </w:rPr>
        <w:t>coal</w:t>
      </w:r>
      <w:r>
        <w:t xml:space="preserve"> projects at the committed stage, with a total value estimated at $</w:t>
      </w:r>
      <w:r w:rsidR="005C34D5">
        <w:t>4</w:t>
      </w:r>
      <w:r>
        <w:t>.</w:t>
      </w:r>
      <w:r w:rsidR="005C34D5">
        <w:t>6</w:t>
      </w:r>
      <w:r>
        <w:t xml:space="preserve"> billion. </w:t>
      </w:r>
      <w:r w:rsidR="00554BDF" w:rsidRPr="00554BDF">
        <w:t xml:space="preserve">Most </w:t>
      </w:r>
      <w:r w:rsidR="00153396">
        <w:t xml:space="preserve">of these (including various port and channel upgrades, </w:t>
      </w:r>
      <w:r w:rsidR="008E6BCA">
        <w:t xml:space="preserve">and </w:t>
      </w:r>
      <w:r w:rsidR="00153396">
        <w:t>the Wilton-Fairhill, Vickery, and Mandalong</w:t>
      </w:r>
      <w:r w:rsidR="008E6BCA">
        <w:t xml:space="preserve"> mines</w:t>
      </w:r>
      <w:r w:rsidR="00153396">
        <w:t xml:space="preserve">) </w:t>
      </w:r>
      <w:r w:rsidR="00554BDF" w:rsidRPr="00554BDF">
        <w:t>are expected to be completed within the next t</w:t>
      </w:r>
      <w:r w:rsidR="00153396">
        <w:t>hree</w:t>
      </w:r>
      <w:r w:rsidR="00554BDF" w:rsidRPr="00554BDF">
        <w:t xml:space="preserve"> years. One project (worth </w:t>
      </w:r>
      <w:r w:rsidR="00C032FE">
        <w:t>just under $1 billion</w:t>
      </w:r>
      <w:r w:rsidR="00C032FE" w:rsidRPr="00554BDF">
        <w:t xml:space="preserve">) is at the advanced feasibility stage. </w:t>
      </w:r>
      <w:r w:rsidR="00C032FE">
        <w:t xml:space="preserve">The coal project </w:t>
      </w:r>
      <w:r w:rsidR="003E282E">
        <w:t>list</w:t>
      </w:r>
      <w:r w:rsidR="00C032FE">
        <w:t xml:space="preserve"> points to a reasonably solid investment profile in the short-term but with a </w:t>
      </w:r>
      <w:r w:rsidR="00C032FE" w:rsidRPr="00554BDF">
        <w:t>tail</w:t>
      </w:r>
      <w:r w:rsidR="00C032FE">
        <w:t>-</w:t>
      </w:r>
      <w:r w:rsidR="00C032FE" w:rsidRPr="00554BDF">
        <w:t xml:space="preserve">off </w:t>
      </w:r>
      <w:r w:rsidR="00C032FE">
        <w:t>from 2026.</w:t>
      </w:r>
    </w:p>
    <w:p w14:paraId="7112B3ED" w14:textId="77777777" w:rsidR="0030032E" w:rsidRDefault="0030032E" w:rsidP="0030032E">
      <w:pPr>
        <w:pStyle w:val="BodyText"/>
      </w:pPr>
      <w:r>
        <w:t xml:space="preserve">Committed </w:t>
      </w:r>
      <w:r w:rsidRPr="0030032E">
        <w:rPr>
          <w:b/>
          <w:bCs/>
        </w:rPr>
        <w:t>infrastructure</w:t>
      </w:r>
      <w:r w:rsidRPr="00647A5E">
        <w:t xml:space="preserve"> projects </w:t>
      </w:r>
      <w:r>
        <w:t>totalled</w:t>
      </w:r>
      <w:r w:rsidRPr="00647A5E">
        <w:t xml:space="preserve"> $4.4 billion in 2023</w:t>
      </w:r>
      <w:r>
        <w:t>, and include</w:t>
      </w:r>
      <w:r w:rsidRPr="00647A5E">
        <w:t xml:space="preserve"> new and expanded gas pipelines, productivity </w:t>
      </w:r>
      <w:r>
        <w:t>enhancing port and rail upgrades</w:t>
      </w:r>
      <w:r w:rsidRPr="00647A5E">
        <w:t>, and projects that facilitate the energy transition.</w:t>
      </w:r>
    </w:p>
    <w:p w14:paraId="6C34F44E" w14:textId="2C4646AD" w:rsidR="00B84BD5" w:rsidRDefault="00B84BD5" w:rsidP="00B84BD5">
      <w:pPr>
        <w:pStyle w:val="Caption"/>
      </w:pPr>
      <w:r>
        <w:t xml:space="preserve">Figure </w:t>
      </w:r>
      <w:r>
        <w:rPr>
          <w:noProof/>
        </w:rPr>
        <w:fldChar w:fldCharType="begin"/>
      </w:r>
      <w:r>
        <w:rPr>
          <w:noProof/>
        </w:rPr>
        <w:instrText xml:space="preserve"> STYLEREF 1 \s </w:instrText>
      </w:r>
      <w:r>
        <w:rPr>
          <w:noProof/>
        </w:rPr>
        <w:fldChar w:fldCharType="separate"/>
      </w:r>
      <w:r w:rsidR="006D6E1F">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3</w:t>
      </w:r>
      <w:r>
        <w:rPr>
          <w:noProof/>
        </w:rPr>
        <w:fldChar w:fldCharType="end"/>
      </w:r>
      <w:r>
        <w:t xml:space="preserve">: </w:t>
      </w:r>
      <w:r w:rsidRPr="00E5191A">
        <w:t>Value of committed projects by commodity</w:t>
      </w:r>
    </w:p>
    <w:p w14:paraId="468D57FC" w14:textId="40AE8015" w:rsidR="00B84BD5" w:rsidRPr="007136E1" w:rsidRDefault="00B84BD5" w:rsidP="00B84BD5">
      <w:pPr>
        <w:pStyle w:val="Source"/>
        <w:spacing w:before="120"/>
      </w:pPr>
      <w:r>
        <w:rPr>
          <w:noProof/>
        </w:rPr>
        <w:drawing>
          <wp:inline distT="0" distB="0" distL="0" distR="0" wp14:anchorId="27D5B612" wp14:editId="71121595">
            <wp:extent cx="4206875" cy="1962150"/>
            <wp:effectExtent l="0" t="0" r="3175" b="0"/>
            <wp:docPr id="13" name="Chart 13" descr="This graph shows the value of committed projects by commodity">
              <a:extLst xmlns:a="http://schemas.openxmlformats.org/drawingml/2006/main">
                <a:ext uri="{FF2B5EF4-FFF2-40B4-BE49-F238E27FC236}">
                  <a16:creationId xmlns:a16="http://schemas.microsoft.com/office/drawing/2014/main" id="{3E6ABB9E-1074-4FFA-B23D-04BAB5F0C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7136E1">
        <w:t xml:space="preserve"> Notes: Infrastructure is limited to resource, energy infrastructure projects including CCS. Other Commodities is limited to resource and energy commodities not elsewhere identified. </w:t>
      </w:r>
    </w:p>
    <w:p w14:paraId="37753DEE" w14:textId="517B36F9" w:rsidR="00B84BD5" w:rsidRDefault="00B84BD5" w:rsidP="00B84BD5">
      <w:pPr>
        <w:pStyle w:val="Source"/>
        <w:rPr>
          <w:lang w:eastAsia="en-AU"/>
        </w:rPr>
      </w:pPr>
      <w:r w:rsidRPr="007136E1">
        <w:t xml:space="preserve">Source: </w:t>
      </w:r>
      <w:r>
        <w:rPr>
          <w:lang w:eastAsia="en-AU"/>
        </w:rPr>
        <w:t>Department of Industry, Science and Resources (202</w:t>
      </w:r>
      <w:r w:rsidR="003653E0">
        <w:rPr>
          <w:lang w:eastAsia="en-AU"/>
        </w:rPr>
        <w:t>3</w:t>
      </w:r>
      <w:r w:rsidRPr="007136E1">
        <w:rPr>
          <w:lang w:eastAsia="en-AU"/>
        </w:rPr>
        <w:t>)</w:t>
      </w:r>
    </w:p>
    <w:p w14:paraId="37EDBF37" w14:textId="1673CDCF" w:rsidR="009A7CAB" w:rsidRDefault="009A7CAB" w:rsidP="00045A49">
      <w:pPr>
        <w:pStyle w:val="Caption"/>
        <w:spacing w:before="180"/>
      </w:pPr>
      <w:r>
        <w:t xml:space="preserve">Figure </w:t>
      </w:r>
      <w:r>
        <w:rPr>
          <w:noProof/>
        </w:rPr>
        <w:fldChar w:fldCharType="begin"/>
      </w:r>
      <w:r>
        <w:rPr>
          <w:noProof/>
        </w:rPr>
        <w:instrText xml:space="preserve"> STYLEREF 1 \s </w:instrText>
      </w:r>
      <w:r>
        <w:rPr>
          <w:noProof/>
        </w:rPr>
        <w:fldChar w:fldCharType="separate"/>
      </w:r>
      <w:r w:rsidR="006D6E1F">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6D6E1F">
        <w:rPr>
          <w:noProof/>
        </w:rPr>
        <w:t>4</w:t>
      </w:r>
      <w:r>
        <w:rPr>
          <w:noProof/>
        </w:rPr>
        <w:fldChar w:fldCharType="end"/>
      </w:r>
      <w:r>
        <w:t xml:space="preserve">: </w:t>
      </w:r>
      <w:r w:rsidR="00160618">
        <w:t>Value of c</w:t>
      </w:r>
      <w:r>
        <w:t>ompletions and new commitments</w:t>
      </w:r>
    </w:p>
    <w:p w14:paraId="36CD8071" w14:textId="77777777" w:rsidR="009A7CAB" w:rsidRDefault="009A7CAB" w:rsidP="009A7CAB">
      <w:pPr>
        <w:pStyle w:val="Note"/>
      </w:pPr>
      <w:r>
        <w:rPr>
          <w:noProof/>
        </w:rPr>
        <w:drawing>
          <wp:inline distT="0" distB="0" distL="0" distR="0" wp14:anchorId="7A9630E8" wp14:editId="5446FCC9">
            <wp:extent cx="4206875" cy="2133600"/>
            <wp:effectExtent l="0" t="0" r="3175" b="0"/>
            <wp:docPr id="32" name="Chart 32" descr="This graph shows the value of projects completed or have reached FID this year">
              <a:extLst xmlns:a="http://schemas.openxmlformats.org/drawingml/2006/main">
                <a:ext uri="{FF2B5EF4-FFF2-40B4-BE49-F238E27FC236}">
                  <a16:creationId xmlns:a16="http://schemas.microsoft.com/office/drawing/2014/main" id="{E574015E-B67A-BAF6-ADB4-AAEF1D363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C53244" w14:textId="3609AEAC" w:rsidR="009A7CAB" w:rsidRPr="00C62F3A" w:rsidRDefault="009A7CAB" w:rsidP="009A7CAB">
      <w:pPr>
        <w:pStyle w:val="Note"/>
      </w:pPr>
      <w:r>
        <w:t xml:space="preserve">Notes: </w:t>
      </w:r>
      <w:r w:rsidRPr="007136E1">
        <w:t>Infrastructure is limited to resource, energy infrastructure projects including CCS. Other Commodities is limited to resource and energy commodities not elsewhere identified.</w:t>
      </w:r>
    </w:p>
    <w:p w14:paraId="76F7294B" w14:textId="3C12B3F4" w:rsidR="009A7CAB" w:rsidRDefault="009A7CAB" w:rsidP="009A7CAB">
      <w:pPr>
        <w:pStyle w:val="Source"/>
        <w:rPr>
          <w:lang w:eastAsia="en-AU"/>
        </w:rPr>
      </w:pPr>
      <w:r>
        <w:t xml:space="preserve">Source: </w:t>
      </w:r>
      <w:r>
        <w:rPr>
          <w:lang w:eastAsia="en-AU"/>
        </w:rPr>
        <w:t>Department of Industry, Science and Resources (202</w:t>
      </w:r>
      <w:r w:rsidR="003653E0">
        <w:rPr>
          <w:lang w:eastAsia="en-AU"/>
        </w:rPr>
        <w:t>3</w:t>
      </w:r>
      <w:r w:rsidRPr="007136E1">
        <w:rPr>
          <w:lang w:eastAsia="en-AU"/>
        </w:rPr>
        <w:t>)</w:t>
      </w:r>
    </w:p>
    <w:p w14:paraId="13928C71" w14:textId="21A63B39" w:rsidR="002D3F2E" w:rsidRPr="007136E1" w:rsidRDefault="002D3F2E" w:rsidP="005379A2">
      <w:pPr>
        <w:pStyle w:val="BodyText"/>
        <w:sectPr w:rsidR="002D3F2E" w:rsidRPr="007136E1" w:rsidSect="00045A49">
          <w:headerReference w:type="even" r:id="rId50"/>
          <w:headerReference w:type="default" r:id="rId51"/>
          <w:footerReference w:type="even" r:id="rId52"/>
          <w:footerReference w:type="default" r:id="rId53"/>
          <w:headerReference w:type="first" r:id="rId54"/>
          <w:footerReference w:type="first" r:id="rId55"/>
          <w:pgSz w:w="16838" w:h="11906" w:orient="landscape" w:code="9"/>
          <w:pgMar w:top="992" w:right="1440" w:bottom="992" w:left="1440" w:header="709" w:footer="709" w:gutter="0"/>
          <w:cols w:num="2" w:space="708"/>
          <w:docGrid w:linePitch="360"/>
        </w:sectPr>
      </w:pPr>
    </w:p>
    <w:p w14:paraId="712AF9D2" w14:textId="433AFC83" w:rsidR="00443FC0" w:rsidRPr="007136E1" w:rsidRDefault="00443FC0" w:rsidP="00443FC0">
      <w:pPr>
        <w:pStyle w:val="Caption"/>
      </w:pPr>
      <w:r w:rsidRPr="00E5191A">
        <w:t xml:space="preserve">Table </w:t>
      </w:r>
      <w:r w:rsidR="00331B1E">
        <w:rPr>
          <w:noProof/>
        </w:rPr>
        <w:t>4</w:t>
      </w:r>
      <w:r w:rsidRPr="00E5191A">
        <w:t>.</w:t>
      </w:r>
      <w:r w:rsidR="0094594B">
        <w:rPr>
          <w:noProof/>
        </w:rPr>
        <w:t>1</w:t>
      </w:r>
      <w:r w:rsidRPr="00E5191A">
        <w:t xml:space="preserve">: </w:t>
      </w:r>
      <w:bookmarkStart w:id="69" w:name="_Hlk153460389"/>
      <w:r w:rsidRPr="00E5191A">
        <w:t>Summary of projects at the committed stage, as at 31 October 202</w:t>
      </w:r>
      <w:r w:rsidR="002114F5">
        <w:t>3</w:t>
      </w:r>
    </w:p>
    <w:bookmarkEnd w:id="69"/>
    <w:tbl>
      <w:tblPr>
        <w:tblStyle w:val="OCETable"/>
        <w:tblW w:w="5111" w:type="pct"/>
        <w:tblInd w:w="62" w:type="dxa"/>
        <w:tblLayout w:type="fixed"/>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498"/>
        <w:gridCol w:w="850"/>
        <w:gridCol w:w="709"/>
        <w:gridCol w:w="850"/>
        <w:gridCol w:w="709"/>
        <w:gridCol w:w="851"/>
        <w:gridCol w:w="708"/>
        <w:gridCol w:w="851"/>
        <w:gridCol w:w="709"/>
        <w:gridCol w:w="850"/>
        <w:gridCol w:w="851"/>
        <w:gridCol w:w="850"/>
        <w:gridCol w:w="709"/>
        <w:gridCol w:w="850"/>
        <w:gridCol w:w="709"/>
        <w:gridCol w:w="851"/>
        <w:gridCol w:w="863"/>
      </w:tblGrid>
      <w:tr w:rsidR="006E7EC6" w:rsidRPr="007136E1" w14:paraId="3BE2F9ED" w14:textId="77777777" w:rsidTr="00045A49">
        <w:trPr>
          <w:cnfStyle w:val="100000000000" w:firstRow="1" w:lastRow="0" w:firstColumn="0" w:lastColumn="0" w:oddVBand="0" w:evenVBand="0" w:oddHBand="0" w:evenHBand="0" w:firstRowFirstColumn="0" w:firstRowLastColumn="0" w:lastRowFirstColumn="0" w:lastRowLastColumn="0"/>
          <w:trHeight w:val="438"/>
          <w:tblHeader/>
        </w:trPr>
        <w:tc>
          <w:tcPr>
            <w:tcW w:w="1498" w:type="dxa"/>
          </w:tcPr>
          <w:p w14:paraId="5596928B" w14:textId="77777777" w:rsidR="00B90E0F" w:rsidRPr="007136E1" w:rsidRDefault="00B90E0F" w:rsidP="00B90E0F">
            <w:pPr>
              <w:pStyle w:val="Tableheader"/>
              <w:rPr>
                <w:color w:val="FFFFFF" w:themeColor="background1"/>
                <w:lang w:eastAsia="en-AU"/>
              </w:rPr>
            </w:pPr>
          </w:p>
        </w:tc>
        <w:tc>
          <w:tcPr>
            <w:tcW w:w="1559" w:type="dxa"/>
            <w:gridSpan w:val="2"/>
          </w:tcPr>
          <w:p w14:paraId="0C80B7D0" w14:textId="1957B35A" w:rsidR="00B90E0F" w:rsidRPr="007136E1" w:rsidRDefault="00B90E0F" w:rsidP="00B90E0F">
            <w:pPr>
              <w:pStyle w:val="Tableheader"/>
              <w:rPr>
                <w:color w:val="FFFFFF" w:themeColor="background1"/>
                <w:lang w:eastAsia="en-AU"/>
              </w:rPr>
            </w:pPr>
            <w:r w:rsidRPr="007136E1">
              <w:rPr>
                <w:color w:val="FFFFFF" w:themeColor="background1"/>
                <w:lang w:eastAsia="en-AU"/>
              </w:rPr>
              <w:t>NSW</w:t>
            </w:r>
          </w:p>
        </w:tc>
        <w:tc>
          <w:tcPr>
            <w:tcW w:w="1559" w:type="dxa"/>
            <w:gridSpan w:val="2"/>
          </w:tcPr>
          <w:p w14:paraId="41186DD2" w14:textId="09A51A0E" w:rsidR="00B90E0F" w:rsidRPr="007136E1" w:rsidRDefault="00B90E0F" w:rsidP="00B90E0F">
            <w:pPr>
              <w:pStyle w:val="Tableheader"/>
              <w:rPr>
                <w:color w:val="FFFFFF" w:themeColor="background1"/>
                <w:lang w:eastAsia="en-AU"/>
              </w:rPr>
            </w:pPr>
            <w:r>
              <w:rPr>
                <w:color w:val="FFFFFF" w:themeColor="background1"/>
                <w:lang w:eastAsia="en-AU"/>
              </w:rPr>
              <w:t>Vic</w:t>
            </w:r>
          </w:p>
        </w:tc>
        <w:tc>
          <w:tcPr>
            <w:tcW w:w="1559" w:type="dxa"/>
            <w:gridSpan w:val="2"/>
          </w:tcPr>
          <w:p w14:paraId="6139E129" w14:textId="7FA66015" w:rsidR="00B90E0F" w:rsidRPr="007136E1" w:rsidRDefault="00B90E0F" w:rsidP="00B90E0F">
            <w:pPr>
              <w:pStyle w:val="Tableheader"/>
              <w:rPr>
                <w:color w:val="FFFFFF" w:themeColor="background1"/>
                <w:lang w:eastAsia="en-AU"/>
              </w:rPr>
            </w:pPr>
            <w:r>
              <w:rPr>
                <w:color w:val="FFFFFF" w:themeColor="background1"/>
                <w:lang w:eastAsia="en-AU"/>
              </w:rPr>
              <w:t>Qld</w:t>
            </w:r>
          </w:p>
        </w:tc>
        <w:tc>
          <w:tcPr>
            <w:tcW w:w="1560" w:type="dxa"/>
            <w:gridSpan w:val="2"/>
          </w:tcPr>
          <w:p w14:paraId="047FD3DD" w14:textId="04A4C725" w:rsidR="00B90E0F" w:rsidRPr="007136E1" w:rsidRDefault="00B90E0F" w:rsidP="00B90E0F">
            <w:pPr>
              <w:pStyle w:val="Tableheader"/>
              <w:rPr>
                <w:color w:val="FFFFFF" w:themeColor="background1"/>
                <w:lang w:eastAsia="en-AU"/>
              </w:rPr>
            </w:pPr>
            <w:r>
              <w:rPr>
                <w:color w:val="FFFFFF" w:themeColor="background1"/>
                <w:lang w:eastAsia="en-AU"/>
              </w:rPr>
              <w:t>SA</w:t>
            </w:r>
          </w:p>
        </w:tc>
        <w:tc>
          <w:tcPr>
            <w:tcW w:w="1701" w:type="dxa"/>
            <w:gridSpan w:val="2"/>
          </w:tcPr>
          <w:p w14:paraId="36EF8354" w14:textId="6D6F1599" w:rsidR="00B90E0F" w:rsidRPr="007136E1" w:rsidRDefault="00B90E0F" w:rsidP="00B90E0F">
            <w:pPr>
              <w:pStyle w:val="Tableheader"/>
              <w:rPr>
                <w:color w:val="FFFFFF" w:themeColor="background1"/>
                <w:lang w:eastAsia="en-AU"/>
              </w:rPr>
            </w:pPr>
            <w:r>
              <w:rPr>
                <w:color w:val="FFFFFF" w:themeColor="background1"/>
                <w:lang w:eastAsia="en-AU"/>
              </w:rPr>
              <w:t>WA</w:t>
            </w:r>
          </w:p>
        </w:tc>
        <w:tc>
          <w:tcPr>
            <w:tcW w:w="1559" w:type="dxa"/>
            <w:gridSpan w:val="2"/>
          </w:tcPr>
          <w:p w14:paraId="1D8DF047" w14:textId="644FBBA9" w:rsidR="00B90E0F" w:rsidRPr="007136E1" w:rsidRDefault="00B90E0F" w:rsidP="00B90E0F">
            <w:pPr>
              <w:pStyle w:val="Tableheader"/>
              <w:rPr>
                <w:color w:val="FFFFFF" w:themeColor="background1"/>
                <w:lang w:eastAsia="en-AU"/>
              </w:rPr>
            </w:pPr>
            <w:r>
              <w:rPr>
                <w:color w:val="FFFFFF" w:themeColor="background1"/>
                <w:lang w:eastAsia="en-AU"/>
              </w:rPr>
              <w:t>Tas</w:t>
            </w:r>
          </w:p>
        </w:tc>
        <w:tc>
          <w:tcPr>
            <w:tcW w:w="1559" w:type="dxa"/>
            <w:gridSpan w:val="2"/>
          </w:tcPr>
          <w:p w14:paraId="6947A790" w14:textId="4B0270A9" w:rsidR="00B90E0F" w:rsidRPr="007136E1" w:rsidRDefault="00B90E0F" w:rsidP="00B90E0F">
            <w:pPr>
              <w:pStyle w:val="Tableheader"/>
              <w:rPr>
                <w:color w:val="FFFFFF" w:themeColor="background1"/>
                <w:lang w:eastAsia="en-AU"/>
              </w:rPr>
            </w:pPr>
            <w:r>
              <w:rPr>
                <w:color w:val="FFFFFF" w:themeColor="background1"/>
                <w:lang w:eastAsia="en-AU"/>
              </w:rPr>
              <w:t>NT</w:t>
            </w:r>
          </w:p>
        </w:tc>
        <w:tc>
          <w:tcPr>
            <w:tcW w:w="1714" w:type="dxa"/>
            <w:gridSpan w:val="2"/>
          </w:tcPr>
          <w:p w14:paraId="7CF41BFF" w14:textId="77777777" w:rsidR="00B90E0F" w:rsidRPr="007136E1" w:rsidRDefault="00B90E0F" w:rsidP="00B90E0F">
            <w:pPr>
              <w:pStyle w:val="Tableheader"/>
              <w:rPr>
                <w:color w:val="FFFFFF" w:themeColor="background1"/>
                <w:lang w:eastAsia="en-AU"/>
              </w:rPr>
            </w:pPr>
            <w:r w:rsidRPr="007136E1">
              <w:rPr>
                <w:color w:val="FFFFFF" w:themeColor="background1"/>
                <w:lang w:eastAsia="en-AU"/>
              </w:rPr>
              <w:t>Total</w:t>
            </w:r>
          </w:p>
        </w:tc>
      </w:tr>
      <w:tr w:rsidR="00BD3635" w:rsidRPr="007136E1" w14:paraId="2FAF2A07"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shd w:val="clear" w:color="auto" w:fill="005CAF"/>
          </w:tcPr>
          <w:p w14:paraId="0D9ACF58" w14:textId="77777777" w:rsidR="002B7339" w:rsidRPr="007136E1" w:rsidRDefault="002B7339" w:rsidP="002C038A">
            <w:pPr>
              <w:pStyle w:val="Tabletext"/>
              <w:rPr>
                <w:color w:val="FFFFFF" w:themeColor="background1"/>
                <w:lang w:eastAsia="en-AU"/>
              </w:rPr>
            </w:pPr>
          </w:p>
        </w:tc>
        <w:tc>
          <w:tcPr>
            <w:tcW w:w="850" w:type="dxa"/>
            <w:shd w:val="clear" w:color="auto" w:fill="005CAF"/>
          </w:tcPr>
          <w:p w14:paraId="07111912"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709" w:type="dxa"/>
            <w:shd w:val="clear" w:color="auto" w:fill="005CAF"/>
          </w:tcPr>
          <w:p w14:paraId="35FB808F"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Value A$b</w:t>
            </w:r>
          </w:p>
        </w:tc>
        <w:tc>
          <w:tcPr>
            <w:tcW w:w="850" w:type="dxa"/>
            <w:shd w:val="clear" w:color="auto" w:fill="005CAF"/>
          </w:tcPr>
          <w:p w14:paraId="0C7FD08F"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1E70B2ED"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1" w:type="dxa"/>
            <w:shd w:val="clear" w:color="auto" w:fill="005CAF"/>
          </w:tcPr>
          <w:p w14:paraId="648CF1AE"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8" w:type="dxa"/>
            <w:shd w:val="clear" w:color="auto" w:fill="005CAF"/>
          </w:tcPr>
          <w:p w14:paraId="0E209A46"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1" w:type="dxa"/>
            <w:shd w:val="clear" w:color="auto" w:fill="005CAF"/>
          </w:tcPr>
          <w:p w14:paraId="13CB1ECA"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7268D710"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0" w:type="dxa"/>
            <w:shd w:val="clear" w:color="auto" w:fill="005CAF"/>
          </w:tcPr>
          <w:p w14:paraId="3B0F7D0B"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51" w:type="dxa"/>
            <w:shd w:val="clear" w:color="auto" w:fill="005CAF"/>
          </w:tcPr>
          <w:p w14:paraId="5C3CEF21"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0" w:type="dxa"/>
            <w:shd w:val="clear" w:color="auto" w:fill="005CAF"/>
          </w:tcPr>
          <w:p w14:paraId="28AEA08D"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4E5219B6"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0" w:type="dxa"/>
            <w:shd w:val="clear" w:color="auto" w:fill="005CAF"/>
          </w:tcPr>
          <w:p w14:paraId="3EB148D0"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32432A68"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Value A$b</w:t>
            </w:r>
          </w:p>
        </w:tc>
        <w:tc>
          <w:tcPr>
            <w:tcW w:w="851" w:type="dxa"/>
            <w:shd w:val="clear" w:color="auto" w:fill="005CAF"/>
          </w:tcPr>
          <w:p w14:paraId="55BE9F43"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63" w:type="dxa"/>
            <w:shd w:val="clear" w:color="auto" w:fill="005CAF"/>
          </w:tcPr>
          <w:p w14:paraId="0CF0B21F"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
          <w:p w14:paraId="08EE0E81"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A$b</w:t>
            </w:r>
          </w:p>
        </w:tc>
      </w:tr>
      <w:tr w:rsidR="00BD3635" w:rsidRPr="007136E1" w14:paraId="56FB251F" w14:textId="77777777" w:rsidTr="00045A49">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6DEC2D1A" w14:textId="77777777" w:rsidR="001E5B35" w:rsidRPr="007136E1" w:rsidRDefault="001E5B35" w:rsidP="001E5B35">
            <w:pPr>
              <w:pStyle w:val="Tabletext"/>
              <w:rPr>
                <w:lang w:eastAsia="en-AU"/>
              </w:rPr>
            </w:pPr>
            <w:r w:rsidRPr="007136E1">
              <w:rPr>
                <w:lang w:eastAsia="en-AU"/>
              </w:rPr>
              <w:t>Aluminium, Alumina, Bauxite</w:t>
            </w:r>
          </w:p>
        </w:tc>
        <w:tc>
          <w:tcPr>
            <w:tcW w:w="850" w:type="dxa"/>
            <w:tcBorders>
              <w:left w:val="single" w:sz="4" w:space="0" w:color="auto"/>
              <w:bottom w:val="nil"/>
            </w:tcBorders>
            <w:shd w:val="clear" w:color="auto" w:fill="DEE8F1"/>
            <w:vAlign w:val="center"/>
          </w:tcPr>
          <w:p w14:paraId="188B2121" w14:textId="25F65B19" w:rsidR="001E5B35" w:rsidRPr="007136E1" w:rsidRDefault="001E5B35" w:rsidP="001E5B35">
            <w:pPr>
              <w:pStyle w:val="Tabletext"/>
              <w:jc w:val="right"/>
              <w:rPr>
                <w:sz w:val="17"/>
                <w:szCs w:val="17"/>
                <w:lang w:eastAsia="en-AU"/>
              </w:rPr>
            </w:pPr>
          </w:p>
        </w:tc>
        <w:tc>
          <w:tcPr>
            <w:tcW w:w="709" w:type="dxa"/>
            <w:tcBorders>
              <w:bottom w:val="nil"/>
              <w:right w:val="single" w:sz="4" w:space="0" w:color="auto"/>
            </w:tcBorders>
            <w:shd w:val="clear" w:color="auto" w:fill="auto"/>
            <w:vAlign w:val="center"/>
          </w:tcPr>
          <w:p w14:paraId="2C82AB02" w14:textId="7711945D" w:rsidR="001E5B35" w:rsidRPr="007136E1" w:rsidRDefault="001E5B35" w:rsidP="001E5B35">
            <w:pPr>
              <w:pStyle w:val="Tabletext"/>
              <w:jc w:val="right"/>
              <w:rPr>
                <w:sz w:val="17"/>
                <w:szCs w:val="17"/>
                <w:lang w:eastAsia="en-AU"/>
              </w:rPr>
            </w:pPr>
          </w:p>
        </w:tc>
        <w:tc>
          <w:tcPr>
            <w:tcW w:w="850" w:type="dxa"/>
            <w:tcBorders>
              <w:left w:val="single" w:sz="4" w:space="0" w:color="auto"/>
              <w:bottom w:val="nil"/>
            </w:tcBorders>
            <w:shd w:val="clear" w:color="auto" w:fill="DEE8F1"/>
            <w:vAlign w:val="center"/>
          </w:tcPr>
          <w:p w14:paraId="2BE73229" w14:textId="78759C28" w:rsidR="001E5B35" w:rsidRPr="007136E1" w:rsidRDefault="001E5B35" w:rsidP="001E5B35">
            <w:pPr>
              <w:pStyle w:val="Tabletext"/>
              <w:jc w:val="right"/>
              <w:rPr>
                <w:sz w:val="17"/>
                <w:szCs w:val="17"/>
                <w:lang w:eastAsia="en-AU"/>
              </w:rPr>
            </w:pPr>
          </w:p>
        </w:tc>
        <w:tc>
          <w:tcPr>
            <w:tcW w:w="709" w:type="dxa"/>
            <w:tcBorders>
              <w:bottom w:val="nil"/>
              <w:right w:val="single" w:sz="4" w:space="0" w:color="auto"/>
            </w:tcBorders>
            <w:shd w:val="clear" w:color="auto" w:fill="auto"/>
            <w:vAlign w:val="center"/>
          </w:tcPr>
          <w:p w14:paraId="5F7C1ED7" w14:textId="52F4ABC8" w:rsidR="001E5B35" w:rsidRPr="007136E1" w:rsidRDefault="001E5B35" w:rsidP="001E5B35">
            <w:pPr>
              <w:pStyle w:val="Tabletext"/>
              <w:jc w:val="right"/>
              <w:rPr>
                <w:sz w:val="17"/>
                <w:szCs w:val="17"/>
                <w:lang w:eastAsia="en-AU"/>
              </w:rPr>
            </w:pPr>
          </w:p>
        </w:tc>
        <w:tc>
          <w:tcPr>
            <w:tcW w:w="851" w:type="dxa"/>
            <w:tcBorders>
              <w:left w:val="single" w:sz="4" w:space="0" w:color="auto"/>
              <w:bottom w:val="nil"/>
            </w:tcBorders>
            <w:shd w:val="clear" w:color="auto" w:fill="DEE8F1"/>
            <w:vAlign w:val="center"/>
          </w:tcPr>
          <w:p w14:paraId="37B8170A" w14:textId="4A31A5CA" w:rsidR="001E5B35" w:rsidRPr="007136E1" w:rsidRDefault="001E5B35" w:rsidP="001E5B35">
            <w:pPr>
              <w:pStyle w:val="Tabletext"/>
              <w:jc w:val="right"/>
              <w:rPr>
                <w:sz w:val="17"/>
                <w:szCs w:val="17"/>
                <w:lang w:eastAsia="en-AU"/>
              </w:rPr>
            </w:pPr>
            <w:r w:rsidRPr="0092094D">
              <w:t>3</w:t>
            </w:r>
          </w:p>
        </w:tc>
        <w:tc>
          <w:tcPr>
            <w:tcW w:w="708" w:type="dxa"/>
            <w:tcBorders>
              <w:bottom w:val="nil"/>
              <w:right w:val="single" w:sz="4" w:space="0" w:color="auto"/>
            </w:tcBorders>
            <w:shd w:val="clear" w:color="auto" w:fill="auto"/>
            <w:vAlign w:val="center"/>
          </w:tcPr>
          <w:p w14:paraId="2C58BAEB" w14:textId="63A3A6B0" w:rsidR="001E5B35" w:rsidRPr="007136E1" w:rsidRDefault="001E5B35" w:rsidP="001E5B35">
            <w:pPr>
              <w:pStyle w:val="Tabletext"/>
              <w:jc w:val="right"/>
              <w:rPr>
                <w:sz w:val="17"/>
                <w:szCs w:val="17"/>
                <w:lang w:eastAsia="en-AU"/>
              </w:rPr>
            </w:pPr>
            <w:r w:rsidRPr="0092094D">
              <w:t>0.5</w:t>
            </w:r>
          </w:p>
        </w:tc>
        <w:tc>
          <w:tcPr>
            <w:tcW w:w="851" w:type="dxa"/>
            <w:tcBorders>
              <w:left w:val="single" w:sz="4" w:space="0" w:color="auto"/>
              <w:bottom w:val="nil"/>
            </w:tcBorders>
            <w:shd w:val="clear" w:color="auto" w:fill="DEE8F1"/>
            <w:vAlign w:val="center"/>
          </w:tcPr>
          <w:p w14:paraId="63078C81" w14:textId="3FBE3E00" w:rsidR="001E5B35" w:rsidRPr="007136E1" w:rsidRDefault="001E5B35" w:rsidP="001E5B35">
            <w:pPr>
              <w:pStyle w:val="Tabletext"/>
              <w:jc w:val="right"/>
              <w:rPr>
                <w:sz w:val="17"/>
                <w:szCs w:val="17"/>
                <w:lang w:eastAsia="en-AU"/>
              </w:rPr>
            </w:pPr>
          </w:p>
        </w:tc>
        <w:tc>
          <w:tcPr>
            <w:tcW w:w="709" w:type="dxa"/>
            <w:tcBorders>
              <w:bottom w:val="nil"/>
              <w:right w:val="single" w:sz="4" w:space="0" w:color="auto"/>
            </w:tcBorders>
            <w:shd w:val="clear" w:color="auto" w:fill="auto"/>
            <w:vAlign w:val="center"/>
          </w:tcPr>
          <w:p w14:paraId="33A6277A" w14:textId="005D6D8E" w:rsidR="001E5B35" w:rsidRPr="007136E1" w:rsidRDefault="001E5B35" w:rsidP="001E5B35">
            <w:pPr>
              <w:pStyle w:val="Tabletext"/>
              <w:jc w:val="right"/>
              <w:rPr>
                <w:sz w:val="17"/>
                <w:szCs w:val="17"/>
                <w:lang w:eastAsia="en-AU"/>
              </w:rPr>
            </w:pPr>
          </w:p>
        </w:tc>
        <w:tc>
          <w:tcPr>
            <w:tcW w:w="850" w:type="dxa"/>
            <w:tcBorders>
              <w:left w:val="single" w:sz="4" w:space="0" w:color="auto"/>
              <w:bottom w:val="nil"/>
            </w:tcBorders>
            <w:shd w:val="clear" w:color="auto" w:fill="DEE8F1"/>
            <w:vAlign w:val="center"/>
          </w:tcPr>
          <w:p w14:paraId="08453B68" w14:textId="33729D61" w:rsidR="001E5B35" w:rsidRPr="007136E1" w:rsidRDefault="001E5B35" w:rsidP="001E5B35">
            <w:pPr>
              <w:pStyle w:val="Tabletext"/>
              <w:jc w:val="right"/>
              <w:rPr>
                <w:sz w:val="17"/>
                <w:szCs w:val="17"/>
                <w:lang w:eastAsia="en-AU"/>
              </w:rPr>
            </w:pPr>
            <w:r w:rsidRPr="0092094D">
              <w:t>1</w:t>
            </w:r>
          </w:p>
        </w:tc>
        <w:tc>
          <w:tcPr>
            <w:tcW w:w="851" w:type="dxa"/>
            <w:tcBorders>
              <w:bottom w:val="nil"/>
              <w:right w:val="single" w:sz="4" w:space="0" w:color="auto"/>
            </w:tcBorders>
            <w:shd w:val="clear" w:color="auto" w:fill="auto"/>
            <w:vAlign w:val="center"/>
          </w:tcPr>
          <w:p w14:paraId="6304AE37" w14:textId="2708F611" w:rsidR="001E5B35" w:rsidRPr="007136E1" w:rsidRDefault="001E5B35" w:rsidP="001E5B35">
            <w:pPr>
              <w:pStyle w:val="Tabletext"/>
              <w:jc w:val="right"/>
              <w:rPr>
                <w:sz w:val="17"/>
                <w:szCs w:val="17"/>
                <w:lang w:eastAsia="en-AU"/>
              </w:rPr>
            </w:pPr>
            <w:r w:rsidRPr="0092094D">
              <w:t>0.3</w:t>
            </w:r>
          </w:p>
        </w:tc>
        <w:tc>
          <w:tcPr>
            <w:tcW w:w="850" w:type="dxa"/>
            <w:tcBorders>
              <w:left w:val="single" w:sz="4" w:space="0" w:color="auto"/>
              <w:bottom w:val="nil"/>
            </w:tcBorders>
            <w:shd w:val="clear" w:color="auto" w:fill="DEE8F1"/>
            <w:vAlign w:val="center"/>
          </w:tcPr>
          <w:p w14:paraId="459C5EFA" w14:textId="773AD1EE" w:rsidR="001E5B35" w:rsidRPr="007136E1" w:rsidRDefault="001E5B35" w:rsidP="001E5B35">
            <w:pPr>
              <w:pStyle w:val="Tabletext"/>
              <w:jc w:val="right"/>
              <w:rPr>
                <w:sz w:val="17"/>
                <w:szCs w:val="17"/>
                <w:lang w:eastAsia="en-AU"/>
              </w:rPr>
            </w:pPr>
          </w:p>
        </w:tc>
        <w:tc>
          <w:tcPr>
            <w:tcW w:w="709" w:type="dxa"/>
            <w:tcBorders>
              <w:bottom w:val="nil"/>
              <w:right w:val="single" w:sz="4" w:space="0" w:color="auto"/>
            </w:tcBorders>
            <w:shd w:val="clear" w:color="auto" w:fill="auto"/>
            <w:vAlign w:val="center"/>
          </w:tcPr>
          <w:p w14:paraId="1AF48559" w14:textId="26949771"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31AC69B8" w14:textId="2D8286D2"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3E608F23" w14:textId="037AE5AF" w:rsidR="001E5B35" w:rsidRPr="007136E1" w:rsidRDefault="001E5B35" w:rsidP="001E5B35">
            <w:pPr>
              <w:pStyle w:val="Tabletext"/>
              <w:jc w:val="right"/>
              <w:rPr>
                <w:sz w:val="17"/>
                <w:szCs w:val="17"/>
                <w:lang w:eastAsia="en-AU"/>
              </w:rPr>
            </w:pPr>
          </w:p>
        </w:tc>
        <w:tc>
          <w:tcPr>
            <w:tcW w:w="851" w:type="dxa"/>
            <w:tcBorders>
              <w:left w:val="single" w:sz="4" w:space="0" w:color="auto"/>
              <w:bottom w:val="nil"/>
            </w:tcBorders>
            <w:shd w:val="clear" w:color="auto" w:fill="DEE8F1"/>
            <w:vAlign w:val="center"/>
          </w:tcPr>
          <w:p w14:paraId="195FFCA5" w14:textId="018B5784" w:rsidR="001E5B35" w:rsidRPr="007136E1" w:rsidRDefault="001E5B35" w:rsidP="001E5B35">
            <w:pPr>
              <w:pStyle w:val="Tabletext"/>
              <w:jc w:val="right"/>
              <w:rPr>
                <w:sz w:val="17"/>
                <w:szCs w:val="17"/>
                <w:lang w:eastAsia="en-AU"/>
              </w:rPr>
            </w:pPr>
            <w:r w:rsidRPr="0092094D">
              <w:t>4</w:t>
            </w:r>
          </w:p>
        </w:tc>
        <w:tc>
          <w:tcPr>
            <w:tcW w:w="863" w:type="dxa"/>
            <w:tcBorders>
              <w:bottom w:val="nil"/>
            </w:tcBorders>
            <w:shd w:val="clear" w:color="auto" w:fill="auto"/>
            <w:vAlign w:val="center"/>
          </w:tcPr>
          <w:p w14:paraId="126C11FF" w14:textId="45CB9746" w:rsidR="001E5B35" w:rsidRPr="007136E1" w:rsidRDefault="001E5B35" w:rsidP="001E5B35">
            <w:pPr>
              <w:pStyle w:val="Tabletext"/>
              <w:jc w:val="right"/>
              <w:rPr>
                <w:sz w:val="17"/>
                <w:szCs w:val="17"/>
                <w:lang w:eastAsia="en-AU"/>
              </w:rPr>
            </w:pPr>
            <w:r w:rsidRPr="0092094D">
              <w:t>0.8</w:t>
            </w:r>
          </w:p>
        </w:tc>
      </w:tr>
      <w:tr w:rsidR="00BD3635" w:rsidRPr="007136E1" w14:paraId="776DEA5B"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7BCC0D05" w14:textId="77777777" w:rsidR="001E5B35" w:rsidRPr="007136E1" w:rsidRDefault="001E5B35" w:rsidP="001E5B35">
            <w:pPr>
              <w:pStyle w:val="Tabletext"/>
              <w:rPr>
                <w:lang w:eastAsia="en-AU"/>
              </w:rPr>
            </w:pPr>
            <w:r w:rsidRPr="007136E1">
              <w:rPr>
                <w:lang w:eastAsia="en-AU"/>
              </w:rPr>
              <w:t>Coal</w:t>
            </w:r>
          </w:p>
        </w:tc>
        <w:tc>
          <w:tcPr>
            <w:tcW w:w="850" w:type="dxa"/>
            <w:tcBorders>
              <w:top w:val="nil"/>
              <w:left w:val="single" w:sz="4" w:space="0" w:color="auto"/>
              <w:bottom w:val="nil"/>
            </w:tcBorders>
            <w:vAlign w:val="center"/>
          </w:tcPr>
          <w:p w14:paraId="5E1C7532" w14:textId="2D8E35B7" w:rsidR="001E5B35" w:rsidRPr="007136E1" w:rsidRDefault="001E5B35" w:rsidP="001E5B35">
            <w:pPr>
              <w:pStyle w:val="Tabletext"/>
              <w:jc w:val="right"/>
              <w:rPr>
                <w:sz w:val="17"/>
                <w:szCs w:val="17"/>
                <w:lang w:eastAsia="en-AU"/>
              </w:rPr>
            </w:pPr>
            <w:r w:rsidRPr="0092094D">
              <w:t>5</w:t>
            </w:r>
          </w:p>
        </w:tc>
        <w:tc>
          <w:tcPr>
            <w:tcW w:w="709" w:type="dxa"/>
            <w:tcBorders>
              <w:top w:val="nil"/>
              <w:bottom w:val="nil"/>
              <w:right w:val="single" w:sz="4" w:space="0" w:color="auto"/>
            </w:tcBorders>
            <w:vAlign w:val="center"/>
          </w:tcPr>
          <w:p w14:paraId="04C8ED16" w14:textId="3CCAEA49" w:rsidR="001E5B35" w:rsidRPr="007136E1" w:rsidRDefault="001E5B35" w:rsidP="001E5B35">
            <w:pPr>
              <w:pStyle w:val="Tabletext"/>
              <w:jc w:val="right"/>
              <w:rPr>
                <w:sz w:val="17"/>
                <w:szCs w:val="17"/>
                <w:lang w:eastAsia="en-AU"/>
              </w:rPr>
            </w:pPr>
            <w:r w:rsidRPr="0092094D">
              <w:t>2.8</w:t>
            </w:r>
          </w:p>
        </w:tc>
        <w:tc>
          <w:tcPr>
            <w:tcW w:w="850" w:type="dxa"/>
            <w:tcBorders>
              <w:top w:val="nil"/>
              <w:left w:val="single" w:sz="4" w:space="0" w:color="auto"/>
              <w:bottom w:val="nil"/>
            </w:tcBorders>
            <w:vAlign w:val="center"/>
          </w:tcPr>
          <w:p w14:paraId="2B3C2A61" w14:textId="6DA3593F"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3E32865B" w14:textId="2EA3A772"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335936F6" w14:textId="1956280A" w:rsidR="001E5B35" w:rsidRPr="007136E1" w:rsidRDefault="00C35D5A" w:rsidP="001E5B35">
            <w:pPr>
              <w:pStyle w:val="Tabletext"/>
              <w:jc w:val="right"/>
              <w:rPr>
                <w:sz w:val="17"/>
                <w:szCs w:val="17"/>
                <w:lang w:eastAsia="en-AU"/>
              </w:rPr>
            </w:pPr>
            <w:r w:rsidRPr="00AE678A">
              <w:t>5</w:t>
            </w:r>
          </w:p>
        </w:tc>
        <w:tc>
          <w:tcPr>
            <w:tcW w:w="708" w:type="dxa"/>
            <w:tcBorders>
              <w:top w:val="nil"/>
              <w:bottom w:val="nil"/>
              <w:right w:val="single" w:sz="4" w:space="0" w:color="auto"/>
            </w:tcBorders>
            <w:vAlign w:val="center"/>
          </w:tcPr>
          <w:p w14:paraId="009E5669" w14:textId="63520ED5" w:rsidR="001E5B35" w:rsidRPr="007136E1" w:rsidRDefault="00C35D5A" w:rsidP="001E5B35">
            <w:pPr>
              <w:pStyle w:val="Tabletext"/>
              <w:jc w:val="right"/>
              <w:rPr>
                <w:sz w:val="17"/>
                <w:szCs w:val="17"/>
                <w:lang w:eastAsia="en-AU"/>
              </w:rPr>
            </w:pPr>
            <w:r w:rsidRPr="00AE678A">
              <w:t>1.7</w:t>
            </w:r>
          </w:p>
        </w:tc>
        <w:tc>
          <w:tcPr>
            <w:tcW w:w="851" w:type="dxa"/>
            <w:tcBorders>
              <w:top w:val="nil"/>
              <w:left w:val="single" w:sz="4" w:space="0" w:color="auto"/>
              <w:bottom w:val="nil"/>
            </w:tcBorders>
            <w:vAlign w:val="center"/>
          </w:tcPr>
          <w:p w14:paraId="5565A1DB"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36FF32BD"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774A5C57" w14:textId="77777777" w:rsidR="001E5B35" w:rsidRPr="007136E1" w:rsidRDefault="001E5B35" w:rsidP="001E5B35">
            <w:pPr>
              <w:pStyle w:val="Tabletext"/>
              <w:jc w:val="right"/>
              <w:rPr>
                <w:sz w:val="17"/>
                <w:szCs w:val="17"/>
                <w:lang w:eastAsia="en-AU"/>
              </w:rPr>
            </w:pPr>
          </w:p>
        </w:tc>
        <w:tc>
          <w:tcPr>
            <w:tcW w:w="851" w:type="dxa"/>
            <w:tcBorders>
              <w:top w:val="nil"/>
              <w:bottom w:val="nil"/>
              <w:right w:val="single" w:sz="4" w:space="0" w:color="auto"/>
            </w:tcBorders>
            <w:vAlign w:val="center"/>
          </w:tcPr>
          <w:p w14:paraId="7AC57415"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04033AD9"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0AF55BFF" w14:textId="77777777" w:rsidR="001E5B35" w:rsidRPr="007136E1" w:rsidRDefault="001E5B35" w:rsidP="001E5B35">
            <w:pPr>
              <w:pStyle w:val="Tabletext"/>
              <w:jc w:val="right"/>
              <w:rPr>
                <w:sz w:val="17"/>
                <w:szCs w:val="17"/>
                <w:lang w:eastAsia="en-AU"/>
              </w:rPr>
            </w:pPr>
          </w:p>
        </w:tc>
        <w:tc>
          <w:tcPr>
            <w:tcW w:w="850" w:type="dxa"/>
            <w:tcBorders>
              <w:left w:val="single" w:sz="4" w:space="0" w:color="auto"/>
            </w:tcBorders>
            <w:vAlign w:val="center"/>
          </w:tcPr>
          <w:p w14:paraId="01D6EBDB" w14:textId="77777777"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2D22D619" w14:textId="77777777"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2C7C5700" w14:textId="2522796F" w:rsidR="001E5B35" w:rsidRPr="007136E1" w:rsidRDefault="00C35D5A" w:rsidP="001E5B35">
            <w:pPr>
              <w:pStyle w:val="Tabletext"/>
              <w:jc w:val="right"/>
              <w:rPr>
                <w:sz w:val="17"/>
                <w:szCs w:val="17"/>
                <w:lang w:eastAsia="en-AU"/>
              </w:rPr>
            </w:pPr>
            <w:r w:rsidRPr="00AE678A">
              <w:t>10</w:t>
            </w:r>
          </w:p>
        </w:tc>
        <w:tc>
          <w:tcPr>
            <w:tcW w:w="863" w:type="dxa"/>
            <w:tcBorders>
              <w:top w:val="nil"/>
              <w:bottom w:val="nil"/>
            </w:tcBorders>
            <w:vAlign w:val="center"/>
          </w:tcPr>
          <w:p w14:paraId="39226448" w14:textId="365DD807" w:rsidR="001E5B35" w:rsidRPr="007136E1" w:rsidRDefault="00C35D5A" w:rsidP="001E5B35">
            <w:pPr>
              <w:pStyle w:val="Tabletext"/>
              <w:jc w:val="right"/>
              <w:rPr>
                <w:sz w:val="17"/>
                <w:szCs w:val="17"/>
                <w:lang w:eastAsia="en-AU"/>
              </w:rPr>
            </w:pPr>
            <w:r w:rsidRPr="00AE678A">
              <w:t>4.6</w:t>
            </w:r>
          </w:p>
        </w:tc>
      </w:tr>
      <w:tr w:rsidR="00BD3635" w:rsidRPr="007136E1" w14:paraId="4A8A59CD" w14:textId="77777777" w:rsidTr="00045A49">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shd w:val="clear" w:color="auto" w:fill="auto"/>
            <w:vAlign w:val="center"/>
          </w:tcPr>
          <w:p w14:paraId="4EC49AD8" w14:textId="77777777" w:rsidR="001E5B35" w:rsidRPr="007136E1" w:rsidRDefault="001E5B35" w:rsidP="001E5B35">
            <w:pPr>
              <w:pStyle w:val="Tabletext"/>
              <w:rPr>
                <w:lang w:eastAsia="en-AU"/>
              </w:rPr>
            </w:pPr>
            <w:r w:rsidRPr="007136E1">
              <w:rPr>
                <w:lang w:eastAsia="en-AU"/>
              </w:rPr>
              <w:t>Copper</w:t>
            </w:r>
          </w:p>
        </w:tc>
        <w:tc>
          <w:tcPr>
            <w:tcW w:w="850" w:type="dxa"/>
            <w:tcBorders>
              <w:top w:val="nil"/>
              <w:left w:val="single" w:sz="4" w:space="0" w:color="auto"/>
              <w:bottom w:val="nil"/>
            </w:tcBorders>
            <w:shd w:val="clear" w:color="auto" w:fill="DEE8F1"/>
            <w:vAlign w:val="center"/>
          </w:tcPr>
          <w:p w14:paraId="67753EFC"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17FE46AE"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10EA41BA"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05E83F1C" w14:textId="77777777"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39C9D40A" w14:textId="77777777"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shd w:val="clear" w:color="auto" w:fill="auto"/>
            <w:vAlign w:val="center"/>
          </w:tcPr>
          <w:p w14:paraId="0ED84653" w14:textId="77777777"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1A0E8498" w14:textId="1DB51B52"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shd w:val="clear" w:color="auto" w:fill="auto"/>
            <w:vAlign w:val="center"/>
          </w:tcPr>
          <w:p w14:paraId="3A0175AA" w14:textId="59861416" w:rsidR="001E5B35" w:rsidRPr="007136E1" w:rsidRDefault="001E5B35" w:rsidP="001E5B35">
            <w:pPr>
              <w:pStyle w:val="Tabletext"/>
              <w:jc w:val="right"/>
              <w:rPr>
                <w:sz w:val="17"/>
                <w:szCs w:val="17"/>
                <w:lang w:eastAsia="en-AU"/>
              </w:rPr>
            </w:pPr>
            <w:r w:rsidRPr="0092094D">
              <w:t>0.6</w:t>
            </w:r>
          </w:p>
        </w:tc>
        <w:tc>
          <w:tcPr>
            <w:tcW w:w="850" w:type="dxa"/>
            <w:tcBorders>
              <w:top w:val="nil"/>
              <w:left w:val="single" w:sz="4" w:space="0" w:color="auto"/>
              <w:bottom w:val="nil"/>
            </w:tcBorders>
            <w:shd w:val="clear" w:color="auto" w:fill="DEE8F1"/>
            <w:vAlign w:val="center"/>
          </w:tcPr>
          <w:p w14:paraId="650BC84F" w14:textId="07C5CB3D" w:rsidR="001E5B35" w:rsidRPr="007136E1" w:rsidRDefault="001E5B35" w:rsidP="001E5B35">
            <w:pPr>
              <w:pStyle w:val="Tabletext"/>
              <w:jc w:val="right"/>
              <w:rPr>
                <w:sz w:val="17"/>
                <w:szCs w:val="17"/>
                <w:lang w:eastAsia="en-AU"/>
              </w:rPr>
            </w:pPr>
            <w:r w:rsidRPr="0092094D">
              <w:t>1</w:t>
            </w:r>
          </w:p>
        </w:tc>
        <w:tc>
          <w:tcPr>
            <w:tcW w:w="851" w:type="dxa"/>
            <w:tcBorders>
              <w:top w:val="nil"/>
              <w:bottom w:val="nil"/>
              <w:right w:val="single" w:sz="4" w:space="0" w:color="auto"/>
            </w:tcBorders>
            <w:shd w:val="clear" w:color="auto" w:fill="auto"/>
            <w:vAlign w:val="center"/>
          </w:tcPr>
          <w:p w14:paraId="10105877" w14:textId="43F3765D" w:rsidR="001E5B35" w:rsidRPr="007136E1" w:rsidRDefault="001E5B35" w:rsidP="001E5B35">
            <w:pPr>
              <w:pStyle w:val="Tabletext"/>
              <w:jc w:val="right"/>
              <w:rPr>
                <w:sz w:val="17"/>
                <w:szCs w:val="17"/>
                <w:lang w:eastAsia="en-AU"/>
              </w:rPr>
            </w:pPr>
            <w:r w:rsidRPr="0092094D">
              <w:t>1.7</w:t>
            </w:r>
          </w:p>
        </w:tc>
        <w:tc>
          <w:tcPr>
            <w:tcW w:w="850" w:type="dxa"/>
            <w:tcBorders>
              <w:top w:val="nil"/>
              <w:left w:val="single" w:sz="4" w:space="0" w:color="auto"/>
              <w:bottom w:val="nil"/>
            </w:tcBorders>
            <w:shd w:val="clear" w:color="auto" w:fill="DEE8F1"/>
            <w:vAlign w:val="center"/>
          </w:tcPr>
          <w:p w14:paraId="5E1E97EF" w14:textId="6AF74FCB"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56B78955" w14:textId="2CBD0E77"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5A1C7617" w14:textId="6BE0BE79"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10EB45FF" w14:textId="27F82098"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2CE901DC" w14:textId="10D8CCD8" w:rsidR="001E5B35" w:rsidRPr="007136E1" w:rsidRDefault="001E5B35" w:rsidP="001E5B35">
            <w:pPr>
              <w:pStyle w:val="Tabletext"/>
              <w:jc w:val="right"/>
              <w:rPr>
                <w:sz w:val="17"/>
                <w:szCs w:val="17"/>
                <w:lang w:eastAsia="en-AU"/>
              </w:rPr>
            </w:pPr>
            <w:r w:rsidRPr="0092094D">
              <w:t>2</w:t>
            </w:r>
          </w:p>
        </w:tc>
        <w:tc>
          <w:tcPr>
            <w:tcW w:w="863" w:type="dxa"/>
            <w:tcBorders>
              <w:top w:val="nil"/>
              <w:bottom w:val="nil"/>
            </w:tcBorders>
            <w:shd w:val="clear" w:color="auto" w:fill="auto"/>
            <w:vAlign w:val="center"/>
          </w:tcPr>
          <w:p w14:paraId="01F90D92" w14:textId="264C8136" w:rsidR="001E5B35" w:rsidRPr="007136E1" w:rsidRDefault="001E5B35" w:rsidP="001E5B35">
            <w:pPr>
              <w:pStyle w:val="Tabletext"/>
              <w:jc w:val="right"/>
              <w:rPr>
                <w:sz w:val="17"/>
                <w:szCs w:val="17"/>
                <w:lang w:eastAsia="en-AU"/>
              </w:rPr>
            </w:pPr>
            <w:r w:rsidRPr="0092094D">
              <w:t>2.3</w:t>
            </w:r>
          </w:p>
        </w:tc>
      </w:tr>
      <w:tr w:rsidR="00BD3635" w:rsidRPr="007136E1" w14:paraId="46B782FC" w14:textId="77777777" w:rsidTr="00045A49">
        <w:trPr>
          <w:cnfStyle w:val="000000100000" w:firstRow="0" w:lastRow="0" w:firstColumn="0" w:lastColumn="0" w:oddVBand="0" w:evenVBand="0" w:oddHBand="1" w:evenHBand="0" w:firstRowFirstColumn="0" w:firstRowLastColumn="0" w:lastRowFirstColumn="0" w:lastRowLastColumn="0"/>
          <w:trHeight w:val="329"/>
        </w:trPr>
        <w:tc>
          <w:tcPr>
            <w:tcW w:w="1498" w:type="dxa"/>
            <w:tcBorders>
              <w:right w:val="single" w:sz="4" w:space="0" w:color="auto"/>
            </w:tcBorders>
            <w:vAlign w:val="center"/>
          </w:tcPr>
          <w:p w14:paraId="38A3FD6B" w14:textId="14771A1C" w:rsidR="001E5B35" w:rsidRPr="007136E1" w:rsidRDefault="001E5B35" w:rsidP="001E5B35">
            <w:pPr>
              <w:pStyle w:val="Tabletext"/>
              <w:rPr>
                <w:lang w:eastAsia="en-AU"/>
              </w:rPr>
            </w:pPr>
            <w:r w:rsidRPr="007136E1">
              <w:rPr>
                <w:lang w:eastAsia="en-AU"/>
              </w:rPr>
              <w:t>Gold</w:t>
            </w:r>
          </w:p>
        </w:tc>
        <w:tc>
          <w:tcPr>
            <w:tcW w:w="850" w:type="dxa"/>
            <w:tcBorders>
              <w:top w:val="nil"/>
              <w:left w:val="single" w:sz="4" w:space="0" w:color="auto"/>
              <w:bottom w:val="nil"/>
            </w:tcBorders>
            <w:vAlign w:val="center"/>
          </w:tcPr>
          <w:p w14:paraId="063DCA97" w14:textId="56AF1421" w:rsidR="001E5B35" w:rsidRPr="007136E1" w:rsidRDefault="002923FB" w:rsidP="002923FB">
            <w:pPr>
              <w:pStyle w:val="Tabletext"/>
              <w:jc w:val="right"/>
            </w:pPr>
            <w:r>
              <w:t>1</w:t>
            </w:r>
          </w:p>
        </w:tc>
        <w:tc>
          <w:tcPr>
            <w:tcW w:w="709" w:type="dxa"/>
            <w:tcBorders>
              <w:top w:val="nil"/>
              <w:bottom w:val="nil"/>
              <w:right w:val="single" w:sz="4" w:space="0" w:color="auto"/>
            </w:tcBorders>
            <w:vAlign w:val="center"/>
          </w:tcPr>
          <w:p w14:paraId="0B91B8BC" w14:textId="51259384" w:rsidR="001E5B35" w:rsidRPr="007136E1" w:rsidRDefault="001E5B35" w:rsidP="001E5B35">
            <w:pPr>
              <w:pStyle w:val="Tabletext"/>
              <w:jc w:val="right"/>
            </w:pPr>
            <w:r w:rsidRPr="0092094D">
              <w:t>1.4</w:t>
            </w:r>
          </w:p>
        </w:tc>
        <w:tc>
          <w:tcPr>
            <w:tcW w:w="850" w:type="dxa"/>
            <w:tcBorders>
              <w:top w:val="nil"/>
              <w:left w:val="single" w:sz="4" w:space="0" w:color="auto"/>
              <w:bottom w:val="nil"/>
            </w:tcBorders>
            <w:vAlign w:val="center"/>
          </w:tcPr>
          <w:p w14:paraId="7068A869" w14:textId="416EF574" w:rsidR="001E5B35" w:rsidRPr="007136E1" w:rsidRDefault="001E5B35" w:rsidP="001E5B35">
            <w:pPr>
              <w:pStyle w:val="Tabletext"/>
              <w:jc w:val="right"/>
            </w:pPr>
          </w:p>
        </w:tc>
        <w:tc>
          <w:tcPr>
            <w:tcW w:w="709" w:type="dxa"/>
            <w:tcBorders>
              <w:top w:val="nil"/>
              <w:bottom w:val="nil"/>
              <w:right w:val="single" w:sz="4" w:space="0" w:color="auto"/>
            </w:tcBorders>
            <w:vAlign w:val="center"/>
          </w:tcPr>
          <w:p w14:paraId="7A11B31C" w14:textId="58CB3E2D" w:rsidR="001E5B35" w:rsidRPr="007136E1" w:rsidRDefault="001E5B35" w:rsidP="001E5B35">
            <w:pPr>
              <w:pStyle w:val="Tabletext"/>
              <w:jc w:val="right"/>
            </w:pPr>
          </w:p>
        </w:tc>
        <w:tc>
          <w:tcPr>
            <w:tcW w:w="851" w:type="dxa"/>
            <w:tcBorders>
              <w:top w:val="nil"/>
              <w:left w:val="single" w:sz="4" w:space="0" w:color="auto"/>
              <w:bottom w:val="nil"/>
            </w:tcBorders>
            <w:vAlign w:val="center"/>
          </w:tcPr>
          <w:p w14:paraId="141139D4" w14:textId="6FD35B54" w:rsidR="001E5B35" w:rsidRPr="007136E1" w:rsidRDefault="001E5B35" w:rsidP="001E5B35">
            <w:pPr>
              <w:pStyle w:val="Tabletext"/>
              <w:jc w:val="right"/>
            </w:pPr>
            <w:r w:rsidRPr="0092094D">
              <w:t>1</w:t>
            </w:r>
          </w:p>
        </w:tc>
        <w:tc>
          <w:tcPr>
            <w:tcW w:w="708" w:type="dxa"/>
            <w:tcBorders>
              <w:top w:val="nil"/>
              <w:bottom w:val="nil"/>
              <w:right w:val="single" w:sz="4" w:space="0" w:color="auto"/>
            </w:tcBorders>
            <w:vAlign w:val="center"/>
          </w:tcPr>
          <w:p w14:paraId="73E428D8" w14:textId="799A6F74" w:rsidR="001E5B35" w:rsidRPr="007136E1" w:rsidRDefault="001E5B35" w:rsidP="001E5B35">
            <w:pPr>
              <w:pStyle w:val="Tabletext"/>
              <w:jc w:val="right"/>
            </w:pPr>
            <w:r w:rsidRPr="0092094D">
              <w:t>0.1</w:t>
            </w:r>
          </w:p>
        </w:tc>
        <w:tc>
          <w:tcPr>
            <w:tcW w:w="851" w:type="dxa"/>
            <w:tcBorders>
              <w:top w:val="nil"/>
              <w:left w:val="single" w:sz="4" w:space="0" w:color="auto"/>
              <w:bottom w:val="nil"/>
            </w:tcBorders>
            <w:vAlign w:val="center"/>
          </w:tcPr>
          <w:p w14:paraId="12FFD477" w14:textId="0649EBE2"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7B86A594" w14:textId="5CEAEF61"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778B227D" w14:textId="44E6F9AE" w:rsidR="001E5B35" w:rsidRPr="007136E1" w:rsidRDefault="001E5B35" w:rsidP="001E5B35">
            <w:pPr>
              <w:pStyle w:val="Tabletext"/>
              <w:jc w:val="right"/>
            </w:pPr>
            <w:r w:rsidRPr="0092094D">
              <w:t>8</w:t>
            </w:r>
          </w:p>
        </w:tc>
        <w:tc>
          <w:tcPr>
            <w:tcW w:w="851" w:type="dxa"/>
            <w:tcBorders>
              <w:top w:val="nil"/>
              <w:bottom w:val="nil"/>
              <w:right w:val="single" w:sz="4" w:space="0" w:color="auto"/>
            </w:tcBorders>
            <w:vAlign w:val="center"/>
          </w:tcPr>
          <w:p w14:paraId="2FB6FBD7" w14:textId="27A8E636" w:rsidR="001E5B35" w:rsidRPr="007136E1" w:rsidRDefault="001E5B35" w:rsidP="001E5B35">
            <w:pPr>
              <w:pStyle w:val="Tabletext"/>
              <w:jc w:val="right"/>
            </w:pPr>
            <w:r w:rsidRPr="0092094D">
              <w:t>3.1</w:t>
            </w:r>
          </w:p>
        </w:tc>
        <w:tc>
          <w:tcPr>
            <w:tcW w:w="850" w:type="dxa"/>
            <w:tcBorders>
              <w:top w:val="nil"/>
              <w:left w:val="single" w:sz="4" w:space="0" w:color="auto"/>
              <w:bottom w:val="nil"/>
            </w:tcBorders>
            <w:vAlign w:val="center"/>
          </w:tcPr>
          <w:p w14:paraId="19E82646" w14:textId="77777777" w:rsidR="001E5B35" w:rsidRPr="007136E1" w:rsidRDefault="001E5B35" w:rsidP="001E5B35">
            <w:pPr>
              <w:pStyle w:val="Tabletext"/>
              <w:jc w:val="right"/>
            </w:pPr>
          </w:p>
        </w:tc>
        <w:tc>
          <w:tcPr>
            <w:tcW w:w="709" w:type="dxa"/>
            <w:tcBorders>
              <w:top w:val="nil"/>
              <w:bottom w:val="nil"/>
              <w:right w:val="single" w:sz="4" w:space="0" w:color="auto"/>
            </w:tcBorders>
            <w:vAlign w:val="center"/>
          </w:tcPr>
          <w:p w14:paraId="7A11039F" w14:textId="77777777" w:rsidR="001E5B35" w:rsidRPr="007136E1" w:rsidRDefault="001E5B35" w:rsidP="001E5B35">
            <w:pPr>
              <w:pStyle w:val="Tabletext"/>
              <w:jc w:val="right"/>
            </w:pPr>
          </w:p>
        </w:tc>
        <w:tc>
          <w:tcPr>
            <w:tcW w:w="850" w:type="dxa"/>
            <w:tcBorders>
              <w:left w:val="single" w:sz="4" w:space="0" w:color="auto"/>
            </w:tcBorders>
            <w:vAlign w:val="center"/>
          </w:tcPr>
          <w:p w14:paraId="79C4F3CD" w14:textId="7C5AC3A4" w:rsidR="001E5B35" w:rsidRPr="007136E1" w:rsidRDefault="001E5B35" w:rsidP="001E5B35">
            <w:pPr>
              <w:pStyle w:val="Tabletext"/>
              <w:jc w:val="right"/>
            </w:pPr>
            <w:r w:rsidRPr="0092094D">
              <w:t>2</w:t>
            </w:r>
          </w:p>
        </w:tc>
        <w:tc>
          <w:tcPr>
            <w:tcW w:w="709" w:type="dxa"/>
            <w:tcBorders>
              <w:right w:val="single" w:sz="4" w:space="0" w:color="auto"/>
            </w:tcBorders>
            <w:vAlign w:val="center"/>
          </w:tcPr>
          <w:p w14:paraId="13CA0838" w14:textId="2A2E76D3" w:rsidR="001E5B35" w:rsidRPr="007136E1" w:rsidRDefault="001E5B35" w:rsidP="001E5B35">
            <w:pPr>
              <w:pStyle w:val="Tabletext"/>
              <w:jc w:val="right"/>
            </w:pPr>
            <w:r w:rsidRPr="0092094D">
              <w:t>2.0</w:t>
            </w:r>
          </w:p>
        </w:tc>
        <w:tc>
          <w:tcPr>
            <w:tcW w:w="851" w:type="dxa"/>
            <w:tcBorders>
              <w:top w:val="nil"/>
              <w:left w:val="single" w:sz="4" w:space="0" w:color="auto"/>
              <w:bottom w:val="nil"/>
            </w:tcBorders>
            <w:vAlign w:val="center"/>
          </w:tcPr>
          <w:p w14:paraId="48AA12DA" w14:textId="064338E5" w:rsidR="001E5B35" w:rsidRPr="007136E1" w:rsidRDefault="001E5B35" w:rsidP="001E5B35">
            <w:pPr>
              <w:pStyle w:val="Tabletext"/>
              <w:jc w:val="right"/>
            </w:pPr>
            <w:r w:rsidRPr="0092094D">
              <w:t>12</w:t>
            </w:r>
          </w:p>
        </w:tc>
        <w:tc>
          <w:tcPr>
            <w:tcW w:w="863" w:type="dxa"/>
            <w:tcBorders>
              <w:top w:val="nil"/>
              <w:bottom w:val="nil"/>
            </w:tcBorders>
            <w:vAlign w:val="center"/>
          </w:tcPr>
          <w:p w14:paraId="3FA20C1D" w14:textId="4784CE38" w:rsidR="001E5B35" w:rsidRPr="007136E1" w:rsidRDefault="001E5B35" w:rsidP="001E5B35">
            <w:pPr>
              <w:pStyle w:val="Tabletext"/>
              <w:jc w:val="right"/>
            </w:pPr>
            <w:r w:rsidRPr="0092094D">
              <w:t>6.6</w:t>
            </w:r>
          </w:p>
        </w:tc>
      </w:tr>
      <w:tr w:rsidR="00BD3635" w:rsidRPr="007136E1" w14:paraId="5904155D" w14:textId="77777777" w:rsidTr="00045A49">
        <w:trPr>
          <w:cnfStyle w:val="000000010000" w:firstRow="0" w:lastRow="0" w:firstColumn="0" w:lastColumn="0" w:oddVBand="0" w:evenVBand="0" w:oddHBand="0" w:evenHBand="1" w:firstRowFirstColumn="0" w:firstRowLastColumn="0" w:lastRowFirstColumn="0" w:lastRowLastColumn="0"/>
          <w:trHeight w:val="525"/>
        </w:trPr>
        <w:tc>
          <w:tcPr>
            <w:tcW w:w="1498" w:type="dxa"/>
            <w:tcBorders>
              <w:right w:val="single" w:sz="4" w:space="0" w:color="auto"/>
            </w:tcBorders>
            <w:vAlign w:val="center"/>
          </w:tcPr>
          <w:p w14:paraId="0928DE35" w14:textId="1A0449E8" w:rsidR="001E5B35" w:rsidRPr="007136E1" w:rsidRDefault="001E5B35" w:rsidP="001E5B35">
            <w:pPr>
              <w:pStyle w:val="Tabletext"/>
              <w:rPr>
                <w:lang w:eastAsia="en-AU"/>
              </w:rPr>
            </w:pPr>
            <w:r w:rsidRPr="007136E1">
              <w:rPr>
                <w:lang w:eastAsia="en-AU"/>
              </w:rPr>
              <w:t>Hydrogen</w:t>
            </w:r>
          </w:p>
        </w:tc>
        <w:tc>
          <w:tcPr>
            <w:tcW w:w="850" w:type="dxa"/>
            <w:tcBorders>
              <w:top w:val="nil"/>
              <w:left w:val="single" w:sz="4" w:space="0" w:color="auto"/>
              <w:bottom w:val="nil"/>
            </w:tcBorders>
            <w:shd w:val="clear" w:color="auto" w:fill="DEE8F1"/>
            <w:vAlign w:val="center"/>
          </w:tcPr>
          <w:p w14:paraId="7FE156DD" w14:textId="7C3BD92F"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vAlign w:val="center"/>
          </w:tcPr>
          <w:p w14:paraId="02CE64A9" w14:textId="0DE02233" w:rsidR="001E5B35" w:rsidRPr="007136E1" w:rsidRDefault="001E5B35" w:rsidP="001E5B35">
            <w:pPr>
              <w:pStyle w:val="Tabletext"/>
              <w:jc w:val="right"/>
              <w:rPr>
                <w:sz w:val="17"/>
                <w:szCs w:val="17"/>
                <w:lang w:eastAsia="en-AU"/>
              </w:rPr>
            </w:pPr>
            <w:r w:rsidRPr="0092094D">
              <w:t>0.1</w:t>
            </w:r>
          </w:p>
        </w:tc>
        <w:tc>
          <w:tcPr>
            <w:tcW w:w="850" w:type="dxa"/>
            <w:tcBorders>
              <w:top w:val="nil"/>
              <w:left w:val="single" w:sz="4" w:space="0" w:color="auto"/>
              <w:bottom w:val="nil"/>
            </w:tcBorders>
            <w:shd w:val="clear" w:color="auto" w:fill="DEE8F1"/>
            <w:vAlign w:val="center"/>
          </w:tcPr>
          <w:p w14:paraId="42F84AFC" w14:textId="327BC333"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vAlign w:val="center"/>
          </w:tcPr>
          <w:p w14:paraId="4A618A1A" w14:textId="7B21ABCB" w:rsidR="001E5B35" w:rsidRPr="007136E1" w:rsidRDefault="001E5B35" w:rsidP="001E5B35">
            <w:pPr>
              <w:pStyle w:val="Tabletext"/>
              <w:jc w:val="right"/>
              <w:rPr>
                <w:sz w:val="17"/>
                <w:szCs w:val="17"/>
                <w:lang w:eastAsia="en-AU"/>
              </w:rPr>
            </w:pPr>
            <w:r w:rsidRPr="0092094D">
              <w:t>0.1</w:t>
            </w:r>
          </w:p>
        </w:tc>
        <w:tc>
          <w:tcPr>
            <w:tcW w:w="851" w:type="dxa"/>
            <w:tcBorders>
              <w:top w:val="nil"/>
              <w:left w:val="single" w:sz="4" w:space="0" w:color="auto"/>
              <w:bottom w:val="nil"/>
            </w:tcBorders>
            <w:shd w:val="clear" w:color="auto" w:fill="DEE8F1"/>
            <w:vAlign w:val="center"/>
          </w:tcPr>
          <w:p w14:paraId="1AFBEF26" w14:textId="56EC6127"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vAlign w:val="center"/>
          </w:tcPr>
          <w:p w14:paraId="4E124744" w14:textId="4557F7C6"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2E44D9F7" w14:textId="5AC94244"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226A9F8A" w14:textId="760014A6"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6F773D8F" w14:textId="066B21ED" w:rsidR="001E5B35" w:rsidRPr="007136E1" w:rsidRDefault="001E5B35" w:rsidP="001E5B35">
            <w:pPr>
              <w:pStyle w:val="Tabletext"/>
              <w:jc w:val="right"/>
              <w:rPr>
                <w:sz w:val="17"/>
                <w:szCs w:val="17"/>
                <w:lang w:eastAsia="en-AU"/>
              </w:rPr>
            </w:pPr>
            <w:r w:rsidRPr="0092094D">
              <w:t>1</w:t>
            </w:r>
          </w:p>
        </w:tc>
        <w:tc>
          <w:tcPr>
            <w:tcW w:w="851" w:type="dxa"/>
            <w:tcBorders>
              <w:top w:val="nil"/>
              <w:bottom w:val="nil"/>
              <w:right w:val="single" w:sz="4" w:space="0" w:color="auto"/>
            </w:tcBorders>
            <w:vAlign w:val="center"/>
          </w:tcPr>
          <w:p w14:paraId="4C817B47" w14:textId="64E8D5F6" w:rsidR="001E5B35" w:rsidRPr="007136E1" w:rsidRDefault="001E5B35" w:rsidP="001E5B35">
            <w:pPr>
              <w:pStyle w:val="Tabletext"/>
              <w:jc w:val="right"/>
              <w:rPr>
                <w:sz w:val="17"/>
                <w:szCs w:val="17"/>
                <w:lang w:eastAsia="en-AU"/>
              </w:rPr>
            </w:pPr>
            <w:r w:rsidRPr="0092094D">
              <w:t>0.1</w:t>
            </w:r>
          </w:p>
        </w:tc>
        <w:tc>
          <w:tcPr>
            <w:tcW w:w="850" w:type="dxa"/>
            <w:tcBorders>
              <w:top w:val="nil"/>
              <w:left w:val="single" w:sz="4" w:space="0" w:color="auto"/>
              <w:bottom w:val="nil"/>
            </w:tcBorders>
            <w:shd w:val="clear" w:color="auto" w:fill="DEE8F1"/>
            <w:vAlign w:val="center"/>
          </w:tcPr>
          <w:p w14:paraId="1E633507" w14:textId="3FA528AB"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5EF6060A" w14:textId="3E15F29A"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1F5285D3" w14:textId="6B08C68C"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3BE4C17A" w14:textId="4AB5E970"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51DF2648" w14:textId="68D4559F" w:rsidR="001E5B35" w:rsidRPr="007136E1" w:rsidRDefault="001E5B35" w:rsidP="001E5B35">
            <w:pPr>
              <w:pStyle w:val="Tabletext"/>
              <w:jc w:val="right"/>
              <w:rPr>
                <w:sz w:val="17"/>
                <w:szCs w:val="17"/>
                <w:lang w:eastAsia="en-AU"/>
              </w:rPr>
            </w:pPr>
            <w:r w:rsidRPr="0092094D">
              <w:t>3</w:t>
            </w:r>
          </w:p>
        </w:tc>
        <w:tc>
          <w:tcPr>
            <w:tcW w:w="863" w:type="dxa"/>
            <w:tcBorders>
              <w:top w:val="nil"/>
              <w:bottom w:val="nil"/>
            </w:tcBorders>
            <w:vAlign w:val="center"/>
          </w:tcPr>
          <w:p w14:paraId="78CC8480" w14:textId="68F7F4F2" w:rsidR="001E5B35" w:rsidRPr="007136E1" w:rsidRDefault="001E5B35" w:rsidP="001E5B35">
            <w:pPr>
              <w:pStyle w:val="Tabletext"/>
              <w:jc w:val="right"/>
              <w:rPr>
                <w:sz w:val="17"/>
                <w:szCs w:val="17"/>
                <w:lang w:eastAsia="en-AU"/>
              </w:rPr>
            </w:pPr>
            <w:r w:rsidRPr="0092094D">
              <w:t>0.2</w:t>
            </w:r>
          </w:p>
        </w:tc>
      </w:tr>
      <w:tr w:rsidR="00BD3635" w:rsidRPr="007136E1" w14:paraId="77D8D30E" w14:textId="77777777" w:rsidTr="00045A49">
        <w:trPr>
          <w:cnfStyle w:val="000000100000" w:firstRow="0" w:lastRow="0" w:firstColumn="0" w:lastColumn="0" w:oddVBand="0" w:evenVBand="0" w:oddHBand="1" w:evenHBand="0" w:firstRowFirstColumn="0" w:firstRowLastColumn="0" w:lastRowFirstColumn="0" w:lastRowLastColumn="0"/>
          <w:trHeight w:val="537"/>
        </w:trPr>
        <w:tc>
          <w:tcPr>
            <w:tcW w:w="1498" w:type="dxa"/>
            <w:tcBorders>
              <w:right w:val="single" w:sz="4" w:space="0" w:color="auto"/>
            </w:tcBorders>
            <w:vAlign w:val="center"/>
          </w:tcPr>
          <w:p w14:paraId="0CB47C29" w14:textId="4EDDE655" w:rsidR="001E5B35" w:rsidRPr="007136E1" w:rsidRDefault="001E5B35" w:rsidP="001E5B35">
            <w:pPr>
              <w:pStyle w:val="Tabletext"/>
              <w:rPr>
                <w:lang w:eastAsia="en-AU"/>
              </w:rPr>
            </w:pPr>
            <w:r w:rsidRPr="007136E1">
              <w:rPr>
                <w:lang w:eastAsia="en-AU"/>
              </w:rPr>
              <w:t xml:space="preserve">Infrastructure </w:t>
            </w:r>
            <w:r w:rsidRPr="007136E1">
              <w:rPr>
                <w:sz w:val="12"/>
                <w:szCs w:val="12"/>
                <w:lang w:eastAsia="en-AU"/>
              </w:rPr>
              <w:t>a</w:t>
            </w:r>
          </w:p>
        </w:tc>
        <w:tc>
          <w:tcPr>
            <w:tcW w:w="850" w:type="dxa"/>
            <w:tcBorders>
              <w:top w:val="nil"/>
              <w:left w:val="single" w:sz="4" w:space="0" w:color="auto"/>
              <w:bottom w:val="nil"/>
            </w:tcBorders>
            <w:vAlign w:val="center"/>
          </w:tcPr>
          <w:p w14:paraId="030BEF8A" w14:textId="5121013C"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vAlign w:val="center"/>
          </w:tcPr>
          <w:p w14:paraId="7BF12EE9" w14:textId="00B6369B" w:rsidR="001E5B35" w:rsidRPr="007136E1" w:rsidRDefault="001E5B35" w:rsidP="001E5B35">
            <w:pPr>
              <w:pStyle w:val="Tabletext"/>
              <w:jc w:val="right"/>
              <w:rPr>
                <w:sz w:val="17"/>
                <w:szCs w:val="17"/>
                <w:lang w:eastAsia="en-AU"/>
              </w:rPr>
            </w:pPr>
            <w:r w:rsidRPr="0092094D">
              <w:t>0.1</w:t>
            </w:r>
          </w:p>
        </w:tc>
        <w:tc>
          <w:tcPr>
            <w:tcW w:w="850" w:type="dxa"/>
            <w:tcBorders>
              <w:top w:val="nil"/>
              <w:left w:val="single" w:sz="4" w:space="0" w:color="auto"/>
              <w:bottom w:val="nil"/>
            </w:tcBorders>
            <w:vAlign w:val="center"/>
          </w:tcPr>
          <w:p w14:paraId="6EA1A02C" w14:textId="2A183DEC" w:rsidR="001E5B35" w:rsidRPr="007136E1" w:rsidRDefault="001E5B35" w:rsidP="001E5B35">
            <w:pPr>
              <w:pStyle w:val="Tabletext"/>
              <w:jc w:val="right"/>
            </w:pPr>
            <w:r w:rsidRPr="0092094D">
              <w:t>2</w:t>
            </w:r>
          </w:p>
        </w:tc>
        <w:tc>
          <w:tcPr>
            <w:tcW w:w="709" w:type="dxa"/>
            <w:tcBorders>
              <w:top w:val="nil"/>
              <w:bottom w:val="nil"/>
              <w:right w:val="single" w:sz="4" w:space="0" w:color="auto"/>
            </w:tcBorders>
            <w:vAlign w:val="center"/>
          </w:tcPr>
          <w:p w14:paraId="498AAEBF" w14:textId="13BA5470" w:rsidR="001E5B35" w:rsidRPr="007136E1" w:rsidRDefault="001E5B35" w:rsidP="001E5B35">
            <w:pPr>
              <w:pStyle w:val="Tabletext"/>
              <w:jc w:val="right"/>
            </w:pPr>
            <w:r w:rsidRPr="0092094D">
              <w:t>0.2</w:t>
            </w:r>
          </w:p>
        </w:tc>
        <w:tc>
          <w:tcPr>
            <w:tcW w:w="851" w:type="dxa"/>
            <w:tcBorders>
              <w:top w:val="nil"/>
              <w:left w:val="single" w:sz="4" w:space="0" w:color="auto"/>
              <w:bottom w:val="nil"/>
            </w:tcBorders>
            <w:vAlign w:val="center"/>
          </w:tcPr>
          <w:p w14:paraId="685EAB7A" w14:textId="10360946" w:rsidR="001E5B35" w:rsidRPr="007136E1" w:rsidRDefault="001E5B35" w:rsidP="001E5B35">
            <w:pPr>
              <w:pStyle w:val="Tabletext"/>
              <w:jc w:val="right"/>
              <w:rPr>
                <w:sz w:val="17"/>
                <w:szCs w:val="17"/>
                <w:lang w:eastAsia="en-AU"/>
              </w:rPr>
            </w:pPr>
            <w:r w:rsidRPr="0092094D">
              <w:t>5</w:t>
            </w:r>
          </w:p>
        </w:tc>
        <w:tc>
          <w:tcPr>
            <w:tcW w:w="708" w:type="dxa"/>
            <w:tcBorders>
              <w:top w:val="nil"/>
              <w:bottom w:val="nil"/>
              <w:right w:val="single" w:sz="4" w:space="0" w:color="auto"/>
            </w:tcBorders>
            <w:vAlign w:val="center"/>
          </w:tcPr>
          <w:p w14:paraId="12E55C36" w14:textId="3D9F6AFC" w:rsidR="001E5B35" w:rsidRPr="007136E1" w:rsidRDefault="001E5B35" w:rsidP="001E5B35">
            <w:pPr>
              <w:pStyle w:val="Tabletext"/>
              <w:jc w:val="right"/>
              <w:rPr>
                <w:sz w:val="17"/>
                <w:szCs w:val="17"/>
                <w:lang w:eastAsia="en-AU"/>
              </w:rPr>
            </w:pPr>
            <w:r w:rsidRPr="0092094D">
              <w:t>1.6</w:t>
            </w:r>
          </w:p>
        </w:tc>
        <w:tc>
          <w:tcPr>
            <w:tcW w:w="851" w:type="dxa"/>
            <w:tcBorders>
              <w:top w:val="nil"/>
              <w:left w:val="single" w:sz="4" w:space="0" w:color="auto"/>
              <w:bottom w:val="nil"/>
            </w:tcBorders>
            <w:vAlign w:val="center"/>
          </w:tcPr>
          <w:p w14:paraId="040F44E2" w14:textId="26254E13" w:rsidR="001E5B35" w:rsidRPr="007136E1" w:rsidRDefault="001E5B35" w:rsidP="001E5B35">
            <w:pPr>
              <w:pStyle w:val="Tabletext"/>
              <w:jc w:val="right"/>
              <w:rPr>
                <w:sz w:val="17"/>
                <w:szCs w:val="17"/>
                <w:lang w:eastAsia="en-AU"/>
              </w:rPr>
            </w:pPr>
            <w:r w:rsidRPr="0092094D">
              <w:t>2</w:t>
            </w:r>
          </w:p>
        </w:tc>
        <w:tc>
          <w:tcPr>
            <w:tcW w:w="709" w:type="dxa"/>
            <w:tcBorders>
              <w:top w:val="nil"/>
              <w:bottom w:val="nil"/>
              <w:right w:val="single" w:sz="4" w:space="0" w:color="auto"/>
            </w:tcBorders>
            <w:vAlign w:val="center"/>
          </w:tcPr>
          <w:p w14:paraId="58D24D98" w14:textId="70D658F9" w:rsidR="001E5B35" w:rsidRPr="007136E1" w:rsidRDefault="001E5B35" w:rsidP="001E5B35">
            <w:pPr>
              <w:pStyle w:val="Tabletext"/>
              <w:jc w:val="right"/>
              <w:rPr>
                <w:sz w:val="17"/>
                <w:szCs w:val="17"/>
                <w:lang w:eastAsia="en-AU"/>
              </w:rPr>
            </w:pPr>
            <w:r w:rsidRPr="0092094D">
              <w:t>0.3</w:t>
            </w:r>
          </w:p>
        </w:tc>
        <w:tc>
          <w:tcPr>
            <w:tcW w:w="850" w:type="dxa"/>
            <w:tcBorders>
              <w:top w:val="nil"/>
              <w:left w:val="single" w:sz="4" w:space="0" w:color="auto"/>
              <w:bottom w:val="nil"/>
            </w:tcBorders>
            <w:vAlign w:val="center"/>
          </w:tcPr>
          <w:p w14:paraId="16F7A29A" w14:textId="725429C0" w:rsidR="001E5B35" w:rsidRPr="007136E1" w:rsidRDefault="00C35D5A" w:rsidP="001E5B35">
            <w:pPr>
              <w:pStyle w:val="Tabletext"/>
              <w:jc w:val="right"/>
            </w:pPr>
            <w:r w:rsidRPr="00AE678A">
              <w:t>5</w:t>
            </w:r>
          </w:p>
        </w:tc>
        <w:tc>
          <w:tcPr>
            <w:tcW w:w="851" w:type="dxa"/>
            <w:tcBorders>
              <w:top w:val="nil"/>
              <w:bottom w:val="nil"/>
              <w:right w:val="single" w:sz="4" w:space="0" w:color="auto"/>
            </w:tcBorders>
            <w:vAlign w:val="center"/>
          </w:tcPr>
          <w:p w14:paraId="3525B461" w14:textId="29290D7F" w:rsidR="001E5B35" w:rsidRPr="007136E1" w:rsidRDefault="001E5B35" w:rsidP="001E5B35">
            <w:pPr>
              <w:pStyle w:val="Tabletext"/>
              <w:jc w:val="right"/>
            </w:pPr>
            <w:r w:rsidRPr="0092094D">
              <w:t>2.2</w:t>
            </w:r>
          </w:p>
        </w:tc>
        <w:tc>
          <w:tcPr>
            <w:tcW w:w="850" w:type="dxa"/>
            <w:tcBorders>
              <w:top w:val="nil"/>
              <w:left w:val="single" w:sz="4" w:space="0" w:color="auto"/>
              <w:bottom w:val="nil"/>
            </w:tcBorders>
            <w:vAlign w:val="center"/>
          </w:tcPr>
          <w:p w14:paraId="0285BD31" w14:textId="2D5039A2" w:rsidR="001E5B35" w:rsidRPr="007136E1" w:rsidRDefault="001E5B35" w:rsidP="001E5B35">
            <w:pPr>
              <w:pStyle w:val="Tabletext"/>
              <w:jc w:val="right"/>
            </w:pPr>
          </w:p>
        </w:tc>
        <w:tc>
          <w:tcPr>
            <w:tcW w:w="709" w:type="dxa"/>
            <w:tcBorders>
              <w:top w:val="nil"/>
              <w:bottom w:val="nil"/>
              <w:right w:val="single" w:sz="4" w:space="0" w:color="auto"/>
            </w:tcBorders>
            <w:vAlign w:val="center"/>
          </w:tcPr>
          <w:p w14:paraId="5FB7AD02" w14:textId="79BFBB76" w:rsidR="001E5B35" w:rsidRPr="007136E1" w:rsidRDefault="001E5B35" w:rsidP="001E5B35">
            <w:pPr>
              <w:pStyle w:val="Tabletext"/>
              <w:jc w:val="right"/>
            </w:pPr>
          </w:p>
        </w:tc>
        <w:tc>
          <w:tcPr>
            <w:tcW w:w="850" w:type="dxa"/>
            <w:tcBorders>
              <w:left w:val="single" w:sz="4" w:space="0" w:color="auto"/>
            </w:tcBorders>
            <w:vAlign w:val="center"/>
          </w:tcPr>
          <w:p w14:paraId="24750604" w14:textId="77777777" w:rsidR="001E5B35" w:rsidRPr="007136E1" w:rsidRDefault="001E5B35" w:rsidP="001E5B35">
            <w:pPr>
              <w:pStyle w:val="Tabletext"/>
              <w:jc w:val="right"/>
            </w:pPr>
          </w:p>
        </w:tc>
        <w:tc>
          <w:tcPr>
            <w:tcW w:w="709" w:type="dxa"/>
            <w:tcBorders>
              <w:right w:val="single" w:sz="4" w:space="0" w:color="auto"/>
            </w:tcBorders>
            <w:vAlign w:val="center"/>
          </w:tcPr>
          <w:p w14:paraId="38747B3B" w14:textId="77777777" w:rsidR="001E5B35" w:rsidRPr="007136E1" w:rsidRDefault="001E5B35" w:rsidP="001E5B35">
            <w:pPr>
              <w:pStyle w:val="Tabletext"/>
              <w:jc w:val="right"/>
            </w:pPr>
          </w:p>
        </w:tc>
        <w:tc>
          <w:tcPr>
            <w:tcW w:w="851" w:type="dxa"/>
            <w:tcBorders>
              <w:top w:val="nil"/>
              <w:left w:val="single" w:sz="4" w:space="0" w:color="auto"/>
              <w:bottom w:val="nil"/>
            </w:tcBorders>
            <w:vAlign w:val="center"/>
          </w:tcPr>
          <w:p w14:paraId="67A84D9D" w14:textId="01CAF3F9" w:rsidR="001E5B35" w:rsidRPr="007136E1" w:rsidRDefault="00C35D5A" w:rsidP="001E5B35">
            <w:pPr>
              <w:pStyle w:val="Tabletext"/>
              <w:jc w:val="right"/>
            </w:pPr>
            <w:r w:rsidRPr="00AE678A">
              <w:t>15</w:t>
            </w:r>
          </w:p>
        </w:tc>
        <w:tc>
          <w:tcPr>
            <w:tcW w:w="863" w:type="dxa"/>
            <w:tcBorders>
              <w:top w:val="nil"/>
              <w:bottom w:val="nil"/>
            </w:tcBorders>
            <w:vAlign w:val="center"/>
          </w:tcPr>
          <w:p w14:paraId="3EB66F4E" w14:textId="746ADA8A" w:rsidR="001E5B35" w:rsidRPr="007136E1" w:rsidRDefault="001E5B35" w:rsidP="001E5B35">
            <w:pPr>
              <w:pStyle w:val="Tabletext"/>
              <w:jc w:val="right"/>
            </w:pPr>
            <w:r w:rsidRPr="0092094D">
              <w:t>4.4</w:t>
            </w:r>
          </w:p>
        </w:tc>
      </w:tr>
      <w:tr w:rsidR="00BD3635" w:rsidRPr="007136E1" w14:paraId="0098CDBC" w14:textId="77777777" w:rsidTr="00045A49">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5425CA7A" w14:textId="64FD3C14" w:rsidR="001E5B35" w:rsidRPr="007136E1" w:rsidRDefault="001E5B35" w:rsidP="001E5B35">
            <w:pPr>
              <w:pStyle w:val="Tabletext"/>
              <w:rPr>
                <w:lang w:eastAsia="en-AU"/>
              </w:rPr>
            </w:pPr>
            <w:r w:rsidRPr="007136E1">
              <w:rPr>
                <w:lang w:eastAsia="en-AU"/>
              </w:rPr>
              <w:t>Iron ore</w:t>
            </w:r>
          </w:p>
        </w:tc>
        <w:tc>
          <w:tcPr>
            <w:tcW w:w="850" w:type="dxa"/>
            <w:tcBorders>
              <w:top w:val="nil"/>
              <w:left w:val="single" w:sz="4" w:space="0" w:color="auto"/>
              <w:bottom w:val="nil"/>
            </w:tcBorders>
            <w:shd w:val="clear" w:color="auto" w:fill="DEE8F1"/>
            <w:vAlign w:val="center"/>
          </w:tcPr>
          <w:p w14:paraId="48D5970B" w14:textId="63130240"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shd w:val="clear" w:color="auto" w:fill="auto"/>
            <w:vAlign w:val="center"/>
          </w:tcPr>
          <w:p w14:paraId="451049FA" w14:textId="1BCD9034" w:rsidR="001E5B35" w:rsidRPr="007136E1" w:rsidRDefault="001E5B35" w:rsidP="001E5B35">
            <w:pPr>
              <w:pStyle w:val="Tabletext"/>
              <w:jc w:val="right"/>
              <w:rPr>
                <w:sz w:val="17"/>
                <w:szCs w:val="17"/>
                <w:lang w:eastAsia="en-AU"/>
              </w:rPr>
            </w:pPr>
            <w:r w:rsidRPr="0092094D">
              <w:t>1.2</w:t>
            </w:r>
          </w:p>
        </w:tc>
        <w:tc>
          <w:tcPr>
            <w:tcW w:w="850" w:type="dxa"/>
            <w:tcBorders>
              <w:top w:val="nil"/>
              <w:left w:val="single" w:sz="4" w:space="0" w:color="auto"/>
              <w:bottom w:val="nil"/>
            </w:tcBorders>
            <w:shd w:val="clear" w:color="auto" w:fill="DEE8F1"/>
            <w:vAlign w:val="center"/>
          </w:tcPr>
          <w:p w14:paraId="1CF2D284" w14:textId="28614C9E"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2A82CB80" w14:textId="37C50BF0"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76C5B428" w14:textId="1D67B50E"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shd w:val="clear" w:color="auto" w:fill="auto"/>
            <w:vAlign w:val="center"/>
          </w:tcPr>
          <w:p w14:paraId="199D4763" w14:textId="2E999CC6"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41C86753" w14:textId="1ADF0DB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4030A422"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2515830C" w14:textId="08690A9C" w:rsidR="001E5B35" w:rsidRPr="007136E1" w:rsidRDefault="001E5B35" w:rsidP="001E5B35">
            <w:pPr>
              <w:pStyle w:val="Tabletext"/>
              <w:jc w:val="right"/>
              <w:rPr>
                <w:sz w:val="17"/>
                <w:szCs w:val="17"/>
                <w:lang w:eastAsia="en-AU"/>
              </w:rPr>
            </w:pPr>
            <w:r w:rsidRPr="0092094D">
              <w:t>3</w:t>
            </w:r>
          </w:p>
        </w:tc>
        <w:tc>
          <w:tcPr>
            <w:tcW w:w="851" w:type="dxa"/>
            <w:tcBorders>
              <w:top w:val="nil"/>
              <w:bottom w:val="nil"/>
              <w:right w:val="single" w:sz="4" w:space="0" w:color="auto"/>
            </w:tcBorders>
            <w:shd w:val="clear" w:color="auto" w:fill="auto"/>
            <w:vAlign w:val="center"/>
          </w:tcPr>
          <w:p w14:paraId="45511CE8" w14:textId="7195C3BB" w:rsidR="001E5B35" w:rsidRPr="007136E1" w:rsidRDefault="001E5B35" w:rsidP="001E5B35">
            <w:pPr>
              <w:pStyle w:val="Tabletext"/>
              <w:jc w:val="right"/>
              <w:rPr>
                <w:sz w:val="17"/>
                <w:szCs w:val="17"/>
                <w:lang w:eastAsia="en-AU"/>
              </w:rPr>
            </w:pPr>
            <w:r w:rsidRPr="0092094D">
              <w:t>6.0</w:t>
            </w:r>
          </w:p>
        </w:tc>
        <w:tc>
          <w:tcPr>
            <w:tcW w:w="850" w:type="dxa"/>
            <w:tcBorders>
              <w:top w:val="nil"/>
              <w:left w:val="single" w:sz="4" w:space="0" w:color="auto"/>
              <w:bottom w:val="nil"/>
            </w:tcBorders>
            <w:shd w:val="clear" w:color="auto" w:fill="DEE8F1"/>
            <w:vAlign w:val="center"/>
          </w:tcPr>
          <w:p w14:paraId="53CEB6F0" w14:textId="7670D152"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3C4CFA0B" w14:textId="611B3AA9"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70213E34" w14:textId="6CA6599B"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465C324C" w14:textId="44C884F2"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5A026C8B" w14:textId="4848890E" w:rsidR="001E5B35" w:rsidRPr="007136E1" w:rsidRDefault="001E5B35" w:rsidP="001E5B35">
            <w:pPr>
              <w:pStyle w:val="Tabletext"/>
              <w:jc w:val="right"/>
              <w:rPr>
                <w:sz w:val="17"/>
                <w:szCs w:val="17"/>
                <w:lang w:eastAsia="en-AU"/>
              </w:rPr>
            </w:pPr>
            <w:r w:rsidRPr="0092094D">
              <w:t>4</w:t>
            </w:r>
          </w:p>
        </w:tc>
        <w:tc>
          <w:tcPr>
            <w:tcW w:w="863" w:type="dxa"/>
            <w:tcBorders>
              <w:top w:val="nil"/>
              <w:bottom w:val="nil"/>
            </w:tcBorders>
            <w:shd w:val="clear" w:color="auto" w:fill="auto"/>
            <w:vAlign w:val="center"/>
          </w:tcPr>
          <w:p w14:paraId="2A0AEFA8" w14:textId="2AEB048F" w:rsidR="001E5B35" w:rsidRPr="007136E1" w:rsidRDefault="001E5B35" w:rsidP="001E5B35">
            <w:pPr>
              <w:pStyle w:val="Tabletext"/>
              <w:jc w:val="right"/>
              <w:rPr>
                <w:sz w:val="17"/>
                <w:szCs w:val="17"/>
                <w:lang w:eastAsia="en-AU"/>
              </w:rPr>
            </w:pPr>
            <w:r w:rsidRPr="0092094D">
              <w:t>7.2</w:t>
            </w:r>
          </w:p>
        </w:tc>
      </w:tr>
      <w:tr w:rsidR="00BD3635" w:rsidRPr="007136E1" w14:paraId="6258AA47" w14:textId="77777777" w:rsidTr="00045A49">
        <w:trPr>
          <w:cnfStyle w:val="000000100000" w:firstRow="0" w:lastRow="0" w:firstColumn="0" w:lastColumn="0" w:oddVBand="0" w:evenVBand="0" w:oddHBand="1" w:evenHBand="0" w:firstRowFirstColumn="0" w:firstRowLastColumn="0" w:lastRowFirstColumn="0" w:lastRowLastColumn="0"/>
          <w:trHeight w:val="403"/>
        </w:trPr>
        <w:tc>
          <w:tcPr>
            <w:tcW w:w="1498" w:type="dxa"/>
            <w:tcBorders>
              <w:right w:val="single" w:sz="4" w:space="0" w:color="auto"/>
            </w:tcBorders>
            <w:vAlign w:val="center"/>
          </w:tcPr>
          <w:p w14:paraId="011966A3" w14:textId="730E4CDC" w:rsidR="001E5B35" w:rsidRPr="007136E1" w:rsidRDefault="001E5B35" w:rsidP="001E5B35">
            <w:pPr>
              <w:pStyle w:val="Tabletext"/>
              <w:rPr>
                <w:lang w:eastAsia="en-AU"/>
              </w:rPr>
            </w:pPr>
            <w:r w:rsidRPr="007136E1">
              <w:rPr>
                <w:lang w:eastAsia="en-AU"/>
              </w:rPr>
              <w:t>Lead, Zinc, Silver</w:t>
            </w:r>
          </w:p>
        </w:tc>
        <w:tc>
          <w:tcPr>
            <w:tcW w:w="850" w:type="dxa"/>
            <w:tcBorders>
              <w:top w:val="nil"/>
              <w:left w:val="single" w:sz="4" w:space="0" w:color="auto"/>
              <w:bottom w:val="nil"/>
            </w:tcBorders>
            <w:vAlign w:val="center"/>
          </w:tcPr>
          <w:p w14:paraId="46833DAD" w14:textId="4F65DA36"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33E1FF9C" w14:textId="11712C13"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0017C22B" w14:textId="3DB4A24E"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2A808B78" w14:textId="55C3562A"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207335A4" w14:textId="41CD5C34"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vAlign w:val="center"/>
          </w:tcPr>
          <w:p w14:paraId="7EDD9AC8" w14:textId="7E5713A6"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1687F26E"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786C1E87"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66DC2690" w14:textId="365EDF82" w:rsidR="001E5B35" w:rsidRPr="007136E1" w:rsidRDefault="001E5B35" w:rsidP="001E5B35">
            <w:pPr>
              <w:pStyle w:val="Tabletext"/>
              <w:jc w:val="right"/>
              <w:rPr>
                <w:sz w:val="17"/>
                <w:szCs w:val="17"/>
                <w:lang w:eastAsia="en-AU"/>
              </w:rPr>
            </w:pPr>
          </w:p>
        </w:tc>
        <w:tc>
          <w:tcPr>
            <w:tcW w:w="851" w:type="dxa"/>
            <w:tcBorders>
              <w:top w:val="nil"/>
              <w:bottom w:val="nil"/>
              <w:right w:val="single" w:sz="4" w:space="0" w:color="auto"/>
            </w:tcBorders>
            <w:vAlign w:val="center"/>
          </w:tcPr>
          <w:p w14:paraId="26C05687" w14:textId="34D6FAC3"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3BC44851"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74172C01" w14:textId="77777777" w:rsidR="001E5B35" w:rsidRPr="007136E1" w:rsidRDefault="001E5B35" w:rsidP="001E5B35">
            <w:pPr>
              <w:pStyle w:val="Tabletext"/>
              <w:jc w:val="right"/>
              <w:rPr>
                <w:sz w:val="17"/>
                <w:szCs w:val="17"/>
                <w:lang w:eastAsia="en-AU"/>
              </w:rPr>
            </w:pPr>
          </w:p>
        </w:tc>
        <w:tc>
          <w:tcPr>
            <w:tcW w:w="850" w:type="dxa"/>
            <w:tcBorders>
              <w:left w:val="single" w:sz="4" w:space="0" w:color="auto"/>
            </w:tcBorders>
            <w:vAlign w:val="center"/>
          </w:tcPr>
          <w:p w14:paraId="380027BD" w14:textId="77777777"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79013D6C" w14:textId="77777777"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3F9E482D" w14:textId="151AA5B0" w:rsidR="001E5B35" w:rsidRPr="007136E1" w:rsidRDefault="001E5B35" w:rsidP="001E5B35">
            <w:pPr>
              <w:pStyle w:val="Tabletext"/>
              <w:jc w:val="right"/>
              <w:rPr>
                <w:sz w:val="17"/>
                <w:szCs w:val="17"/>
                <w:lang w:eastAsia="en-AU"/>
              </w:rPr>
            </w:pPr>
          </w:p>
        </w:tc>
        <w:tc>
          <w:tcPr>
            <w:tcW w:w="863" w:type="dxa"/>
            <w:tcBorders>
              <w:top w:val="nil"/>
              <w:bottom w:val="nil"/>
            </w:tcBorders>
            <w:vAlign w:val="center"/>
          </w:tcPr>
          <w:p w14:paraId="3643CE93" w14:textId="3A530C35" w:rsidR="001E5B35" w:rsidRPr="007136E1" w:rsidRDefault="001E5B35" w:rsidP="001E5B35">
            <w:pPr>
              <w:pStyle w:val="Tabletext"/>
              <w:jc w:val="right"/>
              <w:rPr>
                <w:sz w:val="17"/>
                <w:szCs w:val="17"/>
                <w:lang w:eastAsia="en-AU"/>
              </w:rPr>
            </w:pPr>
          </w:p>
        </w:tc>
      </w:tr>
      <w:tr w:rsidR="00BD3635" w:rsidRPr="007136E1" w14:paraId="523F7310" w14:textId="77777777" w:rsidTr="00045A49">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vAlign w:val="center"/>
          </w:tcPr>
          <w:p w14:paraId="7E894D91" w14:textId="007B382D" w:rsidR="001E5B35" w:rsidRPr="007136E1" w:rsidRDefault="001E5B35" w:rsidP="001E5B35">
            <w:pPr>
              <w:pStyle w:val="Tabletext"/>
              <w:rPr>
                <w:lang w:eastAsia="en-AU"/>
              </w:rPr>
            </w:pPr>
            <w:r>
              <w:rPr>
                <w:lang w:eastAsia="en-AU"/>
              </w:rPr>
              <w:t>Lithium</w:t>
            </w:r>
          </w:p>
        </w:tc>
        <w:tc>
          <w:tcPr>
            <w:tcW w:w="850" w:type="dxa"/>
            <w:tcBorders>
              <w:top w:val="nil"/>
              <w:left w:val="single" w:sz="4" w:space="0" w:color="auto"/>
              <w:bottom w:val="nil"/>
            </w:tcBorders>
            <w:shd w:val="clear" w:color="auto" w:fill="DEE8F1"/>
            <w:vAlign w:val="center"/>
          </w:tcPr>
          <w:p w14:paraId="7471A377"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46990CBB"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788A4F8D" w14:textId="2428B406"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6D1ACA75" w14:textId="488F1735"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37D5DC9F" w14:textId="347A1B9B"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shd w:val="clear" w:color="auto" w:fill="auto"/>
            <w:vAlign w:val="center"/>
          </w:tcPr>
          <w:p w14:paraId="227D8BD1" w14:textId="4B81CA7F"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4569926A"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7E22BCE7" w14:textId="7777777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15B5E64D" w14:textId="14F64ABB" w:rsidR="001E5B35" w:rsidRPr="007136E1" w:rsidRDefault="00C35D5A" w:rsidP="001E5B35">
            <w:pPr>
              <w:pStyle w:val="Tabletext"/>
              <w:jc w:val="right"/>
              <w:rPr>
                <w:sz w:val="17"/>
                <w:szCs w:val="17"/>
                <w:lang w:eastAsia="en-AU"/>
              </w:rPr>
            </w:pPr>
            <w:r w:rsidRPr="00AE678A">
              <w:t>9</w:t>
            </w:r>
          </w:p>
        </w:tc>
        <w:tc>
          <w:tcPr>
            <w:tcW w:w="851" w:type="dxa"/>
            <w:tcBorders>
              <w:top w:val="nil"/>
              <w:bottom w:val="nil"/>
              <w:right w:val="single" w:sz="4" w:space="0" w:color="auto"/>
            </w:tcBorders>
            <w:shd w:val="clear" w:color="auto" w:fill="auto"/>
            <w:vAlign w:val="center"/>
          </w:tcPr>
          <w:p w14:paraId="7E50DF87" w14:textId="08790D9E" w:rsidR="001E5B35" w:rsidRPr="007136E1" w:rsidRDefault="001E5B35" w:rsidP="001E5B35">
            <w:pPr>
              <w:pStyle w:val="Tabletext"/>
              <w:jc w:val="right"/>
              <w:rPr>
                <w:sz w:val="17"/>
                <w:szCs w:val="17"/>
                <w:lang w:eastAsia="en-AU"/>
              </w:rPr>
            </w:pPr>
            <w:r w:rsidRPr="0092094D">
              <w:t>7.</w:t>
            </w:r>
            <w:r w:rsidR="00C35D5A" w:rsidRPr="00AE678A">
              <w:t>2</w:t>
            </w:r>
          </w:p>
        </w:tc>
        <w:tc>
          <w:tcPr>
            <w:tcW w:w="850" w:type="dxa"/>
            <w:tcBorders>
              <w:top w:val="nil"/>
              <w:left w:val="single" w:sz="4" w:space="0" w:color="auto"/>
              <w:bottom w:val="nil"/>
            </w:tcBorders>
            <w:shd w:val="clear" w:color="auto" w:fill="DEE8F1"/>
            <w:vAlign w:val="center"/>
          </w:tcPr>
          <w:p w14:paraId="7F9C29C9" w14:textId="77777777"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24FC0C04" w14:textId="77777777"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7465C300" w14:textId="7F5F712E"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7EF6D720" w14:textId="2F1CCFDF"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shd w:val="clear" w:color="auto" w:fill="DEE8F1"/>
            <w:vAlign w:val="center"/>
          </w:tcPr>
          <w:p w14:paraId="5EA7D7D7" w14:textId="1504A6AA" w:rsidR="001E5B35" w:rsidRPr="007136E1" w:rsidRDefault="00C35D5A" w:rsidP="001E5B35">
            <w:pPr>
              <w:pStyle w:val="Tabletext"/>
              <w:jc w:val="right"/>
              <w:rPr>
                <w:sz w:val="17"/>
                <w:szCs w:val="17"/>
                <w:lang w:eastAsia="en-AU"/>
              </w:rPr>
            </w:pPr>
            <w:r w:rsidRPr="00AE678A">
              <w:t>9</w:t>
            </w:r>
          </w:p>
        </w:tc>
        <w:tc>
          <w:tcPr>
            <w:tcW w:w="863" w:type="dxa"/>
            <w:tcBorders>
              <w:top w:val="nil"/>
              <w:bottom w:val="nil"/>
            </w:tcBorders>
            <w:shd w:val="clear" w:color="auto" w:fill="auto"/>
            <w:vAlign w:val="center"/>
          </w:tcPr>
          <w:p w14:paraId="68103EA0" w14:textId="6C91560F" w:rsidR="001E5B35" w:rsidRPr="007136E1" w:rsidRDefault="001E5B35" w:rsidP="001E5B35">
            <w:pPr>
              <w:pStyle w:val="Tabletext"/>
              <w:jc w:val="right"/>
              <w:rPr>
                <w:sz w:val="17"/>
                <w:szCs w:val="17"/>
                <w:lang w:eastAsia="en-AU"/>
              </w:rPr>
            </w:pPr>
            <w:r w:rsidRPr="0092094D">
              <w:t>7.</w:t>
            </w:r>
            <w:r w:rsidR="00C35D5A" w:rsidRPr="00AE678A">
              <w:t>2</w:t>
            </w:r>
          </w:p>
        </w:tc>
      </w:tr>
      <w:tr w:rsidR="00BD3635" w:rsidRPr="007136E1" w14:paraId="3B553F62"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672E1F13" w14:textId="02D58C62" w:rsidR="001E5B35" w:rsidRPr="007136E1" w:rsidRDefault="005C0DCF" w:rsidP="001E5B35">
            <w:pPr>
              <w:pStyle w:val="Tabletext"/>
              <w:rPr>
                <w:lang w:eastAsia="en-AU"/>
              </w:rPr>
            </w:pPr>
            <w:r w:rsidRPr="007136E1">
              <w:rPr>
                <w:lang w:eastAsia="en-AU"/>
              </w:rPr>
              <w:t>Nickel, Cobalt</w:t>
            </w:r>
          </w:p>
        </w:tc>
        <w:tc>
          <w:tcPr>
            <w:tcW w:w="850" w:type="dxa"/>
            <w:tcBorders>
              <w:top w:val="nil"/>
              <w:left w:val="single" w:sz="4" w:space="0" w:color="auto"/>
              <w:bottom w:val="nil"/>
            </w:tcBorders>
            <w:vAlign w:val="center"/>
          </w:tcPr>
          <w:p w14:paraId="6F6B1C2D" w14:textId="4A989B29"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7B24E959" w14:textId="5B856290"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5218F70A" w14:textId="74FB2505"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22CA1047" w14:textId="6EF62BCC"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3CDF3EDF" w14:textId="79A9C6FF" w:rsidR="001E5B35" w:rsidRPr="007136E1" w:rsidRDefault="001E5B35" w:rsidP="001E5B35">
            <w:pPr>
              <w:pStyle w:val="Tabletext"/>
              <w:jc w:val="right"/>
              <w:rPr>
                <w:sz w:val="17"/>
                <w:szCs w:val="17"/>
                <w:lang w:eastAsia="en-AU"/>
              </w:rPr>
            </w:pPr>
          </w:p>
        </w:tc>
        <w:tc>
          <w:tcPr>
            <w:tcW w:w="708" w:type="dxa"/>
            <w:tcBorders>
              <w:top w:val="nil"/>
              <w:bottom w:val="nil"/>
              <w:right w:val="single" w:sz="4" w:space="0" w:color="auto"/>
            </w:tcBorders>
            <w:vAlign w:val="center"/>
          </w:tcPr>
          <w:p w14:paraId="5B7BCB00" w14:textId="6CCC6E21"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37279E9C" w14:textId="3CA46E74"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05FC97D3" w14:textId="0B2E31C2"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vAlign w:val="center"/>
          </w:tcPr>
          <w:p w14:paraId="46592243" w14:textId="67AFC0E5" w:rsidR="001E5B35" w:rsidRPr="007136E1" w:rsidRDefault="001E5B35" w:rsidP="001E5B35">
            <w:pPr>
              <w:pStyle w:val="Tabletext"/>
              <w:jc w:val="right"/>
              <w:rPr>
                <w:sz w:val="17"/>
                <w:szCs w:val="17"/>
                <w:lang w:eastAsia="en-AU"/>
              </w:rPr>
            </w:pPr>
            <w:r w:rsidRPr="0092094D">
              <w:t>2</w:t>
            </w:r>
          </w:p>
        </w:tc>
        <w:tc>
          <w:tcPr>
            <w:tcW w:w="851" w:type="dxa"/>
            <w:tcBorders>
              <w:top w:val="nil"/>
              <w:bottom w:val="nil"/>
              <w:right w:val="single" w:sz="4" w:space="0" w:color="auto"/>
            </w:tcBorders>
            <w:vAlign w:val="center"/>
          </w:tcPr>
          <w:p w14:paraId="64844F69" w14:textId="6991D290" w:rsidR="001E5B35" w:rsidRPr="007136E1" w:rsidRDefault="001E5B35" w:rsidP="001E5B35">
            <w:pPr>
              <w:pStyle w:val="Tabletext"/>
              <w:jc w:val="right"/>
              <w:rPr>
                <w:sz w:val="17"/>
                <w:szCs w:val="17"/>
                <w:lang w:eastAsia="en-AU"/>
              </w:rPr>
            </w:pPr>
            <w:r w:rsidRPr="0092094D">
              <w:t>2.4</w:t>
            </w:r>
          </w:p>
        </w:tc>
        <w:tc>
          <w:tcPr>
            <w:tcW w:w="850" w:type="dxa"/>
            <w:tcBorders>
              <w:top w:val="nil"/>
              <w:left w:val="single" w:sz="4" w:space="0" w:color="auto"/>
              <w:bottom w:val="nil"/>
            </w:tcBorders>
            <w:vAlign w:val="center"/>
          </w:tcPr>
          <w:p w14:paraId="42E75EA3" w14:textId="111C5CE6"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412677D8" w14:textId="08249383" w:rsidR="001E5B35" w:rsidRPr="007136E1" w:rsidRDefault="001E5B35" w:rsidP="001E5B35">
            <w:pPr>
              <w:pStyle w:val="Tabletext"/>
              <w:jc w:val="right"/>
              <w:rPr>
                <w:sz w:val="17"/>
                <w:szCs w:val="17"/>
                <w:lang w:eastAsia="en-AU"/>
              </w:rPr>
            </w:pPr>
          </w:p>
        </w:tc>
        <w:tc>
          <w:tcPr>
            <w:tcW w:w="850" w:type="dxa"/>
            <w:tcBorders>
              <w:left w:val="single" w:sz="4" w:space="0" w:color="auto"/>
            </w:tcBorders>
            <w:vAlign w:val="center"/>
          </w:tcPr>
          <w:p w14:paraId="7BD07122" w14:textId="2A70C8D8" w:rsidR="001E5B35" w:rsidRPr="007136E1" w:rsidRDefault="001E5B35" w:rsidP="001E5B35">
            <w:pPr>
              <w:pStyle w:val="Tabletext"/>
              <w:jc w:val="right"/>
              <w:rPr>
                <w:sz w:val="17"/>
                <w:szCs w:val="17"/>
                <w:lang w:eastAsia="en-AU"/>
              </w:rPr>
            </w:pPr>
          </w:p>
        </w:tc>
        <w:tc>
          <w:tcPr>
            <w:tcW w:w="709" w:type="dxa"/>
            <w:tcBorders>
              <w:right w:val="single" w:sz="4" w:space="0" w:color="auto"/>
            </w:tcBorders>
            <w:vAlign w:val="center"/>
          </w:tcPr>
          <w:p w14:paraId="06911320" w14:textId="0B85E361"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06976A27" w14:textId="4E05CF9B" w:rsidR="001E5B35" w:rsidRPr="007136E1" w:rsidRDefault="001E5B35" w:rsidP="001E5B35">
            <w:pPr>
              <w:pStyle w:val="Tabletext"/>
              <w:jc w:val="right"/>
              <w:rPr>
                <w:sz w:val="17"/>
                <w:szCs w:val="17"/>
                <w:lang w:eastAsia="en-AU"/>
              </w:rPr>
            </w:pPr>
            <w:r w:rsidRPr="0092094D">
              <w:t>2</w:t>
            </w:r>
          </w:p>
        </w:tc>
        <w:tc>
          <w:tcPr>
            <w:tcW w:w="863" w:type="dxa"/>
            <w:tcBorders>
              <w:top w:val="nil"/>
              <w:bottom w:val="nil"/>
            </w:tcBorders>
            <w:vAlign w:val="center"/>
          </w:tcPr>
          <w:p w14:paraId="79CFFE21" w14:textId="4E9F78F4" w:rsidR="001E5B35" w:rsidRPr="007136E1" w:rsidRDefault="001E5B35" w:rsidP="001E5B35">
            <w:pPr>
              <w:pStyle w:val="Tabletext"/>
              <w:jc w:val="right"/>
              <w:rPr>
                <w:sz w:val="17"/>
                <w:szCs w:val="17"/>
                <w:lang w:eastAsia="en-AU"/>
              </w:rPr>
            </w:pPr>
            <w:r w:rsidRPr="0092094D">
              <w:t>2.4</w:t>
            </w:r>
          </w:p>
        </w:tc>
      </w:tr>
      <w:tr w:rsidR="00BD3635" w:rsidRPr="007136E1" w14:paraId="74293231" w14:textId="77777777" w:rsidTr="00045A49">
        <w:trPr>
          <w:cnfStyle w:val="000000010000" w:firstRow="0" w:lastRow="0" w:firstColumn="0" w:lastColumn="0" w:oddVBand="0" w:evenVBand="0" w:oddHBand="0" w:evenHBand="1" w:firstRowFirstColumn="0" w:firstRowLastColumn="0" w:lastRowFirstColumn="0" w:lastRowLastColumn="0"/>
          <w:trHeight w:val="461"/>
        </w:trPr>
        <w:tc>
          <w:tcPr>
            <w:tcW w:w="1498" w:type="dxa"/>
            <w:tcBorders>
              <w:right w:val="single" w:sz="4" w:space="0" w:color="auto"/>
            </w:tcBorders>
            <w:vAlign w:val="center"/>
          </w:tcPr>
          <w:p w14:paraId="506D7522" w14:textId="40862343" w:rsidR="001E5B35" w:rsidRPr="007136E1" w:rsidRDefault="005C0DCF" w:rsidP="001E5B35">
            <w:pPr>
              <w:pStyle w:val="Tabletext"/>
              <w:rPr>
                <w:lang w:eastAsia="en-AU"/>
              </w:rPr>
            </w:pPr>
            <w:r>
              <w:rPr>
                <w:lang w:eastAsia="en-AU"/>
              </w:rPr>
              <w:t>Oil &amp; Gas</w:t>
            </w:r>
          </w:p>
        </w:tc>
        <w:tc>
          <w:tcPr>
            <w:tcW w:w="850" w:type="dxa"/>
            <w:tcBorders>
              <w:top w:val="nil"/>
              <w:left w:val="single" w:sz="4" w:space="0" w:color="auto"/>
              <w:bottom w:val="nil"/>
            </w:tcBorders>
            <w:shd w:val="clear" w:color="auto" w:fill="DEE8F1"/>
            <w:vAlign w:val="center"/>
          </w:tcPr>
          <w:p w14:paraId="12336DB9" w14:textId="4ED2EEEB"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shd w:val="clear" w:color="auto" w:fill="auto"/>
            <w:vAlign w:val="center"/>
          </w:tcPr>
          <w:p w14:paraId="5A0519EA" w14:textId="4DC88FC3" w:rsidR="001E5B35" w:rsidRPr="007136E1" w:rsidRDefault="001E5B35" w:rsidP="001E5B35">
            <w:pPr>
              <w:pStyle w:val="Tabletext"/>
              <w:jc w:val="right"/>
              <w:rPr>
                <w:sz w:val="17"/>
                <w:szCs w:val="17"/>
                <w:lang w:eastAsia="en-AU"/>
              </w:rPr>
            </w:pPr>
            <w:r w:rsidRPr="0092094D">
              <w:t>0.3</w:t>
            </w:r>
          </w:p>
        </w:tc>
        <w:tc>
          <w:tcPr>
            <w:tcW w:w="850" w:type="dxa"/>
            <w:tcBorders>
              <w:top w:val="nil"/>
              <w:left w:val="single" w:sz="4" w:space="0" w:color="auto"/>
              <w:bottom w:val="nil"/>
            </w:tcBorders>
            <w:shd w:val="clear" w:color="auto" w:fill="DEE8F1"/>
            <w:vAlign w:val="center"/>
          </w:tcPr>
          <w:p w14:paraId="10BFF955" w14:textId="0E7706C1" w:rsidR="001E5B35" w:rsidRPr="007136E1" w:rsidRDefault="001E5B35" w:rsidP="001E5B35">
            <w:pPr>
              <w:pStyle w:val="Tabletext"/>
              <w:jc w:val="right"/>
              <w:rPr>
                <w:sz w:val="17"/>
                <w:szCs w:val="17"/>
                <w:lang w:eastAsia="en-AU"/>
              </w:rPr>
            </w:pPr>
            <w:r w:rsidRPr="0092094D">
              <w:t>2</w:t>
            </w:r>
          </w:p>
        </w:tc>
        <w:tc>
          <w:tcPr>
            <w:tcW w:w="709" w:type="dxa"/>
            <w:tcBorders>
              <w:top w:val="nil"/>
              <w:bottom w:val="nil"/>
              <w:right w:val="single" w:sz="4" w:space="0" w:color="auto"/>
            </w:tcBorders>
            <w:shd w:val="clear" w:color="auto" w:fill="auto"/>
            <w:vAlign w:val="center"/>
          </w:tcPr>
          <w:p w14:paraId="2FCCE4C2" w14:textId="5E27EFB9" w:rsidR="001E5B35" w:rsidRPr="007136E1" w:rsidRDefault="001E5B35" w:rsidP="001E5B35">
            <w:pPr>
              <w:pStyle w:val="Tabletext"/>
              <w:jc w:val="right"/>
              <w:rPr>
                <w:sz w:val="17"/>
                <w:szCs w:val="17"/>
                <w:lang w:eastAsia="en-AU"/>
              </w:rPr>
            </w:pPr>
            <w:r w:rsidRPr="0092094D">
              <w:t>0.5</w:t>
            </w:r>
          </w:p>
        </w:tc>
        <w:tc>
          <w:tcPr>
            <w:tcW w:w="851" w:type="dxa"/>
            <w:tcBorders>
              <w:top w:val="nil"/>
              <w:left w:val="single" w:sz="4" w:space="0" w:color="auto"/>
              <w:bottom w:val="nil"/>
            </w:tcBorders>
            <w:shd w:val="clear" w:color="auto" w:fill="DEE8F1"/>
            <w:vAlign w:val="center"/>
          </w:tcPr>
          <w:p w14:paraId="6270A6C3" w14:textId="43B0727F" w:rsidR="001E5B35" w:rsidRPr="007136E1" w:rsidRDefault="005C0DCF" w:rsidP="001E5B35">
            <w:pPr>
              <w:pStyle w:val="Tabletext"/>
              <w:jc w:val="right"/>
              <w:rPr>
                <w:sz w:val="17"/>
                <w:szCs w:val="17"/>
                <w:lang w:eastAsia="en-AU"/>
              </w:rPr>
            </w:pPr>
            <w:r>
              <w:t>2</w:t>
            </w:r>
          </w:p>
        </w:tc>
        <w:tc>
          <w:tcPr>
            <w:tcW w:w="708" w:type="dxa"/>
            <w:tcBorders>
              <w:top w:val="nil"/>
              <w:bottom w:val="nil"/>
              <w:right w:val="single" w:sz="4" w:space="0" w:color="auto"/>
            </w:tcBorders>
            <w:shd w:val="clear" w:color="auto" w:fill="auto"/>
            <w:vAlign w:val="center"/>
          </w:tcPr>
          <w:p w14:paraId="16BA8133" w14:textId="122B9B9C" w:rsidR="001E5B35" w:rsidRPr="007136E1" w:rsidRDefault="001E5B35" w:rsidP="001E5B35">
            <w:pPr>
              <w:pStyle w:val="Tabletext"/>
              <w:jc w:val="right"/>
              <w:rPr>
                <w:sz w:val="17"/>
                <w:szCs w:val="17"/>
                <w:lang w:eastAsia="en-AU"/>
              </w:rPr>
            </w:pPr>
            <w:r w:rsidRPr="0092094D">
              <w:t>2.</w:t>
            </w:r>
            <w:r w:rsidR="005C0DCF">
              <w:t>5</w:t>
            </w:r>
          </w:p>
        </w:tc>
        <w:tc>
          <w:tcPr>
            <w:tcW w:w="851" w:type="dxa"/>
            <w:tcBorders>
              <w:top w:val="nil"/>
              <w:left w:val="single" w:sz="4" w:space="0" w:color="auto"/>
              <w:bottom w:val="nil"/>
            </w:tcBorders>
            <w:shd w:val="clear" w:color="auto" w:fill="DEE8F1"/>
            <w:vAlign w:val="center"/>
          </w:tcPr>
          <w:p w14:paraId="0BFB4CC2" w14:textId="3E14AF32"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42BC700A" w14:textId="3A91DFD7"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nil"/>
            </w:tcBorders>
            <w:shd w:val="clear" w:color="auto" w:fill="DEE8F1"/>
            <w:vAlign w:val="center"/>
          </w:tcPr>
          <w:p w14:paraId="52230700" w14:textId="0D2EDE43" w:rsidR="001E5B35" w:rsidRPr="007136E1" w:rsidRDefault="001E5B35" w:rsidP="001E5B35">
            <w:pPr>
              <w:pStyle w:val="Tabletext"/>
              <w:jc w:val="right"/>
              <w:rPr>
                <w:sz w:val="17"/>
                <w:szCs w:val="17"/>
                <w:lang w:eastAsia="en-AU"/>
              </w:rPr>
            </w:pPr>
            <w:r w:rsidRPr="0092094D">
              <w:t>6</w:t>
            </w:r>
          </w:p>
        </w:tc>
        <w:tc>
          <w:tcPr>
            <w:tcW w:w="851" w:type="dxa"/>
            <w:tcBorders>
              <w:top w:val="nil"/>
              <w:bottom w:val="nil"/>
              <w:right w:val="single" w:sz="4" w:space="0" w:color="auto"/>
            </w:tcBorders>
            <w:shd w:val="clear" w:color="auto" w:fill="auto"/>
            <w:vAlign w:val="center"/>
          </w:tcPr>
          <w:p w14:paraId="24D05CE6" w14:textId="6B0C199E" w:rsidR="001E5B35" w:rsidRPr="007136E1" w:rsidRDefault="001E5B35" w:rsidP="001E5B35">
            <w:pPr>
              <w:pStyle w:val="Tabletext"/>
              <w:jc w:val="right"/>
              <w:rPr>
                <w:sz w:val="17"/>
                <w:szCs w:val="17"/>
                <w:lang w:eastAsia="en-AU"/>
              </w:rPr>
            </w:pPr>
            <w:r w:rsidRPr="0092094D">
              <w:t>28.5</w:t>
            </w:r>
          </w:p>
        </w:tc>
        <w:tc>
          <w:tcPr>
            <w:tcW w:w="850" w:type="dxa"/>
            <w:tcBorders>
              <w:top w:val="nil"/>
              <w:left w:val="single" w:sz="4" w:space="0" w:color="auto"/>
              <w:bottom w:val="nil"/>
            </w:tcBorders>
            <w:shd w:val="clear" w:color="auto" w:fill="DEE8F1"/>
            <w:vAlign w:val="center"/>
          </w:tcPr>
          <w:p w14:paraId="6888AB7C" w14:textId="17304FE0"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shd w:val="clear" w:color="auto" w:fill="auto"/>
            <w:vAlign w:val="center"/>
          </w:tcPr>
          <w:p w14:paraId="5E279C45" w14:textId="3374F455" w:rsidR="001E5B35" w:rsidRPr="007136E1" w:rsidRDefault="001E5B35" w:rsidP="001E5B35">
            <w:pPr>
              <w:pStyle w:val="Tabletext"/>
              <w:jc w:val="right"/>
              <w:rPr>
                <w:sz w:val="17"/>
                <w:szCs w:val="17"/>
                <w:lang w:eastAsia="en-AU"/>
              </w:rPr>
            </w:pPr>
          </w:p>
        </w:tc>
        <w:tc>
          <w:tcPr>
            <w:tcW w:w="850" w:type="dxa"/>
            <w:tcBorders>
              <w:left w:val="single" w:sz="4" w:space="0" w:color="auto"/>
            </w:tcBorders>
            <w:shd w:val="clear" w:color="auto" w:fill="DEE8F1"/>
            <w:vAlign w:val="center"/>
          </w:tcPr>
          <w:p w14:paraId="30A2F64F" w14:textId="08C65A64" w:rsidR="001E5B35" w:rsidRPr="007136E1" w:rsidRDefault="001E5B35" w:rsidP="001E5B35">
            <w:pPr>
              <w:pStyle w:val="Tabletext"/>
              <w:jc w:val="right"/>
              <w:rPr>
                <w:sz w:val="17"/>
                <w:szCs w:val="17"/>
                <w:lang w:eastAsia="en-AU"/>
              </w:rPr>
            </w:pPr>
            <w:r w:rsidRPr="0092094D">
              <w:t>1</w:t>
            </w:r>
          </w:p>
        </w:tc>
        <w:tc>
          <w:tcPr>
            <w:tcW w:w="709" w:type="dxa"/>
            <w:tcBorders>
              <w:right w:val="single" w:sz="4" w:space="0" w:color="auto"/>
            </w:tcBorders>
            <w:vAlign w:val="center"/>
          </w:tcPr>
          <w:p w14:paraId="76CFF61C" w14:textId="0BAD7EA4" w:rsidR="001E5B35" w:rsidRPr="007136E1" w:rsidRDefault="001E5B35" w:rsidP="001E5B35">
            <w:pPr>
              <w:pStyle w:val="Tabletext"/>
              <w:jc w:val="right"/>
              <w:rPr>
                <w:sz w:val="17"/>
                <w:szCs w:val="17"/>
                <w:lang w:eastAsia="en-AU"/>
              </w:rPr>
            </w:pPr>
            <w:r w:rsidRPr="0092094D">
              <w:t>4.3</w:t>
            </w:r>
          </w:p>
        </w:tc>
        <w:tc>
          <w:tcPr>
            <w:tcW w:w="851" w:type="dxa"/>
            <w:tcBorders>
              <w:top w:val="nil"/>
              <w:left w:val="single" w:sz="4" w:space="0" w:color="auto"/>
              <w:bottom w:val="nil"/>
            </w:tcBorders>
            <w:shd w:val="clear" w:color="auto" w:fill="DEE8F1"/>
            <w:vAlign w:val="center"/>
          </w:tcPr>
          <w:p w14:paraId="23217FF8" w14:textId="25D44796" w:rsidR="001E5B35" w:rsidRPr="007136E1" w:rsidRDefault="001E5B35" w:rsidP="001E5B35">
            <w:pPr>
              <w:pStyle w:val="Tabletext"/>
              <w:jc w:val="right"/>
              <w:rPr>
                <w:sz w:val="17"/>
                <w:szCs w:val="17"/>
                <w:lang w:eastAsia="en-AU"/>
              </w:rPr>
            </w:pPr>
            <w:r w:rsidRPr="0092094D">
              <w:t>1</w:t>
            </w:r>
            <w:r w:rsidR="005C0DCF">
              <w:t>2</w:t>
            </w:r>
          </w:p>
        </w:tc>
        <w:tc>
          <w:tcPr>
            <w:tcW w:w="863" w:type="dxa"/>
            <w:tcBorders>
              <w:top w:val="nil"/>
              <w:bottom w:val="nil"/>
            </w:tcBorders>
            <w:shd w:val="clear" w:color="auto" w:fill="auto"/>
            <w:vAlign w:val="center"/>
          </w:tcPr>
          <w:p w14:paraId="573700DE" w14:textId="23D85531" w:rsidR="001E5B35" w:rsidRPr="007136E1" w:rsidRDefault="001E5B35" w:rsidP="001E5B35">
            <w:pPr>
              <w:pStyle w:val="Tabletext"/>
              <w:jc w:val="right"/>
              <w:rPr>
                <w:sz w:val="17"/>
                <w:szCs w:val="17"/>
                <w:lang w:eastAsia="en-AU"/>
              </w:rPr>
            </w:pPr>
            <w:r w:rsidRPr="0092094D">
              <w:t>36.</w:t>
            </w:r>
            <w:r w:rsidR="005C0DCF">
              <w:t>0</w:t>
            </w:r>
          </w:p>
        </w:tc>
      </w:tr>
      <w:tr w:rsidR="00BD3635" w:rsidRPr="007136E1" w14:paraId="18ABE180"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6B777111" w14:textId="55676F1B" w:rsidR="001E5B35" w:rsidRPr="007136E1" w:rsidRDefault="001E5B35" w:rsidP="001E5B35">
            <w:pPr>
              <w:pStyle w:val="Tabletext"/>
              <w:rPr>
                <w:lang w:eastAsia="en-AU"/>
              </w:rPr>
            </w:pPr>
            <w:r w:rsidRPr="007136E1">
              <w:rPr>
                <w:lang w:eastAsia="en-AU"/>
              </w:rPr>
              <w:t xml:space="preserve">Other Commodities </w:t>
            </w:r>
            <w:r w:rsidRPr="007136E1">
              <w:rPr>
                <w:b/>
                <w:sz w:val="12"/>
                <w:szCs w:val="12"/>
                <w:lang w:eastAsia="en-AU"/>
              </w:rPr>
              <w:t>b</w:t>
            </w:r>
          </w:p>
        </w:tc>
        <w:tc>
          <w:tcPr>
            <w:tcW w:w="850" w:type="dxa"/>
            <w:tcBorders>
              <w:top w:val="nil"/>
              <w:left w:val="single" w:sz="4" w:space="0" w:color="auto"/>
              <w:bottom w:val="nil"/>
            </w:tcBorders>
            <w:vAlign w:val="center"/>
          </w:tcPr>
          <w:p w14:paraId="60398F56" w14:textId="662F7376"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vAlign w:val="center"/>
          </w:tcPr>
          <w:p w14:paraId="1B3CC151" w14:textId="0DE540F0" w:rsidR="001E5B35" w:rsidRPr="007136E1" w:rsidRDefault="001E5B35" w:rsidP="001E5B35">
            <w:pPr>
              <w:pStyle w:val="Tabletext"/>
              <w:jc w:val="right"/>
              <w:rPr>
                <w:sz w:val="17"/>
                <w:szCs w:val="17"/>
                <w:lang w:eastAsia="en-AU"/>
              </w:rPr>
            </w:pPr>
            <w:r w:rsidRPr="0092094D">
              <w:t>0.5</w:t>
            </w:r>
          </w:p>
        </w:tc>
        <w:tc>
          <w:tcPr>
            <w:tcW w:w="850" w:type="dxa"/>
            <w:tcBorders>
              <w:top w:val="nil"/>
              <w:left w:val="single" w:sz="4" w:space="0" w:color="auto"/>
              <w:bottom w:val="nil"/>
            </w:tcBorders>
            <w:vAlign w:val="center"/>
          </w:tcPr>
          <w:p w14:paraId="04D1098F" w14:textId="3A24090E"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62687136" w14:textId="137C23C6"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nil"/>
            </w:tcBorders>
            <w:vAlign w:val="center"/>
          </w:tcPr>
          <w:p w14:paraId="5BCC22A5" w14:textId="1ED0A79D" w:rsidR="001E5B35" w:rsidRPr="007136E1" w:rsidRDefault="001E5B35" w:rsidP="001E5B35">
            <w:pPr>
              <w:pStyle w:val="Tabletext"/>
              <w:jc w:val="right"/>
              <w:rPr>
                <w:sz w:val="17"/>
                <w:szCs w:val="17"/>
                <w:lang w:eastAsia="en-AU"/>
              </w:rPr>
            </w:pPr>
            <w:r w:rsidRPr="0092094D">
              <w:t>2</w:t>
            </w:r>
          </w:p>
        </w:tc>
        <w:tc>
          <w:tcPr>
            <w:tcW w:w="708" w:type="dxa"/>
            <w:tcBorders>
              <w:top w:val="nil"/>
              <w:bottom w:val="nil"/>
              <w:right w:val="single" w:sz="4" w:space="0" w:color="auto"/>
            </w:tcBorders>
            <w:vAlign w:val="center"/>
          </w:tcPr>
          <w:p w14:paraId="415A01B6" w14:textId="2EE6BA0C" w:rsidR="001E5B35" w:rsidRPr="007136E1" w:rsidRDefault="001E5B35" w:rsidP="001E5B35">
            <w:pPr>
              <w:pStyle w:val="Tabletext"/>
              <w:jc w:val="right"/>
              <w:rPr>
                <w:sz w:val="17"/>
                <w:szCs w:val="17"/>
                <w:lang w:eastAsia="en-AU"/>
              </w:rPr>
            </w:pPr>
            <w:r w:rsidRPr="0092094D">
              <w:t>0.6</w:t>
            </w:r>
          </w:p>
        </w:tc>
        <w:tc>
          <w:tcPr>
            <w:tcW w:w="851" w:type="dxa"/>
            <w:tcBorders>
              <w:top w:val="nil"/>
              <w:left w:val="single" w:sz="4" w:space="0" w:color="auto"/>
              <w:bottom w:val="nil"/>
            </w:tcBorders>
            <w:vAlign w:val="center"/>
          </w:tcPr>
          <w:p w14:paraId="350080EE" w14:textId="09A7CF2E" w:rsidR="001E5B35" w:rsidRPr="007136E1" w:rsidRDefault="001E5B35" w:rsidP="001E5B35">
            <w:pPr>
              <w:pStyle w:val="Tabletext"/>
              <w:jc w:val="right"/>
              <w:rPr>
                <w:sz w:val="17"/>
                <w:szCs w:val="17"/>
                <w:lang w:eastAsia="en-AU"/>
              </w:rPr>
            </w:pPr>
            <w:r w:rsidRPr="0092094D">
              <w:t>1</w:t>
            </w:r>
          </w:p>
        </w:tc>
        <w:tc>
          <w:tcPr>
            <w:tcW w:w="709" w:type="dxa"/>
            <w:tcBorders>
              <w:top w:val="nil"/>
              <w:bottom w:val="nil"/>
              <w:right w:val="single" w:sz="4" w:space="0" w:color="auto"/>
            </w:tcBorders>
            <w:vAlign w:val="center"/>
          </w:tcPr>
          <w:p w14:paraId="6F5EEDD2" w14:textId="458748E4" w:rsidR="001E5B35" w:rsidRPr="007136E1" w:rsidRDefault="001E5B35" w:rsidP="001E5B35">
            <w:pPr>
              <w:pStyle w:val="Tabletext"/>
              <w:jc w:val="right"/>
              <w:rPr>
                <w:sz w:val="17"/>
                <w:szCs w:val="17"/>
                <w:lang w:eastAsia="en-AU"/>
              </w:rPr>
            </w:pPr>
            <w:r w:rsidRPr="0092094D">
              <w:t>0.1</w:t>
            </w:r>
          </w:p>
        </w:tc>
        <w:tc>
          <w:tcPr>
            <w:tcW w:w="850" w:type="dxa"/>
            <w:tcBorders>
              <w:top w:val="nil"/>
              <w:left w:val="single" w:sz="4" w:space="0" w:color="auto"/>
              <w:bottom w:val="nil"/>
            </w:tcBorders>
            <w:vAlign w:val="center"/>
          </w:tcPr>
          <w:p w14:paraId="27D67672" w14:textId="256ECB14" w:rsidR="001E5B35" w:rsidRPr="007136E1" w:rsidRDefault="001E5B35" w:rsidP="001E5B35">
            <w:pPr>
              <w:pStyle w:val="Tabletext"/>
              <w:jc w:val="right"/>
              <w:rPr>
                <w:sz w:val="17"/>
                <w:szCs w:val="17"/>
                <w:lang w:eastAsia="en-AU"/>
              </w:rPr>
            </w:pPr>
            <w:r w:rsidRPr="0092094D">
              <w:t>7</w:t>
            </w:r>
          </w:p>
        </w:tc>
        <w:tc>
          <w:tcPr>
            <w:tcW w:w="851" w:type="dxa"/>
            <w:tcBorders>
              <w:top w:val="nil"/>
              <w:bottom w:val="nil"/>
              <w:right w:val="single" w:sz="4" w:space="0" w:color="auto"/>
            </w:tcBorders>
            <w:vAlign w:val="center"/>
          </w:tcPr>
          <w:p w14:paraId="698AAF48" w14:textId="6D5E2711" w:rsidR="001E5B35" w:rsidRPr="007136E1" w:rsidRDefault="001E5B35" w:rsidP="001E5B35">
            <w:pPr>
              <w:pStyle w:val="Tabletext"/>
              <w:jc w:val="right"/>
              <w:rPr>
                <w:sz w:val="17"/>
                <w:szCs w:val="17"/>
                <w:lang w:eastAsia="en-AU"/>
              </w:rPr>
            </w:pPr>
            <w:r w:rsidRPr="0092094D">
              <w:t>4.3</w:t>
            </w:r>
          </w:p>
        </w:tc>
        <w:tc>
          <w:tcPr>
            <w:tcW w:w="850" w:type="dxa"/>
            <w:tcBorders>
              <w:top w:val="nil"/>
              <w:left w:val="single" w:sz="4" w:space="0" w:color="auto"/>
              <w:bottom w:val="nil"/>
            </w:tcBorders>
            <w:vAlign w:val="center"/>
          </w:tcPr>
          <w:p w14:paraId="08733C05" w14:textId="101BC4C1" w:rsidR="001E5B35" w:rsidRPr="007136E1" w:rsidRDefault="001E5B35" w:rsidP="001E5B35">
            <w:pPr>
              <w:pStyle w:val="Tabletext"/>
              <w:jc w:val="right"/>
              <w:rPr>
                <w:sz w:val="17"/>
                <w:szCs w:val="17"/>
                <w:lang w:eastAsia="en-AU"/>
              </w:rPr>
            </w:pPr>
          </w:p>
        </w:tc>
        <w:tc>
          <w:tcPr>
            <w:tcW w:w="709" w:type="dxa"/>
            <w:tcBorders>
              <w:top w:val="nil"/>
              <w:bottom w:val="nil"/>
              <w:right w:val="single" w:sz="4" w:space="0" w:color="auto"/>
            </w:tcBorders>
            <w:vAlign w:val="center"/>
          </w:tcPr>
          <w:p w14:paraId="47D23DA5" w14:textId="03132269" w:rsidR="001E5B35" w:rsidRPr="007136E1" w:rsidRDefault="001E5B35" w:rsidP="001E5B35">
            <w:pPr>
              <w:pStyle w:val="Tabletext"/>
              <w:jc w:val="right"/>
              <w:rPr>
                <w:sz w:val="17"/>
                <w:szCs w:val="17"/>
                <w:lang w:eastAsia="en-AU"/>
              </w:rPr>
            </w:pPr>
          </w:p>
        </w:tc>
        <w:tc>
          <w:tcPr>
            <w:tcW w:w="850" w:type="dxa"/>
            <w:tcBorders>
              <w:left w:val="single" w:sz="4" w:space="0" w:color="auto"/>
            </w:tcBorders>
            <w:vAlign w:val="center"/>
          </w:tcPr>
          <w:p w14:paraId="6793B4C3" w14:textId="36F0B0A1" w:rsidR="001E5B35" w:rsidRPr="007136E1" w:rsidRDefault="001E5B35" w:rsidP="001E5B35">
            <w:pPr>
              <w:pStyle w:val="Tabletext"/>
              <w:jc w:val="right"/>
              <w:rPr>
                <w:sz w:val="17"/>
                <w:szCs w:val="17"/>
                <w:lang w:eastAsia="en-AU"/>
              </w:rPr>
            </w:pPr>
            <w:r w:rsidRPr="0092094D">
              <w:t>1</w:t>
            </w:r>
          </w:p>
        </w:tc>
        <w:tc>
          <w:tcPr>
            <w:tcW w:w="709" w:type="dxa"/>
            <w:tcBorders>
              <w:right w:val="single" w:sz="4" w:space="0" w:color="auto"/>
            </w:tcBorders>
            <w:vAlign w:val="center"/>
          </w:tcPr>
          <w:p w14:paraId="288A842B" w14:textId="1586789E" w:rsidR="001E5B35" w:rsidRPr="007136E1" w:rsidRDefault="001E5B35" w:rsidP="001E5B35">
            <w:pPr>
              <w:pStyle w:val="Tabletext"/>
              <w:jc w:val="right"/>
              <w:rPr>
                <w:sz w:val="17"/>
                <w:szCs w:val="17"/>
                <w:lang w:eastAsia="en-AU"/>
              </w:rPr>
            </w:pPr>
            <w:r w:rsidRPr="0092094D">
              <w:t>0.1</w:t>
            </w:r>
          </w:p>
        </w:tc>
        <w:tc>
          <w:tcPr>
            <w:tcW w:w="851" w:type="dxa"/>
            <w:tcBorders>
              <w:top w:val="nil"/>
              <w:left w:val="single" w:sz="4" w:space="0" w:color="auto"/>
              <w:bottom w:val="nil"/>
            </w:tcBorders>
            <w:vAlign w:val="center"/>
          </w:tcPr>
          <w:p w14:paraId="64FD2B9A" w14:textId="15FEF673" w:rsidR="001E5B35" w:rsidRPr="007136E1" w:rsidRDefault="001E5B35" w:rsidP="001E5B35">
            <w:pPr>
              <w:pStyle w:val="Tabletext"/>
              <w:jc w:val="right"/>
              <w:rPr>
                <w:sz w:val="17"/>
                <w:szCs w:val="17"/>
                <w:lang w:eastAsia="en-AU"/>
              </w:rPr>
            </w:pPr>
            <w:r w:rsidRPr="0092094D">
              <w:t>12</w:t>
            </w:r>
          </w:p>
        </w:tc>
        <w:tc>
          <w:tcPr>
            <w:tcW w:w="863" w:type="dxa"/>
            <w:tcBorders>
              <w:top w:val="nil"/>
              <w:bottom w:val="nil"/>
            </w:tcBorders>
            <w:vAlign w:val="center"/>
          </w:tcPr>
          <w:p w14:paraId="5F7EA5CF" w14:textId="749EC15B" w:rsidR="001E5B35" w:rsidRPr="007136E1" w:rsidRDefault="001E5B35" w:rsidP="001E5B35">
            <w:pPr>
              <w:pStyle w:val="Tabletext"/>
              <w:jc w:val="right"/>
              <w:rPr>
                <w:sz w:val="17"/>
                <w:szCs w:val="17"/>
                <w:lang w:eastAsia="en-AU"/>
              </w:rPr>
            </w:pPr>
            <w:r w:rsidRPr="0092094D">
              <w:t>5.6</w:t>
            </w:r>
          </w:p>
        </w:tc>
      </w:tr>
      <w:tr w:rsidR="00BD3635" w:rsidRPr="007136E1" w14:paraId="5C37EDF6" w14:textId="77777777" w:rsidTr="00045A49">
        <w:trPr>
          <w:cnfStyle w:val="000000010000" w:firstRow="0" w:lastRow="0" w:firstColumn="0" w:lastColumn="0" w:oddVBand="0" w:evenVBand="0" w:oddHBand="0" w:evenHBand="1" w:firstRowFirstColumn="0" w:firstRowLastColumn="0" w:lastRowFirstColumn="0" w:lastRowLastColumn="0"/>
          <w:trHeight w:val="395"/>
        </w:trPr>
        <w:tc>
          <w:tcPr>
            <w:tcW w:w="1498" w:type="dxa"/>
            <w:tcBorders>
              <w:bottom w:val="single" w:sz="4" w:space="0" w:color="auto"/>
              <w:right w:val="single" w:sz="4" w:space="0" w:color="auto"/>
            </w:tcBorders>
            <w:vAlign w:val="center"/>
          </w:tcPr>
          <w:p w14:paraId="14F6A32D" w14:textId="78EA5B1C" w:rsidR="001E5B35" w:rsidRPr="007136E1" w:rsidRDefault="001E5B35" w:rsidP="001E5B35">
            <w:pPr>
              <w:pStyle w:val="Tabletext"/>
              <w:rPr>
                <w:lang w:eastAsia="en-AU"/>
              </w:rPr>
            </w:pPr>
            <w:r w:rsidRPr="007136E1">
              <w:rPr>
                <w:lang w:eastAsia="en-AU"/>
              </w:rPr>
              <w:t>Uranium</w:t>
            </w:r>
          </w:p>
        </w:tc>
        <w:tc>
          <w:tcPr>
            <w:tcW w:w="850" w:type="dxa"/>
            <w:tcBorders>
              <w:top w:val="nil"/>
              <w:left w:val="single" w:sz="4" w:space="0" w:color="auto"/>
              <w:bottom w:val="single" w:sz="4" w:space="0" w:color="auto"/>
            </w:tcBorders>
            <w:shd w:val="clear" w:color="auto" w:fill="DEE8F1"/>
            <w:vAlign w:val="center"/>
          </w:tcPr>
          <w:p w14:paraId="54DEA740" w14:textId="10135A35" w:rsidR="001E5B35" w:rsidRPr="007136E1" w:rsidRDefault="001E5B35" w:rsidP="001E5B35">
            <w:pPr>
              <w:pStyle w:val="Tabletext"/>
              <w:jc w:val="right"/>
              <w:rPr>
                <w:sz w:val="17"/>
                <w:szCs w:val="17"/>
                <w:lang w:eastAsia="en-AU"/>
              </w:rPr>
            </w:pPr>
          </w:p>
        </w:tc>
        <w:tc>
          <w:tcPr>
            <w:tcW w:w="709" w:type="dxa"/>
            <w:tcBorders>
              <w:top w:val="nil"/>
              <w:bottom w:val="single" w:sz="4" w:space="0" w:color="auto"/>
              <w:right w:val="single" w:sz="4" w:space="0" w:color="auto"/>
            </w:tcBorders>
            <w:shd w:val="clear" w:color="auto" w:fill="auto"/>
            <w:vAlign w:val="center"/>
          </w:tcPr>
          <w:p w14:paraId="7CC31B09" w14:textId="51786DF5"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single" w:sz="4" w:space="0" w:color="auto"/>
            </w:tcBorders>
            <w:shd w:val="clear" w:color="auto" w:fill="DEE8F1"/>
            <w:vAlign w:val="center"/>
          </w:tcPr>
          <w:p w14:paraId="63F131D6" w14:textId="77777777" w:rsidR="001E5B35" w:rsidRPr="007136E1" w:rsidRDefault="001E5B35" w:rsidP="001E5B35">
            <w:pPr>
              <w:pStyle w:val="Tabletext"/>
              <w:jc w:val="right"/>
              <w:rPr>
                <w:sz w:val="17"/>
                <w:szCs w:val="17"/>
                <w:lang w:eastAsia="en-AU"/>
              </w:rPr>
            </w:pPr>
          </w:p>
        </w:tc>
        <w:tc>
          <w:tcPr>
            <w:tcW w:w="709" w:type="dxa"/>
            <w:tcBorders>
              <w:top w:val="nil"/>
              <w:bottom w:val="single" w:sz="4" w:space="0" w:color="auto"/>
              <w:right w:val="single" w:sz="4" w:space="0" w:color="auto"/>
            </w:tcBorders>
            <w:shd w:val="clear" w:color="auto" w:fill="auto"/>
            <w:vAlign w:val="center"/>
          </w:tcPr>
          <w:p w14:paraId="3711CB77" w14:textId="77777777"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single" w:sz="4" w:space="0" w:color="auto"/>
            </w:tcBorders>
            <w:shd w:val="clear" w:color="auto" w:fill="DEE8F1"/>
            <w:vAlign w:val="center"/>
          </w:tcPr>
          <w:p w14:paraId="40B75D36" w14:textId="77777777" w:rsidR="001E5B35" w:rsidRPr="007136E1" w:rsidRDefault="001E5B35" w:rsidP="001E5B35">
            <w:pPr>
              <w:pStyle w:val="Tabletext"/>
              <w:jc w:val="right"/>
              <w:rPr>
                <w:sz w:val="17"/>
                <w:szCs w:val="17"/>
                <w:lang w:eastAsia="en-AU"/>
              </w:rPr>
            </w:pPr>
          </w:p>
        </w:tc>
        <w:tc>
          <w:tcPr>
            <w:tcW w:w="708" w:type="dxa"/>
            <w:tcBorders>
              <w:top w:val="nil"/>
              <w:bottom w:val="single" w:sz="4" w:space="0" w:color="auto"/>
              <w:right w:val="single" w:sz="4" w:space="0" w:color="auto"/>
            </w:tcBorders>
            <w:shd w:val="clear" w:color="auto" w:fill="auto"/>
            <w:vAlign w:val="center"/>
          </w:tcPr>
          <w:p w14:paraId="557FB74F" w14:textId="141F2D84"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single" w:sz="4" w:space="0" w:color="auto"/>
            </w:tcBorders>
            <w:shd w:val="clear" w:color="auto" w:fill="DEE8F1"/>
            <w:vAlign w:val="center"/>
          </w:tcPr>
          <w:p w14:paraId="1FA8319C" w14:textId="2A1EB2DA" w:rsidR="001E5B35" w:rsidRPr="007136E1" w:rsidRDefault="001E5B35" w:rsidP="001E5B35">
            <w:pPr>
              <w:pStyle w:val="Tabletext"/>
              <w:jc w:val="right"/>
              <w:rPr>
                <w:sz w:val="17"/>
                <w:szCs w:val="17"/>
                <w:lang w:eastAsia="en-AU"/>
              </w:rPr>
            </w:pPr>
            <w:r w:rsidRPr="0092094D">
              <w:t>1</w:t>
            </w:r>
          </w:p>
        </w:tc>
        <w:tc>
          <w:tcPr>
            <w:tcW w:w="709" w:type="dxa"/>
            <w:tcBorders>
              <w:top w:val="nil"/>
              <w:bottom w:val="single" w:sz="4" w:space="0" w:color="auto"/>
              <w:right w:val="single" w:sz="4" w:space="0" w:color="auto"/>
            </w:tcBorders>
            <w:shd w:val="clear" w:color="auto" w:fill="auto"/>
            <w:vAlign w:val="center"/>
          </w:tcPr>
          <w:p w14:paraId="1283F455" w14:textId="40899B1D" w:rsidR="001E5B35" w:rsidRPr="007136E1" w:rsidRDefault="001E5B35" w:rsidP="001E5B35">
            <w:pPr>
              <w:pStyle w:val="Tabletext"/>
              <w:jc w:val="right"/>
              <w:rPr>
                <w:sz w:val="17"/>
                <w:szCs w:val="17"/>
                <w:lang w:eastAsia="en-AU"/>
              </w:rPr>
            </w:pPr>
            <w:r w:rsidRPr="0092094D">
              <w:t>0.1</w:t>
            </w:r>
          </w:p>
        </w:tc>
        <w:tc>
          <w:tcPr>
            <w:tcW w:w="850" w:type="dxa"/>
            <w:tcBorders>
              <w:top w:val="nil"/>
              <w:left w:val="single" w:sz="4" w:space="0" w:color="auto"/>
              <w:bottom w:val="single" w:sz="4" w:space="0" w:color="auto"/>
            </w:tcBorders>
            <w:shd w:val="clear" w:color="auto" w:fill="DEE8F1"/>
            <w:vAlign w:val="center"/>
          </w:tcPr>
          <w:p w14:paraId="6B411F5E" w14:textId="05532065" w:rsidR="001E5B35" w:rsidRPr="007136E1" w:rsidRDefault="001E5B35" w:rsidP="001E5B35">
            <w:pPr>
              <w:pStyle w:val="Tabletext"/>
              <w:jc w:val="right"/>
              <w:rPr>
                <w:sz w:val="17"/>
                <w:szCs w:val="17"/>
                <w:lang w:eastAsia="en-AU"/>
              </w:rPr>
            </w:pPr>
          </w:p>
        </w:tc>
        <w:tc>
          <w:tcPr>
            <w:tcW w:w="851" w:type="dxa"/>
            <w:tcBorders>
              <w:top w:val="nil"/>
              <w:bottom w:val="single" w:sz="4" w:space="0" w:color="auto"/>
              <w:right w:val="single" w:sz="4" w:space="0" w:color="auto"/>
            </w:tcBorders>
            <w:shd w:val="clear" w:color="auto" w:fill="auto"/>
            <w:vAlign w:val="center"/>
          </w:tcPr>
          <w:p w14:paraId="3C5D45B8" w14:textId="610E65E8" w:rsidR="001E5B35" w:rsidRPr="007136E1" w:rsidRDefault="001E5B35" w:rsidP="001E5B35">
            <w:pPr>
              <w:pStyle w:val="Tabletext"/>
              <w:jc w:val="right"/>
              <w:rPr>
                <w:sz w:val="17"/>
                <w:szCs w:val="17"/>
                <w:lang w:eastAsia="en-AU"/>
              </w:rPr>
            </w:pPr>
          </w:p>
        </w:tc>
        <w:tc>
          <w:tcPr>
            <w:tcW w:w="850" w:type="dxa"/>
            <w:tcBorders>
              <w:top w:val="nil"/>
              <w:left w:val="single" w:sz="4" w:space="0" w:color="auto"/>
              <w:bottom w:val="single" w:sz="4" w:space="0" w:color="auto"/>
            </w:tcBorders>
            <w:shd w:val="clear" w:color="auto" w:fill="DEE8F1"/>
            <w:vAlign w:val="center"/>
          </w:tcPr>
          <w:p w14:paraId="61488553" w14:textId="00685D5C" w:rsidR="001E5B35" w:rsidRPr="007136E1" w:rsidRDefault="001E5B35" w:rsidP="001E5B35">
            <w:pPr>
              <w:pStyle w:val="Tabletext"/>
              <w:jc w:val="right"/>
              <w:rPr>
                <w:sz w:val="17"/>
                <w:szCs w:val="17"/>
                <w:lang w:eastAsia="en-AU"/>
              </w:rPr>
            </w:pPr>
          </w:p>
        </w:tc>
        <w:tc>
          <w:tcPr>
            <w:tcW w:w="709" w:type="dxa"/>
            <w:tcBorders>
              <w:top w:val="nil"/>
              <w:bottom w:val="single" w:sz="4" w:space="0" w:color="auto"/>
              <w:right w:val="single" w:sz="4" w:space="0" w:color="auto"/>
            </w:tcBorders>
            <w:shd w:val="clear" w:color="auto" w:fill="auto"/>
            <w:vAlign w:val="center"/>
          </w:tcPr>
          <w:p w14:paraId="362FA70E" w14:textId="3ED2515D" w:rsidR="001E5B35" w:rsidRPr="007136E1" w:rsidRDefault="001E5B35" w:rsidP="001E5B35">
            <w:pPr>
              <w:pStyle w:val="Tabletext"/>
              <w:jc w:val="right"/>
              <w:rPr>
                <w:sz w:val="17"/>
                <w:szCs w:val="17"/>
                <w:lang w:eastAsia="en-AU"/>
              </w:rPr>
            </w:pPr>
          </w:p>
        </w:tc>
        <w:tc>
          <w:tcPr>
            <w:tcW w:w="850" w:type="dxa"/>
            <w:tcBorders>
              <w:left w:val="single" w:sz="4" w:space="0" w:color="auto"/>
              <w:bottom w:val="single" w:sz="4" w:space="0" w:color="auto"/>
            </w:tcBorders>
            <w:shd w:val="clear" w:color="auto" w:fill="DEE8F1"/>
            <w:vAlign w:val="center"/>
          </w:tcPr>
          <w:p w14:paraId="5D289F1F" w14:textId="25882671" w:rsidR="001E5B35" w:rsidRPr="007136E1" w:rsidRDefault="001E5B35" w:rsidP="001E5B35">
            <w:pPr>
              <w:pStyle w:val="Tabletext"/>
              <w:jc w:val="right"/>
              <w:rPr>
                <w:sz w:val="17"/>
                <w:szCs w:val="17"/>
                <w:lang w:eastAsia="en-AU"/>
              </w:rPr>
            </w:pPr>
          </w:p>
        </w:tc>
        <w:tc>
          <w:tcPr>
            <w:tcW w:w="709" w:type="dxa"/>
            <w:tcBorders>
              <w:bottom w:val="single" w:sz="4" w:space="0" w:color="auto"/>
              <w:right w:val="single" w:sz="4" w:space="0" w:color="auto"/>
            </w:tcBorders>
            <w:vAlign w:val="center"/>
          </w:tcPr>
          <w:p w14:paraId="7A6D5CB2" w14:textId="7337941D" w:rsidR="001E5B35" w:rsidRPr="007136E1" w:rsidRDefault="001E5B35" w:rsidP="001E5B35">
            <w:pPr>
              <w:pStyle w:val="Tabletext"/>
              <w:jc w:val="right"/>
              <w:rPr>
                <w:sz w:val="17"/>
                <w:szCs w:val="17"/>
                <w:lang w:eastAsia="en-AU"/>
              </w:rPr>
            </w:pPr>
          </w:p>
        </w:tc>
        <w:tc>
          <w:tcPr>
            <w:tcW w:w="851" w:type="dxa"/>
            <w:tcBorders>
              <w:top w:val="nil"/>
              <w:left w:val="single" w:sz="4" w:space="0" w:color="auto"/>
              <w:bottom w:val="single" w:sz="4" w:space="0" w:color="auto"/>
            </w:tcBorders>
            <w:shd w:val="clear" w:color="auto" w:fill="DEE8F1"/>
            <w:vAlign w:val="center"/>
          </w:tcPr>
          <w:p w14:paraId="508A2335" w14:textId="651ADEBC" w:rsidR="001E5B35" w:rsidRPr="007136E1" w:rsidRDefault="001E5B35" w:rsidP="001E5B35">
            <w:pPr>
              <w:pStyle w:val="Tabletext"/>
              <w:jc w:val="right"/>
              <w:rPr>
                <w:sz w:val="17"/>
                <w:szCs w:val="17"/>
                <w:lang w:eastAsia="en-AU"/>
              </w:rPr>
            </w:pPr>
            <w:r w:rsidRPr="0092094D">
              <w:t>1</w:t>
            </w:r>
          </w:p>
        </w:tc>
        <w:tc>
          <w:tcPr>
            <w:tcW w:w="863" w:type="dxa"/>
            <w:tcBorders>
              <w:top w:val="nil"/>
              <w:bottom w:val="single" w:sz="4" w:space="0" w:color="auto"/>
            </w:tcBorders>
            <w:shd w:val="clear" w:color="auto" w:fill="auto"/>
            <w:vAlign w:val="center"/>
          </w:tcPr>
          <w:p w14:paraId="5E757C8C" w14:textId="6F4ACDCA" w:rsidR="001E5B35" w:rsidRPr="007136E1" w:rsidRDefault="001E5B35" w:rsidP="001E5B35">
            <w:pPr>
              <w:pStyle w:val="Tabletext"/>
              <w:jc w:val="right"/>
              <w:rPr>
                <w:sz w:val="17"/>
                <w:szCs w:val="17"/>
                <w:lang w:eastAsia="en-AU"/>
              </w:rPr>
            </w:pPr>
            <w:r w:rsidRPr="0092094D">
              <w:t>0.1</w:t>
            </w:r>
          </w:p>
        </w:tc>
      </w:tr>
      <w:tr w:rsidR="00BD3635" w:rsidRPr="007136E1" w14:paraId="7774CA88"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tcBorders>
              <w:top w:val="single" w:sz="4" w:space="0" w:color="auto"/>
              <w:right w:val="single" w:sz="4" w:space="0" w:color="auto"/>
            </w:tcBorders>
            <w:vAlign w:val="center"/>
          </w:tcPr>
          <w:p w14:paraId="68B0CDCE" w14:textId="1CF953CD" w:rsidR="001E5B35" w:rsidRPr="007136E1" w:rsidRDefault="001E5B35" w:rsidP="001E5B35">
            <w:pPr>
              <w:pStyle w:val="Tabletext"/>
              <w:rPr>
                <w:b/>
                <w:lang w:eastAsia="en-AU"/>
              </w:rPr>
            </w:pPr>
            <w:r w:rsidRPr="007136E1">
              <w:rPr>
                <w:b/>
                <w:lang w:eastAsia="en-AU"/>
              </w:rPr>
              <w:t>Total</w:t>
            </w:r>
            <w:r w:rsidR="00F1509E">
              <w:rPr>
                <w:b/>
                <w:lang w:eastAsia="en-AU"/>
              </w:rPr>
              <w:t xml:space="preserve"> </w:t>
            </w:r>
            <w:r w:rsidR="00F1509E">
              <w:rPr>
                <w:sz w:val="12"/>
                <w:szCs w:val="12"/>
                <w:lang w:eastAsia="en-AU"/>
              </w:rPr>
              <w:t>c</w:t>
            </w:r>
          </w:p>
        </w:tc>
        <w:tc>
          <w:tcPr>
            <w:tcW w:w="850" w:type="dxa"/>
            <w:tcBorders>
              <w:top w:val="single" w:sz="4" w:space="0" w:color="auto"/>
              <w:left w:val="single" w:sz="4" w:space="0" w:color="auto"/>
            </w:tcBorders>
            <w:vAlign w:val="center"/>
          </w:tcPr>
          <w:p w14:paraId="61D45710" w14:textId="7427927F" w:rsidR="001E5B35" w:rsidRPr="001E5B35" w:rsidRDefault="001E5B35" w:rsidP="001E5B35">
            <w:pPr>
              <w:pStyle w:val="Tabletext"/>
              <w:jc w:val="right"/>
              <w:rPr>
                <w:b/>
                <w:bCs/>
                <w:sz w:val="17"/>
                <w:szCs w:val="17"/>
                <w:lang w:eastAsia="en-AU"/>
              </w:rPr>
            </w:pPr>
            <w:r w:rsidRPr="00AE678A">
              <w:t>11</w:t>
            </w:r>
          </w:p>
        </w:tc>
        <w:tc>
          <w:tcPr>
            <w:tcW w:w="709" w:type="dxa"/>
            <w:tcBorders>
              <w:top w:val="single" w:sz="4" w:space="0" w:color="auto"/>
              <w:right w:val="single" w:sz="4" w:space="0" w:color="auto"/>
            </w:tcBorders>
            <w:vAlign w:val="center"/>
          </w:tcPr>
          <w:p w14:paraId="2A1CEAFD" w14:textId="0B3EEE05" w:rsidR="001E5B35" w:rsidRPr="001E5B35" w:rsidRDefault="001E5B35" w:rsidP="001E5B35">
            <w:pPr>
              <w:pStyle w:val="Tabletext"/>
              <w:jc w:val="right"/>
              <w:rPr>
                <w:b/>
                <w:bCs/>
                <w:sz w:val="17"/>
                <w:szCs w:val="17"/>
                <w:lang w:eastAsia="en-AU"/>
              </w:rPr>
            </w:pPr>
            <w:r w:rsidRPr="00AE678A">
              <w:t>6.3</w:t>
            </w:r>
          </w:p>
        </w:tc>
        <w:tc>
          <w:tcPr>
            <w:tcW w:w="850" w:type="dxa"/>
            <w:tcBorders>
              <w:top w:val="single" w:sz="4" w:space="0" w:color="auto"/>
              <w:left w:val="single" w:sz="4" w:space="0" w:color="auto"/>
            </w:tcBorders>
            <w:vAlign w:val="center"/>
          </w:tcPr>
          <w:p w14:paraId="326FAE26" w14:textId="492BDF6D" w:rsidR="001E5B35" w:rsidRPr="001E5B35" w:rsidRDefault="001E5B35" w:rsidP="001E5B35">
            <w:pPr>
              <w:pStyle w:val="Tabletext"/>
              <w:jc w:val="right"/>
              <w:rPr>
                <w:b/>
                <w:bCs/>
                <w:sz w:val="17"/>
                <w:szCs w:val="17"/>
                <w:lang w:eastAsia="en-AU"/>
              </w:rPr>
            </w:pPr>
            <w:r w:rsidRPr="00AE678A">
              <w:t>5</w:t>
            </w:r>
          </w:p>
        </w:tc>
        <w:tc>
          <w:tcPr>
            <w:tcW w:w="709" w:type="dxa"/>
            <w:tcBorders>
              <w:top w:val="single" w:sz="4" w:space="0" w:color="auto"/>
              <w:right w:val="single" w:sz="4" w:space="0" w:color="auto"/>
            </w:tcBorders>
            <w:vAlign w:val="center"/>
          </w:tcPr>
          <w:p w14:paraId="0178B12A" w14:textId="04EE8006" w:rsidR="001E5B35" w:rsidRPr="001E5B35" w:rsidRDefault="001E5B35" w:rsidP="001E5B35">
            <w:pPr>
              <w:pStyle w:val="Tabletext"/>
              <w:jc w:val="right"/>
              <w:rPr>
                <w:b/>
                <w:bCs/>
                <w:sz w:val="17"/>
                <w:szCs w:val="17"/>
                <w:lang w:eastAsia="en-AU"/>
              </w:rPr>
            </w:pPr>
            <w:r w:rsidRPr="00AE678A">
              <w:t>0.7</w:t>
            </w:r>
          </w:p>
        </w:tc>
        <w:tc>
          <w:tcPr>
            <w:tcW w:w="851" w:type="dxa"/>
            <w:tcBorders>
              <w:top w:val="single" w:sz="4" w:space="0" w:color="auto"/>
              <w:left w:val="single" w:sz="4" w:space="0" w:color="auto"/>
            </w:tcBorders>
            <w:vAlign w:val="center"/>
          </w:tcPr>
          <w:p w14:paraId="0E314511" w14:textId="4E1C3A34" w:rsidR="001E5B35" w:rsidRPr="001E5B35" w:rsidRDefault="00C35D5A" w:rsidP="001E5B35">
            <w:pPr>
              <w:pStyle w:val="Tabletext"/>
              <w:jc w:val="right"/>
              <w:rPr>
                <w:b/>
                <w:bCs/>
                <w:sz w:val="17"/>
                <w:szCs w:val="17"/>
                <w:lang w:eastAsia="en-AU"/>
              </w:rPr>
            </w:pPr>
            <w:r w:rsidRPr="00AE678A">
              <w:t>1</w:t>
            </w:r>
            <w:r w:rsidR="005C0DCF">
              <w:t>8</w:t>
            </w:r>
          </w:p>
        </w:tc>
        <w:tc>
          <w:tcPr>
            <w:tcW w:w="708" w:type="dxa"/>
            <w:tcBorders>
              <w:top w:val="single" w:sz="4" w:space="0" w:color="auto"/>
              <w:right w:val="single" w:sz="4" w:space="0" w:color="auto"/>
            </w:tcBorders>
            <w:vAlign w:val="center"/>
          </w:tcPr>
          <w:p w14:paraId="1333687C" w14:textId="294A09B3" w:rsidR="001E5B35" w:rsidRPr="001E5B35" w:rsidRDefault="001E5B35" w:rsidP="001E5B35">
            <w:pPr>
              <w:pStyle w:val="Tabletext"/>
              <w:jc w:val="right"/>
              <w:rPr>
                <w:b/>
                <w:bCs/>
                <w:sz w:val="17"/>
                <w:szCs w:val="17"/>
                <w:lang w:eastAsia="en-AU"/>
              </w:rPr>
            </w:pPr>
            <w:r w:rsidRPr="00AE678A">
              <w:t>7.</w:t>
            </w:r>
            <w:r w:rsidR="005C0DCF">
              <w:t>0</w:t>
            </w:r>
          </w:p>
        </w:tc>
        <w:tc>
          <w:tcPr>
            <w:tcW w:w="851" w:type="dxa"/>
            <w:tcBorders>
              <w:top w:val="single" w:sz="4" w:space="0" w:color="auto"/>
              <w:left w:val="single" w:sz="4" w:space="0" w:color="auto"/>
            </w:tcBorders>
            <w:vAlign w:val="center"/>
          </w:tcPr>
          <w:p w14:paraId="363C0AB7" w14:textId="30EF8FDB" w:rsidR="001E5B35" w:rsidRPr="001E5B35" w:rsidRDefault="001E5B35" w:rsidP="001E5B35">
            <w:pPr>
              <w:pStyle w:val="Tabletext"/>
              <w:jc w:val="right"/>
              <w:rPr>
                <w:b/>
                <w:bCs/>
                <w:sz w:val="17"/>
                <w:szCs w:val="17"/>
                <w:lang w:eastAsia="en-AU"/>
              </w:rPr>
            </w:pPr>
            <w:r w:rsidRPr="00AE678A">
              <w:t>5</w:t>
            </w:r>
          </w:p>
        </w:tc>
        <w:tc>
          <w:tcPr>
            <w:tcW w:w="709" w:type="dxa"/>
            <w:tcBorders>
              <w:top w:val="single" w:sz="4" w:space="0" w:color="auto"/>
              <w:right w:val="single" w:sz="4" w:space="0" w:color="auto"/>
            </w:tcBorders>
            <w:vAlign w:val="center"/>
          </w:tcPr>
          <w:p w14:paraId="3873F060" w14:textId="3C943728" w:rsidR="001E5B35" w:rsidRPr="001E5B35" w:rsidRDefault="001E5B35" w:rsidP="001E5B35">
            <w:pPr>
              <w:pStyle w:val="Tabletext"/>
              <w:jc w:val="right"/>
              <w:rPr>
                <w:b/>
                <w:bCs/>
                <w:sz w:val="17"/>
                <w:szCs w:val="17"/>
                <w:lang w:eastAsia="en-AU"/>
              </w:rPr>
            </w:pPr>
            <w:r w:rsidRPr="00AE678A">
              <w:t>1.2</w:t>
            </w:r>
          </w:p>
        </w:tc>
        <w:tc>
          <w:tcPr>
            <w:tcW w:w="850" w:type="dxa"/>
            <w:tcBorders>
              <w:top w:val="single" w:sz="4" w:space="0" w:color="auto"/>
              <w:left w:val="single" w:sz="4" w:space="0" w:color="auto"/>
            </w:tcBorders>
            <w:vAlign w:val="center"/>
          </w:tcPr>
          <w:p w14:paraId="52D96598" w14:textId="43373299" w:rsidR="001E5B35" w:rsidRPr="001E5B35" w:rsidRDefault="001E5B35" w:rsidP="001E5B35">
            <w:pPr>
              <w:pStyle w:val="Tabletext"/>
              <w:jc w:val="right"/>
              <w:rPr>
                <w:b/>
                <w:bCs/>
                <w:sz w:val="17"/>
                <w:szCs w:val="17"/>
                <w:lang w:eastAsia="en-AU"/>
              </w:rPr>
            </w:pPr>
            <w:r w:rsidRPr="00AE678A">
              <w:t>43</w:t>
            </w:r>
          </w:p>
        </w:tc>
        <w:tc>
          <w:tcPr>
            <w:tcW w:w="851" w:type="dxa"/>
            <w:tcBorders>
              <w:top w:val="single" w:sz="4" w:space="0" w:color="auto"/>
              <w:right w:val="single" w:sz="4" w:space="0" w:color="auto"/>
            </w:tcBorders>
            <w:vAlign w:val="center"/>
          </w:tcPr>
          <w:p w14:paraId="791B666F" w14:textId="19FAD883" w:rsidR="001E5B35" w:rsidRPr="001E5B35" w:rsidRDefault="00C35D5A" w:rsidP="001E5B35">
            <w:pPr>
              <w:pStyle w:val="Tabletext"/>
              <w:jc w:val="right"/>
              <w:rPr>
                <w:b/>
                <w:bCs/>
                <w:sz w:val="17"/>
                <w:szCs w:val="17"/>
                <w:lang w:eastAsia="en-AU"/>
              </w:rPr>
            </w:pPr>
            <w:r w:rsidRPr="00AE678A">
              <w:t>55.9</w:t>
            </w:r>
          </w:p>
        </w:tc>
        <w:tc>
          <w:tcPr>
            <w:tcW w:w="850" w:type="dxa"/>
            <w:tcBorders>
              <w:top w:val="single" w:sz="4" w:space="0" w:color="auto"/>
              <w:left w:val="single" w:sz="4" w:space="0" w:color="auto"/>
            </w:tcBorders>
            <w:vAlign w:val="center"/>
          </w:tcPr>
          <w:p w14:paraId="2B35B7F2" w14:textId="4750EBA3" w:rsidR="001E5B35" w:rsidRPr="001E5B35" w:rsidRDefault="001E5B35" w:rsidP="001E5B35">
            <w:pPr>
              <w:pStyle w:val="Tabletext"/>
              <w:jc w:val="right"/>
              <w:rPr>
                <w:b/>
                <w:bCs/>
                <w:sz w:val="17"/>
                <w:szCs w:val="17"/>
                <w:lang w:eastAsia="en-AU"/>
              </w:rPr>
            </w:pPr>
          </w:p>
        </w:tc>
        <w:tc>
          <w:tcPr>
            <w:tcW w:w="709" w:type="dxa"/>
            <w:tcBorders>
              <w:top w:val="single" w:sz="4" w:space="0" w:color="auto"/>
              <w:right w:val="single" w:sz="4" w:space="0" w:color="auto"/>
            </w:tcBorders>
            <w:vAlign w:val="center"/>
          </w:tcPr>
          <w:p w14:paraId="46DE9010" w14:textId="066CA216" w:rsidR="001E5B35" w:rsidRPr="001E5B35" w:rsidRDefault="001E5B35" w:rsidP="001E5B35">
            <w:pPr>
              <w:pStyle w:val="Tabletext"/>
              <w:jc w:val="right"/>
              <w:rPr>
                <w:b/>
                <w:bCs/>
                <w:sz w:val="17"/>
                <w:szCs w:val="17"/>
                <w:lang w:eastAsia="en-AU"/>
              </w:rPr>
            </w:pPr>
          </w:p>
        </w:tc>
        <w:tc>
          <w:tcPr>
            <w:tcW w:w="850" w:type="dxa"/>
            <w:tcBorders>
              <w:top w:val="single" w:sz="4" w:space="0" w:color="auto"/>
              <w:left w:val="single" w:sz="4" w:space="0" w:color="auto"/>
            </w:tcBorders>
            <w:vAlign w:val="center"/>
          </w:tcPr>
          <w:p w14:paraId="634984C9" w14:textId="6D9957A9" w:rsidR="001E5B35" w:rsidRPr="001E5B35" w:rsidRDefault="001E5B35" w:rsidP="001E5B35">
            <w:pPr>
              <w:pStyle w:val="Tabletext"/>
              <w:jc w:val="right"/>
              <w:rPr>
                <w:b/>
                <w:bCs/>
                <w:sz w:val="17"/>
                <w:szCs w:val="17"/>
                <w:lang w:eastAsia="en-AU"/>
              </w:rPr>
            </w:pPr>
            <w:r w:rsidRPr="00AE678A">
              <w:t>4</w:t>
            </w:r>
          </w:p>
        </w:tc>
        <w:tc>
          <w:tcPr>
            <w:tcW w:w="709" w:type="dxa"/>
            <w:tcBorders>
              <w:top w:val="single" w:sz="4" w:space="0" w:color="auto"/>
              <w:right w:val="single" w:sz="4" w:space="0" w:color="auto"/>
            </w:tcBorders>
            <w:vAlign w:val="center"/>
          </w:tcPr>
          <w:p w14:paraId="1677FE18" w14:textId="4F4AEBA5" w:rsidR="001E5B35" w:rsidRPr="001E5B35" w:rsidRDefault="001E5B35" w:rsidP="001E5B35">
            <w:pPr>
              <w:pStyle w:val="Tabletext"/>
              <w:jc w:val="right"/>
              <w:rPr>
                <w:b/>
                <w:bCs/>
                <w:sz w:val="17"/>
                <w:szCs w:val="17"/>
                <w:lang w:eastAsia="en-AU"/>
              </w:rPr>
            </w:pPr>
            <w:r w:rsidRPr="00AE678A">
              <w:t>6.3</w:t>
            </w:r>
          </w:p>
        </w:tc>
        <w:tc>
          <w:tcPr>
            <w:tcW w:w="851" w:type="dxa"/>
            <w:tcBorders>
              <w:top w:val="single" w:sz="4" w:space="0" w:color="auto"/>
              <w:left w:val="single" w:sz="4" w:space="0" w:color="auto"/>
            </w:tcBorders>
            <w:vAlign w:val="center"/>
          </w:tcPr>
          <w:p w14:paraId="145BA7DA" w14:textId="0CFC45FB" w:rsidR="001E5B35" w:rsidRPr="001E5B35" w:rsidRDefault="00C35D5A" w:rsidP="001E5B35">
            <w:pPr>
              <w:pStyle w:val="Tabletext"/>
              <w:jc w:val="right"/>
              <w:rPr>
                <w:b/>
                <w:bCs/>
                <w:sz w:val="17"/>
                <w:szCs w:val="17"/>
                <w:lang w:eastAsia="en-AU"/>
              </w:rPr>
            </w:pPr>
            <w:r w:rsidRPr="00AE678A">
              <w:t>8</w:t>
            </w:r>
            <w:r w:rsidR="005C0DCF">
              <w:t>6</w:t>
            </w:r>
          </w:p>
        </w:tc>
        <w:tc>
          <w:tcPr>
            <w:tcW w:w="863" w:type="dxa"/>
            <w:tcBorders>
              <w:top w:val="single" w:sz="4" w:space="0" w:color="auto"/>
            </w:tcBorders>
            <w:vAlign w:val="center"/>
          </w:tcPr>
          <w:p w14:paraId="1B431477" w14:textId="7F624B41" w:rsidR="001E5B35" w:rsidRPr="001E5B35" w:rsidRDefault="00C35D5A" w:rsidP="001E5B35">
            <w:pPr>
              <w:pStyle w:val="Tabletext"/>
              <w:jc w:val="right"/>
              <w:rPr>
                <w:b/>
                <w:bCs/>
                <w:sz w:val="17"/>
                <w:szCs w:val="17"/>
                <w:lang w:eastAsia="en-AU"/>
              </w:rPr>
            </w:pPr>
            <w:r w:rsidRPr="00AE678A">
              <w:t>77.</w:t>
            </w:r>
            <w:r w:rsidR="005C0DCF">
              <w:t>4</w:t>
            </w:r>
          </w:p>
        </w:tc>
      </w:tr>
    </w:tbl>
    <w:p w14:paraId="475F2CDA" w14:textId="77777777" w:rsidR="004472A8" w:rsidRDefault="00443FC0" w:rsidP="00443FC0">
      <w:pPr>
        <w:pStyle w:val="Source"/>
      </w:pPr>
      <w:r w:rsidRPr="007136E1">
        <w:t>Note</w:t>
      </w:r>
      <w:r w:rsidR="00173EAE" w:rsidRPr="007136E1">
        <w:t>s</w:t>
      </w:r>
      <w:r w:rsidRPr="007136E1">
        <w:t xml:space="preserve">: </w:t>
      </w:r>
      <w:r w:rsidR="00E44456" w:rsidRPr="007136E1">
        <w:rPr>
          <w:b/>
        </w:rPr>
        <w:t xml:space="preserve">a </w:t>
      </w:r>
      <w:r w:rsidR="00E44456" w:rsidRPr="007136E1">
        <w:t xml:space="preserve">Infrastructure is limited to resource, energy infrastructure projects including CCS. </w:t>
      </w:r>
      <w:r w:rsidR="00CC1B71">
        <w:t>Several</w:t>
      </w:r>
      <w:r w:rsidR="00E44456" w:rsidRPr="007136E1">
        <w:t xml:space="preserve"> gas pipelines span across more than one state but have been allocated to one state for reporting purposes. </w:t>
      </w:r>
      <w:r w:rsidRPr="007136E1">
        <w:t xml:space="preserve"> </w:t>
      </w:r>
      <w:r w:rsidR="00693C63" w:rsidRPr="007136E1">
        <w:rPr>
          <w:b/>
        </w:rPr>
        <w:t>b</w:t>
      </w:r>
      <w:r w:rsidR="00693C63" w:rsidRPr="007136E1">
        <w:t xml:space="preserve"> </w:t>
      </w:r>
      <w:r w:rsidRPr="007136E1">
        <w:t xml:space="preserve">Other Commodities is limited to resource and energy commodities not elsewhere identified. </w:t>
      </w:r>
      <w:r w:rsidR="00693C63" w:rsidRPr="007136E1">
        <w:rPr>
          <w:b/>
        </w:rPr>
        <w:t>c</w:t>
      </w:r>
      <w:r w:rsidR="00693C63" w:rsidRPr="007136E1">
        <w:t xml:space="preserve"> </w:t>
      </w:r>
      <w:r w:rsidRPr="007136E1">
        <w:t xml:space="preserve">Totals may not add due to rounding at commodity level. </w:t>
      </w:r>
      <w:r w:rsidR="009350B9" w:rsidRPr="007136E1">
        <w:t xml:space="preserve"> </w:t>
      </w:r>
    </w:p>
    <w:p w14:paraId="02F289CE" w14:textId="099746DC" w:rsidR="00E31049" w:rsidRDefault="00443FC0" w:rsidP="00443FC0">
      <w:pPr>
        <w:pStyle w:val="Source"/>
        <w:sectPr w:rsidR="00E31049" w:rsidSect="00E37754">
          <w:headerReference w:type="even" r:id="rId56"/>
          <w:headerReference w:type="default" r:id="rId57"/>
          <w:headerReference w:type="first" r:id="rId58"/>
          <w:pgSz w:w="16838" w:h="11906" w:orient="landscape" w:code="9"/>
          <w:pgMar w:top="992" w:right="1440" w:bottom="1440" w:left="1440" w:header="709" w:footer="709" w:gutter="0"/>
          <w:cols w:space="720"/>
          <w:docGrid w:linePitch="360"/>
        </w:sectPr>
      </w:pPr>
      <w:r w:rsidRPr="007136E1">
        <w:rPr>
          <w:lang w:eastAsia="en-AU"/>
        </w:rPr>
        <w:t xml:space="preserve">Source: </w:t>
      </w:r>
      <w:r w:rsidR="00387209">
        <w:t xml:space="preserve">Department of Industry, Science and Resources </w:t>
      </w:r>
      <w:r w:rsidRPr="007136E1">
        <w:t>(202</w:t>
      </w:r>
      <w:r w:rsidR="003653E0">
        <w:t>3</w:t>
      </w:r>
      <w:r w:rsidRPr="007136E1">
        <w:t>)</w:t>
      </w:r>
    </w:p>
    <w:p w14:paraId="47426AA1" w14:textId="65C7CB37" w:rsidR="00BA7639" w:rsidRPr="007136E1" w:rsidRDefault="00172440" w:rsidP="00BA7639">
      <w:pPr>
        <w:pStyle w:val="Heading1"/>
        <w:ind w:left="426" w:hanging="426"/>
      </w:pPr>
      <w:bookmarkStart w:id="70" w:name="_Methodology"/>
      <w:bookmarkStart w:id="71" w:name="_Toc152865204"/>
      <w:bookmarkStart w:id="72" w:name="_Toc55393272"/>
      <w:bookmarkStart w:id="73" w:name="_Toc55456480"/>
      <w:bookmarkStart w:id="74" w:name="_Toc120285899"/>
      <w:bookmarkStart w:id="75" w:name="_Toc120287130"/>
      <w:bookmarkStart w:id="76" w:name="_Toc120541236"/>
      <w:bookmarkStart w:id="77" w:name="_Toc120628920"/>
      <w:bookmarkStart w:id="78" w:name="_Toc120629529"/>
      <w:bookmarkStart w:id="79" w:name="_Toc120630052"/>
      <w:bookmarkStart w:id="80" w:name="_Toc120632575"/>
      <w:bookmarkEnd w:id="70"/>
      <w:r>
        <w:t>Publicly announce</w:t>
      </w:r>
      <w:r w:rsidR="008F24EC">
        <w:t>d</w:t>
      </w:r>
      <w:r>
        <w:t xml:space="preserve"> and advanced feasibility projects</w:t>
      </w:r>
      <w:bookmarkEnd w:id="71"/>
    </w:p>
    <w:p w14:paraId="5A017608" w14:textId="30A64836" w:rsidR="00BA7639" w:rsidRPr="00020035" w:rsidRDefault="001B3209" w:rsidP="00BA7639">
      <w:pPr>
        <w:pStyle w:val="BodyText"/>
        <w:spacing w:before="180"/>
        <w:rPr>
          <w:rFonts w:asciiTheme="majorHAnsi" w:hAnsiTheme="majorHAnsi" w:cstheme="majorHAnsi"/>
          <w:color w:val="005CAF"/>
        </w:rPr>
      </w:pPr>
      <w:r>
        <w:rPr>
          <w:rFonts w:asciiTheme="majorHAnsi" w:hAnsiTheme="majorHAnsi" w:cstheme="majorHAnsi"/>
          <w:color w:val="005CAF"/>
        </w:rPr>
        <w:t>Critical minerals drive increase in early</w:t>
      </w:r>
      <w:r w:rsidR="004871AA">
        <w:rPr>
          <w:rFonts w:asciiTheme="majorHAnsi" w:hAnsiTheme="majorHAnsi" w:cstheme="majorHAnsi"/>
          <w:color w:val="005CAF"/>
        </w:rPr>
        <w:t>-</w:t>
      </w:r>
      <w:r>
        <w:rPr>
          <w:rFonts w:asciiTheme="majorHAnsi" w:hAnsiTheme="majorHAnsi" w:cstheme="majorHAnsi"/>
          <w:color w:val="005CAF"/>
        </w:rPr>
        <w:t>stage projects</w:t>
      </w:r>
    </w:p>
    <w:p w14:paraId="307FD3FF" w14:textId="55F86FCF" w:rsidR="004C0A4B" w:rsidRDefault="00940357" w:rsidP="00BA7639">
      <w:pPr>
        <w:pStyle w:val="BodyText"/>
      </w:pPr>
      <w:r>
        <w:t xml:space="preserve">This year’s </w:t>
      </w:r>
      <w:r w:rsidR="002D3F07">
        <w:t xml:space="preserve">report </w:t>
      </w:r>
      <w:r>
        <w:t xml:space="preserve">has identified </w:t>
      </w:r>
      <w:r w:rsidR="00B117F6">
        <w:t>33</w:t>
      </w:r>
      <w:r w:rsidR="003E5819">
        <w:t>5</w:t>
      </w:r>
      <w:r w:rsidR="00B117F6">
        <w:t xml:space="preserve"> </w:t>
      </w:r>
      <w:r w:rsidR="008E0C6F">
        <w:t xml:space="preserve">publicly </w:t>
      </w:r>
      <w:r w:rsidR="00A0177B">
        <w:t xml:space="preserve">announced </w:t>
      </w:r>
      <w:r w:rsidR="008E0C6F">
        <w:t xml:space="preserve">and advanced feasibility </w:t>
      </w:r>
      <w:r w:rsidR="00B117F6">
        <w:t>projects</w:t>
      </w:r>
      <w:r w:rsidR="001D378B">
        <w:t xml:space="preserve">. </w:t>
      </w:r>
      <w:r w:rsidR="00A0177B">
        <w:t>Of these projects,</w:t>
      </w:r>
      <w:r w:rsidR="00B117F6">
        <w:t xml:space="preserve"> </w:t>
      </w:r>
      <w:r w:rsidR="00063E34">
        <w:t xml:space="preserve">a total of </w:t>
      </w:r>
      <w:r w:rsidR="00B117F6">
        <w:t>4</w:t>
      </w:r>
      <w:r w:rsidR="003E5819">
        <w:t>6</w:t>
      </w:r>
      <w:r w:rsidR="00B117F6">
        <w:t xml:space="preserve"> have published a</w:t>
      </w:r>
      <w:r w:rsidR="001D378B">
        <w:t>n advanced</w:t>
      </w:r>
      <w:r w:rsidR="00B117F6">
        <w:t xml:space="preserve"> feasibility study</w:t>
      </w:r>
      <w:r w:rsidR="00A0177B">
        <w:t>, with an estimated value of $</w:t>
      </w:r>
      <w:r w:rsidR="00A41B2F">
        <w:t>30</w:t>
      </w:r>
      <w:r w:rsidR="00A0177B">
        <w:t xml:space="preserve"> billion</w:t>
      </w:r>
      <w:r w:rsidR="00B117F6">
        <w:t xml:space="preserve">. </w:t>
      </w:r>
      <w:bookmarkStart w:id="81" w:name="_Hlk151039952"/>
      <w:r w:rsidR="00B117F6">
        <w:t>The publication of a</w:t>
      </w:r>
      <w:r w:rsidR="001D378B">
        <w:t xml:space="preserve">n advanced </w:t>
      </w:r>
      <w:r w:rsidR="00B117F6">
        <w:t xml:space="preserve">study is an indicator that the project may be close to </w:t>
      </w:r>
      <w:bookmarkEnd w:id="81"/>
      <w:r w:rsidR="00D52692">
        <w:t>reaching the</w:t>
      </w:r>
      <w:r w:rsidR="001D378B">
        <w:t xml:space="preserve"> committed </w:t>
      </w:r>
      <w:r w:rsidR="00D52692">
        <w:t>stage</w:t>
      </w:r>
      <w:r w:rsidR="001B3209">
        <w:t xml:space="preserve">, </w:t>
      </w:r>
      <w:r>
        <w:t>with</w:t>
      </w:r>
      <w:r w:rsidR="001B3209">
        <w:t xml:space="preserve"> 17 projects </w:t>
      </w:r>
      <w:r>
        <w:t>(</w:t>
      </w:r>
      <w:r w:rsidR="001B3209">
        <w:t>with an estimated value of $6.9 billion</w:t>
      </w:r>
      <w:r>
        <w:t>)</w:t>
      </w:r>
      <w:r w:rsidR="001B3209">
        <w:t xml:space="preserve"> </w:t>
      </w:r>
      <w:r w:rsidR="000D232D">
        <w:t>progressing to the</w:t>
      </w:r>
      <w:r w:rsidR="001D378B">
        <w:t xml:space="preserve"> advanced</w:t>
      </w:r>
      <w:r w:rsidR="001B3209">
        <w:t xml:space="preserve"> feasibility s</w:t>
      </w:r>
      <w:r w:rsidR="000D232D">
        <w:t>tage</w:t>
      </w:r>
      <w:r w:rsidR="001B3209">
        <w:t xml:space="preserve"> this year</w:t>
      </w:r>
      <w:r w:rsidR="00B117F6">
        <w:t>.</w:t>
      </w:r>
    </w:p>
    <w:p w14:paraId="5DC8A6E7" w14:textId="24CCE2D4" w:rsidR="00DE7456" w:rsidRDefault="004C0A4B" w:rsidP="00AE39AC">
      <w:pPr>
        <w:pStyle w:val="BodyText"/>
      </w:pPr>
      <w:r>
        <w:t>Among the commodities, hydrogen projects make up the largest category (</w:t>
      </w:r>
      <w:r w:rsidR="00F60727">
        <w:t xml:space="preserve">Figure </w:t>
      </w:r>
      <w:r w:rsidR="00F1509E">
        <w:t>5</w:t>
      </w:r>
      <w:r w:rsidR="00F60727">
        <w:t xml:space="preserve">.1, </w:t>
      </w:r>
      <w:r>
        <w:t xml:space="preserve">see </w:t>
      </w:r>
      <w:r>
        <w:rPr>
          <w:i/>
        </w:rPr>
        <w:t>Hydrogen</w:t>
      </w:r>
      <w:r>
        <w:t xml:space="preserve"> section)</w:t>
      </w:r>
      <w:r w:rsidRPr="007136E1">
        <w:t xml:space="preserve">. </w:t>
      </w:r>
      <w:r w:rsidR="00DE7456">
        <w:t>Critical mineral projects make up 4</w:t>
      </w:r>
      <w:r w:rsidR="00F05EE0">
        <w:t>6</w:t>
      </w:r>
      <w:r w:rsidR="00DE7456">
        <w:t xml:space="preserve">% of projects in the </w:t>
      </w:r>
      <w:r w:rsidR="00A77198">
        <w:t>a</w:t>
      </w:r>
      <w:r w:rsidR="00DE7456">
        <w:t xml:space="preserve">dvanced feasibility stage, (see </w:t>
      </w:r>
      <w:r w:rsidR="00DE7456" w:rsidRPr="00DE7456">
        <w:rPr>
          <w:i/>
          <w:iCs/>
        </w:rPr>
        <w:t>Critical Mineral</w:t>
      </w:r>
      <w:r w:rsidR="00DE7456">
        <w:t xml:space="preserve"> section).</w:t>
      </w:r>
      <w:r w:rsidR="00F60727">
        <w:t xml:space="preserve"> Western Australia accounted for 43% of capital expenditure for projects in the advanced feasibility stage (Figure </w:t>
      </w:r>
      <w:r w:rsidR="00F1509E">
        <w:t>5</w:t>
      </w:r>
      <w:r w:rsidR="00F60727">
        <w:t>.2).</w:t>
      </w:r>
    </w:p>
    <w:p w14:paraId="08952A3E" w14:textId="3922BB19" w:rsidR="00F60727" w:rsidRDefault="00F60727" w:rsidP="00F60727">
      <w:pPr>
        <w:pStyle w:val="BodyText"/>
      </w:pPr>
      <w:r w:rsidRPr="008F61F8">
        <w:t xml:space="preserve">There are 29 </w:t>
      </w:r>
      <w:r w:rsidRPr="002D3F07">
        <w:rPr>
          <w:b/>
          <w:bCs/>
        </w:rPr>
        <w:t>iron ore</w:t>
      </w:r>
      <w:r w:rsidRPr="008F61F8">
        <w:t xml:space="preserve"> projects which have yet </w:t>
      </w:r>
      <w:r w:rsidR="00F22442">
        <w:t>to reach the</w:t>
      </w:r>
      <w:r w:rsidR="001D378B">
        <w:t xml:space="preserve"> committed </w:t>
      </w:r>
      <w:r w:rsidR="00F22442">
        <w:t>stage</w:t>
      </w:r>
      <w:r w:rsidRPr="008F61F8">
        <w:t>, including 3 projects which have published a</w:t>
      </w:r>
      <w:r w:rsidR="001D378B">
        <w:t xml:space="preserve">n advanced </w:t>
      </w:r>
      <w:r w:rsidRPr="00933862">
        <w:t>feasibility study. New projects include the Rio Tinto’s capacity expansion to its newest iron ore mine, Gudai-Darri, which will see production increase by 7</w:t>
      </w:r>
      <w:r w:rsidR="00EC0E20">
        <w:t> </w:t>
      </w:r>
      <w:r w:rsidRPr="00933862">
        <w:t xml:space="preserve">million tonnes a year. Another new project is the Collie green steel recycling mill which will convert scrap steel into rebar for local, domestic and international consumption. </w:t>
      </w:r>
      <w:r w:rsidR="00345F15">
        <w:t>Over 50%</w:t>
      </w:r>
      <w:r>
        <w:t xml:space="preserve"> of the early</w:t>
      </w:r>
      <w:r w:rsidR="004871AA">
        <w:t>-</w:t>
      </w:r>
      <w:r w:rsidRPr="00670AE9">
        <w:t>stage iron ore projects in this report are magnetite mines at various stages of</w:t>
      </w:r>
      <w:r w:rsidRPr="00670AE9" w:rsidDel="00532756">
        <w:t xml:space="preserve"> </w:t>
      </w:r>
      <w:r w:rsidRPr="00670AE9">
        <w:t xml:space="preserve">development. </w:t>
      </w:r>
      <w:r w:rsidR="00C320D6">
        <w:t>Increased m</w:t>
      </w:r>
      <w:r w:rsidRPr="00670AE9">
        <w:t>agnetite production</w:t>
      </w:r>
      <w:r w:rsidR="00532756">
        <w:t xml:space="preserve"> will </w:t>
      </w:r>
      <w:r w:rsidRPr="00670AE9">
        <w:t xml:space="preserve">contribute to the global </w:t>
      </w:r>
      <w:r w:rsidR="00532756">
        <w:t xml:space="preserve">energy </w:t>
      </w:r>
      <w:r w:rsidRPr="00670AE9">
        <w:t xml:space="preserve">transition. </w:t>
      </w:r>
      <w:r w:rsidR="002879C0">
        <w:t>Magnetite</w:t>
      </w:r>
      <w:r w:rsidRPr="00670AE9">
        <w:t xml:space="preserve"> can be </w:t>
      </w:r>
      <w:r w:rsidR="003007A6">
        <w:t xml:space="preserve">converted </w:t>
      </w:r>
      <w:r w:rsidRPr="00670AE9">
        <w:t xml:space="preserve">into high quality products </w:t>
      </w:r>
      <w:r w:rsidR="00DE57B9">
        <w:t>for</w:t>
      </w:r>
      <w:r w:rsidRPr="00670AE9">
        <w:t xml:space="preserve"> use in processes such as Direct Reduced Iron.</w:t>
      </w:r>
    </w:p>
    <w:p w14:paraId="128207B0" w14:textId="18F5291E" w:rsidR="00387B43" w:rsidRDefault="00F60727" w:rsidP="00F60727">
      <w:pPr>
        <w:pStyle w:val="BodyText"/>
      </w:pPr>
      <w:r>
        <w:t>More than 15 early</w:t>
      </w:r>
      <w:r w:rsidR="004871AA">
        <w:t>-</w:t>
      </w:r>
      <w:r>
        <w:t xml:space="preserve">stage </w:t>
      </w:r>
      <w:r w:rsidRPr="002D3F07">
        <w:rPr>
          <w:b/>
          <w:bCs/>
        </w:rPr>
        <w:t>coal</w:t>
      </w:r>
      <w:r>
        <w:t xml:space="preserve"> projects were removed from the list in </w:t>
      </w:r>
      <w:r w:rsidR="00940357">
        <w:t>this report</w:t>
      </w:r>
      <w:r>
        <w:t xml:space="preserve">. The removals are mostly for thermal coal projects and reflect a </w:t>
      </w:r>
      <w:r w:rsidR="00375DB9">
        <w:t>combination of applications being withdrawn or allowed to lapse, land being sold by leaseholders, and formal cancellations.</w:t>
      </w:r>
    </w:p>
    <w:p w14:paraId="4FD15F79" w14:textId="57F223D7" w:rsidR="00BA7639" w:rsidRPr="007136E1" w:rsidRDefault="00BA7639" w:rsidP="00BA7639">
      <w:pPr>
        <w:pStyle w:val="Caption"/>
        <w:spacing w:after="0"/>
      </w:pPr>
      <w:r w:rsidRPr="00665268">
        <w:t xml:space="preserve">Figure </w:t>
      </w:r>
      <w:r w:rsidR="00F1509E">
        <w:rPr>
          <w:noProof/>
        </w:rPr>
        <w:t>5</w:t>
      </w:r>
      <w:r w:rsidRPr="00665268">
        <w:t>.</w:t>
      </w:r>
      <w:r w:rsidRPr="00665268">
        <w:rPr>
          <w:noProof/>
        </w:rPr>
        <w:fldChar w:fldCharType="begin"/>
      </w:r>
      <w:r w:rsidRPr="00665268">
        <w:rPr>
          <w:noProof/>
        </w:rPr>
        <w:instrText xml:space="preserve"> SEQ Figure \* ARABIC \s 1 </w:instrText>
      </w:r>
      <w:r w:rsidRPr="00665268">
        <w:rPr>
          <w:noProof/>
        </w:rPr>
        <w:fldChar w:fldCharType="separate"/>
      </w:r>
      <w:r w:rsidR="006D6E1F">
        <w:rPr>
          <w:noProof/>
        </w:rPr>
        <w:t>1</w:t>
      </w:r>
      <w:r w:rsidRPr="00665268">
        <w:rPr>
          <w:noProof/>
        </w:rPr>
        <w:fldChar w:fldCharType="end"/>
      </w:r>
      <w:r w:rsidRPr="00665268">
        <w:t xml:space="preserve">: </w:t>
      </w:r>
      <w:r w:rsidR="001B3209">
        <w:t>Projects</w:t>
      </w:r>
      <w:r w:rsidRPr="00665268">
        <w:t xml:space="preserve"> </w:t>
      </w:r>
      <w:r w:rsidR="00B30FE9">
        <w:t xml:space="preserve">yet to </w:t>
      </w:r>
      <w:r w:rsidR="009D233E">
        <w:t>reach the</w:t>
      </w:r>
      <w:r w:rsidR="00196A61">
        <w:t xml:space="preserve"> committed </w:t>
      </w:r>
      <w:r w:rsidR="009D233E">
        <w:t>stage</w:t>
      </w:r>
    </w:p>
    <w:p w14:paraId="2E488EC2" w14:textId="4510F132" w:rsidR="00BA7639" w:rsidRPr="007136E1" w:rsidRDefault="004C0A4B" w:rsidP="00BA7639">
      <w:pPr>
        <w:pStyle w:val="Source"/>
        <w:spacing w:before="120"/>
      </w:pPr>
      <w:r>
        <w:rPr>
          <w:noProof/>
        </w:rPr>
        <w:drawing>
          <wp:inline distT="0" distB="0" distL="0" distR="0" wp14:anchorId="52AF8042" wp14:editId="0B1D5D42">
            <wp:extent cx="4206875" cy="2524125"/>
            <wp:effectExtent l="0" t="0" r="3175" b="0"/>
            <wp:docPr id="38" name="Chart 38" descr="This figure shows the number of projects yet to reach the committed phase, sorted by commodity group.">
              <a:extLst xmlns:a="http://schemas.openxmlformats.org/drawingml/2006/main">
                <a:ext uri="{FF2B5EF4-FFF2-40B4-BE49-F238E27FC236}">
                  <a16:creationId xmlns:a16="http://schemas.microsoft.com/office/drawing/2014/main" id="{6C5A2654-E044-41D2-A0C1-CE4B89BA7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BA7639" w:rsidRPr="000C6DD8">
        <w:t xml:space="preserve"> </w:t>
      </w:r>
      <w:r w:rsidR="00BA7639" w:rsidRPr="007136E1">
        <w:t xml:space="preserve">Notes: Infrastructure is limited to resource, energy infrastructure projects including CCS. Other Commodities is limited to resource and energy commodities not elsewhere identified. </w:t>
      </w:r>
      <w:r w:rsidR="004E498D">
        <w:t>Oil and gas projects are not separated between publicly announced and advanced feasibility stages</w:t>
      </w:r>
      <w:r w:rsidR="004E498D" w:rsidRPr="007136E1">
        <w:t>.</w:t>
      </w:r>
    </w:p>
    <w:p w14:paraId="30996E3C" w14:textId="2C526F53" w:rsidR="00BA7639" w:rsidRPr="007136E1" w:rsidRDefault="00BA7639" w:rsidP="00BA7639">
      <w:pPr>
        <w:pStyle w:val="Source"/>
      </w:pPr>
      <w:r w:rsidRPr="007136E1">
        <w:t xml:space="preserve">Source: </w:t>
      </w:r>
      <w:r>
        <w:t>Department of Industry, Science and Resources (202</w:t>
      </w:r>
      <w:r w:rsidR="003653E0">
        <w:t>3</w:t>
      </w:r>
      <w:r w:rsidRPr="007136E1">
        <w:t>)</w:t>
      </w:r>
    </w:p>
    <w:p w14:paraId="0926D1C3" w14:textId="5FDB6AF9" w:rsidR="00BA7639" w:rsidRPr="007136E1" w:rsidRDefault="00BA7639" w:rsidP="00BA7639">
      <w:pPr>
        <w:pStyle w:val="Caption"/>
        <w:spacing w:before="240" w:after="0"/>
      </w:pPr>
      <w:r w:rsidRPr="00665268">
        <w:t xml:space="preserve">Figure </w:t>
      </w:r>
      <w:r w:rsidR="00F1509E">
        <w:rPr>
          <w:noProof/>
        </w:rPr>
        <w:t>5</w:t>
      </w:r>
      <w:r w:rsidRPr="00665268">
        <w:t>.</w:t>
      </w:r>
      <w:r w:rsidRPr="00665268">
        <w:rPr>
          <w:noProof/>
        </w:rPr>
        <w:fldChar w:fldCharType="begin"/>
      </w:r>
      <w:r w:rsidRPr="00665268">
        <w:rPr>
          <w:noProof/>
        </w:rPr>
        <w:instrText xml:space="preserve"> SEQ Figure \* ARABIC \s 1 </w:instrText>
      </w:r>
      <w:r w:rsidRPr="00665268">
        <w:rPr>
          <w:noProof/>
        </w:rPr>
        <w:fldChar w:fldCharType="separate"/>
      </w:r>
      <w:r w:rsidR="006D6E1F">
        <w:rPr>
          <w:noProof/>
        </w:rPr>
        <w:t>2</w:t>
      </w:r>
      <w:r w:rsidRPr="00665268">
        <w:rPr>
          <w:noProof/>
        </w:rPr>
        <w:fldChar w:fldCharType="end"/>
      </w:r>
      <w:r w:rsidRPr="00665268">
        <w:t xml:space="preserve">: </w:t>
      </w:r>
      <w:r>
        <w:t>Value of p</w:t>
      </w:r>
      <w:r w:rsidRPr="00665268">
        <w:t xml:space="preserve">rojects at the </w:t>
      </w:r>
      <w:r w:rsidR="00056DA9">
        <w:t xml:space="preserve">advanced </w:t>
      </w:r>
      <w:r w:rsidRPr="00665268">
        <w:t>feasibility stage</w:t>
      </w:r>
    </w:p>
    <w:p w14:paraId="3149D0C6" w14:textId="2D650599" w:rsidR="00BA7639" w:rsidRPr="007136E1" w:rsidRDefault="00056DA9" w:rsidP="00BA7639">
      <w:pPr>
        <w:pStyle w:val="Source"/>
      </w:pPr>
      <w:r w:rsidRPr="00DE7456">
        <w:rPr>
          <w:i/>
          <w:iCs/>
          <w:noProof/>
        </w:rPr>
        <w:drawing>
          <wp:inline distT="0" distB="0" distL="0" distR="0" wp14:anchorId="18CE5537" wp14:editId="17176197">
            <wp:extent cx="4206875" cy="2200275"/>
            <wp:effectExtent l="0" t="0" r="3175" b="0"/>
            <wp:docPr id="39" name="Chart 39" descr="This graph summarises the value of projects at the advanced feasibility stage by state.">
              <a:extLst xmlns:a="http://schemas.openxmlformats.org/drawingml/2006/main">
                <a:ext uri="{FF2B5EF4-FFF2-40B4-BE49-F238E27FC236}">
                  <a16:creationId xmlns:a16="http://schemas.microsoft.com/office/drawing/2014/main" id="{D6B24815-3B57-7F60-E0A6-FA91CA0CA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BA7639" w:rsidRPr="007136E1">
        <w:t xml:space="preserve"> Source: </w:t>
      </w:r>
      <w:r w:rsidR="00BA7639">
        <w:t>Department of Industry, Science and Resources (202</w:t>
      </w:r>
      <w:r w:rsidR="003653E0">
        <w:t>3</w:t>
      </w:r>
      <w:r w:rsidR="00BA7639" w:rsidRPr="007136E1">
        <w:t>)</w:t>
      </w:r>
    </w:p>
    <w:bookmarkEnd w:id="72"/>
    <w:bookmarkEnd w:id="73"/>
    <w:p w14:paraId="71B728B6" w14:textId="66F9F017" w:rsidR="00F60727" w:rsidRDefault="00F60727" w:rsidP="00F60727">
      <w:pPr>
        <w:pStyle w:val="BodyText"/>
      </w:pPr>
      <w:r>
        <w:t xml:space="preserve">Many coal projects have </w:t>
      </w:r>
      <w:r w:rsidR="002D3F07">
        <w:t>not progressed beyond</w:t>
      </w:r>
      <w:r>
        <w:t xml:space="preserve"> early stages for 10 years or more</w:t>
      </w:r>
      <w:r w:rsidR="00940357">
        <w:t xml:space="preserve">. </w:t>
      </w:r>
      <w:r w:rsidR="002D3F07">
        <w:t>This has been driven by</w:t>
      </w:r>
      <w:r w:rsidR="00940357">
        <w:t xml:space="preserve"> deteriorating</w:t>
      </w:r>
      <w:r>
        <w:t xml:space="preserve"> market conditions </w:t>
      </w:r>
      <w:r w:rsidR="00867DDB">
        <w:t>for coal</w:t>
      </w:r>
      <w:r w:rsidR="00940357">
        <w:t>,</w:t>
      </w:r>
      <w:r w:rsidR="00867DDB" w:rsidDel="00940357">
        <w:t xml:space="preserve"> </w:t>
      </w:r>
      <w:r>
        <w:t xml:space="preserve">as firms faced reduced access to finance and insurance, issues with social licence, and the rapid </w:t>
      </w:r>
      <w:r w:rsidR="00867DDB">
        <w:t>drop-off</w:t>
      </w:r>
      <w:r>
        <w:t xml:space="preserve"> in proposed coal plant constructions across Asia. Metallurgical coal projects have </w:t>
      </w:r>
      <w:r w:rsidR="002D3F07">
        <w:t xml:space="preserve">progressed </w:t>
      </w:r>
      <w:r w:rsidR="00324D6A">
        <w:t>further</w:t>
      </w:r>
      <w:r w:rsidR="00940357">
        <w:t xml:space="preserve"> than thermal coal project</w:t>
      </w:r>
      <w:r w:rsidR="009C7D67">
        <w:t>s</w:t>
      </w:r>
      <w:r>
        <w:t xml:space="preserve">, with several (including Tahmoor South, </w:t>
      </w:r>
      <w:r w:rsidR="00692340">
        <w:t xml:space="preserve">Aquila, </w:t>
      </w:r>
      <w:r>
        <w:t>Stratford</w:t>
      </w:r>
      <w:r w:rsidR="00692340">
        <w:t xml:space="preserve"> and </w:t>
      </w:r>
      <w:r>
        <w:t xml:space="preserve">Olive Downs) progressing </w:t>
      </w:r>
      <w:r w:rsidR="00692340">
        <w:t xml:space="preserve">to the completed stage. Among thermal coal mines, New Acland progressed to completed in </w:t>
      </w:r>
      <w:r>
        <w:t>2023</w:t>
      </w:r>
      <w:r w:rsidR="00692340">
        <w:t>.</w:t>
      </w:r>
    </w:p>
    <w:tbl>
      <w:tblPr>
        <w:tblStyle w:val="OCETable"/>
        <w:tblW w:w="6804" w:type="dxa"/>
        <w:tblInd w:w="57" w:type="dxa"/>
        <w:shd w:val="clear" w:color="auto" w:fill="DEE8F1"/>
        <w:tblLayout w:type="fixed"/>
        <w:tblLook w:val="04A0" w:firstRow="1" w:lastRow="0" w:firstColumn="1" w:lastColumn="0" w:noHBand="0" w:noVBand="1"/>
      </w:tblPr>
      <w:tblGrid>
        <w:gridCol w:w="6804"/>
      </w:tblGrid>
      <w:tr w:rsidR="00905299" w14:paraId="5638FB7D" w14:textId="77777777" w:rsidTr="001347A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DEE8F1"/>
          </w:tcPr>
          <w:p w14:paraId="1CD50639" w14:textId="588673CA" w:rsidR="00905299" w:rsidRPr="00905299" w:rsidRDefault="00905299" w:rsidP="00905299">
            <w:pPr>
              <w:pStyle w:val="BoxCaption"/>
            </w:pPr>
            <w:r>
              <w:t xml:space="preserve">Box </w:t>
            </w:r>
            <w:r w:rsidR="00F50346">
              <w:t>5</w:t>
            </w:r>
            <w:r>
              <w:t>.</w:t>
            </w:r>
            <w:r w:rsidR="00F50346">
              <w:t>1</w:t>
            </w:r>
            <w:r>
              <w:t xml:space="preserve">: </w:t>
            </w:r>
            <w:r w:rsidRPr="00905299">
              <w:t xml:space="preserve">Impacts of methodology changes on </w:t>
            </w:r>
            <w:r w:rsidR="001B6169">
              <w:t>categorisation of</w:t>
            </w:r>
            <w:r w:rsidRPr="00905299">
              <w:t xml:space="preserve"> oil </w:t>
            </w:r>
            <w:r>
              <w:t>and</w:t>
            </w:r>
            <w:r w:rsidRPr="00905299">
              <w:t xml:space="preserve"> gas projects</w:t>
            </w:r>
          </w:p>
          <w:p w14:paraId="5B720A55" w14:textId="09A2ED01" w:rsidR="00905299" w:rsidRDefault="00905299" w:rsidP="00905299">
            <w:pPr>
              <w:pStyle w:val="BodyText"/>
            </w:pPr>
            <w:r>
              <w:t>Oil and gas projects are split into three stages</w:t>
            </w:r>
            <w:r w:rsidRPr="00BF60B8">
              <w:t xml:space="preserve"> </w:t>
            </w:r>
            <w:r>
              <w:t>—</w:t>
            </w:r>
            <w:r w:rsidRPr="00BF60B8">
              <w:t xml:space="preserve"> publicly announced, committed, and completed.</w:t>
            </w:r>
            <w:r>
              <w:t xml:space="preserve"> This is different from the rest of the REMP methodology which includes a fourth ‘advanced feasibility’ stage that occurs between publicly announced and committed. </w:t>
            </w:r>
          </w:p>
          <w:p w14:paraId="41034F7F" w14:textId="2B8603AB" w:rsidR="00905299" w:rsidRDefault="00905299" w:rsidP="00905299">
            <w:pPr>
              <w:pStyle w:val="BodyText"/>
            </w:pPr>
            <w:r>
              <w:t xml:space="preserve">The advanced feasibility stage for non-oil/gas projects is based on projects having completed a ‘definitive feasibility study’ or ‘bankable feasibility study’. These studies are not typically conducted in the oil and gas sector, so this stage has been removed from the oil and gas </w:t>
            </w:r>
            <w:r w:rsidR="003E282E">
              <w:t>projects</w:t>
            </w:r>
            <w:r>
              <w:t xml:space="preserve"> </w:t>
            </w:r>
            <w:r w:rsidR="003E282E">
              <w:t>list</w:t>
            </w:r>
            <w:r>
              <w:t>. All projects before the committed stage have a status of publicly</w:t>
            </w:r>
            <w:r w:rsidDel="00595EC0">
              <w:t xml:space="preserve"> </w:t>
            </w:r>
            <w:r>
              <w:t>announced.</w:t>
            </w:r>
          </w:p>
          <w:p w14:paraId="370D9534" w14:textId="555E23DD" w:rsidR="00905299" w:rsidRDefault="00905299" w:rsidP="00905299">
            <w:pPr>
              <w:pStyle w:val="BodyText"/>
            </w:pPr>
            <w:r>
              <w:t xml:space="preserve">While oil and gas projects carry a degree of uncertainty and project progression cannot be confirmed, some of these projects have </w:t>
            </w:r>
            <w:r w:rsidR="00F05ECC">
              <w:t xml:space="preserve">the potential to </w:t>
            </w:r>
            <w:r>
              <w:t>move</w:t>
            </w:r>
            <w:r w:rsidR="00F05ECC">
              <w:t xml:space="preserve"> </w:t>
            </w:r>
            <w:r>
              <w:t>to the committed stage soon. Examples include:</w:t>
            </w:r>
          </w:p>
          <w:p w14:paraId="1F21AC1B" w14:textId="77777777" w:rsidR="00905299" w:rsidRDefault="00905299" w:rsidP="00905299">
            <w:pPr>
              <w:pStyle w:val="BodyText"/>
              <w:numPr>
                <w:ilvl w:val="0"/>
                <w:numId w:val="54"/>
              </w:numPr>
              <w:spacing w:after="60"/>
              <w:ind w:left="714" w:hanging="357"/>
            </w:pPr>
            <w:r>
              <w:t>The Narrabri coal seam gas project in NSW</w:t>
            </w:r>
          </w:p>
          <w:p w14:paraId="69D454D5" w14:textId="77777777" w:rsidR="00905299" w:rsidRDefault="00905299" w:rsidP="00905299">
            <w:pPr>
              <w:pStyle w:val="BodyText"/>
              <w:numPr>
                <w:ilvl w:val="0"/>
                <w:numId w:val="54"/>
              </w:numPr>
              <w:spacing w:after="60"/>
              <w:ind w:left="714" w:hanging="357"/>
            </w:pPr>
            <w:r>
              <w:t>The Outer Harbor LNG import terminal in SA</w:t>
            </w:r>
          </w:p>
          <w:p w14:paraId="249A804E" w14:textId="7A23CC4C" w:rsidR="00905299" w:rsidRPr="00905299" w:rsidRDefault="00905299" w:rsidP="00905299">
            <w:pPr>
              <w:pStyle w:val="BodyText"/>
              <w:numPr>
                <w:ilvl w:val="0"/>
                <w:numId w:val="54"/>
              </w:numPr>
            </w:pPr>
            <w:r>
              <w:t>West Erregulla (Phase 1) in WA</w:t>
            </w:r>
          </w:p>
        </w:tc>
      </w:tr>
    </w:tbl>
    <w:p w14:paraId="0B6284B2" w14:textId="189FBB42" w:rsidR="00F60727" w:rsidRDefault="00F60727" w:rsidP="00F60727">
      <w:pPr>
        <w:pStyle w:val="Heading3"/>
      </w:pPr>
      <w:r>
        <w:t xml:space="preserve">Oil and gas projects </w:t>
      </w:r>
      <w:r w:rsidR="004871AA">
        <w:t>remain</w:t>
      </w:r>
      <w:r>
        <w:t xml:space="preserve"> a </w:t>
      </w:r>
      <w:r w:rsidR="004871AA">
        <w:t>big</w:t>
      </w:r>
      <w:r>
        <w:t xml:space="preserve"> part of Australia’s investment landscape</w:t>
      </w:r>
    </w:p>
    <w:p w14:paraId="5D895437" w14:textId="383D0E25" w:rsidR="00F60727" w:rsidRDefault="00F60727" w:rsidP="00FB2E91">
      <w:pPr>
        <w:pStyle w:val="BodyText"/>
        <w:spacing w:after="60"/>
      </w:pPr>
      <w:r w:rsidRPr="007F2CDA">
        <w:t>There are</w:t>
      </w:r>
      <w:r>
        <w:t xml:space="preserve"> 2</w:t>
      </w:r>
      <w:r w:rsidR="0002635F">
        <w:t>7</w:t>
      </w:r>
      <w:r>
        <w:t xml:space="preserve"> projects in the </w:t>
      </w:r>
      <w:r w:rsidRPr="002D3F07">
        <w:rPr>
          <w:b/>
          <w:bCs/>
        </w:rPr>
        <w:t>oil and gas</w:t>
      </w:r>
      <w:r>
        <w:t xml:space="preserve"> space (excluding infrastructure projects) that have been publicly announced. This </w:t>
      </w:r>
      <w:r w:rsidR="00905299">
        <w:t>is broadly</w:t>
      </w:r>
      <w:r>
        <w:t xml:space="preserve"> equivalent </w:t>
      </w:r>
      <w:r w:rsidR="00905299">
        <w:t>to the</w:t>
      </w:r>
      <w:r>
        <w:t xml:space="preserve"> 29 projects </w:t>
      </w:r>
      <w:r w:rsidR="00041C5E">
        <w:t>in</w:t>
      </w:r>
      <w:r>
        <w:t xml:space="preserve"> the 2022 REMP. Most of these projects are ongoing since the 2022 REMP, however there are four additions including:</w:t>
      </w:r>
    </w:p>
    <w:p w14:paraId="518D31F7" w14:textId="2A460FD8" w:rsidR="003E6DF9" w:rsidRDefault="003E6DF9" w:rsidP="003B7F54">
      <w:pPr>
        <w:pStyle w:val="BodyText"/>
        <w:numPr>
          <w:ilvl w:val="0"/>
          <w:numId w:val="60"/>
        </w:numPr>
        <w:spacing w:after="60"/>
      </w:pPr>
      <w:r>
        <w:rPr>
          <w:rFonts w:eastAsia="Times New Roman"/>
        </w:rPr>
        <w:t>Tubridgi</w:t>
      </w:r>
      <w:r>
        <w:t xml:space="preserve"> Stage 2 — includes drilling production wells and expanding capacity to produce native gas.</w:t>
      </w:r>
    </w:p>
    <w:p w14:paraId="78709A9E" w14:textId="17777C50" w:rsidR="00F60727" w:rsidRDefault="00F60727" w:rsidP="003B7F54">
      <w:pPr>
        <w:pStyle w:val="BodyText"/>
        <w:numPr>
          <w:ilvl w:val="0"/>
          <w:numId w:val="53"/>
        </w:numPr>
        <w:spacing w:after="60"/>
        <w:ind w:left="714" w:hanging="357"/>
      </w:pPr>
      <w:r>
        <w:t xml:space="preserve">Northern Territory LNG </w:t>
      </w:r>
      <w:r w:rsidR="005D2520">
        <w:t>—</w:t>
      </w:r>
      <w:r>
        <w:t xml:space="preserve"> includes the construction of a 6.6 million tonne per annum (MTPA) LNG facility which includes </w:t>
      </w:r>
      <w:r w:rsidR="00EB16D7">
        <w:t>three</w:t>
      </w:r>
      <w:r>
        <w:t xml:space="preserve"> 2.2 MTPA trains.</w:t>
      </w:r>
    </w:p>
    <w:p w14:paraId="009050A9" w14:textId="79A084BF" w:rsidR="00F60727" w:rsidRDefault="00F60727" w:rsidP="003B7F54">
      <w:pPr>
        <w:pStyle w:val="BodyText"/>
        <w:numPr>
          <w:ilvl w:val="0"/>
          <w:numId w:val="53"/>
        </w:numPr>
        <w:spacing w:after="60"/>
        <w:ind w:left="714" w:hanging="357"/>
      </w:pPr>
      <w:r>
        <w:t xml:space="preserve">Ichthys expansion (Train 3) </w:t>
      </w:r>
      <w:r w:rsidR="005D2520">
        <w:t>—</w:t>
      </w:r>
      <w:r>
        <w:t xml:space="preserve"> includes building a third LNG train by 2030.</w:t>
      </w:r>
    </w:p>
    <w:p w14:paraId="3B731333" w14:textId="1E117D30" w:rsidR="00F60727" w:rsidRDefault="00F60727" w:rsidP="00F60727">
      <w:pPr>
        <w:pStyle w:val="BodyText"/>
        <w:numPr>
          <w:ilvl w:val="0"/>
          <w:numId w:val="53"/>
        </w:numPr>
      </w:pPr>
      <w:r>
        <w:t xml:space="preserve">Atlas (Stage 3) </w:t>
      </w:r>
      <w:r w:rsidR="005D2520">
        <w:t>—</w:t>
      </w:r>
      <w:r>
        <w:t xml:space="preserve"> includes the construction, decommissioning and rehabilitation of coal seam gas wells.</w:t>
      </w:r>
    </w:p>
    <w:p w14:paraId="4AFAEBC9" w14:textId="0668DA6B" w:rsidR="00F60727" w:rsidDel="007C6EEC" w:rsidRDefault="00F60727" w:rsidP="00F60727">
      <w:pPr>
        <w:pStyle w:val="BodyText"/>
      </w:pPr>
      <w:r>
        <w:t>There are 7 oil and gas related infrastructure projects in the publicly announced phase, with all of these being new pipelines or expansions to existing pipelines to facilitate the movement of gas. This compares to 11</w:t>
      </w:r>
      <w:r w:rsidR="00B432E2">
        <w:t> </w:t>
      </w:r>
      <w:r>
        <w:t xml:space="preserve">projects in the 2022 REMP. </w:t>
      </w:r>
    </w:p>
    <w:p w14:paraId="4C0DC227" w14:textId="1FFC6033" w:rsidR="00F60727" w:rsidRDefault="00A41B2F" w:rsidP="00433D85">
      <w:pPr>
        <w:pStyle w:val="Heading3"/>
      </w:pPr>
      <w:r>
        <w:t>Robust early</w:t>
      </w:r>
      <w:r w:rsidR="004871AA">
        <w:t>-</w:t>
      </w:r>
      <w:r>
        <w:t>stage activity in smaller commodities</w:t>
      </w:r>
    </w:p>
    <w:p w14:paraId="3AC0D58E" w14:textId="18E02BEE" w:rsidR="00BC5FE1" w:rsidRDefault="00EF1070" w:rsidP="00617E31">
      <w:pPr>
        <w:pStyle w:val="BodyText"/>
      </w:pPr>
      <w:r>
        <w:t xml:space="preserve">There are 18 </w:t>
      </w:r>
      <w:r w:rsidRPr="002D3F07">
        <w:rPr>
          <w:b/>
          <w:bCs/>
        </w:rPr>
        <w:t>copper</w:t>
      </w:r>
      <w:r>
        <w:t xml:space="preserve"> projects which have </w:t>
      </w:r>
      <w:r w:rsidR="001D378B">
        <w:t>yet to be committed to</w:t>
      </w:r>
      <w:r>
        <w:t xml:space="preserve">, including 6 which have published a definitive or bankable feasibility study. </w:t>
      </w:r>
      <w:r w:rsidR="00BC5FE1">
        <w:t xml:space="preserve">One notable project that progressed </w:t>
      </w:r>
      <w:r w:rsidR="003007A6">
        <w:t xml:space="preserve">this </w:t>
      </w:r>
      <w:r w:rsidR="00BC5FE1">
        <w:t>year was Rex Minerals’ Hillside project</w:t>
      </w:r>
      <w:r w:rsidR="003007A6">
        <w:t xml:space="preserve"> in South Australia</w:t>
      </w:r>
      <w:r w:rsidR="00BC5FE1">
        <w:t xml:space="preserve">, which completed optimised feasibility and engineering studies in December 2022. The project is </w:t>
      </w:r>
      <w:r w:rsidR="00E06989">
        <w:t>expected</w:t>
      </w:r>
      <w:r w:rsidR="00BC5FE1">
        <w:t xml:space="preserve"> to produce 42,000</w:t>
      </w:r>
      <w:r w:rsidR="002D3F07">
        <w:t> </w:t>
      </w:r>
      <w:r w:rsidR="00BC5FE1">
        <w:t xml:space="preserve">tonnes of copper and 30,000 ounces of gold annually, following capital investment of $854 million. </w:t>
      </w:r>
    </w:p>
    <w:p w14:paraId="47540141" w14:textId="1AC7302E" w:rsidR="006833FE" w:rsidRDefault="006833FE" w:rsidP="00617E31">
      <w:pPr>
        <w:pStyle w:val="BodyText"/>
      </w:pPr>
      <w:r>
        <w:t>There were several new additions to the list of</w:t>
      </w:r>
      <w:r w:rsidR="00BC5FE1">
        <w:t xml:space="preserve"> copper</w:t>
      </w:r>
      <w:r>
        <w:t xml:space="preserve"> projects at the publicly announced or </w:t>
      </w:r>
      <w:r w:rsidR="001D378B">
        <w:t>advanced</w:t>
      </w:r>
      <w:r>
        <w:t xml:space="preserve"> feasibility stage this year. </w:t>
      </w:r>
      <w:r w:rsidR="00544872">
        <w:t>In June 2023, Evolution Mining released a pre-feasibility study</w:t>
      </w:r>
      <w:r w:rsidR="00862674">
        <w:t xml:space="preserve"> and commenced feasibility work</w:t>
      </w:r>
      <w:r w:rsidR="00544872">
        <w:t xml:space="preserve"> to extend the mine life of the Ernest Henry copper-gold mine. </w:t>
      </w:r>
      <w:r w:rsidR="008C2B1D">
        <w:t>For a capital investment of $475 million, t</w:t>
      </w:r>
      <w:r w:rsidR="00544872">
        <w:t xml:space="preserve">his extension would allow the Ernest Henry mine to operate for an additional 17 years to 2040. </w:t>
      </w:r>
      <w:r w:rsidR="008C2B1D">
        <w:t xml:space="preserve">In March 2023, </w:t>
      </w:r>
      <w:r w:rsidR="006975CC">
        <w:t>Coda Minerals released a s</w:t>
      </w:r>
      <w:r w:rsidR="00862674">
        <w:t>coping stud</w:t>
      </w:r>
      <w:r w:rsidR="006975CC">
        <w:t>y</w:t>
      </w:r>
      <w:r w:rsidR="00862674">
        <w:t xml:space="preserve"> for </w:t>
      </w:r>
      <w:r w:rsidR="006975CC">
        <w:t xml:space="preserve">the </w:t>
      </w:r>
      <w:r w:rsidR="00862674">
        <w:t>Elizabeth Creek project, which comprise</w:t>
      </w:r>
      <w:r w:rsidR="003007A6">
        <w:t xml:space="preserve">s an initial </w:t>
      </w:r>
      <w:r w:rsidR="00862674">
        <w:t xml:space="preserve">phase </w:t>
      </w:r>
      <w:r w:rsidR="006975CC">
        <w:t xml:space="preserve">($277 million) </w:t>
      </w:r>
      <w:r w:rsidR="00862674">
        <w:t>to produce copper</w:t>
      </w:r>
      <w:r w:rsidR="006975CC">
        <w:t>-cobalt</w:t>
      </w:r>
      <w:r w:rsidR="00862674">
        <w:t xml:space="preserve"> concentrate and a </w:t>
      </w:r>
      <w:r w:rsidR="003007A6">
        <w:t xml:space="preserve">subsequent </w:t>
      </w:r>
      <w:r w:rsidR="00862674">
        <w:t xml:space="preserve">phase </w:t>
      </w:r>
      <w:r w:rsidR="006975CC">
        <w:t xml:space="preserve">($320 million) </w:t>
      </w:r>
      <w:r w:rsidR="00862674">
        <w:t>to construct a hydrometallurgical plant to produce copper cathode</w:t>
      </w:r>
      <w:r w:rsidR="006975CC">
        <w:t xml:space="preserve"> and battery-grade cobalt sulphate</w:t>
      </w:r>
      <w:r w:rsidR="00862674">
        <w:t>.</w:t>
      </w:r>
    </w:p>
    <w:p w14:paraId="2B54D2F0" w14:textId="5DD5EB38" w:rsidR="00BA7639" w:rsidRDefault="00BA7639" w:rsidP="00BA7639">
      <w:pPr>
        <w:pStyle w:val="BodyText"/>
      </w:pPr>
      <w:r w:rsidRPr="007136E1">
        <w:t>There are</w:t>
      </w:r>
      <w:r>
        <w:t xml:space="preserve"> </w:t>
      </w:r>
      <w:r w:rsidR="00EF1070">
        <w:t>1</w:t>
      </w:r>
      <w:r w:rsidR="00632CAD">
        <w:t>5</w:t>
      </w:r>
      <w:r>
        <w:t xml:space="preserve"> </w:t>
      </w:r>
      <w:r w:rsidRPr="002D3F07">
        <w:rPr>
          <w:b/>
          <w:bCs/>
        </w:rPr>
        <w:t>gold</w:t>
      </w:r>
      <w:r w:rsidRPr="007136E1">
        <w:t xml:space="preserve"> projects </w:t>
      </w:r>
      <w:r w:rsidR="00EF1070">
        <w:t xml:space="preserve">which have yet to </w:t>
      </w:r>
      <w:r w:rsidR="005A1B6A">
        <w:t xml:space="preserve">reach the </w:t>
      </w:r>
      <w:r w:rsidR="001D378B">
        <w:t xml:space="preserve">committed </w:t>
      </w:r>
      <w:r w:rsidR="005A1B6A">
        <w:t>stage</w:t>
      </w:r>
      <w:r w:rsidR="00EF1070">
        <w:t>, including 4 which have published a</w:t>
      </w:r>
      <w:r w:rsidR="001D378B">
        <w:t xml:space="preserve">n advanced </w:t>
      </w:r>
      <w:r w:rsidR="00EF1070">
        <w:t xml:space="preserve">feasibility study. </w:t>
      </w:r>
      <w:r w:rsidRPr="00BD6FD5">
        <w:t>A</w:t>
      </w:r>
      <w:r w:rsidR="009D434A">
        <w:t xml:space="preserve">n </w:t>
      </w:r>
      <w:r w:rsidRPr="00BD6FD5">
        <w:t xml:space="preserve">addition to the </w:t>
      </w:r>
      <w:r w:rsidR="00BD6FD5" w:rsidRPr="00FE3575">
        <w:t>publicly announced</w:t>
      </w:r>
      <w:r w:rsidR="00FE3575">
        <w:t xml:space="preserve"> </w:t>
      </w:r>
      <w:r w:rsidRPr="00BD6FD5">
        <w:t xml:space="preserve">stage </w:t>
      </w:r>
      <w:r w:rsidR="00BD6FD5">
        <w:t xml:space="preserve">this year </w:t>
      </w:r>
      <w:r w:rsidR="009D434A">
        <w:t>is the</w:t>
      </w:r>
      <w:r w:rsidR="00BD6FD5">
        <w:t xml:space="preserve"> Capricorn Metals’ Mt Gibson</w:t>
      </w:r>
      <w:r>
        <w:t xml:space="preserve"> Gold Project, which confirmed a maiden probable ore reserve of 1.</w:t>
      </w:r>
      <w:r w:rsidR="00BD6FD5">
        <w:t>45</w:t>
      </w:r>
      <w:r w:rsidR="002D3F07">
        <w:t> </w:t>
      </w:r>
      <w:r>
        <w:t xml:space="preserve">million ounces </w:t>
      </w:r>
      <w:r w:rsidR="00BD6FD5">
        <w:t xml:space="preserve">and proposed annual gold production of 152,000 ounces </w:t>
      </w:r>
      <w:r>
        <w:t xml:space="preserve">in </w:t>
      </w:r>
      <w:r w:rsidR="00BD6FD5">
        <w:t>a pre-feasibility study released in April 2023.</w:t>
      </w:r>
      <w:r w:rsidRPr="00887471">
        <w:t xml:space="preserve"> </w:t>
      </w:r>
      <w:r w:rsidR="00BD6FD5">
        <w:t>Castile Resources</w:t>
      </w:r>
      <w:r w:rsidR="006833FE">
        <w:t xml:space="preserve"> is working towards the release of a bankable feasibility study in 2024 for their $280 million Rover 1 project, following a pre-feasibility study release in December 2022. </w:t>
      </w:r>
      <w:r w:rsidR="00BD6FD5">
        <w:t>De Grey Mining released a definitive feasibility study for their $1.3 billion Hemi Gold Project in September 2023, with the study confirming the project could become one of Australia’s 5 largest gold mines in terms of production capacity</w:t>
      </w:r>
      <w:r w:rsidR="00BD6FD5" w:rsidRPr="00BD6FD5">
        <w:t xml:space="preserve">. </w:t>
      </w:r>
      <w:r w:rsidRPr="001759C8">
        <w:t>A definitive feasibility study i</w:t>
      </w:r>
      <w:r w:rsidR="001759C8" w:rsidRPr="001759C8">
        <w:t>s</w:t>
      </w:r>
      <w:r w:rsidRPr="001759C8">
        <w:t xml:space="preserve"> </w:t>
      </w:r>
      <w:r w:rsidR="001759C8" w:rsidRPr="001759C8">
        <w:t>now</w:t>
      </w:r>
      <w:r w:rsidRPr="001759C8">
        <w:t xml:space="preserve"> expected for </w:t>
      </w:r>
      <w:r w:rsidR="001759C8" w:rsidRPr="001759C8">
        <w:t>Newmont</w:t>
      </w:r>
      <w:r w:rsidRPr="001759C8">
        <w:t xml:space="preserve"> and Greatland Gold’s $529 million Havieron gold project in WA in </w:t>
      </w:r>
      <w:r w:rsidR="00887471">
        <w:t xml:space="preserve">H2 </w:t>
      </w:r>
      <w:r w:rsidRPr="001759C8">
        <w:t>202</w:t>
      </w:r>
      <w:r w:rsidR="00887471">
        <w:t>4</w:t>
      </w:r>
      <w:r w:rsidRPr="001759C8">
        <w:t>.</w:t>
      </w:r>
    </w:p>
    <w:p w14:paraId="702D0B24" w14:textId="507C3B0A" w:rsidR="00BA7639" w:rsidRPr="007136E1" w:rsidRDefault="00BA7639" w:rsidP="00BA7639">
      <w:pPr>
        <w:pStyle w:val="BodyText"/>
        <w:sectPr w:rsidR="00BA7639" w:rsidRPr="007136E1" w:rsidSect="00443FC0">
          <w:headerReference w:type="even" r:id="rId61"/>
          <w:headerReference w:type="default" r:id="rId62"/>
          <w:footerReference w:type="even" r:id="rId63"/>
          <w:footerReference w:type="default" r:id="rId64"/>
          <w:headerReference w:type="first" r:id="rId65"/>
          <w:footerReference w:type="first" r:id="rId66"/>
          <w:pgSz w:w="16838" w:h="11906" w:orient="landscape" w:code="9"/>
          <w:pgMar w:top="992" w:right="1440" w:bottom="1440" w:left="1440" w:header="709" w:footer="709" w:gutter="0"/>
          <w:cols w:num="2" w:space="708"/>
          <w:docGrid w:linePitch="360"/>
        </w:sectPr>
      </w:pPr>
    </w:p>
    <w:p w14:paraId="1F41802A" w14:textId="77777777" w:rsidR="00BA7639" w:rsidRPr="007136E1" w:rsidRDefault="00BA7639" w:rsidP="00BA7639">
      <w:pPr>
        <w:pStyle w:val="Heading1"/>
        <w:ind w:left="426" w:hanging="426"/>
      </w:pPr>
      <w:bookmarkStart w:id="82" w:name="_Toc120285894"/>
      <w:bookmarkStart w:id="83" w:name="_Toc120287125"/>
      <w:bookmarkStart w:id="84" w:name="_Toc120541231"/>
      <w:bookmarkStart w:id="85" w:name="_Toc120628915"/>
      <w:bookmarkStart w:id="86" w:name="_Toc120629524"/>
      <w:bookmarkStart w:id="87" w:name="_Toc120630047"/>
      <w:bookmarkStart w:id="88" w:name="_Toc120632570"/>
      <w:bookmarkStart w:id="89" w:name="_Toc152865205"/>
      <w:r w:rsidRPr="007136E1">
        <w:t>Exploration</w:t>
      </w:r>
      <w:bookmarkEnd w:id="82"/>
      <w:bookmarkEnd w:id="83"/>
      <w:bookmarkEnd w:id="84"/>
      <w:bookmarkEnd w:id="85"/>
      <w:bookmarkEnd w:id="86"/>
      <w:bookmarkEnd w:id="87"/>
      <w:bookmarkEnd w:id="88"/>
      <w:bookmarkEnd w:id="89"/>
    </w:p>
    <w:p w14:paraId="28CD82AD" w14:textId="3AE42553" w:rsidR="00BA7639" w:rsidRPr="0002543E" w:rsidRDefault="00BA7639" w:rsidP="00BA7639">
      <w:pPr>
        <w:pStyle w:val="Heading3"/>
      </w:pPr>
      <w:r w:rsidRPr="0002543E">
        <w:t xml:space="preserve">Exploration expenditure </w:t>
      </w:r>
      <w:r w:rsidR="00E55C88">
        <w:t>remained stable in</w:t>
      </w:r>
      <w:r w:rsidRPr="0002543E">
        <w:t xml:space="preserve"> 202</w:t>
      </w:r>
      <w:r w:rsidR="0002543E" w:rsidRPr="0002543E">
        <w:t>2</w:t>
      </w:r>
      <w:r w:rsidRPr="0002543E">
        <w:t>–2</w:t>
      </w:r>
      <w:r w:rsidR="0002543E" w:rsidRPr="0002543E">
        <w:t>3</w:t>
      </w:r>
    </w:p>
    <w:p w14:paraId="6F1AFD63" w14:textId="7917D527" w:rsidR="00BA7639" w:rsidRPr="0002543E" w:rsidRDefault="00BA7639" w:rsidP="00BA7639">
      <w:pPr>
        <w:pStyle w:val="BodyText"/>
      </w:pPr>
      <w:r w:rsidRPr="0002543E">
        <w:t xml:space="preserve">Australian exploration expenditure </w:t>
      </w:r>
      <w:r w:rsidR="00FD63DA">
        <w:t>was</w:t>
      </w:r>
      <w:r w:rsidR="0027020E">
        <w:t xml:space="preserve"> largely stable over 2022-23, </w:t>
      </w:r>
      <w:r w:rsidRPr="0002543E">
        <w:t>increas</w:t>
      </w:r>
      <w:r w:rsidR="0027020E">
        <w:t>ing</w:t>
      </w:r>
      <w:r w:rsidRPr="0002543E">
        <w:t xml:space="preserve"> by </w:t>
      </w:r>
      <w:r w:rsidR="0027020E">
        <w:t>0.1</w:t>
      </w:r>
      <w:r w:rsidRPr="0002543E">
        <w:t xml:space="preserve">% </w:t>
      </w:r>
      <w:r w:rsidR="0027020E">
        <w:t xml:space="preserve">compared to </w:t>
      </w:r>
      <w:r w:rsidRPr="0002543E">
        <w:t>202</w:t>
      </w:r>
      <w:r w:rsidR="0027020E">
        <w:t>1</w:t>
      </w:r>
      <w:r w:rsidRPr="0002543E">
        <w:t>–2</w:t>
      </w:r>
      <w:r w:rsidR="0027020E">
        <w:t>2</w:t>
      </w:r>
      <w:r w:rsidRPr="0002543E">
        <w:t xml:space="preserve"> (Figure </w:t>
      </w:r>
      <w:r w:rsidR="0002543E">
        <w:t>6</w:t>
      </w:r>
      <w:r w:rsidRPr="0002543E">
        <w:t xml:space="preserve">.1). </w:t>
      </w:r>
      <w:r w:rsidR="00D27908">
        <w:t xml:space="preserve">A fall in petroleum exploration expenditure offset </w:t>
      </w:r>
      <w:r w:rsidR="001121C0">
        <w:t xml:space="preserve">an </w:t>
      </w:r>
      <w:r w:rsidR="00D27908">
        <w:t>increase in expenditure for other commodities.</w:t>
      </w:r>
      <w:r w:rsidRPr="0002543E">
        <w:t xml:space="preserve"> </w:t>
      </w:r>
      <w:r w:rsidR="00C523CF">
        <w:t xml:space="preserve">Petroleum exploration expenditure fell by 21% to $0.9 billion. </w:t>
      </w:r>
      <w:r w:rsidR="00D27908">
        <w:t>N</w:t>
      </w:r>
      <w:r w:rsidRPr="0002543E">
        <w:t xml:space="preserve">on-energy mineral exploration </w:t>
      </w:r>
      <w:r w:rsidR="00D27908">
        <w:t xml:space="preserve">expenditure </w:t>
      </w:r>
      <w:r w:rsidRPr="0002543E">
        <w:t xml:space="preserve">increased by </w:t>
      </w:r>
      <w:r w:rsidR="00D27908">
        <w:t>4.7</w:t>
      </w:r>
      <w:r w:rsidRPr="0002543E">
        <w:t>% to $</w:t>
      </w:r>
      <w:r w:rsidR="00D27908">
        <w:t>3</w:t>
      </w:r>
      <w:r w:rsidRPr="0002543E">
        <w:t>.</w:t>
      </w:r>
      <w:r w:rsidR="00D27908">
        <w:t>8</w:t>
      </w:r>
      <w:r w:rsidR="00B432E2">
        <w:t> </w:t>
      </w:r>
      <w:r w:rsidRPr="0002543E">
        <w:t>billion</w:t>
      </w:r>
      <w:r w:rsidR="00D27908">
        <w:t>, while e</w:t>
      </w:r>
      <w:r w:rsidR="0002543E">
        <w:t xml:space="preserve">nergy </w:t>
      </w:r>
      <w:r w:rsidR="00A747B0">
        <w:t xml:space="preserve">mineral </w:t>
      </w:r>
      <w:r w:rsidR="00D27908">
        <w:t>exploration expenditure rose by</w:t>
      </w:r>
      <w:r w:rsidR="0002543E">
        <w:t xml:space="preserve"> </w:t>
      </w:r>
      <w:r w:rsidR="00D27908">
        <w:t>32</w:t>
      </w:r>
      <w:r w:rsidR="0002543E">
        <w:t xml:space="preserve">% to </w:t>
      </w:r>
      <w:r w:rsidR="00D27908">
        <w:t>$0</w:t>
      </w:r>
      <w:r w:rsidR="0002543E">
        <w:t>.</w:t>
      </w:r>
      <w:r w:rsidR="00D27908">
        <w:t>3</w:t>
      </w:r>
      <w:r w:rsidR="0002543E">
        <w:t xml:space="preserve"> billion</w:t>
      </w:r>
      <w:r w:rsidR="00D27908">
        <w:t xml:space="preserve">. </w:t>
      </w:r>
    </w:p>
    <w:p w14:paraId="00BFD407" w14:textId="77777777" w:rsidR="00BA7639" w:rsidRPr="0002543E" w:rsidRDefault="00BA7639" w:rsidP="00BA7639">
      <w:pPr>
        <w:pStyle w:val="Heading3"/>
        <w:rPr>
          <w:rFonts w:cstheme="majorHAnsi"/>
        </w:rPr>
      </w:pPr>
      <w:r w:rsidRPr="0002543E">
        <w:t>Gold continues to draw the largest interest in mineral exploration</w:t>
      </w:r>
    </w:p>
    <w:p w14:paraId="5A35B5EE" w14:textId="5ABDEA0D" w:rsidR="00BA7639" w:rsidRDefault="00BA7639" w:rsidP="00BA7639">
      <w:pPr>
        <w:pStyle w:val="BodyText"/>
      </w:pPr>
      <w:r w:rsidRPr="0002543E">
        <w:t xml:space="preserve">For the last </w:t>
      </w:r>
      <w:r w:rsidR="0002543E" w:rsidRPr="0002543E">
        <w:t>eight</w:t>
      </w:r>
      <w:r w:rsidRPr="0002543E">
        <w:t xml:space="preserve"> years, gold has attracted the most mineral exploration expenditure, overtaking iron ore in 2015–16. In 202</w:t>
      </w:r>
      <w:r w:rsidR="0002543E" w:rsidRPr="0002543E">
        <w:t>2</w:t>
      </w:r>
      <w:r w:rsidRPr="0002543E">
        <w:t>–2</w:t>
      </w:r>
      <w:r w:rsidR="0002543E" w:rsidRPr="0002543E">
        <w:t>3</w:t>
      </w:r>
      <w:r w:rsidRPr="0002543E">
        <w:t xml:space="preserve">, gold </w:t>
      </w:r>
      <w:r w:rsidR="00151A87">
        <w:t xml:space="preserve">exploration </w:t>
      </w:r>
      <w:r w:rsidRPr="0002543E">
        <w:t xml:space="preserve">expenditure </w:t>
      </w:r>
      <w:r w:rsidR="00AF3801">
        <w:t>fell</w:t>
      </w:r>
      <w:r w:rsidRPr="0002543E">
        <w:t xml:space="preserve"> by </w:t>
      </w:r>
      <w:r w:rsidR="00895850">
        <w:t>17</w:t>
      </w:r>
      <w:r w:rsidRPr="0002543E">
        <w:t>% to $</w:t>
      </w:r>
      <w:r w:rsidR="00895850">
        <w:t>1</w:t>
      </w:r>
      <w:r w:rsidRPr="0002543E">
        <w:t>.</w:t>
      </w:r>
      <w:r w:rsidR="00895850">
        <w:t>3</w:t>
      </w:r>
      <w:r w:rsidRPr="0002543E">
        <w:t xml:space="preserve"> billion, </w:t>
      </w:r>
      <w:r w:rsidR="00895850">
        <w:t xml:space="preserve">but still accounted for </w:t>
      </w:r>
      <w:r w:rsidR="00AF3801">
        <w:t>27</w:t>
      </w:r>
      <w:r w:rsidRPr="0002543E">
        <w:t>% of Australia</w:t>
      </w:r>
      <w:r w:rsidR="00AF3801">
        <w:t xml:space="preserve"> </w:t>
      </w:r>
      <w:r w:rsidRPr="0002543E">
        <w:t xml:space="preserve">exploration expenditure (Figure </w:t>
      </w:r>
      <w:r w:rsidR="00CD1177">
        <w:t>6</w:t>
      </w:r>
      <w:r w:rsidRPr="0002543E">
        <w:t>.2).</w:t>
      </w:r>
    </w:p>
    <w:p w14:paraId="47885F67" w14:textId="0A6708FD" w:rsidR="0002543E" w:rsidRPr="0002543E" w:rsidRDefault="002429D6" w:rsidP="00BA7639">
      <w:pPr>
        <w:pStyle w:val="BodyText"/>
        <w:rPr>
          <w:noProof/>
          <w:highlight w:val="yellow"/>
          <w:lang w:eastAsia="en-AU"/>
        </w:rPr>
      </w:pPr>
      <w:r>
        <w:t>Growth in exploration expenditure for iron ore, base metals and other minerals remained robust, following strong growth in 2021</w:t>
      </w:r>
      <w:r w:rsidR="00D26485" w:rsidRPr="00895850">
        <w:t>–</w:t>
      </w:r>
      <w:r>
        <w:t xml:space="preserve">22. </w:t>
      </w:r>
      <w:r w:rsidR="0002543E" w:rsidRPr="00895850">
        <w:t xml:space="preserve">Iron ore </w:t>
      </w:r>
      <w:r w:rsidR="00895850" w:rsidRPr="00895850">
        <w:t xml:space="preserve">exploration </w:t>
      </w:r>
      <w:r w:rsidR="0002543E" w:rsidRPr="00895850">
        <w:t xml:space="preserve">expenditure </w:t>
      </w:r>
      <w:r>
        <w:t>rose</w:t>
      </w:r>
      <w:r w:rsidR="0002543E" w:rsidRPr="00895850">
        <w:t xml:space="preserve"> </w:t>
      </w:r>
      <w:r w:rsidR="00D26485">
        <w:t xml:space="preserve">by </w:t>
      </w:r>
      <w:r w:rsidR="00895850" w:rsidRPr="00895850">
        <w:t>8.7</w:t>
      </w:r>
      <w:r w:rsidR="0002543E" w:rsidRPr="00895850">
        <w:t>% to $</w:t>
      </w:r>
      <w:r w:rsidR="00895850" w:rsidRPr="00895850">
        <w:t>702</w:t>
      </w:r>
      <w:r w:rsidR="0002543E" w:rsidRPr="00895850">
        <w:t xml:space="preserve"> million in 202</w:t>
      </w:r>
      <w:r w:rsidR="00895850" w:rsidRPr="00895850">
        <w:t>2</w:t>
      </w:r>
      <w:r w:rsidR="0002543E" w:rsidRPr="00895850">
        <w:t>–2</w:t>
      </w:r>
      <w:r w:rsidR="00895850" w:rsidRPr="00895850">
        <w:t>3</w:t>
      </w:r>
      <w:r>
        <w:t xml:space="preserve"> </w:t>
      </w:r>
      <w:r w:rsidRPr="002429D6">
        <w:t>but remain</w:t>
      </w:r>
      <w:r w:rsidR="00D26485">
        <w:t>ed</w:t>
      </w:r>
      <w:r w:rsidR="000A4CAD">
        <w:t xml:space="preserve"> below the</w:t>
      </w:r>
      <w:r w:rsidR="0002543E" w:rsidRPr="002429D6">
        <w:t xml:space="preserve"> peak of $1.2 billion attained in 2011–12</w:t>
      </w:r>
      <w:r w:rsidRPr="002429D6">
        <w:t xml:space="preserve">. </w:t>
      </w:r>
      <w:r w:rsidR="0002543E" w:rsidRPr="002429D6">
        <w:t xml:space="preserve">Base metals exploration expenditure increased by </w:t>
      </w:r>
      <w:r>
        <w:t>11</w:t>
      </w:r>
      <w:r w:rsidR="0002543E" w:rsidRPr="002429D6">
        <w:t>% to $</w:t>
      </w:r>
      <w:r>
        <w:t>1.1 billion</w:t>
      </w:r>
      <w:r w:rsidR="0002543E" w:rsidRPr="002429D6">
        <w:t xml:space="preserve"> in 202</w:t>
      </w:r>
      <w:r>
        <w:t>2</w:t>
      </w:r>
      <w:r w:rsidR="0002543E" w:rsidRPr="002429D6">
        <w:t>–2</w:t>
      </w:r>
      <w:r>
        <w:t>3</w:t>
      </w:r>
      <w:r w:rsidR="0002543E" w:rsidRPr="002429D6">
        <w:t xml:space="preserve">. </w:t>
      </w:r>
      <w:r w:rsidR="00AF3801" w:rsidRPr="002429D6">
        <w:t>Exploration of other minerals</w:t>
      </w:r>
      <w:r w:rsidR="00AF3801" w:rsidRPr="00AF3801">
        <w:t>, including lithium</w:t>
      </w:r>
      <w:r>
        <w:t>, mineral sands and uranium</w:t>
      </w:r>
      <w:r w:rsidR="00AF3801" w:rsidRPr="00AF3801">
        <w:t xml:space="preserve">, rose </w:t>
      </w:r>
      <w:r>
        <w:t>by 66% to $739 million in 2022</w:t>
      </w:r>
      <w:r w:rsidR="00D26485" w:rsidRPr="00895850">
        <w:t>–</w:t>
      </w:r>
      <w:r>
        <w:t>23</w:t>
      </w:r>
      <w:r w:rsidR="00AF3801" w:rsidRPr="00AF3801">
        <w:t xml:space="preserve">. </w:t>
      </w:r>
      <w:r>
        <w:t>Coal exploration</w:t>
      </w:r>
      <w:r w:rsidR="00465FF5">
        <w:t xml:space="preserve"> expenditure</w:t>
      </w:r>
      <w:r>
        <w:t xml:space="preserve"> rebounded from </w:t>
      </w:r>
      <w:r w:rsidR="00465FF5">
        <w:t xml:space="preserve">2 </w:t>
      </w:r>
      <w:r>
        <w:t xml:space="preserve">years of </w:t>
      </w:r>
      <w:r w:rsidR="000A4CAD">
        <w:t>decline</w:t>
      </w:r>
      <w:r>
        <w:t xml:space="preserve">, rising </w:t>
      </w:r>
      <w:r w:rsidR="00D26485">
        <w:t xml:space="preserve">by </w:t>
      </w:r>
      <w:r>
        <w:t>24% in 2022</w:t>
      </w:r>
      <w:r w:rsidR="00D26485" w:rsidRPr="00895850">
        <w:t>–</w:t>
      </w:r>
      <w:r>
        <w:t>23</w:t>
      </w:r>
      <w:r w:rsidR="00465FF5">
        <w:t>.</w:t>
      </w:r>
    </w:p>
    <w:p w14:paraId="38C86DD2" w14:textId="70BF3F73" w:rsidR="00BA7639" w:rsidRPr="008C6208" w:rsidRDefault="00BA7639" w:rsidP="00BA7639">
      <w:pPr>
        <w:pStyle w:val="Caption"/>
        <w:spacing w:before="240" w:after="0"/>
        <w:contextualSpacing/>
      </w:pPr>
      <w:r w:rsidRPr="008C6208">
        <w:t xml:space="preserve">Figure </w:t>
      </w:r>
      <w:r w:rsidRPr="008C6208">
        <w:rPr>
          <w:noProof/>
        </w:rPr>
        <w:fldChar w:fldCharType="begin"/>
      </w:r>
      <w:r w:rsidRPr="008C6208">
        <w:rPr>
          <w:noProof/>
        </w:rPr>
        <w:instrText xml:space="preserve"> STYLEREF 1 \s </w:instrText>
      </w:r>
      <w:r w:rsidRPr="008C6208">
        <w:rPr>
          <w:noProof/>
        </w:rPr>
        <w:fldChar w:fldCharType="separate"/>
      </w:r>
      <w:r w:rsidR="006D6E1F">
        <w:rPr>
          <w:noProof/>
        </w:rPr>
        <w:t>6</w:t>
      </w:r>
      <w:r w:rsidRPr="008C6208">
        <w:rPr>
          <w:noProof/>
        </w:rPr>
        <w:fldChar w:fldCharType="end"/>
      </w:r>
      <w:r w:rsidRPr="008C6208">
        <w:t>.</w:t>
      </w:r>
      <w:r w:rsidRPr="008C6208">
        <w:rPr>
          <w:noProof/>
        </w:rPr>
        <w:fldChar w:fldCharType="begin"/>
      </w:r>
      <w:r w:rsidRPr="008C6208">
        <w:rPr>
          <w:noProof/>
        </w:rPr>
        <w:instrText xml:space="preserve"> SEQ Figure \* ARABIC \s 1 </w:instrText>
      </w:r>
      <w:r w:rsidRPr="008C6208">
        <w:rPr>
          <w:noProof/>
        </w:rPr>
        <w:fldChar w:fldCharType="separate"/>
      </w:r>
      <w:r w:rsidR="006D6E1F">
        <w:rPr>
          <w:noProof/>
        </w:rPr>
        <w:t>1</w:t>
      </w:r>
      <w:r w:rsidRPr="008C6208">
        <w:rPr>
          <w:noProof/>
        </w:rPr>
        <w:fldChar w:fldCharType="end"/>
      </w:r>
      <w:r w:rsidRPr="008C6208">
        <w:t xml:space="preserve">: Mineral and </w:t>
      </w:r>
      <w:r w:rsidR="00A747B0">
        <w:t xml:space="preserve">petroleum </w:t>
      </w:r>
      <w:r w:rsidRPr="008C6208">
        <w:t>exploration expenditure</w:t>
      </w:r>
    </w:p>
    <w:p w14:paraId="7C29DDCA" w14:textId="57763017" w:rsidR="00BA7639" w:rsidRPr="008C6208" w:rsidRDefault="0027020E" w:rsidP="00BA7639">
      <w:pPr>
        <w:pStyle w:val="Source"/>
        <w:spacing w:after="120"/>
      </w:pPr>
      <w:r>
        <w:rPr>
          <w:noProof/>
        </w:rPr>
        <w:drawing>
          <wp:inline distT="0" distB="0" distL="0" distR="0" wp14:anchorId="04E7AD3A" wp14:editId="25AAF894">
            <wp:extent cx="4206875" cy="2463800"/>
            <wp:effectExtent l="0" t="0" r="3175" b="0"/>
            <wp:docPr id="6" name="Chart 6" descr="This graph shows mineral and energy exploration expenditure over fiscal years 2012-2013 to 2022-20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BA7639" w:rsidRPr="008C6208">
        <w:t>Source: ABS (202</w:t>
      </w:r>
      <w:r>
        <w:t>3</w:t>
      </w:r>
      <w:r w:rsidR="00BA7639" w:rsidRPr="008C6208">
        <w:t>) Mineral and Petroleum Exploration, Australia, 8412.0</w:t>
      </w:r>
    </w:p>
    <w:p w14:paraId="6D2E79AD" w14:textId="29BDFEF7" w:rsidR="00BA7639" w:rsidRPr="008C6208" w:rsidRDefault="00BA7639" w:rsidP="00BA7639">
      <w:pPr>
        <w:pStyle w:val="Caption"/>
        <w:spacing w:before="180" w:after="0"/>
      </w:pPr>
      <w:r w:rsidRPr="008C6208">
        <w:t xml:space="preserve">Figure </w:t>
      </w:r>
      <w:r w:rsidRPr="008C6208">
        <w:rPr>
          <w:noProof/>
        </w:rPr>
        <w:fldChar w:fldCharType="begin"/>
      </w:r>
      <w:r w:rsidRPr="008C6208">
        <w:rPr>
          <w:noProof/>
        </w:rPr>
        <w:instrText xml:space="preserve"> STYLEREF 1 \s </w:instrText>
      </w:r>
      <w:r w:rsidRPr="008C6208">
        <w:rPr>
          <w:noProof/>
        </w:rPr>
        <w:fldChar w:fldCharType="separate"/>
      </w:r>
      <w:r w:rsidR="006D6E1F">
        <w:rPr>
          <w:noProof/>
        </w:rPr>
        <w:t>6</w:t>
      </w:r>
      <w:r w:rsidRPr="008C6208">
        <w:rPr>
          <w:noProof/>
        </w:rPr>
        <w:fldChar w:fldCharType="end"/>
      </w:r>
      <w:r w:rsidRPr="008C6208">
        <w:rPr>
          <w:noProof/>
        </w:rPr>
        <w:t>.2</w:t>
      </w:r>
      <w:r w:rsidRPr="008C6208">
        <w:t xml:space="preserve">: Annual </w:t>
      </w:r>
      <w:r w:rsidR="00AF3801">
        <w:t xml:space="preserve">mineral </w:t>
      </w:r>
      <w:r w:rsidRPr="008C6208">
        <w:t>e</w:t>
      </w:r>
      <w:r w:rsidRPr="008C6208">
        <w:rPr>
          <w:noProof/>
        </w:rPr>
        <w:t>xploration expenditure by commodity</w:t>
      </w:r>
    </w:p>
    <w:p w14:paraId="2AFEE63F" w14:textId="22158DD6" w:rsidR="00BA7639" w:rsidRPr="008C6208" w:rsidRDefault="00741922" w:rsidP="00BA7639">
      <w:pPr>
        <w:pStyle w:val="Source"/>
      </w:pPr>
      <w:r>
        <w:rPr>
          <w:noProof/>
        </w:rPr>
        <w:drawing>
          <wp:inline distT="0" distB="0" distL="0" distR="0" wp14:anchorId="2FEF1419" wp14:editId="715F6219">
            <wp:extent cx="4206875" cy="2571750"/>
            <wp:effectExtent l="0" t="0" r="3175" b="0"/>
            <wp:docPr id="7" name="Chart 7" descr="This graph shows exploration expenditure by commodity over fiscal years 2012-2013 to 2022-202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D3D73B" w14:textId="77777777" w:rsidR="00BA7639" w:rsidRPr="008C6208" w:rsidRDefault="00BA7639" w:rsidP="00BA7639">
      <w:pPr>
        <w:pStyle w:val="Source"/>
      </w:pPr>
      <w:r w:rsidRPr="008C6208">
        <w:t>Notes: Base metals also include silver and cobalt.</w:t>
      </w:r>
    </w:p>
    <w:p w14:paraId="4CF4ABD4" w14:textId="7139AC73" w:rsidR="00BA7639" w:rsidRPr="008C6208" w:rsidRDefault="00BA7639" w:rsidP="00BA7639">
      <w:pPr>
        <w:pStyle w:val="Source"/>
      </w:pPr>
      <w:r w:rsidRPr="008C6208">
        <w:t>Source: ABS (202</w:t>
      </w:r>
      <w:r w:rsidR="003653E0">
        <w:t>3</w:t>
      </w:r>
      <w:r w:rsidRPr="008C6208">
        <w:t>) Mineral and Petroleum Exploration, Australia, 8412.0</w:t>
      </w:r>
    </w:p>
    <w:p w14:paraId="1108B25A" w14:textId="230ADE15" w:rsidR="00352D0F" w:rsidRPr="007136E1" w:rsidRDefault="00352D0F" w:rsidP="001C275A">
      <w:pPr>
        <w:pStyle w:val="Heading1"/>
        <w:spacing w:after="120"/>
        <w:ind w:left="425" w:hanging="425"/>
      </w:pPr>
      <w:bookmarkStart w:id="90" w:name="_Methodology_1"/>
      <w:bookmarkStart w:id="91" w:name="_Toc152865206"/>
      <w:bookmarkEnd w:id="74"/>
      <w:bookmarkEnd w:id="75"/>
      <w:bookmarkEnd w:id="76"/>
      <w:bookmarkEnd w:id="77"/>
      <w:bookmarkEnd w:id="78"/>
      <w:bookmarkEnd w:id="79"/>
      <w:bookmarkEnd w:id="80"/>
      <w:bookmarkEnd w:id="90"/>
      <w:r>
        <w:t>Methodology</w:t>
      </w:r>
      <w:bookmarkEnd w:id="91"/>
    </w:p>
    <w:p w14:paraId="726926A0" w14:textId="23D66D48" w:rsidR="00D36AE1" w:rsidRDefault="00D36AE1" w:rsidP="00DF3571">
      <w:pPr>
        <w:spacing w:after="120"/>
      </w:pPr>
      <w:r w:rsidRPr="00AB096B">
        <w:t xml:space="preserve">Each year, we collect information about the investment </w:t>
      </w:r>
      <w:r w:rsidR="003E282E">
        <w:t>outlook</w:t>
      </w:r>
      <w:r w:rsidRPr="00AB096B">
        <w:t xml:space="preserve"> for major resources and energy projects. Information is gathered from </w:t>
      </w:r>
      <w:r>
        <w:t>a range of</w:t>
      </w:r>
      <w:r w:rsidRPr="00AB096B">
        <w:t xml:space="preserve"> sources, including </w:t>
      </w:r>
      <w:r w:rsidR="000944D5" w:rsidRPr="00AB096B">
        <w:t>company websites</w:t>
      </w:r>
      <w:r w:rsidR="000944D5">
        <w:t xml:space="preserve"> </w:t>
      </w:r>
      <w:r w:rsidR="000944D5" w:rsidRPr="00AB096B">
        <w:t>and media releases</w:t>
      </w:r>
      <w:r w:rsidR="000944D5">
        <w:t>,</w:t>
      </w:r>
      <w:r w:rsidR="000944D5" w:rsidRPr="00AB096B">
        <w:t xml:space="preserve"> </w:t>
      </w:r>
      <w:r w:rsidRPr="00AB096B">
        <w:t xml:space="preserve">government departments and agencies, industry associations, </w:t>
      </w:r>
      <w:r w:rsidR="00E64FDC">
        <w:t xml:space="preserve">and </w:t>
      </w:r>
      <w:r w:rsidRPr="00AB096B">
        <w:t xml:space="preserve">Australian Stock Exchange reports. </w:t>
      </w:r>
    </w:p>
    <w:p w14:paraId="46FBC841" w14:textId="77777777" w:rsidR="00D36AE1" w:rsidRDefault="00D36AE1" w:rsidP="00DF3571">
      <w:pPr>
        <w:spacing w:after="120"/>
      </w:pPr>
      <w:r w:rsidRPr="00AB096B">
        <w:t>Although there is substantial investment by mining and energy companies in replenishing equipment, plant and other property, the focus of this report is on ‘major’ investments — those that can be confidently valued at over $50 million based on publicly available sources. Smaller scale operations are also an important contributor to the sector and the broader Australian economy. But public information, particularly on early-stage projects, can be scarce or difficult to find</w:t>
      </w:r>
      <w:r>
        <w:t>,</w:t>
      </w:r>
      <w:r w:rsidRPr="00AB096B">
        <w:t xml:space="preserve"> </w:t>
      </w:r>
      <w:r>
        <w:t>and includes</w:t>
      </w:r>
      <w:r w:rsidRPr="00AB096B">
        <w:t xml:space="preserve"> projects undertaken by private companies who have fewer obligations to report project progress. This report therefore may omit some projects for which we could not identify key parameters.</w:t>
      </w:r>
      <w:r>
        <w:t xml:space="preserve"> </w:t>
      </w:r>
      <w:r w:rsidRPr="00AB096B">
        <w:t xml:space="preserve">Each year we seek to improve the coverage and data quality of the report, including through incorporating relevant project information that may not have been identified in previous years. </w:t>
      </w:r>
    </w:p>
    <w:p w14:paraId="443E3077" w14:textId="77777777" w:rsidR="00D36AE1" w:rsidRDefault="00D36AE1" w:rsidP="00DF3571">
      <w:pPr>
        <w:spacing w:after="120"/>
      </w:pPr>
      <w:r w:rsidRPr="00AB096B">
        <w:t xml:space="preserve">Developers of resources and energy projects often use different planning processes and assessment methods to support </w:t>
      </w:r>
      <w:r>
        <w:t>their</w:t>
      </w:r>
      <w:r w:rsidRPr="00AB096B">
        <w:t xml:space="preserve"> FID. Thus, there is no standard project development model with clearly defined stages and terminology that can be applied to every resource and energy project. </w:t>
      </w:r>
    </w:p>
    <w:p w14:paraId="20D630AE" w14:textId="597088D9" w:rsidR="00D36AE1" w:rsidRDefault="00D36AE1" w:rsidP="00D36AE1">
      <w:r>
        <w:t xml:space="preserve">Projects are grouped into </w:t>
      </w:r>
      <w:r w:rsidR="00731CB9">
        <w:t>four</w:t>
      </w:r>
      <w:r>
        <w:t xml:space="preserve"> categories which represent their </w:t>
      </w:r>
      <w:r w:rsidR="003E282E">
        <w:t>stage of progression.</w:t>
      </w:r>
      <w:r w:rsidRPr="00AB096B">
        <w:t xml:space="preserve"> Earlier stages of developing mining and energy projects, such as identifying deposits and exploration activities, are not included in the list. While these activities </w:t>
      </w:r>
      <w:r w:rsidR="00FB7D6C">
        <w:t>are</w:t>
      </w:r>
      <w:r w:rsidR="00FB7D6C" w:rsidRPr="00AB096B">
        <w:t xml:space="preserve"> </w:t>
      </w:r>
      <w:r w:rsidRPr="00AB096B">
        <w:t>important, it is beyond the scope of this report to assess exploration activities on a project-by-project basis. Instead, a summary and analysis of aggregate exploration expenditure is provided.</w:t>
      </w:r>
    </w:p>
    <w:p w14:paraId="11F26816" w14:textId="1739CED3" w:rsidR="004C6F20" w:rsidRDefault="004C6F20" w:rsidP="00D36AE1">
      <w:r>
        <w:t>For changes in the methodology from the 2022 edition, see Box 1.1.</w:t>
      </w:r>
    </w:p>
    <w:p w14:paraId="541648D2" w14:textId="4B550FCE" w:rsidR="00D36AE1" w:rsidRDefault="00D36AE1" w:rsidP="00D36AE1"/>
    <w:p w14:paraId="75F4704F" w14:textId="1328B8DB" w:rsidR="00D36AE1" w:rsidRDefault="00D36AE1" w:rsidP="00DF3571">
      <w:pPr>
        <w:spacing w:after="60"/>
      </w:pPr>
      <w:r>
        <w:t xml:space="preserve">The four stages </w:t>
      </w:r>
      <w:r w:rsidR="009948FC">
        <w:t>we classify projects into</w:t>
      </w:r>
      <w:r>
        <w:t xml:space="preserve"> are:</w:t>
      </w:r>
    </w:p>
    <w:p w14:paraId="3D85869A" w14:textId="77777777" w:rsidR="00D36AE1" w:rsidRDefault="00D36AE1" w:rsidP="00D36AE1">
      <w:pPr>
        <w:pStyle w:val="ListParagraph"/>
        <w:numPr>
          <w:ilvl w:val="0"/>
          <w:numId w:val="55"/>
        </w:numPr>
        <w:spacing w:after="160" w:line="259" w:lineRule="auto"/>
        <w:contextualSpacing/>
        <w:jc w:val="left"/>
      </w:pPr>
      <w:r>
        <w:t>Projects publicly announced and under consideration</w:t>
      </w:r>
    </w:p>
    <w:p w14:paraId="46899E2F" w14:textId="0F1B80D7" w:rsidR="00D36AE1" w:rsidRDefault="00D36AE1" w:rsidP="00D36AE1">
      <w:pPr>
        <w:pStyle w:val="ListParagraph"/>
        <w:numPr>
          <w:ilvl w:val="0"/>
          <w:numId w:val="55"/>
        </w:numPr>
        <w:spacing w:after="160" w:line="259" w:lineRule="auto"/>
        <w:contextualSpacing/>
        <w:jc w:val="left"/>
      </w:pPr>
      <w:r>
        <w:t xml:space="preserve">Projects that have </w:t>
      </w:r>
      <w:r w:rsidR="00273F84">
        <w:t>completed</w:t>
      </w:r>
      <w:r>
        <w:t xml:space="preserve"> a</w:t>
      </w:r>
      <w:r w:rsidR="00EE39DE">
        <w:t>n advanced</w:t>
      </w:r>
      <w:r>
        <w:t xml:space="preserve"> f</w:t>
      </w:r>
      <w:r w:rsidRPr="00AB096B">
        <w:t xml:space="preserve">easibility </w:t>
      </w:r>
      <w:r>
        <w:t>study</w:t>
      </w:r>
    </w:p>
    <w:p w14:paraId="28863B8E" w14:textId="0D5395CE" w:rsidR="00D36AE1" w:rsidRDefault="00D36AE1" w:rsidP="00D36AE1">
      <w:pPr>
        <w:pStyle w:val="ListParagraph"/>
        <w:numPr>
          <w:ilvl w:val="0"/>
          <w:numId w:val="55"/>
        </w:numPr>
        <w:spacing w:after="160" w:line="259" w:lineRule="auto"/>
        <w:contextualSpacing/>
        <w:jc w:val="left"/>
      </w:pPr>
      <w:r w:rsidRPr="00AB096B">
        <w:t xml:space="preserve">Committed </w:t>
      </w:r>
      <w:r>
        <w:t>projects</w:t>
      </w:r>
      <w:r w:rsidR="00736B78">
        <w:t xml:space="preserve"> — which have taken FID</w:t>
      </w:r>
    </w:p>
    <w:p w14:paraId="40A77F31" w14:textId="771E8B2A" w:rsidR="00D36AE1" w:rsidRDefault="00D36AE1" w:rsidP="00D36AE1">
      <w:pPr>
        <w:pStyle w:val="ListParagraph"/>
        <w:numPr>
          <w:ilvl w:val="0"/>
          <w:numId w:val="55"/>
        </w:numPr>
        <w:spacing w:after="160" w:line="259" w:lineRule="auto"/>
        <w:contextualSpacing/>
        <w:jc w:val="left"/>
      </w:pPr>
      <w:r w:rsidRPr="00AB096B">
        <w:t xml:space="preserve">Completed </w:t>
      </w:r>
      <w:r>
        <w:t>projects</w:t>
      </w:r>
      <w:r w:rsidR="00736B78">
        <w:t xml:space="preserve"> — which have commenced production</w:t>
      </w:r>
    </w:p>
    <w:p w14:paraId="2432200A" w14:textId="5BACA802" w:rsidR="004C6F20" w:rsidRDefault="00DD223A" w:rsidP="00823F6F">
      <w:pPr>
        <w:spacing w:after="160" w:line="259" w:lineRule="auto"/>
        <w:contextualSpacing/>
      </w:pPr>
      <w:r>
        <w:rPr>
          <w:noProof/>
        </w:rPr>
        <w:drawing>
          <wp:inline distT="0" distB="0" distL="0" distR="0" wp14:anchorId="09B64EF0" wp14:editId="5C28D361">
            <wp:extent cx="4183380" cy="571500"/>
            <wp:effectExtent l="0" t="0" r="0" b="0"/>
            <wp:docPr id="31" name="Picture 31" descr="Diagram of 4 project stages: Publicly announced, advanced feasibility, committed and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4 project stages: Publicly announced, advanced feasibility, committed and completed."/>
                    <pic:cNvPicPr/>
                  </pic:nvPicPr>
                  <pic:blipFill rotWithShape="1">
                    <a:blip r:embed="rId69">
                      <a:extLst>
                        <a:ext uri="{28A0092B-C50C-407E-A947-70E740481C1C}">
                          <a14:useLocalDpi xmlns:a14="http://schemas.microsoft.com/office/drawing/2010/main" val="0"/>
                        </a:ext>
                      </a:extLst>
                    </a:blip>
                    <a:srcRect l="1366" t="53042" r="-1366" b="23557"/>
                    <a:stretch/>
                  </pic:blipFill>
                  <pic:spPr bwMode="auto">
                    <a:xfrm>
                      <a:off x="0" y="0"/>
                      <a:ext cx="4183380" cy="571500"/>
                    </a:xfrm>
                    <a:prstGeom prst="rect">
                      <a:avLst/>
                    </a:prstGeom>
                    <a:ln>
                      <a:noFill/>
                    </a:ln>
                    <a:extLst>
                      <a:ext uri="{53640926-AAD7-44D8-BBD7-CCE9431645EC}">
                        <a14:shadowObscured xmlns:a14="http://schemas.microsoft.com/office/drawing/2010/main"/>
                      </a:ext>
                    </a:extLst>
                  </pic:spPr>
                </pic:pic>
              </a:graphicData>
            </a:graphic>
          </wp:inline>
        </w:drawing>
      </w:r>
    </w:p>
    <w:p w14:paraId="28EC88A7" w14:textId="0C9FA998" w:rsidR="00823F6F" w:rsidRDefault="00823F6F" w:rsidP="00823F6F">
      <w:pPr>
        <w:spacing w:after="160" w:line="259" w:lineRule="auto"/>
        <w:contextualSpacing/>
      </w:pPr>
    </w:p>
    <w:p w14:paraId="74C75503" w14:textId="6F1B36AB" w:rsidR="00D36AE1" w:rsidRPr="00AB096B" w:rsidRDefault="00D36AE1" w:rsidP="00DF3571">
      <w:pPr>
        <w:spacing w:after="120"/>
        <w:rPr>
          <w:b/>
          <w:bCs/>
        </w:rPr>
      </w:pPr>
      <w:r w:rsidRPr="00AB096B">
        <w:rPr>
          <w:b/>
          <w:bCs/>
        </w:rPr>
        <w:t xml:space="preserve">(1) Publicly announced </w:t>
      </w:r>
      <w:r>
        <w:rPr>
          <w:b/>
          <w:bCs/>
        </w:rPr>
        <w:t>and under consideration</w:t>
      </w:r>
      <w:r w:rsidRPr="00AB096B">
        <w:rPr>
          <w:b/>
          <w:bCs/>
        </w:rPr>
        <w:t xml:space="preserve"> </w:t>
      </w:r>
    </w:p>
    <w:p w14:paraId="1E15489B" w14:textId="465DC385" w:rsidR="00D36AE1" w:rsidRDefault="00D36AE1" w:rsidP="00DF3571">
      <w:pPr>
        <w:spacing w:after="120"/>
      </w:pPr>
      <w:r w:rsidRPr="00AB096B">
        <w:t xml:space="preserve">Projects at the publicly announced stage are usually early in their development and are typically undergoing </w:t>
      </w:r>
      <w:r>
        <w:t>feasibility studies</w:t>
      </w:r>
      <w:r w:rsidRPr="00AB096B">
        <w:t xml:space="preserve"> to assess the commercial aspects of developing an identified resource. </w:t>
      </w:r>
      <w:r w:rsidR="008662DD">
        <w:t>For</w:t>
      </w:r>
      <w:r w:rsidRPr="00AB096B" w:rsidDel="008662DD">
        <w:t xml:space="preserve"> a </w:t>
      </w:r>
      <w:r w:rsidRPr="00AB096B">
        <w:t xml:space="preserve">project </w:t>
      </w:r>
      <w:r w:rsidR="008662DD">
        <w:t xml:space="preserve">to be </w:t>
      </w:r>
      <w:r w:rsidRPr="00AB096B">
        <w:t>list</w:t>
      </w:r>
      <w:r w:rsidR="008662DD">
        <w:t>ed</w:t>
      </w:r>
      <w:r w:rsidRPr="00AB096B">
        <w:t xml:space="preserve"> at this stage, </w:t>
      </w:r>
      <w:r w:rsidR="008662DD">
        <w:t>there must be publicly available i</w:t>
      </w:r>
      <w:r w:rsidRPr="00AB096B">
        <w:t xml:space="preserve">nformation on the </w:t>
      </w:r>
      <w:r w:rsidR="008662DD">
        <w:t xml:space="preserve">preliminary </w:t>
      </w:r>
      <w:r w:rsidRPr="00AB096B">
        <w:t xml:space="preserve">project schedule, planned output or cost. As they are still in the early planning stage, projects at the publicly announced stage may not have finalised </w:t>
      </w:r>
      <w:r w:rsidR="003E64BB">
        <w:t>any</w:t>
      </w:r>
      <w:r w:rsidR="003E64BB" w:rsidRPr="00AB096B">
        <w:t xml:space="preserve"> </w:t>
      </w:r>
      <w:r w:rsidRPr="00AB096B">
        <w:t xml:space="preserve">engineering designs or </w:t>
      </w:r>
      <w:r w:rsidR="007C4643">
        <w:t xml:space="preserve">construction cost </w:t>
      </w:r>
      <w:r w:rsidRPr="00AB096B">
        <w:t>estimates.</w:t>
      </w:r>
    </w:p>
    <w:p w14:paraId="318F272B" w14:textId="3E4D713C" w:rsidR="00D36AE1" w:rsidRDefault="00D36AE1" w:rsidP="00D36AE1">
      <w:r>
        <w:t xml:space="preserve">Projects at this stage may have provisional or outdated cost estimates and will </w:t>
      </w:r>
      <w:r w:rsidR="000A4CAD">
        <w:t xml:space="preserve">not </w:t>
      </w:r>
      <w:r>
        <w:t>have received any formal commitment from companies to proceed. Such projects may have been announced 10 or more years ago with no subsequent progress nor any further studies or updates. The available public information on these projects is collected and presented for use as a reference guide, but</w:t>
      </w:r>
      <w:r w:rsidR="002032BD">
        <w:t xml:space="preserve"> data</w:t>
      </w:r>
      <w:r>
        <w:t xml:space="preserve"> is not modified, aggregated or treated as a formal data source for the purposes of the report. </w:t>
      </w:r>
      <w:r w:rsidR="002032BD">
        <w:t>Only the total number of projects at this stage is included.</w:t>
      </w:r>
    </w:p>
    <w:p w14:paraId="5BDE73B0" w14:textId="79AE5820" w:rsidR="00D36AE1" w:rsidRPr="00AB096B" w:rsidRDefault="00D36AE1" w:rsidP="00DF3571">
      <w:pPr>
        <w:spacing w:after="120"/>
        <w:rPr>
          <w:b/>
          <w:bCs/>
        </w:rPr>
      </w:pPr>
      <w:r w:rsidRPr="00AB096B">
        <w:rPr>
          <w:b/>
          <w:bCs/>
        </w:rPr>
        <w:t xml:space="preserve">(2) </w:t>
      </w:r>
      <w:r w:rsidR="00EE39DE">
        <w:rPr>
          <w:b/>
          <w:bCs/>
        </w:rPr>
        <w:t>Advanced</w:t>
      </w:r>
      <w:r>
        <w:rPr>
          <w:b/>
          <w:bCs/>
        </w:rPr>
        <w:t xml:space="preserve"> f</w:t>
      </w:r>
      <w:r w:rsidRPr="00AB096B">
        <w:rPr>
          <w:b/>
          <w:bCs/>
        </w:rPr>
        <w:t>easibility st</w:t>
      </w:r>
      <w:r>
        <w:rPr>
          <w:b/>
          <w:bCs/>
        </w:rPr>
        <w:t>udy completed</w:t>
      </w:r>
    </w:p>
    <w:p w14:paraId="00090354" w14:textId="02C912C0" w:rsidR="00D36AE1" w:rsidRDefault="00D36AE1" w:rsidP="00DF3571">
      <w:pPr>
        <w:spacing w:after="120"/>
      </w:pPr>
      <w:r w:rsidRPr="00AB096B">
        <w:t xml:space="preserve">Projects </w:t>
      </w:r>
      <w:r>
        <w:t xml:space="preserve">at this stage have completed a definitive, detailed or bankable feasibility study and are considered to have a strong business case for further progression. Definitive feasibility studies will have occurred following detailed </w:t>
      </w:r>
      <w:r w:rsidRPr="00AB096B">
        <w:t xml:space="preserve">Front-End Engineering Design (FEED) studies </w:t>
      </w:r>
      <w:r>
        <w:t xml:space="preserve">and full </w:t>
      </w:r>
      <w:r w:rsidRPr="00AB096B">
        <w:t>develop</w:t>
      </w:r>
      <w:r>
        <w:t>ment of</w:t>
      </w:r>
      <w:r w:rsidRPr="00AB096B">
        <w:t xml:space="preserve"> the final project scope</w:t>
      </w:r>
      <w:r>
        <w:t>.</w:t>
      </w:r>
    </w:p>
    <w:p w14:paraId="74D15F91" w14:textId="5227B752" w:rsidR="00D36AE1" w:rsidRDefault="00D36AE1" w:rsidP="00D36AE1">
      <w:r>
        <w:t xml:space="preserve">Projects that have progressed through the </w:t>
      </w:r>
      <w:r w:rsidR="00EE39DE">
        <w:t>advanced</w:t>
      </w:r>
      <w:r>
        <w:t xml:space="preserve"> feasibility stage are likely to proceed to the committed stage. Figures and data on these projects are considered sound enough to use as a leading indicator for future capital investment by the resources sector. However, </w:t>
      </w:r>
      <w:r w:rsidR="003E64BB">
        <w:t xml:space="preserve">capital cost estimates </w:t>
      </w:r>
      <w:r>
        <w:t xml:space="preserve">on these projects </w:t>
      </w:r>
      <w:r w:rsidR="000A4CAD">
        <w:t>differ from capital costs for</w:t>
      </w:r>
      <w:r>
        <w:t xml:space="preserve"> projects at the committed stage, since the latter represents fully committed capital investment.</w:t>
      </w:r>
    </w:p>
    <w:p w14:paraId="1F4C2468" w14:textId="77777777" w:rsidR="00D36AE1" w:rsidRPr="00AB096B" w:rsidRDefault="00D36AE1" w:rsidP="00DF3571">
      <w:pPr>
        <w:spacing w:after="120"/>
        <w:rPr>
          <w:b/>
          <w:bCs/>
        </w:rPr>
      </w:pPr>
      <w:r w:rsidRPr="00AB096B">
        <w:rPr>
          <w:b/>
          <w:bCs/>
        </w:rPr>
        <w:t xml:space="preserve">(3) Committed stage </w:t>
      </w:r>
    </w:p>
    <w:p w14:paraId="471D6C18" w14:textId="5F0B2F6D" w:rsidR="00D36AE1" w:rsidRDefault="00D36AE1" w:rsidP="00DF3571">
      <w:pPr>
        <w:spacing w:after="120"/>
      </w:pPr>
      <w:r w:rsidRPr="00AB096B">
        <w:t xml:space="preserve">Projects at the committed stage have </w:t>
      </w:r>
      <w:r w:rsidR="008662DD">
        <w:t>finished</w:t>
      </w:r>
      <w:r w:rsidRPr="00AB096B">
        <w:t xml:space="preserve"> all commercial, engineering and environmental studies, received all necessary government regulatory approvals, and finalised the financing of the project to allow construction. Such projects are considered to have received a positive FID from the owner(s). In most cases, projects at this stage of development have already started construction, as there are typically pre</w:t>
      </w:r>
      <w:r w:rsidR="008662DD">
        <w:t>-</w:t>
      </w:r>
      <w:r w:rsidRPr="00AB096B">
        <w:t>works undertaken as part of exploration and design activities.</w:t>
      </w:r>
    </w:p>
    <w:p w14:paraId="4EC8A50B" w14:textId="3E4BE578" w:rsidR="00D36AE1" w:rsidRDefault="00D36AE1" w:rsidP="00DF3571">
      <w:pPr>
        <w:spacing w:after="120"/>
      </w:pPr>
      <w:r w:rsidRPr="00AB096B">
        <w:t xml:space="preserve">Projects at the committed stage typically have cost estimates, schedules, and mine outputs that are well defined and often publicly released. Most projects that progress to the committed stage will eventually commence production. Nevertheless, post-FID, there are still technical and financial risks that, if realised, can result in delays, scope </w:t>
      </w:r>
      <w:r w:rsidR="002406DC">
        <w:t>e</w:t>
      </w:r>
      <w:r w:rsidRPr="00AB096B">
        <w:t>changes and cost overruns, or even affect the commercial viability of a project and possibly lead to its cancellation.</w:t>
      </w:r>
    </w:p>
    <w:p w14:paraId="0270660D" w14:textId="29BA3344" w:rsidR="00D36AE1" w:rsidRDefault="00D36AE1" w:rsidP="00D36AE1">
      <w:r>
        <w:t>Data on projects at the committed</w:t>
      </w:r>
      <w:r w:rsidR="000A4CAD">
        <w:t xml:space="preserve"> stage</w:t>
      </w:r>
      <w:r>
        <w:t xml:space="preserve"> is considered of high quality, and is aggregated, compared, and monitored within the report. Newly committed projects (those which have commenced since the prior report) are included as a distinct category.</w:t>
      </w:r>
      <w:r w:rsidR="002D2540">
        <w:br/>
      </w:r>
      <w:r w:rsidR="002D2540">
        <w:br/>
      </w:r>
      <w:r w:rsidR="002D2540">
        <w:br/>
      </w:r>
    </w:p>
    <w:p w14:paraId="2D07A60A" w14:textId="77777777" w:rsidR="00D36AE1" w:rsidRPr="00AB096B" w:rsidRDefault="00D36AE1" w:rsidP="00DF3571">
      <w:pPr>
        <w:spacing w:after="120"/>
        <w:rPr>
          <w:b/>
          <w:bCs/>
        </w:rPr>
      </w:pPr>
      <w:r w:rsidRPr="00AB096B">
        <w:rPr>
          <w:b/>
          <w:bCs/>
        </w:rPr>
        <w:t xml:space="preserve">(4) Completed stage </w:t>
      </w:r>
    </w:p>
    <w:p w14:paraId="67FB9995" w14:textId="0308F846" w:rsidR="00D36AE1" w:rsidRPr="00AB096B" w:rsidRDefault="00D36AE1" w:rsidP="00D36AE1">
      <w:pPr>
        <w:rPr>
          <w:b/>
          <w:bCs/>
        </w:rPr>
      </w:pPr>
      <w:r w:rsidRPr="00AB096B">
        <w:t xml:space="preserve">As many projects include multiple stages and scope elements that can be independent of each other, the timing around when a project reaches the completed stage can be difficult to assess. Under our framework, we consider a project reaches the completed stage when all construction and commissioning activities are completed, and the operation has reached commercial production. </w:t>
      </w:r>
      <w:r w:rsidR="00320E95">
        <w:br/>
      </w:r>
      <w:r w:rsidR="00320E95">
        <w:br/>
      </w:r>
      <w:r w:rsidRPr="00AB096B">
        <w:rPr>
          <w:b/>
          <w:bCs/>
        </w:rPr>
        <w:t xml:space="preserve">New projects, expansions and reactivations </w:t>
      </w:r>
    </w:p>
    <w:p w14:paraId="5C44FE05" w14:textId="29775AEF" w:rsidR="004E498D" w:rsidRDefault="00D36AE1" w:rsidP="005F369F">
      <w:pPr>
        <w:pStyle w:val="BodyText"/>
      </w:pPr>
      <w:r w:rsidRPr="00AB096B">
        <w:t xml:space="preserve">Our framework classifies projects as “new”, “expansion” or “reactivation”. New projects are those that were not active at the same location before the first announcement recorded in our research. Expansions correspond to those that are already existing and are taking their operations to neighbouring fields. In many cases, the goal of the “expansion” is merely to maintain output. There is no implication that output is increasing. Reactivation indicates </w:t>
      </w:r>
      <w:r w:rsidR="00692340">
        <w:t>mines</w:t>
      </w:r>
      <w:r w:rsidRPr="00AB096B">
        <w:t xml:space="preserve"> that </w:t>
      </w:r>
      <w:r w:rsidR="00692340">
        <w:t>are returning from care and maintenance, or projects that were</w:t>
      </w:r>
      <w:r w:rsidRPr="00AB096B">
        <w:t xml:space="preserve"> announced, then officially abandoned, but ha</w:t>
      </w:r>
      <w:r w:rsidR="00692340">
        <w:t>ve</w:t>
      </w:r>
      <w:r w:rsidRPr="00AB096B">
        <w:t xml:space="preserve"> since been returned to the drawing board.</w:t>
      </w:r>
    </w:p>
    <w:p w14:paraId="6EDD404E" w14:textId="39AE00BC" w:rsidR="0046505C" w:rsidRPr="007136E1" w:rsidRDefault="0046505C" w:rsidP="005F369F">
      <w:pPr>
        <w:pStyle w:val="BodyText"/>
        <w:sectPr w:rsidR="0046505C" w:rsidRPr="007136E1" w:rsidSect="00E37754">
          <w:headerReference w:type="even" r:id="rId70"/>
          <w:headerReference w:type="default" r:id="rId71"/>
          <w:footerReference w:type="default" r:id="rId72"/>
          <w:headerReference w:type="first" r:id="rId73"/>
          <w:footerReference w:type="first" r:id="rId74"/>
          <w:pgSz w:w="16838" w:h="11906" w:orient="landscape" w:code="9"/>
          <w:pgMar w:top="992" w:right="1440" w:bottom="1440" w:left="1440" w:header="709" w:footer="709" w:gutter="0"/>
          <w:cols w:num="2" w:space="708"/>
          <w:docGrid w:linePitch="360"/>
        </w:sectPr>
      </w:pPr>
    </w:p>
    <w:p w14:paraId="289A3631" w14:textId="1BAA20CD" w:rsidR="006E6E7A" w:rsidRPr="007136E1" w:rsidRDefault="0046505C" w:rsidP="0021102B">
      <w:pPr>
        <w:pStyle w:val="Heading1"/>
        <w:ind w:left="426" w:hanging="426"/>
      </w:pPr>
      <w:bookmarkStart w:id="92" w:name="_Toc120285900"/>
      <w:bookmarkStart w:id="93" w:name="_Toc120287131"/>
      <w:bookmarkStart w:id="94" w:name="_Toc120541237"/>
      <w:bookmarkStart w:id="95" w:name="_Toc120628921"/>
      <w:bookmarkStart w:id="96" w:name="_Toc120629530"/>
      <w:bookmarkStart w:id="97" w:name="_Toc120630053"/>
      <w:bookmarkStart w:id="98" w:name="_Toc120632576"/>
      <w:bookmarkStart w:id="99" w:name="_Toc152865207"/>
      <w:r w:rsidRPr="007136E1">
        <w:t>Further information and resources</w:t>
      </w:r>
      <w:bookmarkEnd w:id="92"/>
      <w:bookmarkEnd w:id="93"/>
      <w:bookmarkEnd w:id="94"/>
      <w:bookmarkEnd w:id="95"/>
      <w:bookmarkEnd w:id="96"/>
      <w:bookmarkEnd w:id="97"/>
      <w:bookmarkEnd w:id="98"/>
      <w:bookmarkEnd w:id="99"/>
    </w:p>
    <w:p w14:paraId="02479191" w14:textId="3124B2D8" w:rsidR="0046505C" w:rsidRPr="00C954FA" w:rsidRDefault="00387209" w:rsidP="00227F8E">
      <w:pPr>
        <w:pStyle w:val="Heading7"/>
        <w:ind w:left="0" w:firstLine="0"/>
        <w:rPr>
          <w:color w:val="373737" w:themeColor="text2"/>
        </w:rPr>
      </w:pPr>
      <w:r w:rsidRPr="00C954FA">
        <w:rPr>
          <w:color w:val="373737" w:themeColor="text2"/>
        </w:rPr>
        <w:t xml:space="preserve">Department of Industry, Science and Resources </w:t>
      </w:r>
    </w:p>
    <w:p w14:paraId="614922CC" w14:textId="1E163D93" w:rsidR="0046505C" w:rsidRPr="007136E1" w:rsidRDefault="0046505C" w:rsidP="008B5FD2">
      <w:pPr>
        <w:pStyle w:val="Heading3"/>
        <w:rPr>
          <w:b/>
        </w:rPr>
      </w:pPr>
      <w:bookmarkStart w:id="100" w:name="_Toc55456495"/>
      <w:r w:rsidRPr="007136E1">
        <w:rPr>
          <w:b/>
        </w:rPr>
        <w:t>Resources and Energy Quarterly</w:t>
      </w:r>
      <w:bookmarkEnd w:id="100"/>
    </w:p>
    <w:p w14:paraId="02BC4E01" w14:textId="7D872B16" w:rsidR="0046505C" w:rsidRPr="007136E1" w:rsidRDefault="0046505C" w:rsidP="00C976E0">
      <w:pPr>
        <w:pStyle w:val="BodyText"/>
        <w:spacing w:after="60"/>
        <w:rPr>
          <w:rFonts w:ascii="Arial" w:hAnsi="Arial" w:cs="Arial"/>
          <w:color w:val="333333"/>
          <w:shd w:val="clear" w:color="auto" w:fill="FFFFFF"/>
        </w:rPr>
      </w:pPr>
      <w:r w:rsidRPr="007136E1">
        <w:rPr>
          <w:rFonts w:ascii="Arial" w:hAnsi="Arial" w:cs="Arial"/>
          <w:color w:val="333333"/>
          <w:shd w:val="clear" w:color="auto" w:fill="FFFFFF"/>
        </w:rPr>
        <w:t xml:space="preserve">The </w:t>
      </w:r>
      <w:r w:rsidRPr="00DF3571">
        <w:rPr>
          <w:rFonts w:ascii="Arial" w:hAnsi="Arial" w:cs="Arial"/>
          <w:i/>
          <w:color w:val="333333"/>
          <w:shd w:val="clear" w:color="auto" w:fill="FFFFFF"/>
        </w:rPr>
        <w:t>Resources and Energy Quarterly</w:t>
      </w:r>
      <w:r w:rsidRPr="007136E1">
        <w:rPr>
          <w:rFonts w:ascii="Arial" w:hAnsi="Arial" w:cs="Arial"/>
          <w:color w:val="333333"/>
          <w:shd w:val="clear" w:color="auto" w:fill="FFFFFF"/>
        </w:rPr>
        <w:t xml:space="preserve"> </w:t>
      </w:r>
      <w:r w:rsidR="008662DD">
        <w:rPr>
          <w:rFonts w:ascii="Arial" w:hAnsi="Arial" w:cs="Arial"/>
          <w:color w:val="333333"/>
          <w:shd w:val="clear" w:color="auto" w:fill="FFFFFF"/>
        </w:rPr>
        <w:t xml:space="preserve">report </w:t>
      </w:r>
      <w:r w:rsidRPr="007136E1">
        <w:rPr>
          <w:rFonts w:ascii="Arial" w:hAnsi="Arial" w:cs="Arial"/>
          <w:color w:val="333333"/>
          <w:shd w:val="clear" w:color="auto" w:fill="FFFFFF"/>
        </w:rPr>
        <w:t xml:space="preserve">contains the </w:t>
      </w:r>
      <w:r w:rsidR="00EE52BF" w:rsidRPr="007136E1">
        <w:rPr>
          <w:rFonts w:ascii="Arial" w:hAnsi="Arial" w:cs="Arial"/>
          <w:color w:val="333333"/>
          <w:shd w:val="clear" w:color="auto" w:fill="FFFFFF"/>
        </w:rPr>
        <w:t>latest data, analysis and</w:t>
      </w:r>
      <w:r w:rsidRPr="007136E1">
        <w:rPr>
          <w:rFonts w:ascii="Arial" w:hAnsi="Arial" w:cs="Arial"/>
          <w:color w:val="333333"/>
          <w:shd w:val="clear" w:color="auto" w:fill="FFFFFF"/>
        </w:rPr>
        <w:t xml:space="preserve"> forecasts for the value, volume and price of Australia’s major resources and energy commodity exports.</w:t>
      </w:r>
    </w:p>
    <w:p w14:paraId="51F0CDDB" w14:textId="02FCBA5B" w:rsidR="0046505C" w:rsidRDefault="00DD223A" w:rsidP="0046505C">
      <w:pPr>
        <w:pStyle w:val="BodyText"/>
      </w:pPr>
      <w:hyperlink r:id="rId75" w:history="1">
        <w:r w:rsidR="0046505C" w:rsidRPr="007136E1">
          <w:rPr>
            <w:rStyle w:val="Hyperlink"/>
          </w:rPr>
          <w:t>https://www.industry.gov.au/data-and-publications/resources-and-energy-quarterly-all</w:t>
        </w:r>
      </w:hyperlink>
      <w:r w:rsidR="0046505C" w:rsidRPr="007136E1">
        <w:t xml:space="preserve"> </w:t>
      </w:r>
    </w:p>
    <w:p w14:paraId="3485F7F8" w14:textId="0DCE0742" w:rsidR="00286DAD" w:rsidRPr="0015689F" w:rsidRDefault="00286DAD" w:rsidP="0015689F">
      <w:pPr>
        <w:pStyle w:val="Heading3"/>
        <w:rPr>
          <w:b/>
        </w:rPr>
      </w:pPr>
      <w:r w:rsidRPr="0015689F">
        <w:rPr>
          <w:b/>
        </w:rPr>
        <w:t>Critical Minerals Strategy 2023-2030</w:t>
      </w:r>
    </w:p>
    <w:p w14:paraId="33F92C92" w14:textId="4D9360C4" w:rsidR="00286DAD" w:rsidRDefault="00DD223A" w:rsidP="0046505C">
      <w:pPr>
        <w:pStyle w:val="BodyText"/>
      </w:pPr>
      <w:hyperlink r:id="rId76" w:history="1">
        <w:r w:rsidR="00286DAD" w:rsidRPr="00671AC6">
          <w:rPr>
            <w:rStyle w:val="Hyperlink"/>
          </w:rPr>
          <w:t>https://www.industry.gov.au/sites/default/files/2023-06/critical-minerals-strategy-2023-2030.pdf</w:t>
        </w:r>
      </w:hyperlink>
    </w:p>
    <w:p w14:paraId="1A737777" w14:textId="70ED061D" w:rsidR="002062C3" w:rsidRPr="00C954FA" w:rsidRDefault="002062C3" w:rsidP="002062C3">
      <w:pPr>
        <w:pStyle w:val="Heading7"/>
        <w:rPr>
          <w:color w:val="373737" w:themeColor="text2"/>
        </w:rPr>
      </w:pPr>
      <w:r w:rsidRPr="00C954FA">
        <w:rPr>
          <w:color w:val="373737" w:themeColor="text2"/>
        </w:rPr>
        <w:t>Australian Trade and Investment Commission</w:t>
      </w:r>
    </w:p>
    <w:p w14:paraId="286EFBF2" w14:textId="1CCF4671" w:rsidR="002062C3" w:rsidRPr="00FB5C26" w:rsidRDefault="002062C3" w:rsidP="002062C3">
      <w:pPr>
        <w:pStyle w:val="Heading3"/>
        <w:rPr>
          <w:b/>
        </w:rPr>
      </w:pPr>
      <w:r w:rsidRPr="00FB5C26">
        <w:rPr>
          <w:b/>
        </w:rPr>
        <w:t>Australian Critical Minerals Prospectus 202</w:t>
      </w:r>
      <w:r w:rsidR="00FB5C26" w:rsidRPr="00FB5C26">
        <w:rPr>
          <w:b/>
        </w:rPr>
        <w:t>2</w:t>
      </w:r>
    </w:p>
    <w:p w14:paraId="44C43B5F" w14:textId="512B69D3" w:rsidR="002062C3" w:rsidRPr="00FB5C26" w:rsidRDefault="002062C3" w:rsidP="002062C3">
      <w:pPr>
        <w:pStyle w:val="BodyText"/>
        <w:rPr>
          <w:rFonts w:ascii="Arial" w:hAnsi="Arial"/>
        </w:rPr>
      </w:pPr>
      <w:r w:rsidRPr="00FB5C26">
        <w:rPr>
          <w:rFonts w:ascii="Arial" w:hAnsi="Arial"/>
        </w:rPr>
        <w:t>The prospectus includes technical, commercial and geological data to help facilitate investment in Australian critical minerals projects and greenfield opportunities. The 202</w:t>
      </w:r>
      <w:r w:rsidR="00FB5C26" w:rsidRPr="00FB5C26">
        <w:rPr>
          <w:rFonts w:ascii="Arial" w:hAnsi="Arial"/>
        </w:rPr>
        <w:t>2</w:t>
      </w:r>
      <w:r w:rsidRPr="00FB5C26">
        <w:rPr>
          <w:rFonts w:ascii="Arial" w:hAnsi="Arial"/>
        </w:rPr>
        <w:t xml:space="preserve"> prospectus highlights </w:t>
      </w:r>
      <w:r w:rsidR="00FB5C26" w:rsidRPr="00FB5C26">
        <w:rPr>
          <w:rFonts w:ascii="Arial" w:hAnsi="Arial"/>
        </w:rPr>
        <w:t>55</w:t>
      </w:r>
      <w:r w:rsidRPr="00FB5C26">
        <w:rPr>
          <w:rFonts w:ascii="Arial" w:hAnsi="Arial"/>
        </w:rPr>
        <w:t xml:space="preserve"> projects seeking investment or offtake agreements and present an opportunity for partners.</w:t>
      </w:r>
    </w:p>
    <w:p w14:paraId="142B4F65" w14:textId="0B0B3990" w:rsidR="00FB5C26" w:rsidRDefault="00DD223A" w:rsidP="002062C3">
      <w:pPr>
        <w:pStyle w:val="BodyText"/>
      </w:pPr>
      <w:hyperlink r:id="rId77" w:history="1">
        <w:r w:rsidR="00FB5C26" w:rsidRPr="00947564">
          <w:rPr>
            <w:rStyle w:val="Hyperlink"/>
          </w:rPr>
          <w:t>https://www.globalaustralia.gov.au/sites/default/files/2022-12/ATIC_Australian_Critical_Minerals_2022_9DEC22.pdf</w:t>
        </w:r>
      </w:hyperlink>
    </w:p>
    <w:p w14:paraId="258A1FE3" w14:textId="3880E72B" w:rsidR="0046505C" w:rsidRPr="00C954FA" w:rsidRDefault="0046505C" w:rsidP="0046505C">
      <w:pPr>
        <w:pStyle w:val="Heading7"/>
        <w:rPr>
          <w:color w:val="373737" w:themeColor="text2"/>
        </w:rPr>
      </w:pPr>
      <w:r w:rsidRPr="00C954FA">
        <w:rPr>
          <w:color w:val="373737" w:themeColor="text2"/>
        </w:rPr>
        <w:t xml:space="preserve">Geoscience Australia </w:t>
      </w:r>
    </w:p>
    <w:p w14:paraId="14340121" w14:textId="77777777" w:rsidR="0046505C" w:rsidRPr="0015689F" w:rsidRDefault="0046505C" w:rsidP="008B5FD2">
      <w:pPr>
        <w:pStyle w:val="Heading3"/>
        <w:rPr>
          <w:b/>
        </w:rPr>
      </w:pPr>
      <w:r w:rsidRPr="0015689F">
        <w:rPr>
          <w:b/>
        </w:rPr>
        <w:t xml:space="preserve">Australia’s Identified Mineral Resources </w:t>
      </w:r>
    </w:p>
    <w:p w14:paraId="37EEA5A9" w14:textId="7DF61DF6" w:rsidR="0046505C" w:rsidRPr="0015689F" w:rsidRDefault="0046505C" w:rsidP="00C976E0">
      <w:pPr>
        <w:spacing w:after="60"/>
        <w:rPr>
          <w:rFonts w:cs="Arial"/>
          <w:color w:val="333333"/>
          <w:shd w:val="clear" w:color="auto" w:fill="FFFFFF"/>
        </w:rPr>
      </w:pPr>
      <w:r w:rsidRPr="0015689F">
        <w:rPr>
          <w:rFonts w:cs="Arial"/>
          <w:color w:val="333333"/>
          <w:shd w:val="clear" w:color="auto" w:fill="FFFFFF"/>
        </w:rPr>
        <w:t xml:space="preserve">Australia’s Identified Mineral Resources is an annual assessment of Australia’s mineral reserves and resources for all major, and some minor, commodities. It provides useful indicators of potential resource life and future supply capability, </w:t>
      </w:r>
      <w:r w:rsidR="00C06F6C" w:rsidRPr="0015689F">
        <w:rPr>
          <w:rFonts w:cs="Arial"/>
          <w:color w:val="333333"/>
          <w:shd w:val="clear" w:color="auto" w:fill="FFFFFF"/>
        </w:rPr>
        <w:t xml:space="preserve">Australia’s global commodity </w:t>
      </w:r>
      <w:r w:rsidRPr="0015689F">
        <w:rPr>
          <w:rFonts w:cs="Arial"/>
          <w:color w:val="333333"/>
          <w:shd w:val="clear" w:color="auto" w:fill="FFFFFF"/>
        </w:rPr>
        <w:t>rankings, and insights into the distribution of Australia's resources and industry developments.</w:t>
      </w:r>
    </w:p>
    <w:p w14:paraId="2637D528" w14:textId="0F4237A6" w:rsidR="0046505C" w:rsidRPr="0015689F" w:rsidRDefault="00DD223A" w:rsidP="0046505C">
      <w:pPr>
        <w:pStyle w:val="BodyText"/>
      </w:pPr>
      <w:hyperlink r:id="rId78" w:history="1">
        <w:r w:rsidR="0046505C" w:rsidRPr="0015689F">
          <w:rPr>
            <w:rStyle w:val="Hyperlink"/>
          </w:rPr>
          <w:t>https://www.ga.gov.au/scientific-topics/minerals/mineral-resources-and-advice/aimr</w:t>
        </w:r>
      </w:hyperlink>
      <w:r w:rsidR="0046505C" w:rsidRPr="0015689F">
        <w:t xml:space="preserve"> </w:t>
      </w:r>
    </w:p>
    <w:p w14:paraId="5333745E" w14:textId="67121639" w:rsidR="0046505C" w:rsidRPr="0015689F" w:rsidRDefault="0046505C" w:rsidP="00227F8E">
      <w:pPr>
        <w:pStyle w:val="Heading3"/>
        <w:rPr>
          <w:b/>
          <w:bCs w:val="0"/>
        </w:rPr>
      </w:pPr>
      <w:r w:rsidRPr="0015689F">
        <w:rPr>
          <w:b/>
        </w:rPr>
        <w:t xml:space="preserve">Geoscience Australia Portal </w:t>
      </w:r>
    </w:p>
    <w:p w14:paraId="3BEB7CC6" w14:textId="0897914D" w:rsidR="0046505C" w:rsidRPr="0015689F" w:rsidRDefault="0046505C" w:rsidP="00C976E0">
      <w:pPr>
        <w:pStyle w:val="BodyText"/>
        <w:spacing w:before="60"/>
      </w:pPr>
      <w:r w:rsidRPr="0015689F">
        <w:t>This provides users with a single point to acc</w:t>
      </w:r>
      <w:r w:rsidR="002B2111" w:rsidRPr="0015689F">
        <w:t>ess Australia’s geoscience data, including a range of assessment tools such as Economic Fairways.</w:t>
      </w:r>
      <w:r w:rsidR="00F50FCD" w:rsidRPr="0015689F">
        <w:t xml:space="preserve"> </w:t>
      </w:r>
      <w:hyperlink r:id="rId79" w:history="1">
        <w:r w:rsidRPr="0015689F">
          <w:rPr>
            <w:rStyle w:val="Hyperlink"/>
          </w:rPr>
          <w:t>https://portal.ga.gov.au/</w:t>
        </w:r>
      </w:hyperlink>
    </w:p>
    <w:p w14:paraId="718DA4A7" w14:textId="77777777" w:rsidR="0046505C" w:rsidRPr="0015689F" w:rsidRDefault="0046505C" w:rsidP="008B5FD2">
      <w:pPr>
        <w:pStyle w:val="Heading3"/>
        <w:rPr>
          <w:b/>
        </w:rPr>
      </w:pPr>
      <w:r w:rsidRPr="0015689F">
        <w:rPr>
          <w:b/>
        </w:rPr>
        <w:t>Minerals and Mines Maps</w:t>
      </w:r>
    </w:p>
    <w:p w14:paraId="6C83C7DE" w14:textId="177C15EE" w:rsidR="002062C3" w:rsidRPr="0015689F" w:rsidRDefault="009361C5" w:rsidP="00403AB2">
      <w:r w:rsidRPr="0015689F">
        <w:t xml:space="preserve">Each year, </w:t>
      </w:r>
      <w:r w:rsidR="0046505C" w:rsidRPr="0015689F">
        <w:t xml:space="preserve">Geoscience Australia produces a number of maps </w:t>
      </w:r>
      <w:r w:rsidR="00EE52BF" w:rsidRPr="0015689F">
        <w:t>on</w:t>
      </w:r>
      <w:r w:rsidR="0046505C" w:rsidRPr="0015689F">
        <w:t xml:space="preserve"> resources and industry activity across the country. They include the operating status of the different mines and deposits, along with major infrastructure. The most recent versions of these maps can be accessed via the</w:t>
      </w:r>
      <w:r w:rsidRPr="0015689F">
        <w:t xml:space="preserve"> following</w:t>
      </w:r>
      <w:r w:rsidR="0046505C" w:rsidRPr="0015689F">
        <w:t xml:space="preserve"> links:</w:t>
      </w:r>
    </w:p>
    <w:p w14:paraId="5773C1C6" w14:textId="1D079F91" w:rsidR="00445FA3" w:rsidRDefault="0046505C" w:rsidP="00DF3571">
      <w:pPr>
        <w:spacing w:after="120"/>
      </w:pPr>
      <w:r w:rsidRPr="0015689F">
        <w:t xml:space="preserve">Australian Operating Mines Map </w:t>
      </w:r>
      <w:r w:rsidR="00286DAD" w:rsidRPr="0015689F">
        <w:t>202</w:t>
      </w:r>
      <w:r w:rsidR="00286DAD">
        <w:t>2</w:t>
      </w:r>
      <w:r w:rsidRPr="0015689F">
        <w:t xml:space="preserve">: </w:t>
      </w:r>
      <w:r w:rsidR="00286DAD" w:rsidRPr="00286DAD">
        <w:t xml:space="preserve"> </w:t>
      </w:r>
      <w:hyperlink r:id="rId80" w:history="1">
        <w:r w:rsidR="00286DAD" w:rsidRPr="00671AC6">
          <w:rPr>
            <w:rStyle w:val="Hyperlink"/>
          </w:rPr>
          <w:t>https://d28rz98at9flks.cloudfront.net/147694/147694_00_1.pdf</w:t>
        </w:r>
      </w:hyperlink>
    </w:p>
    <w:p w14:paraId="6E608090" w14:textId="6FD14AB9" w:rsidR="0046505C" w:rsidRDefault="0046505C" w:rsidP="00DF3571">
      <w:pPr>
        <w:keepNext/>
        <w:spacing w:after="120"/>
      </w:pPr>
      <w:r w:rsidRPr="0015689F">
        <w:t xml:space="preserve">Australian Critical Minerals Map </w:t>
      </w:r>
      <w:r w:rsidR="001D049D" w:rsidRPr="0015689F">
        <w:t>202</w:t>
      </w:r>
      <w:r w:rsidR="001D049D">
        <w:t>2</w:t>
      </w:r>
      <w:r w:rsidRPr="0015689F">
        <w:t xml:space="preserve">: </w:t>
      </w:r>
      <w:hyperlink r:id="rId81" w:history="1">
        <w:r w:rsidR="001D049D" w:rsidRPr="00671AC6">
          <w:rPr>
            <w:rStyle w:val="Hyperlink"/>
          </w:rPr>
          <w:t>https://d28rz98at9flks.cloudfront.net/147741/147741_00_1.pdf</w:t>
        </w:r>
      </w:hyperlink>
    </w:p>
    <w:p w14:paraId="0730FA4B" w14:textId="3FC1D71A" w:rsidR="0046505C" w:rsidRDefault="0046505C" w:rsidP="00DF3571">
      <w:pPr>
        <w:keepNext/>
        <w:spacing w:after="120"/>
      </w:pPr>
      <w:r w:rsidRPr="0015689F">
        <w:t xml:space="preserve">Australian Mineral Exploration Review </w:t>
      </w:r>
      <w:r w:rsidR="001D049D">
        <w:t>2022</w:t>
      </w:r>
      <w:r w:rsidRPr="0015689F">
        <w:t xml:space="preserve">: </w:t>
      </w:r>
      <w:r w:rsidR="001D049D" w:rsidRPr="001D049D">
        <w:t xml:space="preserve"> </w:t>
      </w:r>
      <w:hyperlink r:id="rId82" w:history="1">
        <w:r w:rsidR="001D049D" w:rsidRPr="00671AC6">
          <w:rPr>
            <w:rStyle w:val="Hyperlink"/>
          </w:rPr>
          <w:t>https://d28rz98at9flks.cloudfront.net/147970/147970_00_0.pdf</w:t>
        </w:r>
      </w:hyperlink>
    </w:p>
    <w:p w14:paraId="007EE2DA" w14:textId="7C774377" w:rsidR="0046505C" w:rsidRPr="0015689F" w:rsidRDefault="0046505C" w:rsidP="008B5FD2">
      <w:pPr>
        <w:pStyle w:val="Heading3"/>
        <w:rPr>
          <w:rFonts w:ascii="Calibri" w:hAnsi="Calibri"/>
          <w:b/>
          <w:color w:val="auto"/>
        </w:rPr>
      </w:pPr>
      <w:r w:rsidRPr="0015689F">
        <w:rPr>
          <w:b/>
        </w:rPr>
        <w:t xml:space="preserve">Australia’s Energy and Mineral Resources Investor Guide 2020 </w:t>
      </w:r>
    </w:p>
    <w:p w14:paraId="7C2930D2" w14:textId="0E620AEE" w:rsidR="0046505C" w:rsidRPr="0015689F" w:rsidRDefault="0046505C" w:rsidP="00C976E0">
      <w:pPr>
        <w:spacing w:after="120"/>
      </w:pPr>
      <w:r w:rsidRPr="0015689F">
        <w:t xml:space="preserve">Australia’s Energy and Mineral Resources Investor Guide 2020 is a guide for investors interested in Australian resources opportunities. </w:t>
      </w:r>
    </w:p>
    <w:p w14:paraId="6DBCAFB4" w14:textId="63BC7EAE" w:rsidR="0046505C" w:rsidRPr="00286DAD" w:rsidRDefault="00DD223A" w:rsidP="00403AB2">
      <w:pPr>
        <w:pStyle w:val="BodyText"/>
        <w:keepNext/>
        <w:spacing w:before="120" w:after="60" w:line="280" w:lineRule="atLeast"/>
        <w:outlineLvl w:val="2"/>
        <w:rPr>
          <w:rStyle w:val="Hyperlink"/>
        </w:rPr>
      </w:pPr>
      <w:hyperlink r:id="rId83" w:history="1">
        <w:r w:rsidR="0046505C" w:rsidRPr="0015689F">
          <w:rPr>
            <w:rStyle w:val="Hyperlink"/>
          </w:rPr>
          <w:t>http://d28rz98at9flks.cloudfront.net/133857/133857_00_0.pdf</w:t>
        </w:r>
      </w:hyperlink>
      <w:r w:rsidR="002062C3" w:rsidRPr="00286DAD">
        <w:rPr>
          <w:rStyle w:val="Hyperlink"/>
        </w:rPr>
        <w:tab/>
      </w:r>
    </w:p>
    <w:p w14:paraId="5154B7FF" w14:textId="7D8C41B9" w:rsidR="00286DAD" w:rsidRPr="0015689F" w:rsidRDefault="00286DAD" w:rsidP="0015689F">
      <w:pPr>
        <w:pStyle w:val="Heading3"/>
        <w:rPr>
          <w:b/>
        </w:rPr>
      </w:pPr>
      <w:r w:rsidRPr="0015689F">
        <w:rPr>
          <w:b/>
        </w:rPr>
        <w:t>Australia’s Energy Commodity Resources 2023</w:t>
      </w:r>
    </w:p>
    <w:p w14:paraId="08C244F4" w14:textId="7D36B92D" w:rsidR="00286DAD" w:rsidRDefault="00DD223A" w:rsidP="00286DAD">
      <w:pPr>
        <w:spacing w:after="120"/>
        <w:rPr>
          <w:rStyle w:val="Hyperlink"/>
        </w:rPr>
      </w:pPr>
      <w:hyperlink r:id="rId84" w:history="1">
        <w:r w:rsidR="00286DAD" w:rsidRPr="00286DAD">
          <w:rPr>
            <w:rStyle w:val="Hyperlink"/>
          </w:rPr>
          <w:t>https://www.ga.gov.au/digital-publication/aecr2023</w:t>
        </w:r>
      </w:hyperlink>
    </w:p>
    <w:p w14:paraId="376AF7BF" w14:textId="79B91A99" w:rsidR="00171DBC" w:rsidRDefault="00171DBC" w:rsidP="00286DAD">
      <w:pPr>
        <w:spacing w:after="120"/>
        <w:rPr>
          <w:rStyle w:val="Hyperlink"/>
        </w:rPr>
      </w:pPr>
    </w:p>
    <w:p w14:paraId="4D3E4CAD" w14:textId="6A1074AB" w:rsidR="00171DBC" w:rsidRDefault="00171DBC" w:rsidP="00286DAD">
      <w:pPr>
        <w:spacing w:after="120"/>
        <w:rPr>
          <w:rStyle w:val="Hyperlink"/>
        </w:rPr>
      </w:pPr>
    </w:p>
    <w:p w14:paraId="1458AC93" w14:textId="28E13ED2" w:rsidR="00171DBC" w:rsidRDefault="00171DBC" w:rsidP="00286DAD">
      <w:pPr>
        <w:spacing w:after="120"/>
        <w:rPr>
          <w:rStyle w:val="Hyperlink"/>
        </w:rPr>
      </w:pPr>
    </w:p>
    <w:p w14:paraId="6433D9B3" w14:textId="343398F2" w:rsidR="00171DBC" w:rsidRDefault="00171DBC" w:rsidP="00286DAD">
      <w:pPr>
        <w:spacing w:after="120"/>
        <w:rPr>
          <w:rStyle w:val="Hyperlink"/>
        </w:rPr>
      </w:pPr>
    </w:p>
    <w:p w14:paraId="3A7F4B7D" w14:textId="407FD081" w:rsidR="00171DBC" w:rsidRDefault="00171DBC" w:rsidP="00286DAD">
      <w:pPr>
        <w:spacing w:after="120"/>
        <w:rPr>
          <w:rStyle w:val="Hyperlink"/>
        </w:rPr>
      </w:pPr>
    </w:p>
    <w:p w14:paraId="68280985" w14:textId="77777777" w:rsidR="006C759B" w:rsidRDefault="006C759B" w:rsidP="006C759B">
      <w:pPr>
        <w:pStyle w:val="BodyText"/>
      </w:pPr>
    </w:p>
    <w:p w14:paraId="0B933AAA" w14:textId="77777777" w:rsidR="00171DBC" w:rsidRPr="007136E1" w:rsidRDefault="00171DBC" w:rsidP="00171DBC">
      <w:pPr>
        <w:pStyle w:val="Heading1NoNumber"/>
      </w:pPr>
      <w:r w:rsidRPr="007136E1">
        <w:t xml:space="preserve">About this report </w:t>
      </w:r>
    </w:p>
    <w:p w14:paraId="2A3E4E39" w14:textId="77777777" w:rsidR="00171DBC" w:rsidRPr="007136E1" w:rsidRDefault="00171DBC" w:rsidP="00171DBC">
      <w:pPr>
        <w:spacing w:after="120"/>
        <w:rPr>
          <w:rFonts w:asciiTheme="minorHAnsi" w:hAnsiTheme="minorHAnsi"/>
        </w:rPr>
      </w:pPr>
      <w:r w:rsidRPr="007136E1">
        <w:rPr>
          <w:rFonts w:asciiTheme="minorHAnsi" w:hAnsiTheme="minorHAnsi"/>
        </w:rPr>
        <w:t xml:space="preserve">The </w:t>
      </w:r>
      <w:r w:rsidRPr="007136E1">
        <w:rPr>
          <w:rFonts w:asciiTheme="minorHAnsi" w:hAnsiTheme="minorHAnsi"/>
          <w:i/>
        </w:rPr>
        <w:t>Resources and Energy Major Projects</w:t>
      </w:r>
      <w:r w:rsidRPr="007136E1">
        <w:rPr>
          <w:rFonts w:asciiTheme="minorHAnsi" w:hAnsiTheme="minorHAnsi"/>
        </w:rPr>
        <w:t xml:space="preserve"> publication is an annual review of projects which seek to extend, increase, or improve the quality of mineral commodity output in Australia. These investment projects include greenfield projects, expansions, reactivations, processing facilities, and related infrastructure. Since 1997, the publication has </w:t>
      </w:r>
      <w:r>
        <w:rPr>
          <w:rFonts w:asciiTheme="minorHAnsi" w:hAnsiTheme="minorHAnsi"/>
        </w:rPr>
        <w:t xml:space="preserve">reported </w:t>
      </w:r>
      <w:r w:rsidRPr="007136E1">
        <w:rPr>
          <w:rFonts w:asciiTheme="minorHAnsi" w:hAnsiTheme="minorHAnsi"/>
        </w:rPr>
        <w:t>the value of current and potential investment in the sector and provided commentary on key development trends.</w:t>
      </w:r>
    </w:p>
    <w:p w14:paraId="334B989B" w14:textId="77777777" w:rsidR="00171DBC" w:rsidRPr="007136E1" w:rsidRDefault="00171DBC" w:rsidP="00171DBC">
      <w:pPr>
        <w:spacing w:after="120"/>
        <w:rPr>
          <w:rFonts w:asciiTheme="minorHAnsi" w:hAnsiTheme="minorHAnsi"/>
        </w:rPr>
      </w:pPr>
      <w:r w:rsidRPr="007136E1">
        <w:rPr>
          <w:rFonts w:asciiTheme="minorHAnsi" w:hAnsiTheme="minorHAnsi"/>
        </w:rPr>
        <w:t xml:space="preserve">From 2017 to 2019, </w:t>
      </w:r>
      <w:r w:rsidRPr="007136E1">
        <w:rPr>
          <w:rFonts w:asciiTheme="minorHAnsi" w:hAnsiTheme="minorHAnsi"/>
          <w:i/>
        </w:rPr>
        <w:t>Resources and Energy Major Projects</w:t>
      </w:r>
      <w:r w:rsidRPr="007136E1">
        <w:rPr>
          <w:rFonts w:asciiTheme="minorHAnsi" w:hAnsiTheme="minorHAnsi"/>
        </w:rPr>
        <w:t xml:space="preserve"> was published as a chapter in the </w:t>
      </w:r>
      <w:r w:rsidRPr="007136E1">
        <w:rPr>
          <w:rFonts w:asciiTheme="minorHAnsi" w:hAnsiTheme="minorHAnsi"/>
          <w:i/>
        </w:rPr>
        <w:t>Resources and Energy Quarterly</w:t>
      </w:r>
      <w:r>
        <w:rPr>
          <w:rFonts w:asciiTheme="minorHAnsi" w:hAnsiTheme="minorHAnsi"/>
        </w:rPr>
        <w:t>. The</w:t>
      </w:r>
      <w:r w:rsidRPr="007136E1">
        <w:rPr>
          <w:rFonts w:asciiTheme="minorHAnsi" w:hAnsiTheme="minorHAnsi"/>
        </w:rPr>
        <w:t xml:space="preserve"> 2020</w:t>
      </w:r>
      <w:r>
        <w:rPr>
          <w:rFonts w:asciiTheme="minorHAnsi" w:hAnsiTheme="minorHAnsi"/>
        </w:rPr>
        <w:t>, 2021 and 2022</w:t>
      </w:r>
      <w:r w:rsidRPr="007136E1">
        <w:rPr>
          <w:rFonts w:asciiTheme="minorHAnsi" w:hAnsiTheme="minorHAnsi"/>
        </w:rPr>
        <w:t xml:space="preserve"> editions, as well as pre-2017 updates, are standalone publications.</w:t>
      </w:r>
    </w:p>
    <w:p w14:paraId="762A391D" w14:textId="13F092EA" w:rsidR="00171DBC" w:rsidRPr="007136E1" w:rsidRDefault="00171DBC" w:rsidP="00171DBC">
      <w:pPr>
        <w:spacing w:after="120"/>
        <w:rPr>
          <w:rFonts w:asciiTheme="minorHAnsi" w:hAnsiTheme="minorHAnsi"/>
        </w:rPr>
      </w:pPr>
      <w:r w:rsidRPr="007136E1">
        <w:rPr>
          <w:rFonts w:asciiTheme="minorHAnsi" w:hAnsiTheme="minorHAnsi"/>
        </w:rPr>
        <w:t xml:space="preserve">This edition of the report presents an update on project developments over the twelve months from the start of November </w:t>
      </w:r>
      <w:r>
        <w:rPr>
          <w:rFonts w:asciiTheme="minorHAnsi" w:hAnsiTheme="minorHAnsi"/>
        </w:rPr>
        <w:t>2022</w:t>
      </w:r>
      <w:r w:rsidRPr="007136E1">
        <w:rPr>
          <w:rFonts w:asciiTheme="minorHAnsi" w:hAnsiTheme="minorHAnsi"/>
        </w:rPr>
        <w:t xml:space="preserve"> to the end of October 202</w:t>
      </w:r>
      <w:r>
        <w:rPr>
          <w:rFonts w:asciiTheme="minorHAnsi" w:hAnsiTheme="minorHAnsi"/>
        </w:rPr>
        <w:t>3</w:t>
      </w:r>
      <w:r w:rsidRPr="007136E1">
        <w:rPr>
          <w:rFonts w:asciiTheme="minorHAnsi" w:hAnsiTheme="minorHAnsi"/>
        </w:rPr>
        <w:t xml:space="preserve">, and is accompanied by a </w:t>
      </w:r>
      <w:hyperlink r:id="rId85" w:history="1">
        <w:r w:rsidRPr="0008380F">
          <w:rPr>
            <w:rStyle w:val="Hyperlink"/>
            <w:rFonts w:asciiTheme="minorHAnsi" w:hAnsiTheme="minorHAnsi"/>
            <w:u w:val="single"/>
          </w:rPr>
          <w:t>detailed project listing</w:t>
        </w:r>
      </w:hyperlink>
      <w:r w:rsidRPr="007136E1">
        <w:rPr>
          <w:rFonts w:asciiTheme="minorHAnsi" w:hAnsiTheme="minorHAnsi"/>
        </w:rPr>
        <w:t>.</w:t>
      </w:r>
    </w:p>
    <w:p w14:paraId="4CDE0053" w14:textId="04A7FFD7" w:rsidR="00171DBC" w:rsidRPr="007136E1" w:rsidRDefault="00171DBC" w:rsidP="00171DBC">
      <w:pPr>
        <w:spacing w:after="120"/>
        <w:rPr>
          <w:rFonts w:asciiTheme="minorHAnsi" w:hAnsiTheme="minorHAnsi"/>
        </w:rPr>
      </w:pPr>
      <w:r w:rsidRPr="0050151E">
        <w:t>Each year, we seek to improve the coverage and quality of the report</w:t>
      </w:r>
      <w:r w:rsidR="00C85706">
        <w:t>. Much of the a</w:t>
      </w:r>
      <w:r w:rsidR="00D01066">
        <w:t xml:space="preserve">nalysis in </w:t>
      </w:r>
      <w:r w:rsidRPr="0050151E">
        <w:t xml:space="preserve">this edition </w:t>
      </w:r>
      <w:r w:rsidR="00D01066">
        <w:t>is directed at proj</w:t>
      </w:r>
      <w:r w:rsidRPr="0050151E">
        <w:t xml:space="preserve">ects that have progressed significantly and </w:t>
      </w:r>
      <w:r w:rsidR="003E282E">
        <w:t>which</w:t>
      </w:r>
      <w:r w:rsidRPr="0050151E">
        <w:t xml:space="preserve"> have a higher quality of data</w:t>
      </w:r>
      <w:r w:rsidR="003E282E">
        <w:t xml:space="preserve"> associated with them</w:t>
      </w:r>
      <w:r w:rsidRPr="0050151E">
        <w:t>. More details on this change are included in Box 1.1.</w:t>
      </w:r>
    </w:p>
    <w:p w14:paraId="7BBF547A" w14:textId="77777777" w:rsidR="00171DBC" w:rsidRPr="007136E1" w:rsidRDefault="00171DBC" w:rsidP="00171DBC">
      <w:pPr>
        <w:pStyle w:val="Heading1NoNumber"/>
      </w:pPr>
      <w:bookmarkStart w:id="101" w:name="_Toc55393244"/>
      <w:bookmarkStart w:id="102" w:name="_Toc55456452"/>
      <w:r w:rsidRPr="007136E1">
        <w:t>Terminology</w:t>
      </w:r>
      <w:bookmarkEnd w:id="101"/>
      <w:bookmarkEnd w:id="102"/>
    </w:p>
    <w:p w14:paraId="7618D4D6" w14:textId="77777777" w:rsidR="00171DBC" w:rsidRPr="007136E1" w:rsidRDefault="00171DBC" w:rsidP="00171DBC">
      <w:pPr>
        <w:spacing w:after="120"/>
      </w:pPr>
      <w:r w:rsidRPr="007136E1">
        <w:t xml:space="preserve">The methodology </w:t>
      </w:r>
      <w:r>
        <w:t>used in the report</w:t>
      </w:r>
      <w:r w:rsidRPr="007136E1">
        <w:t xml:space="preserve"> is detailed in </w:t>
      </w:r>
      <w:r>
        <w:t>the</w:t>
      </w:r>
      <w:r w:rsidRPr="007136E1">
        <w:t xml:space="preserve"> </w:t>
      </w:r>
      <w:r>
        <w:rPr>
          <w:i/>
        </w:rPr>
        <w:t>Methodology</w:t>
      </w:r>
      <w:r>
        <w:t xml:space="preserve"> section</w:t>
      </w:r>
      <w:r w:rsidRPr="007136E1">
        <w:t>.</w:t>
      </w:r>
    </w:p>
    <w:p w14:paraId="31AA1426" w14:textId="77777777" w:rsidR="00171DBC" w:rsidRPr="007136E1" w:rsidRDefault="00171DBC" w:rsidP="00171DBC">
      <w:pPr>
        <w:spacing w:after="120"/>
      </w:pPr>
      <w:r w:rsidRPr="007136E1">
        <w:t xml:space="preserve">This report and project list is the result of </w:t>
      </w:r>
      <w:r>
        <w:t>our research on</w:t>
      </w:r>
      <w:r w:rsidRPr="007136E1">
        <w:t xml:space="preserve"> major resources and energy projects under development in Australia. For the purposes of this report, ‘major’ projects are those </w:t>
      </w:r>
      <w:r>
        <w:t>costed</w:t>
      </w:r>
      <w:r w:rsidRPr="007136E1">
        <w:t xml:space="preserve"> at over $50 million and which have the potential to reach a final investment decision (FID) within the next five years.</w:t>
      </w:r>
    </w:p>
    <w:p w14:paraId="1A3138F3" w14:textId="36169BA3" w:rsidR="00171DBC" w:rsidRPr="00286DAD" w:rsidRDefault="00171DBC" w:rsidP="00171DBC">
      <w:pPr>
        <w:spacing w:after="120"/>
      </w:pPr>
      <w:r w:rsidRPr="007136E1">
        <w:t xml:space="preserve">Projects are classified into four stages: publicly announced, </w:t>
      </w:r>
      <w:r>
        <w:t xml:space="preserve">advanced </w:t>
      </w:r>
      <w:r w:rsidRPr="007136E1">
        <w:t>feasibility, committed and completed. Earlier stages of developing mineral projects, such as identifying deposits and exploration activit</w:t>
      </w:r>
      <w:r>
        <w:t>ies, are not included in our lists</w:t>
      </w:r>
      <w:r w:rsidRPr="007136E1">
        <w:t>.</w:t>
      </w:r>
    </w:p>
    <w:p w14:paraId="3C2ACAED" w14:textId="77777777" w:rsidR="00286DAD" w:rsidRPr="0015689F" w:rsidRDefault="00286DAD" w:rsidP="00286DAD">
      <w:pPr>
        <w:spacing w:after="120"/>
      </w:pPr>
    </w:p>
    <w:p w14:paraId="073B0B74" w14:textId="77777777" w:rsidR="00286DAD" w:rsidRPr="00286DAD" w:rsidRDefault="00286DAD" w:rsidP="00286DAD">
      <w:pPr>
        <w:spacing w:after="120"/>
        <w:rPr>
          <w:highlight w:val="yellow"/>
        </w:rPr>
      </w:pPr>
    </w:p>
    <w:p w14:paraId="33FD5169" w14:textId="77777777" w:rsidR="00286DAD" w:rsidRPr="0015689F" w:rsidRDefault="00286DAD" w:rsidP="0015689F">
      <w:pPr>
        <w:spacing w:after="120"/>
        <w:rPr>
          <w:highlight w:val="yellow"/>
        </w:rPr>
      </w:pPr>
    </w:p>
    <w:p w14:paraId="6B2D83BA" w14:textId="77777777" w:rsidR="00286DAD" w:rsidRPr="001270AC" w:rsidRDefault="00286DAD" w:rsidP="00403AB2">
      <w:pPr>
        <w:pStyle w:val="BodyText"/>
        <w:keepNext/>
        <w:spacing w:before="120" w:after="60" w:line="280" w:lineRule="atLeast"/>
        <w:outlineLvl w:val="2"/>
      </w:pPr>
    </w:p>
    <w:sectPr w:rsidR="00286DAD" w:rsidRPr="001270AC" w:rsidSect="00660AC0">
      <w:pgSz w:w="16838" w:h="11906" w:orient="landscape" w:code="9"/>
      <w:pgMar w:top="992"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A71D0" w14:textId="77777777" w:rsidR="00B4547B" w:rsidRDefault="00B4547B" w:rsidP="00F244EA">
      <w:pPr>
        <w:spacing w:after="0" w:line="240" w:lineRule="auto"/>
      </w:pPr>
      <w:r>
        <w:separator/>
      </w:r>
    </w:p>
  </w:endnote>
  <w:endnote w:type="continuationSeparator" w:id="0">
    <w:p w14:paraId="0ACC771F" w14:textId="77777777" w:rsidR="00B4547B" w:rsidRDefault="00B4547B" w:rsidP="00F244EA">
      <w:pPr>
        <w:spacing w:after="0" w:line="240" w:lineRule="auto"/>
      </w:pPr>
      <w:r>
        <w:continuationSeparator/>
      </w:r>
    </w:p>
  </w:endnote>
  <w:endnote w:type="continuationNotice" w:id="1">
    <w:p w14:paraId="3ACAECC1" w14:textId="77777777" w:rsidR="00B4547B" w:rsidRDefault="00B454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6CBE" w14:textId="0EA714FA" w:rsidR="00B4547B" w:rsidRPr="001C2E57" w:rsidRDefault="00B4547B" w:rsidP="00A854B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t xml:space="preserve"> </w:t>
    </w:r>
    <w:r w:rsidR="002B36C4">
      <w:tab/>
    </w:r>
    <w:r w:rsidR="002B36C4">
      <w:tab/>
    </w:r>
    <w:r w:rsidR="002B36C4">
      <w:tab/>
    </w:r>
    <w:r w:rsidR="002B36C4">
      <w:tab/>
    </w:r>
    <w:r w:rsidR="002B36C4">
      <w:tab/>
    </w:r>
    <w:r w:rsidR="002B36C4">
      <w:tab/>
    </w:r>
    <w:r>
      <w:tab/>
    </w:r>
    <w:r w:rsidRPr="001C2E57">
      <w:fldChar w:fldCharType="begin"/>
    </w:r>
    <w:r w:rsidRPr="001C2E57">
      <w:instrText xml:space="preserve"> PAGE   \* MERGEFORMAT </w:instrText>
    </w:r>
    <w:r w:rsidRPr="001C2E57">
      <w:fldChar w:fldCharType="separate"/>
    </w:r>
    <w:r w:rsidR="00BE4D79">
      <w:rPr>
        <w:noProof/>
      </w:rPr>
      <w:t>2</w:t>
    </w:r>
    <w:r w:rsidRPr="001C2E57">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6DF8" w14:textId="3836C41A" w:rsidR="00B4547B" w:rsidRPr="001C2E57" w:rsidRDefault="00B4547B"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6D6E1F">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52CEA616" w14:textId="77777777" w:rsidR="007952CC" w:rsidRDefault="007952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7ED4" w14:textId="77777777" w:rsidR="00BA7639" w:rsidRDefault="00BA763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41C8" w14:textId="536E8D23" w:rsidR="00BA7639" w:rsidRPr="00863592" w:rsidRDefault="00BA7639"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BD3635">
      <w:rPr>
        <w:b/>
        <w:noProof/>
        <w:color w:val="005CAF"/>
      </w:rPr>
      <w:t>December 2023</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Pr>
        <w:b/>
        <w:noProof/>
        <w:color w:val="005CAF"/>
      </w:rPr>
      <w:t>21</w:t>
    </w:r>
    <w:r w:rsidRPr="00863592">
      <w:rPr>
        <w:b/>
        <w:noProof/>
        <w:color w:val="005CA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7BBB" w14:textId="5180006A" w:rsidR="00BA7639" w:rsidRPr="001C2E57" w:rsidRDefault="00BA7639"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6D6E1F">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727C" w14:textId="64700158" w:rsidR="00460025" w:rsidRPr="00863592" w:rsidRDefault="00460025" w:rsidP="00460025">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BD3635">
      <w:rPr>
        <w:b/>
        <w:noProof/>
        <w:color w:val="005CAF"/>
      </w:rPr>
      <w:t>December 2023</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Pr>
        <w:b/>
        <w:color w:val="005CAF"/>
      </w:rPr>
      <w:t>24</w:t>
    </w:r>
    <w:r w:rsidRPr="00863592">
      <w:rPr>
        <w:b/>
        <w:noProof/>
        <w:color w:val="005CAF"/>
      </w:rPr>
      <w:fldChar w:fldCharType="end"/>
    </w:r>
  </w:p>
  <w:p w14:paraId="2CD4CC61" w14:textId="77777777" w:rsidR="00B4547B" w:rsidRDefault="00B4547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D434" w14:textId="674ACE5F" w:rsidR="00B4547B" w:rsidRPr="001C2E57" w:rsidRDefault="00B4547B"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6D6E1F">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CA8FA3D" w14:textId="5C37AD78" w:rsidR="00B4547B" w:rsidRPr="001C2E57" w:rsidRDefault="00B454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78B9" w14:textId="581E21BD" w:rsidR="00B4547B" w:rsidRDefault="00B4547B">
    <w:pPr>
      <w:pStyle w:val="Footer"/>
      <w:jc w:val="center"/>
    </w:pPr>
  </w:p>
  <w:p w14:paraId="11630537" w14:textId="7EE1FAB2" w:rsidR="00B4547B" w:rsidRDefault="00B4547B" w:rsidP="000754E0">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BD3635">
      <w:rPr>
        <w:b/>
        <w:noProof/>
        <w:color w:val="005CAF"/>
      </w:rPr>
      <w:t>December 2023</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5626A">
      <w:rPr>
        <w:b/>
        <w:noProof/>
        <w:color w:val="005CAF"/>
      </w:rPr>
      <w:t>3</w:t>
    </w:r>
    <w:r w:rsidRPr="00863592">
      <w:rPr>
        <w:b/>
        <w:noProof/>
        <w:color w:val="005CA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1FE9" w14:textId="77777777" w:rsidR="00B4547B" w:rsidRDefault="00B454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82D9" w14:textId="27A4F020" w:rsidR="00B4547B" w:rsidRPr="00863592" w:rsidRDefault="00B4547B" w:rsidP="00C83F69">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BD3635">
      <w:rPr>
        <w:b/>
        <w:noProof/>
        <w:color w:val="005CAF"/>
      </w:rPr>
      <w:t>December 2023</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865EF">
      <w:rPr>
        <w:b/>
        <w:noProof/>
        <w:color w:val="005CAF"/>
      </w:rPr>
      <w:t>6</w:t>
    </w:r>
    <w:r w:rsidRPr="00863592">
      <w:rPr>
        <w:b/>
        <w:noProof/>
        <w:color w:val="005CA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4857" w14:textId="53D15519"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6D6E1F">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7F33" w14:textId="77777777" w:rsidR="00B4547B" w:rsidRDefault="00B454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EC9C" w14:textId="2E00B79B"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6D6E1F">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1EE97634" w14:textId="77777777" w:rsidR="00B4547B" w:rsidRDefault="00B4547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AAC9" w14:textId="77777777" w:rsidR="00B4547B" w:rsidRDefault="00B454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B341" w14:textId="77777777" w:rsidR="003B7F54" w:rsidRDefault="003B7F54" w:rsidP="003B7F54">
    <w:pPr>
      <w:pStyle w:val="Footer"/>
      <w:tabs>
        <w:tab w:val="clear" w:pos="9680"/>
      </w:tabs>
    </w:pPr>
  </w:p>
  <w:p w14:paraId="10A99430" w14:textId="0D1B5859" w:rsidR="007952CC" w:rsidRPr="003B7F54" w:rsidRDefault="00B4547B" w:rsidP="003B7F54">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DD223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BD3635">
      <w:rPr>
        <w:b/>
        <w:noProof/>
        <w:color w:val="005CAF"/>
      </w:rPr>
      <w:t>December 2023</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865EF">
      <w:rPr>
        <w:b/>
        <w:noProof/>
        <w:color w:val="005CAF"/>
      </w:rPr>
      <w:t>26</w:t>
    </w:r>
    <w:r w:rsidRPr="00863592">
      <w:rPr>
        <w:b/>
        <w:noProof/>
        <w:color w:val="005CA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5E234" w14:textId="77777777" w:rsidR="00B4547B" w:rsidRDefault="00B4547B" w:rsidP="00F244EA">
      <w:pPr>
        <w:spacing w:after="0" w:line="240" w:lineRule="auto"/>
      </w:pPr>
      <w:r>
        <w:separator/>
      </w:r>
    </w:p>
  </w:footnote>
  <w:footnote w:type="continuationSeparator" w:id="0">
    <w:p w14:paraId="62DE7E23" w14:textId="77777777" w:rsidR="00B4547B" w:rsidRDefault="00B4547B" w:rsidP="00F244EA">
      <w:pPr>
        <w:spacing w:after="0" w:line="240" w:lineRule="auto"/>
      </w:pPr>
      <w:r>
        <w:continuationSeparator/>
      </w:r>
    </w:p>
  </w:footnote>
  <w:footnote w:type="continuationNotice" w:id="1">
    <w:p w14:paraId="0962B813" w14:textId="77777777" w:rsidR="00B4547B" w:rsidRDefault="00B454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466E" w14:textId="50F52126" w:rsidR="00B4547B" w:rsidRPr="007964F4" w:rsidRDefault="00B4547B" w:rsidP="00F102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74AA" w14:textId="21605ED3" w:rsidR="00B4547B" w:rsidRDefault="00B454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383B" w14:textId="517B3A5C" w:rsidR="00B4547B" w:rsidRDefault="00B454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544B" w14:textId="0D3BBB13" w:rsidR="00B4547B" w:rsidRDefault="00B454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F4B9" w14:textId="4784783B" w:rsidR="00B4547B" w:rsidRPr="007964F4" w:rsidRDefault="00B4547B" w:rsidP="005379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EB36" w14:textId="09228B04" w:rsidR="00B4547B" w:rsidRDefault="00B454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78B" w14:textId="77777777" w:rsidR="00BA7639" w:rsidRDefault="00BA76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25F6" w14:textId="77777777" w:rsidR="00BA7639" w:rsidRDefault="00BA763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190B" w14:textId="77777777" w:rsidR="00BA7639" w:rsidRDefault="00BA763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CDAD" w14:textId="26C1A9A1" w:rsidR="00B4547B" w:rsidRDefault="00B4547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C778" w14:textId="6E9543FA" w:rsidR="00B4547B" w:rsidRDefault="00B4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1DC1" w14:textId="5E28481C" w:rsidR="00B4547B" w:rsidRDefault="00B454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5FFC" w14:textId="40054F58" w:rsidR="00B4547B" w:rsidRDefault="00B45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C8B2" w14:textId="378AF8DD" w:rsidR="00B4547B" w:rsidRDefault="00B454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82D6" w14:textId="5C4BAC92" w:rsidR="00B4547B" w:rsidRDefault="00B454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C7A1" w14:textId="77777777" w:rsidR="00B4547B" w:rsidRDefault="00B454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1F11" w14:textId="4D694F3A" w:rsidR="00B4547B" w:rsidRDefault="00B454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DC2B" w14:textId="77777777" w:rsidR="00B4547B" w:rsidRDefault="00B454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78A5" w14:textId="77777777" w:rsidR="00790C62" w:rsidRPr="007964F4" w:rsidRDefault="00790C62" w:rsidP="003F45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80A9" w14:textId="7F7AB435" w:rsidR="00B4547B" w:rsidRDefault="00B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CC38A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40A04"/>
    <w:multiLevelType w:val="hybridMultilevel"/>
    <w:tmpl w:val="571416F4"/>
    <w:lvl w:ilvl="0" w:tplc="EEACC93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23B38"/>
    <w:multiLevelType w:val="multilevel"/>
    <w:tmpl w:val="C73A9A6C"/>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FA705B"/>
    <w:multiLevelType w:val="multilevel"/>
    <w:tmpl w:val="70341E2E"/>
    <w:numStyleLink w:val="OCEOnePagerHeadingStyles"/>
  </w:abstractNum>
  <w:abstractNum w:abstractNumId="5" w15:restartNumberingAfterBreak="0">
    <w:nsid w:val="06615F43"/>
    <w:multiLevelType w:val="hybridMultilevel"/>
    <w:tmpl w:val="B2D29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055DA"/>
    <w:multiLevelType w:val="hybridMultilevel"/>
    <w:tmpl w:val="B6A2E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865E8"/>
    <w:multiLevelType w:val="hybridMultilevel"/>
    <w:tmpl w:val="080ADF0E"/>
    <w:lvl w:ilvl="0" w:tplc="2A987D8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BF56E5"/>
    <w:multiLevelType w:val="hybridMultilevel"/>
    <w:tmpl w:val="B5ACFEB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 w15:restartNumberingAfterBreak="0">
    <w:nsid w:val="14CA4653"/>
    <w:multiLevelType w:val="hybridMultilevel"/>
    <w:tmpl w:val="35C41450"/>
    <w:lvl w:ilvl="0" w:tplc="63309330">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A6EC1"/>
    <w:multiLevelType w:val="multilevel"/>
    <w:tmpl w:val="3BFA39A6"/>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2"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3"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4" w15:restartNumberingAfterBreak="0">
    <w:nsid w:val="18801DAD"/>
    <w:multiLevelType w:val="multilevel"/>
    <w:tmpl w:val="E85A4A22"/>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5" w15:restartNumberingAfterBreak="0">
    <w:nsid w:val="1AF01AC8"/>
    <w:multiLevelType w:val="hybridMultilevel"/>
    <w:tmpl w:val="515CC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31DEA"/>
    <w:multiLevelType w:val="hybridMultilevel"/>
    <w:tmpl w:val="7D9E903A"/>
    <w:lvl w:ilvl="0" w:tplc="55760028">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1E822AD0"/>
    <w:multiLevelType w:val="hybridMultilevel"/>
    <w:tmpl w:val="327AC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4C2995"/>
    <w:multiLevelType w:val="hybridMultilevel"/>
    <w:tmpl w:val="7660B7C8"/>
    <w:lvl w:ilvl="0" w:tplc="902A41BE">
      <w:start w:val="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255156BA"/>
    <w:multiLevelType w:val="hybridMultilevel"/>
    <w:tmpl w:val="A774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A84853"/>
    <w:multiLevelType w:val="multilevel"/>
    <w:tmpl w:val="70341E2E"/>
    <w:styleLink w:val="OCEOnePagerHeadingStyles"/>
    <w:lvl w:ilvl="0">
      <w:start w:val="1"/>
      <w:numFmt w:val="decimal"/>
      <w:pStyle w:val="OnePagerH1"/>
      <w:lvlText w:val="%1."/>
      <w:lvlJc w:val="left"/>
      <w:pPr>
        <w:ind w:left="360" w:hanging="360"/>
      </w:pPr>
      <w:rPr>
        <w:rFonts w:hint="default"/>
      </w:rPr>
    </w:lvl>
    <w:lvl w:ilvl="1">
      <w:start w:val="1"/>
      <w:numFmt w:val="decimal"/>
      <w:pStyle w:val="OnePagerH2"/>
      <w:lvlText w:val="%1.%2"/>
      <w:lvlJc w:val="left"/>
      <w:pPr>
        <w:ind w:left="0" w:firstLine="0"/>
      </w:pPr>
      <w:rPr>
        <w:rFonts w:hint="default"/>
      </w:rPr>
    </w:lvl>
    <w:lvl w:ilvl="2">
      <w:start w:val="1"/>
      <w:numFmt w:val="none"/>
      <w:pStyle w:val="OnePagerH3"/>
      <w:suff w:val="nothing"/>
      <w:lvlText w:val=""/>
      <w:lvlJc w:val="left"/>
      <w:pPr>
        <w:ind w:left="-32767"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21" w15:restartNumberingAfterBreak="0">
    <w:nsid w:val="2F785D14"/>
    <w:multiLevelType w:val="hybridMultilevel"/>
    <w:tmpl w:val="EE6E9344"/>
    <w:lvl w:ilvl="0" w:tplc="C79A079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36728C"/>
    <w:multiLevelType w:val="hybridMultilevel"/>
    <w:tmpl w:val="55DA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076CA4"/>
    <w:multiLevelType w:val="hybridMultilevel"/>
    <w:tmpl w:val="1B3C44A2"/>
    <w:lvl w:ilvl="0" w:tplc="E4C4D254">
      <w:start w:val="1"/>
      <w:numFmt w:val="decimal"/>
      <w:pStyle w:val="Heading1"/>
      <w:lvlText w:val="%1."/>
      <w:lvlJc w:val="left"/>
      <w:pPr>
        <w:ind w:left="702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25" w15:restartNumberingAfterBreak="0">
    <w:nsid w:val="427C52AC"/>
    <w:multiLevelType w:val="hybridMultilevel"/>
    <w:tmpl w:val="F7FACB26"/>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6" w15:restartNumberingAfterBreak="0">
    <w:nsid w:val="42964729"/>
    <w:multiLevelType w:val="hybridMultilevel"/>
    <w:tmpl w:val="65947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2E62185"/>
    <w:multiLevelType w:val="hybridMultilevel"/>
    <w:tmpl w:val="8C5046D8"/>
    <w:lvl w:ilvl="0" w:tplc="6BA89F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F33A5"/>
    <w:multiLevelType w:val="hybridMultilevel"/>
    <w:tmpl w:val="E438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6B7E69"/>
    <w:multiLevelType w:val="hybridMultilevel"/>
    <w:tmpl w:val="BFF8FCC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0" w15:restartNumberingAfterBreak="0">
    <w:nsid w:val="461E3E52"/>
    <w:multiLevelType w:val="hybridMultilevel"/>
    <w:tmpl w:val="328C9B9E"/>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15:restartNumberingAfterBreak="0">
    <w:nsid w:val="4B94390E"/>
    <w:multiLevelType w:val="multilevel"/>
    <w:tmpl w:val="D8FA72B0"/>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709" w:hanging="369"/>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53813CDC"/>
    <w:multiLevelType w:val="multilevel"/>
    <w:tmpl w:val="10E217AA"/>
    <w:lvl w:ilvl="0">
      <w:start w:val="1"/>
      <w:numFmt w:val="decimal"/>
      <w:lvlText w:val="%1."/>
      <w:lvlJc w:val="left"/>
      <w:pPr>
        <w:ind w:left="709" w:hanging="709"/>
      </w:pPr>
      <w:rPr>
        <w:rFonts w:hint="default"/>
      </w:rPr>
    </w:lvl>
    <w:lvl w:ilvl="1">
      <w:start w:val="1"/>
      <w:numFmt w:val="decimal"/>
      <w:lvlText w:val="%1.%2"/>
      <w:lvlJc w:val="left"/>
      <w:pPr>
        <w:ind w:left="3686"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5C4E60E8"/>
    <w:multiLevelType w:val="hybridMultilevel"/>
    <w:tmpl w:val="52EA4A9C"/>
    <w:lvl w:ilvl="0" w:tplc="7080585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58068A"/>
    <w:multiLevelType w:val="hybridMultilevel"/>
    <w:tmpl w:val="0706C74C"/>
    <w:lvl w:ilvl="0" w:tplc="29DC50AA">
      <w:start w:val="1"/>
      <w:numFmt w:val="bullet"/>
      <w:lvlText w:val=""/>
      <w:lvlJc w:val="left"/>
      <w:pPr>
        <w:tabs>
          <w:tab w:val="num" w:pos="720"/>
        </w:tabs>
        <w:ind w:left="720" w:hanging="360"/>
      </w:pPr>
      <w:rPr>
        <w:rFonts w:ascii="Wingdings" w:hAnsi="Wingdings" w:hint="default"/>
      </w:rPr>
    </w:lvl>
    <w:lvl w:ilvl="1" w:tplc="E1BC88B4" w:tentative="1">
      <w:start w:val="1"/>
      <w:numFmt w:val="bullet"/>
      <w:lvlText w:val=""/>
      <w:lvlJc w:val="left"/>
      <w:pPr>
        <w:tabs>
          <w:tab w:val="num" w:pos="1440"/>
        </w:tabs>
        <w:ind w:left="1440" w:hanging="360"/>
      </w:pPr>
      <w:rPr>
        <w:rFonts w:ascii="Wingdings" w:hAnsi="Wingdings" w:hint="default"/>
      </w:rPr>
    </w:lvl>
    <w:lvl w:ilvl="2" w:tplc="EA34712E" w:tentative="1">
      <w:start w:val="1"/>
      <w:numFmt w:val="bullet"/>
      <w:lvlText w:val=""/>
      <w:lvlJc w:val="left"/>
      <w:pPr>
        <w:tabs>
          <w:tab w:val="num" w:pos="2160"/>
        </w:tabs>
        <w:ind w:left="2160" w:hanging="360"/>
      </w:pPr>
      <w:rPr>
        <w:rFonts w:ascii="Wingdings" w:hAnsi="Wingdings" w:hint="default"/>
      </w:rPr>
    </w:lvl>
    <w:lvl w:ilvl="3" w:tplc="4FD6198A" w:tentative="1">
      <w:start w:val="1"/>
      <w:numFmt w:val="bullet"/>
      <w:lvlText w:val=""/>
      <w:lvlJc w:val="left"/>
      <w:pPr>
        <w:tabs>
          <w:tab w:val="num" w:pos="2880"/>
        </w:tabs>
        <w:ind w:left="2880" w:hanging="360"/>
      </w:pPr>
      <w:rPr>
        <w:rFonts w:ascii="Wingdings" w:hAnsi="Wingdings" w:hint="default"/>
      </w:rPr>
    </w:lvl>
    <w:lvl w:ilvl="4" w:tplc="2AF8D69E" w:tentative="1">
      <w:start w:val="1"/>
      <w:numFmt w:val="bullet"/>
      <w:lvlText w:val=""/>
      <w:lvlJc w:val="left"/>
      <w:pPr>
        <w:tabs>
          <w:tab w:val="num" w:pos="3600"/>
        </w:tabs>
        <w:ind w:left="3600" w:hanging="360"/>
      </w:pPr>
      <w:rPr>
        <w:rFonts w:ascii="Wingdings" w:hAnsi="Wingdings" w:hint="default"/>
      </w:rPr>
    </w:lvl>
    <w:lvl w:ilvl="5" w:tplc="145EDB10" w:tentative="1">
      <w:start w:val="1"/>
      <w:numFmt w:val="bullet"/>
      <w:lvlText w:val=""/>
      <w:lvlJc w:val="left"/>
      <w:pPr>
        <w:tabs>
          <w:tab w:val="num" w:pos="4320"/>
        </w:tabs>
        <w:ind w:left="4320" w:hanging="360"/>
      </w:pPr>
      <w:rPr>
        <w:rFonts w:ascii="Wingdings" w:hAnsi="Wingdings" w:hint="default"/>
      </w:rPr>
    </w:lvl>
    <w:lvl w:ilvl="6" w:tplc="80EAF112" w:tentative="1">
      <w:start w:val="1"/>
      <w:numFmt w:val="bullet"/>
      <w:lvlText w:val=""/>
      <w:lvlJc w:val="left"/>
      <w:pPr>
        <w:tabs>
          <w:tab w:val="num" w:pos="5040"/>
        </w:tabs>
        <w:ind w:left="5040" w:hanging="360"/>
      </w:pPr>
      <w:rPr>
        <w:rFonts w:ascii="Wingdings" w:hAnsi="Wingdings" w:hint="default"/>
      </w:rPr>
    </w:lvl>
    <w:lvl w:ilvl="7" w:tplc="EBA0E682" w:tentative="1">
      <w:start w:val="1"/>
      <w:numFmt w:val="bullet"/>
      <w:lvlText w:val=""/>
      <w:lvlJc w:val="left"/>
      <w:pPr>
        <w:tabs>
          <w:tab w:val="num" w:pos="5760"/>
        </w:tabs>
        <w:ind w:left="5760" w:hanging="360"/>
      </w:pPr>
      <w:rPr>
        <w:rFonts w:ascii="Wingdings" w:hAnsi="Wingdings" w:hint="default"/>
      </w:rPr>
    </w:lvl>
    <w:lvl w:ilvl="8" w:tplc="C8ECBE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29047D"/>
    <w:multiLevelType w:val="hybridMultilevel"/>
    <w:tmpl w:val="E2F8E3E8"/>
    <w:lvl w:ilvl="0" w:tplc="B7FCD362">
      <w:start w:val="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6" w15:restartNumberingAfterBreak="0">
    <w:nsid w:val="6FB96CC1"/>
    <w:multiLevelType w:val="hybridMultilevel"/>
    <w:tmpl w:val="C7CC9636"/>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1B4670"/>
    <w:multiLevelType w:val="hybridMultilevel"/>
    <w:tmpl w:val="AE7EBE32"/>
    <w:lvl w:ilvl="0" w:tplc="1A989482">
      <w:numFmt w:val="bullet"/>
      <w:lvlText w:val="-"/>
      <w:lvlJc w:val="left"/>
      <w:pPr>
        <w:ind w:left="720" w:hanging="360"/>
      </w:pPr>
      <w:rPr>
        <w:rFonts w:ascii="Arial" w:eastAsiaTheme="minorHAnsi" w:hAnsi="Arial" w:cs="Aria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54A7896"/>
    <w:multiLevelType w:val="hybridMultilevel"/>
    <w:tmpl w:val="C7186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966D96"/>
    <w:multiLevelType w:val="hybridMultilevel"/>
    <w:tmpl w:val="C18C9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3387987">
    <w:abstractNumId w:val="41"/>
  </w:num>
  <w:num w:numId="2" w16cid:durableId="339816735">
    <w:abstractNumId w:val="24"/>
  </w:num>
  <w:num w:numId="3" w16cid:durableId="1769960684">
    <w:abstractNumId w:val="2"/>
  </w:num>
  <w:num w:numId="4" w16cid:durableId="1868330520">
    <w:abstractNumId w:val="31"/>
  </w:num>
  <w:num w:numId="5" w16cid:durableId="1909337528">
    <w:abstractNumId w:val="14"/>
    <w:lvlOverride w:ilvl="0">
      <w:lvl w:ilvl="0">
        <w:start w:val="1"/>
        <w:numFmt w:val="decimal"/>
        <w:pStyle w:val="ListNumber"/>
        <w:lvlText w:val="%1."/>
        <w:lvlJc w:val="left"/>
        <w:pPr>
          <w:ind w:left="425" w:hanging="425"/>
        </w:pPr>
        <w:rPr>
          <w:color w:val="auto"/>
        </w:rPr>
      </w:lvl>
    </w:lvlOverride>
  </w:num>
  <w:num w:numId="6" w16cid:durableId="190534982">
    <w:abstractNumId w:val="13"/>
  </w:num>
  <w:num w:numId="7" w16cid:durableId="1517690383">
    <w:abstractNumId w:val="25"/>
  </w:num>
  <w:num w:numId="8" w16cid:durableId="1018309184">
    <w:abstractNumId w:val="12"/>
  </w:num>
  <w:num w:numId="9" w16cid:durableId="973831986">
    <w:abstractNumId w:val="6"/>
  </w:num>
  <w:num w:numId="10" w16cid:durableId="1213807866">
    <w:abstractNumId w:val="38"/>
  </w:num>
  <w:num w:numId="11" w16cid:durableId="790904381">
    <w:abstractNumId w:val="31"/>
  </w:num>
  <w:num w:numId="12" w16cid:durableId="1458833447">
    <w:abstractNumId w:val="31"/>
  </w:num>
  <w:num w:numId="13" w16cid:durableId="645931859">
    <w:abstractNumId w:val="31"/>
  </w:num>
  <w:num w:numId="14" w16cid:durableId="1664434988">
    <w:abstractNumId w:val="31"/>
  </w:num>
  <w:num w:numId="15" w16cid:durableId="448471379">
    <w:abstractNumId w:val="31"/>
  </w:num>
  <w:num w:numId="16" w16cid:durableId="2100710343">
    <w:abstractNumId w:val="31"/>
  </w:num>
  <w:num w:numId="17" w16cid:durableId="1357540702">
    <w:abstractNumId w:val="31"/>
  </w:num>
  <w:num w:numId="18" w16cid:durableId="881211853">
    <w:abstractNumId w:val="31"/>
  </w:num>
  <w:num w:numId="19" w16cid:durableId="1637880014">
    <w:abstractNumId w:val="31"/>
  </w:num>
  <w:num w:numId="20" w16cid:durableId="63995323">
    <w:abstractNumId w:val="25"/>
  </w:num>
  <w:num w:numId="21" w16cid:durableId="870844624">
    <w:abstractNumId w:val="11"/>
  </w:num>
  <w:num w:numId="22" w16cid:durableId="25377723">
    <w:abstractNumId w:val="32"/>
  </w:num>
  <w:num w:numId="23" w16cid:durableId="139351718">
    <w:abstractNumId w:val="34"/>
  </w:num>
  <w:num w:numId="24" w16cid:durableId="284973094">
    <w:abstractNumId w:val="10"/>
  </w:num>
  <w:num w:numId="25" w16cid:durableId="943536449">
    <w:abstractNumId w:val="1"/>
  </w:num>
  <w:num w:numId="26" w16cid:durableId="62025385">
    <w:abstractNumId w:val="37"/>
  </w:num>
  <w:num w:numId="27" w16cid:durableId="82848189">
    <w:abstractNumId w:val="33"/>
  </w:num>
  <w:num w:numId="28" w16cid:durableId="186019149">
    <w:abstractNumId w:val="27"/>
  </w:num>
  <w:num w:numId="29" w16cid:durableId="1117412105">
    <w:abstractNumId w:val="32"/>
  </w:num>
  <w:num w:numId="30" w16cid:durableId="905990087">
    <w:abstractNumId w:val="32"/>
  </w:num>
  <w:num w:numId="31" w16cid:durableId="1145780478">
    <w:abstractNumId w:val="32"/>
  </w:num>
  <w:num w:numId="32" w16cid:durableId="621496163">
    <w:abstractNumId w:val="19"/>
  </w:num>
  <w:num w:numId="33" w16cid:durableId="1309675343">
    <w:abstractNumId w:val="39"/>
  </w:num>
  <w:num w:numId="34" w16cid:durableId="718743105">
    <w:abstractNumId w:val="32"/>
  </w:num>
  <w:num w:numId="35" w16cid:durableId="899634590">
    <w:abstractNumId w:val="32"/>
  </w:num>
  <w:num w:numId="36" w16cid:durableId="1069421230">
    <w:abstractNumId w:val="0"/>
  </w:num>
  <w:num w:numId="37" w16cid:durableId="504901968">
    <w:abstractNumId w:val="23"/>
  </w:num>
  <w:num w:numId="38" w16cid:durableId="557783066">
    <w:abstractNumId w:val="29"/>
  </w:num>
  <w:num w:numId="39" w16cid:durableId="1096098477">
    <w:abstractNumId w:val="30"/>
  </w:num>
  <w:num w:numId="40" w16cid:durableId="1753118311">
    <w:abstractNumId w:val="36"/>
  </w:num>
  <w:num w:numId="41" w16cid:durableId="1687976417">
    <w:abstractNumId w:val="16"/>
  </w:num>
  <w:num w:numId="42" w16cid:durableId="765348946">
    <w:abstractNumId w:val="21"/>
  </w:num>
  <w:num w:numId="43" w16cid:durableId="1298414160">
    <w:abstractNumId w:val="35"/>
  </w:num>
  <w:num w:numId="44" w16cid:durableId="1523282061">
    <w:abstractNumId w:val="18"/>
  </w:num>
  <w:num w:numId="45" w16cid:durableId="1397585076">
    <w:abstractNumId w:val="9"/>
  </w:num>
  <w:num w:numId="46" w16cid:durableId="1402288830">
    <w:abstractNumId w:val="20"/>
  </w:num>
  <w:num w:numId="47" w16cid:durableId="63529687">
    <w:abstractNumId w:val="4"/>
  </w:num>
  <w:num w:numId="48" w16cid:durableId="314336454">
    <w:abstractNumId w:val="23"/>
  </w:num>
  <w:num w:numId="49" w16cid:durableId="1569993037">
    <w:abstractNumId w:val="3"/>
  </w:num>
  <w:num w:numId="50" w16cid:durableId="1886139526">
    <w:abstractNumId w:val="31"/>
  </w:num>
  <w:num w:numId="51" w16cid:durableId="537670971">
    <w:abstractNumId w:val="8"/>
  </w:num>
  <w:num w:numId="52" w16cid:durableId="836652255">
    <w:abstractNumId w:val="14"/>
  </w:num>
  <w:num w:numId="53" w16cid:durableId="2090151179">
    <w:abstractNumId w:val="22"/>
  </w:num>
  <w:num w:numId="54" w16cid:durableId="1329939213">
    <w:abstractNumId w:val="17"/>
  </w:num>
  <w:num w:numId="55" w16cid:durableId="850070141">
    <w:abstractNumId w:val="7"/>
  </w:num>
  <w:num w:numId="56" w16cid:durableId="1535386824">
    <w:abstractNumId w:val="26"/>
  </w:num>
  <w:num w:numId="57" w16cid:durableId="793259023">
    <w:abstractNumId w:val="5"/>
  </w:num>
  <w:num w:numId="58" w16cid:durableId="763578302">
    <w:abstractNumId w:val="31"/>
  </w:num>
  <w:num w:numId="59" w16cid:durableId="465700956">
    <w:abstractNumId w:val="28"/>
  </w:num>
  <w:num w:numId="60" w16cid:durableId="2002851668">
    <w:abstractNumId w:val="15"/>
  </w:num>
  <w:num w:numId="61" w16cid:durableId="2098668368">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drawingGridHorizontalSpacing w:val="100"/>
  <w:displayHorizontalDrawingGridEvery w:val="2"/>
  <w:displayVerticalDrawingGridEvery w:val="2"/>
  <w:characterSpacingControl w:val="doNotCompress"/>
  <w:hdrShapeDefaults>
    <o:shapedefaults v:ext="edit" spidmax="7577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21"/>
    <w:rsid w:val="00000104"/>
    <w:rsid w:val="0000016F"/>
    <w:rsid w:val="000006B1"/>
    <w:rsid w:val="0000093C"/>
    <w:rsid w:val="000009BD"/>
    <w:rsid w:val="00000A47"/>
    <w:rsid w:val="0000106B"/>
    <w:rsid w:val="00001491"/>
    <w:rsid w:val="00001739"/>
    <w:rsid w:val="0000227E"/>
    <w:rsid w:val="000025D5"/>
    <w:rsid w:val="0000263A"/>
    <w:rsid w:val="00002F55"/>
    <w:rsid w:val="0000305C"/>
    <w:rsid w:val="000033CC"/>
    <w:rsid w:val="000036F1"/>
    <w:rsid w:val="00003B81"/>
    <w:rsid w:val="00003D7B"/>
    <w:rsid w:val="00003E82"/>
    <w:rsid w:val="00004365"/>
    <w:rsid w:val="00004BF6"/>
    <w:rsid w:val="00004DEA"/>
    <w:rsid w:val="00004F5A"/>
    <w:rsid w:val="00005035"/>
    <w:rsid w:val="0000520B"/>
    <w:rsid w:val="0000533A"/>
    <w:rsid w:val="00005802"/>
    <w:rsid w:val="00005E6F"/>
    <w:rsid w:val="000060D6"/>
    <w:rsid w:val="000061D3"/>
    <w:rsid w:val="00007E47"/>
    <w:rsid w:val="00007EBB"/>
    <w:rsid w:val="00007F05"/>
    <w:rsid w:val="00007F1C"/>
    <w:rsid w:val="00010BD9"/>
    <w:rsid w:val="0001161C"/>
    <w:rsid w:val="000117B5"/>
    <w:rsid w:val="0001186D"/>
    <w:rsid w:val="00011A48"/>
    <w:rsid w:val="00011B70"/>
    <w:rsid w:val="00011BE7"/>
    <w:rsid w:val="00011FA3"/>
    <w:rsid w:val="000122D8"/>
    <w:rsid w:val="00012B57"/>
    <w:rsid w:val="00012C19"/>
    <w:rsid w:val="00012C82"/>
    <w:rsid w:val="000130A4"/>
    <w:rsid w:val="0001320B"/>
    <w:rsid w:val="00013E56"/>
    <w:rsid w:val="00013F4A"/>
    <w:rsid w:val="00013F80"/>
    <w:rsid w:val="0001408F"/>
    <w:rsid w:val="000143DF"/>
    <w:rsid w:val="00014B3F"/>
    <w:rsid w:val="00014D09"/>
    <w:rsid w:val="00015195"/>
    <w:rsid w:val="000151D8"/>
    <w:rsid w:val="00015B2F"/>
    <w:rsid w:val="00016039"/>
    <w:rsid w:val="0001662C"/>
    <w:rsid w:val="000166AC"/>
    <w:rsid w:val="00016C23"/>
    <w:rsid w:val="00016CE6"/>
    <w:rsid w:val="00016DD1"/>
    <w:rsid w:val="000172B5"/>
    <w:rsid w:val="000172E9"/>
    <w:rsid w:val="00017648"/>
    <w:rsid w:val="00020035"/>
    <w:rsid w:val="00020B54"/>
    <w:rsid w:val="00020C09"/>
    <w:rsid w:val="00020D43"/>
    <w:rsid w:val="000210E1"/>
    <w:rsid w:val="0002139B"/>
    <w:rsid w:val="00021991"/>
    <w:rsid w:val="00021A83"/>
    <w:rsid w:val="00021BD8"/>
    <w:rsid w:val="0002260C"/>
    <w:rsid w:val="00022A99"/>
    <w:rsid w:val="00023502"/>
    <w:rsid w:val="000238B9"/>
    <w:rsid w:val="00023972"/>
    <w:rsid w:val="000239A1"/>
    <w:rsid w:val="00024386"/>
    <w:rsid w:val="00024927"/>
    <w:rsid w:val="00024C25"/>
    <w:rsid w:val="00024C45"/>
    <w:rsid w:val="0002543E"/>
    <w:rsid w:val="00025588"/>
    <w:rsid w:val="00025991"/>
    <w:rsid w:val="00025C27"/>
    <w:rsid w:val="00025CE1"/>
    <w:rsid w:val="00025D0F"/>
    <w:rsid w:val="00025E4C"/>
    <w:rsid w:val="000261AE"/>
    <w:rsid w:val="0002635F"/>
    <w:rsid w:val="000263A1"/>
    <w:rsid w:val="000263B9"/>
    <w:rsid w:val="0002648C"/>
    <w:rsid w:val="00026AD0"/>
    <w:rsid w:val="00026CE8"/>
    <w:rsid w:val="00026E0A"/>
    <w:rsid w:val="00026EF5"/>
    <w:rsid w:val="0002718E"/>
    <w:rsid w:val="00027653"/>
    <w:rsid w:val="00027B66"/>
    <w:rsid w:val="00027E1D"/>
    <w:rsid w:val="00030286"/>
    <w:rsid w:val="000304ED"/>
    <w:rsid w:val="00030FC8"/>
    <w:rsid w:val="000310E5"/>
    <w:rsid w:val="000316FE"/>
    <w:rsid w:val="0003179B"/>
    <w:rsid w:val="0003180F"/>
    <w:rsid w:val="000319D7"/>
    <w:rsid w:val="00031EA4"/>
    <w:rsid w:val="0003203D"/>
    <w:rsid w:val="0003250F"/>
    <w:rsid w:val="00032B12"/>
    <w:rsid w:val="00033213"/>
    <w:rsid w:val="00033443"/>
    <w:rsid w:val="00033506"/>
    <w:rsid w:val="0003379E"/>
    <w:rsid w:val="00033916"/>
    <w:rsid w:val="00033CE5"/>
    <w:rsid w:val="00034568"/>
    <w:rsid w:val="00034768"/>
    <w:rsid w:val="00034D7D"/>
    <w:rsid w:val="00034D8F"/>
    <w:rsid w:val="0003514A"/>
    <w:rsid w:val="0003516D"/>
    <w:rsid w:val="00035325"/>
    <w:rsid w:val="000356E6"/>
    <w:rsid w:val="00035908"/>
    <w:rsid w:val="00035AB2"/>
    <w:rsid w:val="00035BF2"/>
    <w:rsid w:val="00035CC1"/>
    <w:rsid w:val="00036194"/>
    <w:rsid w:val="0003655A"/>
    <w:rsid w:val="0003681E"/>
    <w:rsid w:val="00036BC3"/>
    <w:rsid w:val="000371AE"/>
    <w:rsid w:val="00037A1F"/>
    <w:rsid w:val="00037A95"/>
    <w:rsid w:val="00037B42"/>
    <w:rsid w:val="00037C34"/>
    <w:rsid w:val="00037E55"/>
    <w:rsid w:val="0004004A"/>
    <w:rsid w:val="000403FC"/>
    <w:rsid w:val="0004134F"/>
    <w:rsid w:val="000419F5"/>
    <w:rsid w:val="00041C5E"/>
    <w:rsid w:val="00041E55"/>
    <w:rsid w:val="00041FE3"/>
    <w:rsid w:val="00042793"/>
    <w:rsid w:val="00042F91"/>
    <w:rsid w:val="00043051"/>
    <w:rsid w:val="0004333A"/>
    <w:rsid w:val="0004341E"/>
    <w:rsid w:val="00043B06"/>
    <w:rsid w:val="00043D21"/>
    <w:rsid w:val="00043F92"/>
    <w:rsid w:val="000443EE"/>
    <w:rsid w:val="000445A8"/>
    <w:rsid w:val="00044C43"/>
    <w:rsid w:val="000450FD"/>
    <w:rsid w:val="0004522F"/>
    <w:rsid w:val="00045889"/>
    <w:rsid w:val="000459BD"/>
    <w:rsid w:val="00045A49"/>
    <w:rsid w:val="00045C80"/>
    <w:rsid w:val="0004652C"/>
    <w:rsid w:val="00046B82"/>
    <w:rsid w:val="00047373"/>
    <w:rsid w:val="0004744E"/>
    <w:rsid w:val="000477D2"/>
    <w:rsid w:val="000478C9"/>
    <w:rsid w:val="00050383"/>
    <w:rsid w:val="00050FD6"/>
    <w:rsid w:val="00053517"/>
    <w:rsid w:val="000543B5"/>
    <w:rsid w:val="0005497D"/>
    <w:rsid w:val="0005540A"/>
    <w:rsid w:val="00055510"/>
    <w:rsid w:val="00055798"/>
    <w:rsid w:val="000557C0"/>
    <w:rsid w:val="000559B8"/>
    <w:rsid w:val="00055A07"/>
    <w:rsid w:val="00055F5D"/>
    <w:rsid w:val="000566F9"/>
    <w:rsid w:val="00056964"/>
    <w:rsid w:val="000569B0"/>
    <w:rsid w:val="00056B38"/>
    <w:rsid w:val="00056B7C"/>
    <w:rsid w:val="00056DA9"/>
    <w:rsid w:val="000570A9"/>
    <w:rsid w:val="00057502"/>
    <w:rsid w:val="0005753A"/>
    <w:rsid w:val="000578FE"/>
    <w:rsid w:val="00057BEA"/>
    <w:rsid w:val="00060184"/>
    <w:rsid w:val="000604F2"/>
    <w:rsid w:val="00060761"/>
    <w:rsid w:val="000608E0"/>
    <w:rsid w:val="00060CE1"/>
    <w:rsid w:val="00060EDD"/>
    <w:rsid w:val="00061801"/>
    <w:rsid w:val="000618FB"/>
    <w:rsid w:val="00061BFB"/>
    <w:rsid w:val="0006240F"/>
    <w:rsid w:val="00062A5A"/>
    <w:rsid w:val="00062B28"/>
    <w:rsid w:val="00062CF0"/>
    <w:rsid w:val="00062E56"/>
    <w:rsid w:val="000631EF"/>
    <w:rsid w:val="00063256"/>
    <w:rsid w:val="00063A29"/>
    <w:rsid w:val="00063D39"/>
    <w:rsid w:val="00063E34"/>
    <w:rsid w:val="000640F9"/>
    <w:rsid w:val="000641C4"/>
    <w:rsid w:val="000641E0"/>
    <w:rsid w:val="000643DF"/>
    <w:rsid w:val="0006449A"/>
    <w:rsid w:val="00064850"/>
    <w:rsid w:val="0006492D"/>
    <w:rsid w:val="00064C49"/>
    <w:rsid w:val="00064E8E"/>
    <w:rsid w:val="00064F43"/>
    <w:rsid w:val="000655D7"/>
    <w:rsid w:val="00065716"/>
    <w:rsid w:val="0006612C"/>
    <w:rsid w:val="000666E8"/>
    <w:rsid w:val="00066A43"/>
    <w:rsid w:val="00066BBE"/>
    <w:rsid w:val="00066BF8"/>
    <w:rsid w:val="00067096"/>
    <w:rsid w:val="0006710D"/>
    <w:rsid w:val="0006766C"/>
    <w:rsid w:val="000676A7"/>
    <w:rsid w:val="000677FD"/>
    <w:rsid w:val="00067812"/>
    <w:rsid w:val="00067814"/>
    <w:rsid w:val="00067DB3"/>
    <w:rsid w:val="00067DC8"/>
    <w:rsid w:val="00070203"/>
    <w:rsid w:val="000704DA"/>
    <w:rsid w:val="00070749"/>
    <w:rsid w:val="0007081E"/>
    <w:rsid w:val="000708E7"/>
    <w:rsid w:val="000709FE"/>
    <w:rsid w:val="00070A4F"/>
    <w:rsid w:val="00070CFE"/>
    <w:rsid w:val="000711DB"/>
    <w:rsid w:val="0007137D"/>
    <w:rsid w:val="000714E4"/>
    <w:rsid w:val="00071A24"/>
    <w:rsid w:val="0007216F"/>
    <w:rsid w:val="00072393"/>
    <w:rsid w:val="000728A0"/>
    <w:rsid w:val="000728D2"/>
    <w:rsid w:val="00072CF6"/>
    <w:rsid w:val="00072DA3"/>
    <w:rsid w:val="00072FE5"/>
    <w:rsid w:val="0007360E"/>
    <w:rsid w:val="000737D9"/>
    <w:rsid w:val="000738F0"/>
    <w:rsid w:val="000749E4"/>
    <w:rsid w:val="00074BB7"/>
    <w:rsid w:val="0007503F"/>
    <w:rsid w:val="000754E0"/>
    <w:rsid w:val="000765EA"/>
    <w:rsid w:val="00076D8F"/>
    <w:rsid w:val="00076E42"/>
    <w:rsid w:val="00077170"/>
    <w:rsid w:val="0007797A"/>
    <w:rsid w:val="00077BE9"/>
    <w:rsid w:val="000800D1"/>
    <w:rsid w:val="00080593"/>
    <w:rsid w:val="00080985"/>
    <w:rsid w:val="00080BC7"/>
    <w:rsid w:val="00080D76"/>
    <w:rsid w:val="00081634"/>
    <w:rsid w:val="00081C98"/>
    <w:rsid w:val="00081EA1"/>
    <w:rsid w:val="0008239A"/>
    <w:rsid w:val="00082693"/>
    <w:rsid w:val="000829BE"/>
    <w:rsid w:val="00082B80"/>
    <w:rsid w:val="00082BF4"/>
    <w:rsid w:val="00082C1B"/>
    <w:rsid w:val="00083066"/>
    <w:rsid w:val="0008331C"/>
    <w:rsid w:val="0008380F"/>
    <w:rsid w:val="000842C3"/>
    <w:rsid w:val="00084350"/>
    <w:rsid w:val="00084FEA"/>
    <w:rsid w:val="000852E1"/>
    <w:rsid w:val="0008572C"/>
    <w:rsid w:val="000858F1"/>
    <w:rsid w:val="00085C5E"/>
    <w:rsid w:val="00087089"/>
    <w:rsid w:val="00087123"/>
    <w:rsid w:val="0008728F"/>
    <w:rsid w:val="00087E1F"/>
    <w:rsid w:val="00090174"/>
    <w:rsid w:val="000902CC"/>
    <w:rsid w:val="0009049E"/>
    <w:rsid w:val="000904D3"/>
    <w:rsid w:val="0009054A"/>
    <w:rsid w:val="000908E0"/>
    <w:rsid w:val="0009142A"/>
    <w:rsid w:val="00091922"/>
    <w:rsid w:val="00091C10"/>
    <w:rsid w:val="00091D32"/>
    <w:rsid w:val="00091DEB"/>
    <w:rsid w:val="00091ED9"/>
    <w:rsid w:val="000920D2"/>
    <w:rsid w:val="00092381"/>
    <w:rsid w:val="000923C1"/>
    <w:rsid w:val="00092485"/>
    <w:rsid w:val="00092603"/>
    <w:rsid w:val="00092CF4"/>
    <w:rsid w:val="00092FAB"/>
    <w:rsid w:val="00093071"/>
    <w:rsid w:val="0009326F"/>
    <w:rsid w:val="000937E4"/>
    <w:rsid w:val="00093B80"/>
    <w:rsid w:val="00093EBE"/>
    <w:rsid w:val="00093F28"/>
    <w:rsid w:val="000944D5"/>
    <w:rsid w:val="0009469A"/>
    <w:rsid w:val="00094B9C"/>
    <w:rsid w:val="00094D15"/>
    <w:rsid w:val="00094D2A"/>
    <w:rsid w:val="00095204"/>
    <w:rsid w:val="000954A7"/>
    <w:rsid w:val="00095548"/>
    <w:rsid w:val="00095796"/>
    <w:rsid w:val="00096057"/>
    <w:rsid w:val="0009612D"/>
    <w:rsid w:val="0009679C"/>
    <w:rsid w:val="00097348"/>
    <w:rsid w:val="000974BE"/>
    <w:rsid w:val="00097B8B"/>
    <w:rsid w:val="00097E3F"/>
    <w:rsid w:val="00097EAE"/>
    <w:rsid w:val="000A011E"/>
    <w:rsid w:val="000A0409"/>
    <w:rsid w:val="000A0646"/>
    <w:rsid w:val="000A082B"/>
    <w:rsid w:val="000A08BD"/>
    <w:rsid w:val="000A0B78"/>
    <w:rsid w:val="000A139A"/>
    <w:rsid w:val="000A13A6"/>
    <w:rsid w:val="000A1442"/>
    <w:rsid w:val="000A1A01"/>
    <w:rsid w:val="000A1B85"/>
    <w:rsid w:val="000A21A0"/>
    <w:rsid w:val="000A2374"/>
    <w:rsid w:val="000A24FC"/>
    <w:rsid w:val="000A2728"/>
    <w:rsid w:val="000A294F"/>
    <w:rsid w:val="000A29BA"/>
    <w:rsid w:val="000A2F60"/>
    <w:rsid w:val="000A33E5"/>
    <w:rsid w:val="000A3AE1"/>
    <w:rsid w:val="000A3D33"/>
    <w:rsid w:val="000A3D7F"/>
    <w:rsid w:val="000A3F27"/>
    <w:rsid w:val="000A3FEA"/>
    <w:rsid w:val="000A41ED"/>
    <w:rsid w:val="000A43B0"/>
    <w:rsid w:val="000A47EB"/>
    <w:rsid w:val="000A49E7"/>
    <w:rsid w:val="000A4B50"/>
    <w:rsid w:val="000A4CAD"/>
    <w:rsid w:val="000A4E45"/>
    <w:rsid w:val="000A4F2C"/>
    <w:rsid w:val="000A5452"/>
    <w:rsid w:val="000A545C"/>
    <w:rsid w:val="000A5628"/>
    <w:rsid w:val="000A5937"/>
    <w:rsid w:val="000A5CFF"/>
    <w:rsid w:val="000A5D32"/>
    <w:rsid w:val="000A5D5D"/>
    <w:rsid w:val="000A5E30"/>
    <w:rsid w:val="000A63C0"/>
    <w:rsid w:val="000A67A5"/>
    <w:rsid w:val="000A6EAF"/>
    <w:rsid w:val="000A6F5B"/>
    <w:rsid w:val="000A70A7"/>
    <w:rsid w:val="000A743D"/>
    <w:rsid w:val="000A7747"/>
    <w:rsid w:val="000A7748"/>
    <w:rsid w:val="000B0417"/>
    <w:rsid w:val="000B0A53"/>
    <w:rsid w:val="000B115B"/>
    <w:rsid w:val="000B19CA"/>
    <w:rsid w:val="000B1F21"/>
    <w:rsid w:val="000B240A"/>
    <w:rsid w:val="000B279E"/>
    <w:rsid w:val="000B2C1B"/>
    <w:rsid w:val="000B2D10"/>
    <w:rsid w:val="000B30BA"/>
    <w:rsid w:val="000B3644"/>
    <w:rsid w:val="000B3814"/>
    <w:rsid w:val="000B414E"/>
    <w:rsid w:val="000B41A7"/>
    <w:rsid w:val="000B462F"/>
    <w:rsid w:val="000B4B43"/>
    <w:rsid w:val="000B51FF"/>
    <w:rsid w:val="000B52E0"/>
    <w:rsid w:val="000B6FFD"/>
    <w:rsid w:val="000B73A4"/>
    <w:rsid w:val="000B7669"/>
    <w:rsid w:val="000B776E"/>
    <w:rsid w:val="000B7E2F"/>
    <w:rsid w:val="000B7EA5"/>
    <w:rsid w:val="000B7F7A"/>
    <w:rsid w:val="000C0002"/>
    <w:rsid w:val="000C0263"/>
    <w:rsid w:val="000C0287"/>
    <w:rsid w:val="000C03CF"/>
    <w:rsid w:val="000C051F"/>
    <w:rsid w:val="000C068E"/>
    <w:rsid w:val="000C0A62"/>
    <w:rsid w:val="000C0DD7"/>
    <w:rsid w:val="000C16E2"/>
    <w:rsid w:val="000C1891"/>
    <w:rsid w:val="000C19CB"/>
    <w:rsid w:val="000C2044"/>
    <w:rsid w:val="000C250C"/>
    <w:rsid w:val="000C2AC6"/>
    <w:rsid w:val="000C2C24"/>
    <w:rsid w:val="000C2C45"/>
    <w:rsid w:val="000C2E6A"/>
    <w:rsid w:val="000C3108"/>
    <w:rsid w:val="000C3A36"/>
    <w:rsid w:val="000C3B86"/>
    <w:rsid w:val="000C3DAC"/>
    <w:rsid w:val="000C4246"/>
    <w:rsid w:val="000C42FF"/>
    <w:rsid w:val="000C49D0"/>
    <w:rsid w:val="000C4CFF"/>
    <w:rsid w:val="000C4E03"/>
    <w:rsid w:val="000C5105"/>
    <w:rsid w:val="000C5151"/>
    <w:rsid w:val="000C5AD7"/>
    <w:rsid w:val="000C5C3C"/>
    <w:rsid w:val="000C5EF4"/>
    <w:rsid w:val="000C61B9"/>
    <w:rsid w:val="000C6211"/>
    <w:rsid w:val="000C62E7"/>
    <w:rsid w:val="000C66B9"/>
    <w:rsid w:val="000C66CD"/>
    <w:rsid w:val="000C6AD6"/>
    <w:rsid w:val="000C6C93"/>
    <w:rsid w:val="000C6DD8"/>
    <w:rsid w:val="000C7505"/>
    <w:rsid w:val="000C756C"/>
    <w:rsid w:val="000D00D7"/>
    <w:rsid w:val="000D0755"/>
    <w:rsid w:val="000D0F6F"/>
    <w:rsid w:val="000D126C"/>
    <w:rsid w:val="000D18C7"/>
    <w:rsid w:val="000D198F"/>
    <w:rsid w:val="000D1AD1"/>
    <w:rsid w:val="000D232D"/>
    <w:rsid w:val="000D23A3"/>
    <w:rsid w:val="000D276D"/>
    <w:rsid w:val="000D27C5"/>
    <w:rsid w:val="000D297A"/>
    <w:rsid w:val="000D2D75"/>
    <w:rsid w:val="000D3149"/>
    <w:rsid w:val="000D33DA"/>
    <w:rsid w:val="000D348E"/>
    <w:rsid w:val="000D3987"/>
    <w:rsid w:val="000D3B2E"/>
    <w:rsid w:val="000D40EC"/>
    <w:rsid w:val="000D47A3"/>
    <w:rsid w:val="000D4D84"/>
    <w:rsid w:val="000D5123"/>
    <w:rsid w:val="000D5467"/>
    <w:rsid w:val="000D58F3"/>
    <w:rsid w:val="000D64BA"/>
    <w:rsid w:val="000D67E3"/>
    <w:rsid w:val="000D6820"/>
    <w:rsid w:val="000D71E4"/>
    <w:rsid w:val="000D7634"/>
    <w:rsid w:val="000D772F"/>
    <w:rsid w:val="000D7912"/>
    <w:rsid w:val="000D7DBE"/>
    <w:rsid w:val="000D7ECB"/>
    <w:rsid w:val="000E1166"/>
    <w:rsid w:val="000E142B"/>
    <w:rsid w:val="000E1A63"/>
    <w:rsid w:val="000E1F27"/>
    <w:rsid w:val="000E1FA6"/>
    <w:rsid w:val="000E1FEF"/>
    <w:rsid w:val="000E2205"/>
    <w:rsid w:val="000E22B6"/>
    <w:rsid w:val="000E2F5F"/>
    <w:rsid w:val="000E319E"/>
    <w:rsid w:val="000E3AF0"/>
    <w:rsid w:val="000E3F2C"/>
    <w:rsid w:val="000E4040"/>
    <w:rsid w:val="000E415F"/>
    <w:rsid w:val="000E42F0"/>
    <w:rsid w:val="000E4E9E"/>
    <w:rsid w:val="000E5E74"/>
    <w:rsid w:val="000E6445"/>
    <w:rsid w:val="000E6474"/>
    <w:rsid w:val="000E6717"/>
    <w:rsid w:val="000E68AC"/>
    <w:rsid w:val="000E69FA"/>
    <w:rsid w:val="000E71B6"/>
    <w:rsid w:val="000E7681"/>
    <w:rsid w:val="000E7E09"/>
    <w:rsid w:val="000F0215"/>
    <w:rsid w:val="000F03BF"/>
    <w:rsid w:val="000F0695"/>
    <w:rsid w:val="000F0E5C"/>
    <w:rsid w:val="000F0F77"/>
    <w:rsid w:val="000F1B67"/>
    <w:rsid w:val="000F1BCA"/>
    <w:rsid w:val="000F1CE6"/>
    <w:rsid w:val="000F232D"/>
    <w:rsid w:val="000F238F"/>
    <w:rsid w:val="000F2855"/>
    <w:rsid w:val="000F2993"/>
    <w:rsid w:val="000F29A2"/>
    <w:rsid w:val="000F2DED"/>
    <w:rsid w:val="000F3367"/>
    <w:rsid w:val="000F3687"/>
    <w:rsid w:val="000F3790"/>
    <w:rsid w:val="000F3BD7"/>
    <w:rsid w:val="000F3F2D"/>
    <w:rsid w:val="000F3F67"/>
    <w:rsid w:val="000F4515"/>
    <w:rsid w:val="000F46B7"/>
    <w:rsid w:val="000F47A4"/>
    <w:rsid w:val="000F4ADD"/>
    <w:rsid w:val="000F4D9A"/>
    <w:rsid w:val="000F4F8B"/>
    <w:rsid w:val="000F55ED"/>
    <w:rsid w:val="000F5649"/>
    <w:rsid w:val="000F5D22"/>
    <w:rsid w:val="000F6172"/>
    <w:rsid w:val="000F64B8"/>
    <w:rsid w:val="000F64BF"/>
    <w:rsid w:val="000F64C9"/>
    <w:rsid w:val="000F6507"/>
    <w:rsid w:val="000F6F4D"/>
    <w:rsid w:val="000F746B"/>
    <w:rsid w:val="000F76D0"/>
    <w:rsid w:val="000F7A78"/>
    <w:rsid w:val="000F7B22"/>
    <w:rsid w:val="000F7DEA"/>
    <w:rsid w:val="000F7E78"/>
    <w:rsid w:val="0010081D"/>
    <w:rsid w:val="00100A42"/>
    <w:rsid w:val="00100B74"/>
    <w:rsid w:val="00100B95"/>
    <w:rsid w:val="001014C2"/>
    <w:rsid w:val="00101A29"/>
    <w:rsid w:val="00101DC6"/>
    <w:rsid w:val="001020ED"/>
    <w:rsid w:val="00102598"/>
    <w:rsid w:val="001026CF"/>
    <w:rsid w:val="00103672"/>
    <w:rsid w:val="00103790"/>
    <w:rsid w:val="00103F37"/>
    <w:rsid w:val="00103F74"/>
    <w:rsid w:val="001046A7"/>
    <w:rsid w:val="0010513F"/>
    <w:rsid w:val="00105286"/>
    <w:rsid w:val="0010560A"/>
    <w:rsid w:val="00105919"/>
    <w:rsid w:val="00105AEB"/>
    <w:rsid w:val="00105B8A"/>
    <w:rsid w:val="001061EB"/>
    <w:rsid w:val="00106567"/>
    <w:rsid w:val="001068F7"/>
    <w:rsid w:val="00106B67"/>
    <w:rsid w:val="00106C30"/>
    <w:rsid w:val="0010716A"/>
    <w:rsid w:val="00107662"/>
    <w:rsid w:val="001076BC"/>
    <w:rsid w:val="0010775B"/>
    <w:rsid w:val="0010779A"/>
    <w:rsid w:val="00107858"/>
    <w:rsid w:val="00107938"/>
    <w:rsid w:val="00107A3F"/>
    <w:rsid w:val="00107AB7"/>
    <w:rsid w:val="0011015C"/>
    <w:rsid w:val="00110830"/>
    <w:rsid w:val="0011094E"/>
    <w:rsid w:val="00111462"/>
    <w:rsid w:val="00111652"/>
    <w:rsid w:val="00111D6C"/>
    <w:rsid w:val="00112094"/>
    <w:rsid w:val="001121C0"/>
    <w:rsid w:val="001121DB"/>
    <w:rsid w:val="00112208"/>
    <w:rsid w:val="00112724"/>
    <w:rsid w:val="00112894"/>
    <w:rsid w:val="00112AC8"/>
    <w:rsid w:val="00112DD1"/>
    <w:rsid w:val="001130C6"/>
    <w:rsid w:val="001135B0"/>
    <w:rsid w:val="001139C0"/>
    <w:rsid w:val="00113A54"/>
    <w:rsid w:val="00114BB1"/>
    <w:rsid w:val="00114C23"/>
    <w:rsid w:val="00114CAE"/>
    <w:rsid w:val="00115468"/>
    <w:rsid w:val="0011640A"/>
    <w:rsid w:val="001169AA"/>
    <w:rsid w:val="00116CC4"/>
    <w:rsid w:val="00116D71"/>
    <w:rsid w:val="00117AC5"/>
    <w:rsid w:val="0012045F"/>
    <w:rsid w:val="00120864"/>
    <w:rsid w:val="00120E94"/>
    <w:rsid w:val="00120EFF"/>
    <w:rsid w:val="001210D7"/>
    <w:rsid w:val="00121A7C"/>
    <w:rsid w:val="00121E27"/>
    <w:rsid w:val="0012211C"/>
    <w:rsid w:val="00122235"/>
    <w:rsid w:val="00122318"/>
    <w:rsid w:val="00122C97"/>
    <w:rsid w:val="00122D8C"/>
    <w:rsid w:val="00122F31"/>
    <w:rsid w:val="00123248"/>
    <w:rsid w:val="0012353A"/>
    <w:rsid w:val="00123A00"/>
    <w:rsid w:val="00123AEF"/>
    <w:rsid w:val="00123B36"/>
    <w:rsid w:val="00123F28"/>
    <w:rsid w:val="001243D4"/>
    <w:rsid w:val="001245BA"/>
    <w:rsid w:val="00124640"/>
    <w:rsid w:val="001246EC"/>
    <w:rsid w:val="00125446"/>
    <w:rsid w:val="001257D3"/>
    <w:rsid w:val="0012595A"/>
    <w:rsid w:val="00125971"/>
    <w:rsid w:val="00125B93"/>
    <w:rsid w:val="00125E9E"/>
    <w:rsid w:val="001265D3"/>
    <w:rsid w:val="001266B1"/>
    <w:rsid w:val="001267A8"/>
    <w:rsid w:val="00126D63"/>
    <w:rsid w:val="001270AC"/>
    <w:rsid w:val="001272C5"/>
    <w:rsid w:val="001275E6"/>
    <w:rsid w:val="00127A44"/>
    <w:rsid w:val="00127E15"/>
    <w:rsid w:val="0013043F"/>
    <w:rsid w:val="0013066A"/>
    <w:rsid w:val="00130713"/>
    <w:rsid w:val="00130EBB"/>
    <w:rsid w:val="00131F8C"/>
    <w:rsid w:val="00132BE2"/>
    <w:rsid w:val="001343CE"/>
    <w:rsid w:val="0013442C"/>
    <w:rsid w:val="00134477"/>
    <w:rsid w:val="00134515"/>
    <w:rsid w:val="00134A96"/>
    <w:rsid w:val="00134B28"/>
    <w:rsid w:val="001352BD"/>
    <w:rsid w:val="001354B2"/>
    <w:rsid w:val="00135710"/>
    <w:rsid w:val="00135985"/>
    <w:rsid w:val="00135E19"/>
    <w:rsid w:val="00135EEB"/>
    <w:rsid w:val="00136064"/>
    <w:rsid w:val="00136F6F"/>
    <w:rsid w:val="00137339"/>
    <w:rsid w:val="001400BB"/>
    <w:rsid w:val="00140431"/>
    <w:rsid w:val="001406B3"/>
    <w:rsid w:val="001406E4"/>
    <w:rsid w:val="00140F62"/>
    <w:rsid w:val="00141B32"/>
    <w:rsid w:val="00141DCC"/>
    <w:rsid w:val="00142EB9"/>
    <w:rsid w:val="00143D10"/>
    <w:rsid w:val="0014476F"/>
    <w:rsid w:val="001452E1"/>
    <w:rsid w:val="00145985"/>
    <w:rsid w:val="001460AA"/>
    <w:rsid w:val="0014651D"/>
    <w:rsid w:val="00146734"/>
    <w:rsid w:val="00146908"/>
    <w:rsid w:val="001472E8"/>
    <w:rsid w:val="00147930"/>
    <w:rsid w:val="0014797E"/>
    <w:rsid w:val="0015000D"/>
    <w:rsid w:val="0015082F"/>
    <w:rsid w:val="001508B2"/>
    <w:rsid w:val="0015095C"/>
    <w:rsid w:val="001510A0"/>
    <w:rsid w:val="001510FB"/>
    <w:rsid w:val="001517A1"/>
    <w:rsid w:val="00151A87"/>
    <w:rsid w:val="00151C13"/>
    <w:rsid w:val="00151D1F"/>
    <w:rsid w:val="00151F39"/>
    <w:rsid w:val="00152007"/>
    <w:rsid w:val="00152102"/>
    <w:rsid w:val="00153396"/>
    <w:rsid w:val="00153A92"/>
    <w:rsid w:val="00153CAC"/>
    <w:rsid w:val="00153F9C"/>
    <w:rsid w:val="00154085"/>
    <w:rsid w:val="00154C47"/>
    <w:rsid w:val="00154DEE"/>
    <w:rsid w:val="00155326"/>
    <w:rsid w:val="001554DD"/>
    <w:rsid w:val="00155569"/>
    <w:rsid w:val="00155C23"/>
    <w:rsid w:val="00155CE2"/>
    <w:rsid w:val="00156059"/>
    <w:rsid w:val="001562EB"/>
    <w:rsid w:val="001565B2"/>
    <w:rsid w:val="00156747"/>
    <w:rsid w:val="0015689F"/>
    <w:rsid w:val="00156970"/>
    <w:rsid w:val="00156B5B"/>
    <w:rsid w:val="00157DEF"/>
    <w:rsid w:val="00157FA6"/>
    <w:rsid w:val="001603CF"/>
    <w:rsid w:val="00160618"/>
    <w:rsid w:val="001608A9"/>
    <w:rsid w:val="0016092F"/>
    <w:rsid w:val="00160BAE"/>
    <w:rsid w:val="00161881"/>
    <w:rsid w:val="00161AB4"/>
    <w:rsid w:val="00162872"/>
    <w:rsid w:val="0016295C"/>
    <w:rsid w:val="0016295D"/>
    <w:rsid w:val="00163010"/>
    <w:rsid w:val="00163401"/>
    <w:rsid w:val="00163549"/>
    <w:rsid w:val="00163BA7"/>
    <w:rsid w:val="00163D6E"/>
    <w:rsid w:val="00163FD8"/>
    <w:rsid w:val="00164095"/>
    <w:rsid w:val="0016435A"/>
    <w:rsid w:val="00164434"/>
    <w:rsid w:val="001645E8"/>
    <w:rsid w:val="00164944"/>
    <w:rsid w:val="0016498B"/>
    <w:rsid w:val="00164B10"/>
    <w:rsid w:val="00164E30"/>
    <w:rsid w:val="00164F30"/>
    <w:rsid w:val="001651B6"/>
    <w:rsid w:val="001652C4"/>
    <w:rsid w:val="00165398"/>
    <w:rsid w:val="001653E6"/>
    <w:rsid w:val="00165579"/>
    <w:rsid w:val="001658D2"/>
    <w:rsid w:val="00165BDF"/>
    <w:rsid w:val="00165CE0"/>
    <w:rsid w:val="00165E4E"/>
    <w:rsid w:val="00166576"/>
    <w:rsid w:val="00166770"/>
    <w:rsid w:val="001668E6"/>
    <w:rsid w:val="00166949"/>
    <w:rsid w:val="00166996"/>
    <w:rsid w:val="00166C7D"/>
    <w:rsid w:val="001671C4"/>
    <w:rsid w:val="0016727A"/>
    <w:rsid w:val="00167459"/>
    <w:rsid w:val="001678AB"/>
    <w:rsid w:val="001678E9"/>
    <w:rsid w:val="00167D7C"/>
    <w:rsid w:val="00170514"/>
    <w:rsid w:val="00170A7C"/>
    <w:rsid w:val="00171A8A"/>
    <w:rsid w:val="00171CF0"/>
    <w:rsid w:val="00171DBC"/>
    <w:rsid w:val="00171E58"/>
    <w:rsid w:val="001720D9"/>
    <w:rsid w:val="001721C9"/>
    <w:rsid w:val="0017243C"/>
    <w:rsid w:val="00172440"/>
    <w:rsid w:val="0017293E"/>
    <w:rsid w:val="00172A2A"/>
    <w:rsid w:val="00172A2C"/>
    <w:rsid w:val="00172EF5"/>
    <w:rsid w:val="001732B0"/>
    <w:rsid w:val="001732B4"/>
    <w:rsid w:val="00173EAE"/>
    <w:rsid w:val="00174543"/>
    <w:rsid w:val="00174624"/>
    <w:rsid w:val="001748D8"/>
    <w:rsid w:val="001749E6"/>
    <w:rsid w:val="001751A1"/>
    <w:rsid w:val="00175573"/>
    <w:rsid w:val="001759C8"/>
    <w:rsid w:val="0017610B"/>
    <w:rsid w:val="001761E3"/>
    <w:rsid w:val="0017646F"/>
    <w:rsid w:val="00176738"/>
    <w:rsid w:val="001768CE"/>
    <w:rsid w:val="001774BE"/>
    <w:rsid w:val="00177890"/>
    <w:rsid w:val="00177A58"/>
    <w:rsid w:val="00177B0D"/>
    <w:rsid w:val="00177E7E"/>
    <w:rsid w:val="001803D5"/>
    <w:rsid w:val="0018046A"/>
    <w:rsid w:val="00180791"/>
    <w:rsid w:val="001807A0"/>
    <w:rsid w:val="00180E4F"/>
    <w:rsid w:val="00181016"/>
    <w:rsid w:val="001813A7"/>
    <w:rsid w:val="001815FF"/>
    <w:rsid w:val="0018189C"/>
    <w:rsid w:val="001819A0"/>
    <w:rsid w:val="00182B15"/>
    <w:rsid w:val="001833DB"/>
    <w:rsid w:val="0018343F"/>
    <w:rsid w:val="0018348B"/>
    <w:rsid w:val="0018357B"/>
    <w:rsid w:val="001836BE"/>
    <w:rsid w:val="001838FC"/>
    <w:rsid w:val="00184886"/>
    <w:rsid w:val="00184DF1"/>
    <w:rsid w:val="00184DF4"/>
    <w:rsid w:val="00184F0C"/>
    <w:rsid w:val="00185007"/>
    <w:rsid w:val="0018561C"/>
    <w:rsid w:val="00185839"/>
    <w:rsid w:val="001858D3"/>
    <w:rsid w:val="001859A6"/>
    <w:rsid w:val="00185C66"/>
    <w:rsid w:val="00186674"/>
    <w:rsid w:val="00186B3F"/>
    <w:rsid w:val="00186D3D"/>
    <w:rsid w:val="00186DAC"/>
    <w:rsid w:val="001870E2"/>
    <w:rsid w:val="0018746B"/>
    <w:rsid w:val="001877A7"/>
    <w:rsid w:val="00187A77"/>
    <w:rsid w:val="00187AA8"/>
    <w:rsid w:val="00187BF8"/>
    <w:rsid w:val="00187C2E"/>
    <w:rsid w:val="001900EE"/>
    <w:rsid w:val="001901A2"/>
    <w:rsid w:val="00190A21"/>
    <w:rsid w:val="00190E84"/>
    <w:rsid w:val="00190F5B"/>
    <w:rsid w:val="001912C2"/>
    <w:rsid w:val="0019181F"/>
    <w:rsid w:val="0019223E"/>
    <w:rsid w:val="001925EF"/>
    <w:rsid w:val="00192D53"/>
    <w:rsid w:val="00193016"/>
    <w:rsid w:val="0019371C"/>
    <w:rsid w:val="0019382A"/>
    <w:rsid w:val="001939AB"/>
    <w:rsid w:val="00193CC6"/>
    <w:rsid w:val="00194013"/>
    <w:rsid w:val="00194048"/>
    <w:rsid w:val="001940C2"/>
    <w:rsid w:val="001942A8"/>
    <w:rsid w:val="001944DF"/>
    <w:rsid w:val="001949A3"/>
    <w:rsid w:val="001951CA"/>
    <w:rsid w:val="001958DD"/>
    <w:rsid w:val="00195C83"/>
    <w:rsid w:val="00195FE3"/>
    <w:rsid w:val="001963A3"/>
    <w:rsid w:val="00196A61"/>
    <w:rsid w:val="001971D3"/>
    <w:rsid w:val="0019759B"/>
    <w:rsid w:val="00197DDC"/>
    <w:rsid w:val="001A01A6"/>
    <w:rsid w:val="001A090A"/>
    <w:rsid w:val="001A0B89"/>
    <w:rsid w:val="001A0F58"/>
    <w:rsid w:val="001A1108"/>
    <w:rsid w:val="001A1199"/>
    <w:rsid w:val="001A26D5"/>
    <w:rsid w:val="001A2774"/>
    <w:rsid w:val="001A27B6"/>
    <w:rsid w:val="001A27DC"/>
    <w:rsid w:val="001A2AF9"/>
    <w:rsid w:val="001A2B66"/>
    <w:rsid w:val="001A2CC3"/>
    <w:rsid w:val="001A322A"/>
    <w:rsid w:val="001A3451"/>
    <w:rsid w:val="001A395B"/>
    <w:rsid w:val="001A4378"/>
    <w:rsid w:val="001A4517"/>
    <w:rsid w:val="001A48B2"/>
    <w:rsid w:val="001A4A53"/>
    <w:rsid w:val="001A4B93"/>
    <w:rsid w:val="001A4E10"/>
    <w:rsid w:val="001A5154"/>
    <w:rsid w:val="001A5195"/>
    <w:rsid w:val="001A56AB"/>
    <w:rsid w:val="001A624A"/>
    <w:rsid w:val="001A62E6"/>
    <w:rsid w:val="001A6352"/>
    <w:rsid w:val="001A6E1F"/>
    <w:rsid w:val="001A73EC"/>
    <w:rsid w:val="001A7CA7"/>
    <w:rsid w:val="001A7E9D"/>
    <w:rsid w:val="001B017D"/>
    <w:rsid w:val="001B032F"/>
    <w:rsid w:val="001B0467"/>
    <w:rsid w:val="001B1E94"/>
    <w:rsid w:val="001B27F8"/>
    <w:rsid w:val="001B2A43"/>
    <w:rsid w:val="001B2BC1"/>
    <w:rsid w:val="001B3209"/>
    <w:rsid w:val="001B32EA"/>
    <w:rsid w:val="001B3319"/>
    <w:rsid w:val="001B345E"/>
    <w:rsid w:val="001B37CA"/>
    <w:rsid w:val="001B3FB8"/>
    <w:rsid w:val="001B4032"/>
    <w:rsid w:val="001B4BC2"/>
    <w:rsid w:val="001B4CEB"/>
    <w:rsid w:val="001B4FA5"/>
    <w:rsid w:val="001B5299"/>
    <w:rsid w:val="001B54B9"/>
    <w:rsid w:val="001B56A2"/>
    <w:rsid w:val="001B5CF3"/>
    <w:rsid w:val="001B6169"/>
    <w:rsid w:val="001B6504"/>
    <w:rsid w:val="001B6523"/>
    <w:rsid w:val="001B6554"/>
    <w:rsid w:val="001B6D8C"/>
    <w:rsid w:val="001B6F96"/>
    <w:rsid w:val="001B7332"/>
    <w:rsid w:val="001B7980"/>
    <w:rsid w:val="001C071C"/>
    <w:rsid w:val="001C0895"/>
    <w:rsid w:val="001C08B3"/>
    <w:rsid w:val="001C1656"/>
    <w:rsid w:val="001C1EA1"/>
    <w:rsid w:val="001C21B5"/>
    <w:rsid w:val="001C275A"/>
    <w:rsid w:val="001C2EAC"/>
    <w:rsid w:val="001C31D2"/>
    <w:rsid w:val="001C33A4"/>
    <w:rsid w:val="001C341A"/>
    <w:rsid w:val="001C3919"/>
    <w:rsid w:val="001C3A14"/>
    <w:rsid w:val="001C3AAD"/>
    <w:rsid w:val="001C45E2"/>
    <w:rsid w:val="001C462B"/>
    <w:rsid w:val="001C4733"/>
    <w:rsid w:val="001C47CB"/>
    <w:rsid w:val="001C4C75"/>
    <w:rsid w:val="001C4D01"/>
    <w:rsid w:val="001C4D04"/>
    <w:rsid w:val="001C4FFC"/>
    <w:rsid w:val="001C5291"/>
    <w:rsid w:val="001C550D"/>
    <w:rsid w:val="001C5B12"/>
    <w:rsid w:val="001C62D0"/>
    <w:rsid w:val="001C6CAF"/>
    <w:rsid w:val="001C6D51"/>
    <w:rsid w:val="001C793C"/>
    <w:rsid w:val="001C798B"/>
    <w:rsid w:val="001C7B94"/>
    <w:rsid w:val="001C7CCA"/>
    <w:rsid w:val="001D0096"/>
    <w:rsid w:val="001D030B"/>
    <w:rsid w:val="001D049D"/>
    <w:rsid w:val="001D0716"/>
    <w:rsid w:val="001D07A5"/>
    <w:rsid w:val="001D08D3"/>
    <w:rsid w:val="001D1B60"/>
    <w:rsid w:val="001D1FFB"/>
    <w:rsid w:val="001D204F"/>
    <w:rsid w:val="001D2223"/>
    <w:rsid w:val="001D2E2D"/>
    <w:rsid w:val="001D3521"/>
    <w:rsid w:val="001D378B"/>
    <w:rsid w:val="001D3A1D"/>
    <w:rsid w:val="001D4374"/>
    <w:rsid w:val="001D44F1"/>
    <w:rsid w:val="001D4BFD"/>
    <w:rsid w:val="001D51FE"/>
    <w:rsid w:val="001D5813"/>
    <w:rsid w:val="001D5B25"/>
    <w:rsid w:val="001D5DA1"/>
    <w:rsid w:val="001D6151"/>
    <w:rsid w:val="001D6658"/>
    <w:rsid w:val="001D66F0"/>
    <w:rsid w:val="001D694B"/>
    <w:rsid w:val="001D6AC7"/>
    <w:rsid w:val="001D78A9"/>
    <w:rsid w:val="001D7C03"/>
    <w:rsid w:val="001E0042"/>
    <w:rsid w:val="001E0BE9"/>
    <w:rsid w:val="001E0F5B"/>
    <w:rsid w:val="001E15B9"/>
    <w:rsid w:val="001E1765"/>
    <w:rsid w:val="001E2136"/>
    <w:rsid w:val="001E2821"/>
    <w:rsid w:val="001E28C6"/>
    <w:rsid w:val="001E2AE7"/>
    <w:rsid w:val="001E3530"/>
    <w:rsid w:val="001E3778"/>
    <w:rsid w:val="001E3B99"/>
    <w:rsid w:val="001E3BFD"/>
    <w:rsid w:val="001E438D"/>
    <w:rsid w:val="001E4942"/>
    <w:rsid w:val="001E4D94"/>
    <w:rsid w:val="001E548F"/>
    <w:rsid w:val="001E5B35"/>
    <w:rsid w:val="001E60D8"/>
    <w:rsid w:val="001E698B"/>
    <w:rsid w:val="001E6ADE"/>
    <w:rsid w:val="001E713B"/>
    <w:rsid w:val="001E7518"/>
    <w:rsid w:val="001E7584"/>
    <w:rsid w:val="001E77B6"/>
    <w:rsid w:val="001E79E6"/>
    <w:rsid w:val="001E7E33"/>
    <w:rsid w:val="001E7F57"/>
    <w:rsid w:val="001F0902"/>
    <w:rsid w:val="001F0EBA"/>
    <w:rsid w:val="001F1760"/>
    <w:rsid w:val="001F18C8"/>
    <w:rsid w:val="001F1C18"/>
    <w:rsid w:val="001F1E5D"/>
    <w:rsid w:val="001F211D"/>
    <w:rsid w:val="001F2911"/>
    <w:rsid w:val="001F2E00"/>
    <w:rsid w:val="001F3674"/>
    <w:rsid w:val="001F38F8"/>
    <w:rsid w:val="001F4899"/>
    <w:rsid w:val="001F4DD8"/>
    <w:rsid w:val="001F53A0"/>
    <w:rsid w:val="001F551B"/>
    <w:rsid w:val="001F5B07"/>
    <w:rsid w:val="001F5BC1"/>
    <w:rsid w:val="001F5E17"/>
    <w:rsid w:val="001F5EDE"/>
    <w:rsid w:val="001F5F85"/>
    <w:rsid w:val="001F6090"/>
    <w:rsid w:val="001F61C6"/>
    <w:rsid w:val="001F6A3C"/>
    <w:rsid w:val="001F6F13"/>
    <w:rsid w:val="001F6FAB"/>
    <w:rsid w:val="001F7477"/>
    <w:rsid w:val="001F74A0"/>
    <w:rsid w:val="001F76CD"/>
    <w:rsid w:val="001F7D72"/>
    <w:rsid w:val="002003B9"/>
    <w:rsid w:val="002003E4"/>
    <w:rsid w:val="002005E2"/>
    <w:rsid w:val="00200640"/>
    <w:rsid w:val="0020109A"/>
    <w:rsid w:val="002014E6"/>
    <w:rsid w:val="00201681"/>
    <w:rsid w:val="00201802"/>
    <w:rsid w:val="00201C95"/>
    <w:rsid w:val="00202005"/>
    <w:rsid w:val="0020249B"/>
    <w:rsid w:val="00202842"/>
    <w:rsid w:val="002029C3"/>
    <w:rsid w:val="00202D49"/>
    <w:rsid w:val="00202F79"/>
    <w:rsid w:val="00203204"/>
    <w:rsid w:val="002032BD"/>
    <w:rsid w:val="0020359E"/>
    <w:rsid w:val="00203A17"/>
    <w:rsid w:val="00203AA8"/>
    <w:rsid w:val="00203F4C"/>
    <w:rsid w:val="00204711"/>
    <w:rsid w:val="00204755"/>
    <w:rsid w:val="00204A01"/>
    <w:rsid w:val="00204FC0"/>
    <w:rsid w:val="00205353"/>
    <w:rsid w:val="0020607F"/>
    <w:rsid w:val="002062C3"/>
    <w:rsid w:val="00206992"/>
    <w:rsid w:val="00206A94"/>
    <w:rsid w:val="00206B00"/>
    <w:rsid w:val="00207335"/>
    <w:rsid w:val="002076C8"/>
    <w:rsid w:val="00207721"/>
    <w:rsid w:val="002077A1"/>
    <w:rsid w:val="00207A2A"/>
    <w:rsid w:val="00207D37"/>
    <w:rsid w:val="00210279"/>
    <w:rsid w:val="0021102B"/>
    <w:rsid w:val="002114F5"/>
    <w:rsid w:val="00211849"/>
    <w:rsid w:val="0021207D"/>
    <w:rsid w:val="0021235C"/>
    <w:rsid w:val="0021243A"/>
    <w:rsid w:val="00212A5F"/>
    <w:rsid w:val="00212A7E"/>
    <w:rsid w:val="00212DA6"/>
    <w:rsid w:val="00212E59"/>
    <w:rsid w:val="00212FC7"/>
    <w:rsid w:val="0021317E"/>
    <w:rsid w:val="00213251"/>
    <w:rsid w:val="002137DC"/>
    <w:rsid w:val="00213AC7"/>
    <w:rsid w:val="00213AD9"/>
    <w:rsid w:val="00213EF7"/>
    <w:rsid w:val="00213FD2"/>
    <w:rsid w:val="00214241"/>
    <w:rsid w:val="00214437"/>
    <w:rsid w:val="0021455A"/>
    <w:rsid w:val="002146EC"/>
    <w:rsid w:val="00214D44"/>
    <w:rsid w:val="0021559F"/>
    <w:rsid w:val="002157D7"/>
    <w:rsid w:val="002157FC"/>
    <w:rsid w:val="00215957"/>
    <w:rsid w:val="00215C1F"/>
    <w:rsid w:val="00215EFC"/>
    <w:rsid w:val="00215F28"/>
    <w:rsid w:val="00216096"/>
    <w:rsid w:val="00216561"/>
    <w:rsid w:val="00216DDA"/>
    <w:rsid w:val="0021719D"/>
    <w:rsid w:val="00217225"/>
    <w:rsid w:val="00220138"/>
    <w:rsid w:val="00220367"/>
    <w:rsid w:val="00220638"/>
    <w:rsid w:val="002206C7"/>
    <w:rsid w:val="00220B5B"/>
    <w:rsid w:val="00221311"/>
    <w:rsid w:val="0022163A"/>
    <w:rsid w:val="00221965"/>
    <w:rsid w:val="002220A2"/>
    <w:rsid w:val="00222D3C"/>
    <w:rsid w:val="0022378D"/>
    <w:rsid w:val="00223D87"/>
    <w:rsid w:val="002248EA"/>
    <w:rsid w:val="00224E23"/>
    <w:rsid w:val="00224E92"/>
    <w:rsid w:val="002252DD"/>
    <w:rsid w:val="00225408"/>
    <w:rsid w:val="00225842"/>
    <w:rsid w:val="00225957"/>
    <w:rsid w:val="00225AC1"/>
    <w:rsid w:val="00225BD7"/>
    <w:rsid w:val="00225FCA"/>
    <w:rsid w:val="00226571"/>
    <w:rsid w:val="00226637"/>
    <w:rsid w:val="002267B7"/>
    <w:rsid w:val="00226F68"/>
    <w:rsid w:val="00226F85"/>
    <w:rsid w:val="00227292"/>
    <w:rsid w:val="00227864"/>
    <w:rsid w:val="002278CD"/>
    <w:rsid w:val="002279BA"/>
    <w:rsid w:val="002279FD"/>
    <w:rsid w:val="00227E2E"/>
    <w:rsid w:val="00227F8E"/>
    <w:rsid w:val="0023003E"/>
    <w:rsid w:val="00230168"/>
    <w:rsid w:val="0023016C"/>
    <w:rsid w:val="00230CBD"/>
    <w:rsid w:val="00231403"/>
    <w:rsid w:val="002314FA"/>
    <w:rsid w:val="00231995"/>
    <w:rsid w:val="00231C38"/>
    <w:rsid w:val="00231E1D"/>
    <w:rsid w:val="00232502"/>
    <w:rsid w:val="002325FF"/>
    <w:rsid w:val="00232766"/>
    <w:rsid w:val="00232C7C"/>
    <w:rsid w:val="00232D66"/>
    <w:rsid w:val="00232F61"/>
    <w:rsid w:val="002330F3"/>
    <w:rsid w:val="00233980"/>
    <w:rsid w:val="0023447B"/>
    <w:rsid w:val="0023454B"/>
    <w:rsid w:val="002347AD"/>
    <w:rsid w:val="00234C33"/>
    <w:rsid w:val="00234CEA"/>
    <w:rsid w:val="00235309"/>
    <w:rsid w:val="0023587B"/>
    <w:rsid w:val="0023649C"/>
    <w:rsid w:val="0023656B"/>
    <w:rsid w:val="00237580"/>
    <w:rsid w:val="0023758C"/>
    <w:rsid w:val="00237A07"/>
    <w:rsid w:val="00237E7D"/>
    <w:rsid w:val="002400CF"/>
    <w:rsid w:val="00240305"/>
    <w:rsid w:val="002406DC"/>
    <w:rsid w:val="00241185"/>
    <w:rsid w:val="00241530"/>
    <w:rsid w:val="00241629"/>
    <w:rsid w:val="00241851"/>
    <w:rsid w:val="002419BF"/>
    <w:rsid w:val="00241FD9"/>
    <w:rsid w:val="00242265"/>
    <w:rsid w:val="00242515"/>
    <w:rsid w:val="002428E9"/>
    <w:rsid w:val="002429D6"/>
    <w:rsid w:val="00242A5F"/>
    <w:rsid w:val="00242EE0"/>
    <w:rsid w:val="0024328D"/>
    <w:rsid w:val="0024344D"/>
    <w:rsid w:val="00243925"/>
    <w:rsid w:val="00243CDA"/>
    <w:rsid w:val="00244254"/>
    <w:rsid w:val="00244399"/>
    <w:rsid w:val="002444A1"/>
    <w:rsid w:val="00244C1E"/>
    <w:rsid w:val="00244DB1"/>
    <w:rsid w:val="002450F7"/>
    <w:rsid w:val="0024578B"/>
    <w:rsid w:val="0024590C"/>
    <w:rsid w:val="00245A0B"/>
    <w:rsid w:val="00245CAD"/>
    <w:rsid w:val="00246CF6"/>
    <w:rsid w:val="00246F21"/>
    <w:rsid w:val="002470AB"/>
    <w:rsid w:val="00247533"/>
    <w:rsid w:val="002475D3"/>
    <w:rsid w:val="002476A7"/>
    <w:rsid w:val="002476E2"/>
    <w:rsid w:val="00247AAE"/>
    <w:rsid w:val="00247E79"/>
    <w:rsid w:val="002505FB"/>
    <w:rsid w:val="00250B0B"/>
    <w:rsid w:val="00250C96"/>
    <w:rsid w:val="00251254"/>
    <w:rsid w:val="00251424"/>
    <w:rsid w:val="00251605"/>
    <w:rsid w:val="002527ED"/>
    <w:rsid w:val="00252C28"/>
    <w:rsid w:val="00252D18"/>
    <w:rsid w:val="00253188"/>
    <w:rsid w:val="0025423B"/>
    <w:rsid w:val="00254EA3"/>
    <w:rsid w:val="00254FB4"/>
    <w:rsid w:val="00255773"/>
    <w:rsid w:val="002557AB"/>
    <w:rsid w:val="00255C5B"/>
    <w:rsid w:val="00256236"/>
    <w:rsid w:val="00256607"/>
    <w:rsid w:val="002567B2"/>
    <w:rsid w:val="00256BD3"/>
    <w:rsid w:val="00256C12"/>
    <w:rsid w:val="002572FC"/>
    <w:rsid w:val="002573AC"/>
    <w:rsid w:val="00257520"/>
    <w:rsid w:val="00257549"/>
    <w:rsid w:val="002576C2"/>
    <w:rsid w:val="00257C2A"/>
    <w:rsid w:val="00257C43"/>
    <w:rsid w:val="00260294"/>
    <w:rsid w:val="0026069F"/>
    <w:rsid w:val="00260AD7"/>
    <w:rsid w:val="00260B49"/>
    <w:rsid w:val="002615B6"/>
    <w:rsid w:val="0026166D"/>
    <w:rsid w:val="0026202E"/>
    <w:rsid w:val="0026267B"/>
    <w:rsid w:val="00262683"/>
    <w:rsid w:val="00262B6F"/>
    <w:rsid w:val="0026321E"/>
    <w:rsid w:val="002637FC"/>
    <w:rsid w:val="00263DD8"/>
    <w:rsid w:val="00263E83"/>
    <w:rsid w:val="002642B1"/>
    <w:rsid w:val="0026471B"/>
    <w:rsid w:val="0026477F"/>
    <w:rsid w:val="00264D0B"/>
    <w:rsid w:val="00264DA5"/>
    <w:rsid w:val="00264DC3"/>
    <w:rsid w:val="00264F90"/>
    <w:rsid w:val="00265000"/>
    <w:rsid w:val="0026502C"/>
    <w:rsid w:val="00265638"/>
    <w:rsid w:val="0026576F"/>
    <w:rsid w:val="00265958"/>
    <w:rsid w:val="00265B3E"/>
    <w:rsid w:val="00265DE2"/>
    <w:rsid w:val="00265DEC"/>
    <w:rsid w:val="0026658D"/>
    <w:rsid w:val="002666A1"/>
    <w:rsid w:val="002667B0"/>
    <w:rsid w:val="00266A4F"/>
    <w:rsid w:val="00267507"/>
    <w:rsid w:val="00267F2A"/>
    <w:rsid w:val="0027008D"/>
    <w:rsid w:val="0027020E"/>
    <w:rsid w:val="0027080E"/>
    <w:rsid w:val="002708B4"/>
    <w:rsid w:val="00270AEF"/>
    <w:rsid w:val="00270E6D"/>
    <w:rsid w:val="0027118E"/>
    <w:rsid w:val="00271568"/>
    <w:rsid w:val="0027182F"/>
    <w:rsid w:val="00271CF4"/>
    <w:rsid w:val="00271EB4"/>
    <w:rsid w:val="002727C4"/>
    <w:rsid w:val="00272952"/>
    <w:rsid w:val="00272DD7"/>
    <w:rsid w:val="002730F7"/>
    <w:rsid w:val="00273225"/>
    <w:rsid w:val="0027358A"/>
    <w:rsid w:val="002736CA"/>
    <w:rsid w:val="0027388C"/>
    <w:rsid w:val="00273E8F"/>
    <w:rsid w:val="00273F84"/>
    <w:rsid w:val="00274871"/>
    <w:rsid w:val="00274950"/>
    <w:rsid w:val="00274FF5"/>
    <w:rsid w:val="00275067"/>
    <w:rsid w:val="00275143"/>
    <w:rsid w:val="00275630"/>
    <w:rsid w:val="002757A5"/>
    <w:rsid w:val="00275B6C"/>
    <w:rsid w:val="0027626F"/>
    <w:rsid w:val="00276C6C"/>
    <w:rsid w:val="00277005"/>
    <w:rsid w:val="00277282"/>
    <w:rsid w:val="00277FF3"/>
    <w:rsid w:val="002805B3"/>
    <w:rsid w:val="00280782"/>
    <w:rsid w:val="00280A09"/>
    <w:rsid w:val="00280EB9"/>
    <w:rsid w:val="00281292"/>
    <w:rsid w:val="002817D5"/>
    <w:rsid w:val="00281829"/>
    <w:rsid w:val="00281981"/>
    <w:rsid w:val="00281989"/>
    <w:rsid w:val="002823DD"/>
    <w:rsid w:val="00282644"/>
    <w:rsid w:val="00282EB8"/>
    <w:rsid w:val="00282EBC"/>
    <w:rsid w:val="00284AC7"/>
    <w:rsid w:val="00284E08"/>
    <w:rsid w:val="0028556E"/>
    <w:rsid w:val="0028558F"/>
    <w:rsid w:val="00285A2F"/>
    <w:rsid w:val="00285B0A"/>
    <w:rsid w:val="00285E45"/>
    <w:rsid w:val="002862B9"/>
    <w:rsid w:val="002866DE"/>
    <w:rsid w:val="00286CA0"/>
    <w:rsid w:val="00286DAD"/>
    <w:rsid w:val="00287871"/>
    <w:rsid w:val="0028799F"/>
    <w:rsid w:val="002879C0"/>
    <w:rsid w:val="00287F5D"/>
    <w:rsid w:val="00287F9E"/>
    <w:rsid w:val="002903B3"/>
    <w:rsid w:val="002903DE"/>
    <w:rsid w:val="00290892"/>
    <w:rsid w:val="00290C2C"/>
    <w:rsid w:val="00290E00"/>
    <w:rsid w:val="00290F50"/>
    <w:rsid w:val="002916E9"/>
    <w:rsid w:val="00291D78"/>
    <w:rsid w:val="00291EFD"/>
    <w:rsid w:val="002921AB"/>
    <w:rsid w:val="0029234D"/>
    <w:rsid w:val="002923FB"/>
    <w:rsid w:val="00292AE8"/>
    <w:rsid w:val="00292F53"/>
    <w:rsid w:val="00293138"/>
    <w:rsid w:val="00293468"/>
    <w:rsid w:val="00293641"/>
    <w:rsid w:val="0029376A"/>
    <w:rsid w:val="002940CD"/>
    <w:rsid w:val="00294293"/>
    <w:rsid w:val="002944C4"/>
    <w:rsid w:val="00294921"/>
    <w:rsid w:val="00294B69"/>
    <w:rsid w:val="00294B89"/>
    <w:rsid w:val="00294FA9"/>
    <w:rsid w:val="00295974"/>
    <w:rsid w:val="00295A03"/>
    <w:rsid w:val="00295A2A"/>
    <w:rsid w:val="00295D0D"/>
    <w:rsid w:val="0029606B"/>
    <w:rsid w:val="00296085"/>
    <w:rsid w:val="00297054"/>
    <w:rsid w:val="00297F7C"/>
    <w:rsid w:val="002A04C7"/>
    <w:rsid w:val="002A0993"/>
    <w:rsid w:val="002A0A92"/>
    <w:rsid w:val="002A0B03"/>
    <w:rsid w:val="002A0D3E"/>
    <w:rsid w:val="002A143E"/>
    <w:rsid w:val="002A1F40"/>
    <w:rsid w:val="002A208E"/>
    <w:rsid w:val="002A22BA"/>
    <w:rsid w:val="002A27DA"/>
    <w:rsid w:val="002A2A6E"/>
    <w:rsid w:val="002A2B41"/>
    <w:rsid w:val="002A2D60"/>
    <w:rsid w:val="002A33E7"/>
    <w:rsid w:val="002A340C"/>
    <w:rsid w:val="002A3B6D"/>
    <w:rsid w:val="002A4266"/>
    <w:rsid w:val="002A48F1"/>
    <w:rsid w:val="002A4CEB"/>
    <w:rsid w:val="002A4CF5"/>
    <w:rsid w:val="002A5218"/>
    <w:rsid w:val="002A5582"/>
    <w:rsid w:val="002A5903"/>
    <w:rsid w:val="002A5DE9"/>
    <w:rsid w:val="002A5E6D"/>
    <w:rsid w:val="002A62C6"/>
    <w:rsid w:val="002A66A2"/>
    <w:rsid w:val="002A67CF"/>
    <w:rsid w:val="002A690B"/>
    <w:rsid w:val="002A6979"/>
    <w:rsid w:val="002A782E"/>
    <w:rsid w:val="002A7978"/>
    <w:rsid w:val="002A7B17"/>
    <w:rsid w:val="002A7B5D"/>
    <w:rsid w:val="002A7C6E"/>
    <w:rsid w:val="002A7CAA"/>
    <w:rsid w:val="002A7F2D"/>
    <w:rsid w:val="002B0526"/>
    <w:rsid w:val="002B0530"/>
    <w:rsid w:val="002B09AA"/>
    <w:rsid w:val="002B0B0A"/>
    <w:rsid w:val="002B0D65"/>
    <w:rsid w:val="002B0D90"/>
    <w:rsid w:val="002B128D"/>
    <w:rsid w:val="002B1839"/>
    <w:rsid w:val="002B1C78"/>
    <w:rsid w:val="002B1DD2"/>
    <w:rsid w:val="002B1E9F"/>
    <w:rsid w:val="002B2111"/>
    <w:rsid w:val="002B24F8"/>
    <w:rsid w:val="002B2E5D"/>
    <w:rsid w:val="002B3220"/>
    <w:rsid w:val="002B3298"/>
    <w:rsid w:val="002B3559"/>
    <w:rsid w:val="002B36C4"/>
    <w:rsid w:val="002B3BFF"/>
    <w:rsid w:val="002B40BF"/>
    <w:rsid w:val="002B41F8"/>
    <w:rsid w:val="002B43E7"/>
    <w:rsid w:val="002B4D9B"/>
    <w:rsid w:val="002B6995"/>
    <w:rsid w:val="002B6A72"/>
    <w:rsid w:val="002B6F4C"/>
    <w:rsid w:val="002B7339"/>
    <w:rsid w:val="002B779D"/>
    <w:rsid w:val="002B7F1F"/>
    <w:rsid w:val="002C038A"/>
    <w:rsid w:val="002C05A9"/>
    <w:rsid w:val="002C0720"/>
    <w:rsid w:val="002C0BA3"/>
    <w:rsid w:val="002C1206"/>
    <w:rsid w:val="002C1829"/>
    <w:rsid w:val="002C1850"/>
    <w:rsid w:val="002C1F9E"/>
    <w:rsid w:val="002C20D1"/>
    <w:rsid w:val="002C23A2"/>
    <w:rsid w:val="002C23AF"/>
    <w:rsid w:val="002C23C6"/>
    <w:rsid w:val="002C353C"/>
    <w:rsid w:val="002C361D"/>
    <w:rsid w:val="002C36F1"/>
    <w:rsid w:val="002C398E"/>
    <w:rsid w:val="002C3F6D"/>
    <w:rsid w:val="002C43B3"/>
    <w:rsid w:val="002C51E8"/>
    <w:rsid w:val="002C5492"/>
    <w:rsid w:val="002C54B5"/>
    <w:rsid w:val="002C58CF"/>
    <w:rsid w:val="002C5DAC"/>
    <w:rsid w:val="002C5E04"/>
    <w:rsid w:val="002C5E6C"/>
    <w:rsid w:val="002C5ECD"/>
    <w:rsid w:val="002C65A2"/>
    <w:rsid w:val="002C682B"/>
    <w:rsid w:val="002C69F1"/>
    <w:rsid w:val="002C6F7D"/>
    <w:rsid w:val="002C7184"/>
    <w:rsid w:val="002C790F"/>
    <w:rsid w:val="002C7B38"/>
    <w:rsid w:val="002C7FE7"/>
    <w:rsid w:val="002D0127"/>
    <w:rsid w:val="002D0476"/>
    <w:rsid w:val="002D04A5"/>
    <w:rsid w:val="002D084A"/>
    <w:rsid w:val="002D0877"/>
    <w:rsid w:val="002D0A18"/>
    <w:rsid w:val="002D0E4C"/>
    <w:rsid w:val="002D15FA"/>
    <w:rsid w:val="002D167B"/>
    <w:rsid w:val="002D16B0"/>
    <w:rsid w:val="002D16C3"/>
    <w:rsid w:val="002D17E6"/>
    <w:rsid w:val="002D1DC7"/>
    <w:rsid w:val="002D2243"/>
    <w:rsid w:val="002D251E"/>
    <w:rsid w:val="002D2540"/>
    <w:rsid w:val="002D2FD8"/>
    <w:rsid w:val="002D322E"/>
    <w:rsid w:val="002D3DE9"/>
    <w:rsid w:val="002D3F07"/>
    <w:rsid w:val="002D3F2E"/>
    <w:rsid w:val="002D3F42"/>
    <w:rsid w:val="002D4041"/>
    <w:rsid w:val="002D4188"/>
    <w:rsid w:val="002D4347"/>
    <w:rsid w:val="002D447D"/>
    <w:rsid w:val="002D4C5A"/>
    <w:rsid w:val="002D4DAB"/>
    <w:rsid w:val="002D4DC6"/>
    <w:rsid w:val="002D54F1"/>
    <w:rsid w:val="002D56BA"/>
    <w:rsid w:val="002D5991"/>
    <w:rsid w:val="002D5A06"/>
    <w:rsid w:val="002D5C65"/>
    <w:rsid w:val="002D5D25"/>
    <w:rsid w:val="002D6451"/>
    <w:rsid w:val="002D66E7"/>
    <w:rsid w:val="002D6759"/>
    <w:rsid w:val="002D683D"/>
    <w:rsid w:val="002D71BB"/>
    <w:rsid w:val="002D7523"/>
    <w:rsid w:val="002D78BE"/>
    <w:rsid w:val="002D7F0A"/>
    <w:rsid w:val="002E01ED"/>
    <w:rsid w:val="002E09C2"/>
    <w:rsid w:val="002E0CB0"/>
    <w:rsid w:val="002E0D78"/>
    <w:rsid w:val="002E0DA6"/>
    <w:rsid w:val="002E0E8D"/>
    <w:rsid w:val="002E1F91"/>
    <w:rsid w:val="002E2378"/>
    <w:rsid w:val="002E23B7"/>
    <w:rsid w:val="002E2DDD"/>
    <w:rsid w:val="002E2EA1"/>
    <w:rsid w:val="002E2F9A"/>
    <w:rsid w:val="002E3270"/>
    <w:rsid w:val="002E345F"/>
    <w:rsid w:val="002E3C26"/>
    <w:rsid w:val="002E3C3E"/>
    <w:rsid w:val="002E4224"/>
    <w:rsid w:val="002E43BD"/>
    <w:rsid w:val="002E450C"/>
    <w:rsid w:val="002E47F3"/>
    <w:rsid w:val="002E48B1"/>
    <w:rsid w:val="002E4AB4"/>
    <w:rsid w:val="002E4C96"/>
    <w:rsid w:val="002E4CD7"/>
    <w:rsid w:val="002E4FF2"/>
    <w:rsid w:val="002E560E"/>
    <w:rsid w:val="002E5789"/>
    <w:rsid w:val="002E5D08"/>
    <w:rsid w:val="002E680D"/>
    <w:rsid w:val="002E6B21"/>
    <w:rsid w:val="002E6BD7"/>
    <w:rsid w:val="002F0196"/>
    <w:rsid w:val="002F0A13"/>
    <w:rsid w:val="002F0EEF"/>
    <w:rsid w:val="002F12A9"/>
    <w:rsid w:val="002F16DB"/>
    <w:rsid w:val="002F1737"/>
    <w:rsid w:val="002F2208"/>
    <w:rsid w:val="002F22D1"/>
    <w:rsid w:val="002F2411"/>
    <w:rsid w:val="002F2A85"/>
    <w:rsid w:val="002F2B51"/>
    <w:rsid w:val="002F325E"/>
    <w:rsid w:val="002F3700"/>
    <w:rsid w:val="002F44A1"/>
    <w:rsid w:val="002F4817"/>
    <w:rsid w:val="002F487F"/>
    <w:rsid w:val="002F4946"/>
    <w:rsid w:val="002F4949"/>
    <w:rsid w:val="002F4F68"/>
    <w:rsid w:val="002F50DA"/>
    <w:rsid w:val="002F56EE"/>
    <w:rsid w:val="002F5770"/>
    <w:rsid w:val="002F5E1C"/>
    <w:rsid w:val="002F5EAC"/>
    <w:rsid w:val="002F5F60"/>
    <w:rsid w:val="002F6263"/>
    <w:rsid w:val="002F6300"/>
    <w:rsid w:val="002F6665"/>
    <w:rsid w:val="0030002A"/>
    <w:rsid w:val="0030032E"/>
    <w:rsid w:val="003003BD"/>
    <w:rsid w:val="003007A6"/>
    <w:rsid w:val="00300ECF"/>
    <w:rsid w:val="00301AE5"/>
    <w:rsid w:val="00301D88"/>
    <w:rsid w:val="00301EC8"/>
    <w:rsid w:val="00302376"/>
    <w:rsid w:val="00302413"/>
    <w:rsid w:val="00302988"/>
    <w:rsid w:val="0030326B"/>
    <w:rsid w:val="00303A86"/>
    <w:rsid w:val="00303DF1"/>
    <w:rsid w:val="00304176"/>
    <w:rsid w:val="00304253"/>
    <w:rsid w:val="0030442F"/>
    <w:rsid w:val="00304848"/>
    <w:rsid w:val="003049DE"/>
    <w:rsid w:val="00304D21"/>
    <w:rsid w:val="00304F61"/>
    <w:rsid w:val="0030556F"/>
    <w:rsid w:val="0030561E"/>
    <w:rsid w:val="00305A64"/>
    <w:rsid w:val="00306349"/>
    <w:rsid w:val="003065A0"/>
    <w:rsid w:val="00307059"/>
    <w:rsid w:val="00307101"/>
    <w:rsid w:val="0030719A"/>
    <w:rsid w:val="0030719C"/>
    <w:rsid w:val="003074A5"/>
    <w:rsid w:val="0030762A"/>
    <w:rsid w:val="003077A0"/>
    <w:rsid w:val="003077C5"/>
    <w:rsid w:val="00307AD6"/>
    <w:rsid w:val="0031022B"/>
    <w:rsid w:val="003102B3"/>
    <w:rsid w:val="0031095D"/>
    <w:rsid w:val="00310E4A"/>
    <w:rsid w:val="00310E98"/>
    <w:rsid w:val="003111C3"/>
    <w:rsid w:val="003111C9"/>
    <w:rsid w:val="003112AF"/>
    <w:rsid w:val="00311534"/>
    <w:rsid w:val="0031158D"/>
    <w:rsid w:val="00311A07"/>
    <w:rsid w:val="00311B71"/>
    <w:rsid w:val="0031224A"/>
    <w:rsid w:val="00312627"/>
    <w:rsid w:val="00312679"/>
    <w:rsid w:val="00312D6B"/>
    <w:rsid w:val="003140B1"/>
    <w:rsid w:val="003144D5"/>
    <w:rsid w:val="00314948"/>
    <w:rsid w:val="003149DC"/>
    <w:rsid w:val="00314A33"/>
    <w:rsid w:val="00314A37"/>
    <w:rsid w:val="00314A7D"/>
    <w:rsid w:val="00314F92"/>
    <w:rsid w:val="0031515A"/>
    <w:rsid w:val="00315638"/>
    <w:rsid w:val="00315A00"/>
    <w:rsid w:val="00315AE5"/>
    <w:rsid w:val="00315B65"/>
    <w:rsid w:val="00315C5C"/>
    <w:rsid w:val="0031600F"/>
    <w:rsid w:val="003166B9"/>
    <w:rsid w:val="00316D5C"/>
    <w:rsid w:val="00316FC3"/>
    <w:rsid w:val="00317350"/>
    <w:rsid w:val="00317A22"/>
    <w:rsid w:val="00317B66"/>
    <w:rsid w:val="00317E39"/>
    <w:rsid w:val="00320351"/>
    <w:rsid w:val="00320875"/>
    <w:rsid w:val="00320E95"/>
    <w:rsid w:val="0032132B"/>
    <w:rsid w:val="00321DC3"/>
    <w:rsid w:val="00322464"/>
    <w:rsid w:val="00322656"/>
    <w:rsid w:val="00322AB4"/>
    <w:rsid w:val="00322E82"/>
    <w:rsid w:val="00323285"/>
    <w:rsid w:val="0032386D"/>
    <w:rsid w:val="003239E3"/>
    <w:rsid w:val="00323D4E"/>
    <w:rsid w:val="0032430D"/>
    <w:rsid w:val="00324425"/>
    <w:rsid w:val="003244C3"/>
    <w:rsid w:val="003246BC"/>
    <w:rsid w:val="003246DF"/>
    <w:rsid w:val="00324D6A"/>
    <w:rsid w:val="00325433"/>
    <w:rsid w:val="00325AE4"/>
    <w:rsid w:val="00325AFA"/>
    <w:rsid w:val="00326064"/>
    <w:rsid w:val="00326144"/>
    <w:rsid w:val="003263EE"/>
    <w:rsid w:val="00327373"/>
    <w:rsid w:val="00327582"/>
    <w:rsid w:val="00327E08"/>
    <w:rsid w:val="00330032"/>
    <w:rsid w:val="003308B2"/>
    <w:rsid w:val="00330A5C"/>
    <w:rsid w:val="003312D1"/>
    <w:rsid w:val="00331421"/>
    <w:rsid w:val="003314B0"/>
    <w:rsid w:val="00331689"/>
    <w:rsid w:val="00331742"/>
    <w:rsid w:val="003318F9"/>
    <w:rsid w:val="00331B1E"/>
    <w:rsid w:val="00331D1D"/>
    <w:rsid w:val="00331E60"/>
    <w:rsid w:val="003322B1"/>
    <w:rsid w:val="00332327"/>
    <w:rsid w:val="003326C4"/>
    <w:rsid w:val="00332803"/>
    <w:rsid w:val="003329D1"/>
    <w:rsid w:val="0033382E"/>
    <w:rsid w:val="00333D54"/>
    <w:rsid w:val="00333EFB"/>
    <w:rsid w:val="003342E9"/>
    <w:rsid w:val="0033445D"/>
    <w:rsid w:val="00334657"/>
    <w:rsid w:val="003347F6"/>
    <w:rsid w:val="003348C3"/>
    <w:rsid w:val="00334CBE"/>
    <w:rsid w:val="00335BCC"/>
    <w:rsid w:val="0033661A"/>
    <w:rsid w:val="00336F75"/>
    <w:rsid w:val="003374DC"/>
    <w:rsid w:val="003402C4"/>
    <w:rsid w:val="00340429"/>
    <w:rsid w:val="0034054F"/>
    <w:rsid w:val="00340860"/>
    <w:rsid w:val="00340C71"/>
    <w:rsid w:val="00340E62"/>
    <w:rsid w:val="00340EA3"/>
    <w:rsid w:val="003412AD"/>
    <w:rsid w:val="003418F4"/>
    <w:rsid w:val="003419E3"/>
    <w:rsid w:val="00342105"/>
    <w:rsid w:val="00342766"/>
    <w:rsid w:val="00342AE5"/>
    <w:rsid w:val="00342D5A"/>
    <w:rsid w:val="003430BE"/>
    <w:rsid w:val="00343597"/>
    <w:rsid w:val="0034381F"/>
    <w:rsid w:val="003444E9"/>
    <w:rsid w:val="00344886"/>
    <w:rsid w:val="00345516"/>
    <w:rsid w:val="0034592F"/>
    <w:rsid w:val="00345C37"/>
    <w:rsid w:val="00345D09"/>
    <w:rsid w:val="00345F15"/>
    <w:rsid w:val="00346183"/>
    <w:rsid w:val="00346406"/>
    <w:rsid w:val="0034648F"/>
    <w:rsid w:val="0034669E"/>
    <w:rsid w:val="00346700"/>
    <w:rsid w:val="00346705"/>
    <w:rsid w:val="0034679F"/>
    <w:rsid w:val="00346C5F"/>
    <w:rsid w:val="00347A7F"/>
    <w:rsid w:val="00347DD0"/>
    <w:rsid w:val="00347FB5"/>
    <w:rsid w:val="00350491"/>
    <w:rsid w:val="00350C19"/>
    <w:rsid w:val="00350C57"/>
    <w:rsid w:val="00350DFA"/>
    <w:rsid w:val="00350F63"/>
    <w:rsid w:val="00350FB3"/>
    <w:rsid w:val="00351CFB"/>
    <w:rsid w:val="00351DC7"/>
    <w:rsid w:val="00351E3E"/>
    <w:rsid w:val="0035202E"/>
    <w:rsid w:val="00352356"/>
    <w:rsid w:val="0035237F"/>
    <w:rsid w:val="003523B8"/>
    <w:rsid w:val="00352D0F"/>
    <w:rsid w:val="00352DAB"/>
    <w:rsid w:val="00353249"/>
    <w:rsid w:val="00353AC5"/>
    <w:rsid w:val="003547D2"/>
    <w:rsid w:val="00354B4E"/>
    <w:rsid w:val="00354E7E"/>
    <w:rsid w:val="00354EA2"/>
    <w:rsid w:val="003555E1"/>
    <w:rsid w:val="0035569C"/>
    <w:rsid w:val="00355751"/>
    <w:rsid w:val="00355902"/>
    <w:rsid w:val="00355A60"/>
    <w:rsid w:val="00355F05"/>
    <w:rsid w:val="0035603C"/>
    <w:rsid w:val="003562F7"/>
    <w:rsid w:val="0035640A"/>
    <w:rsid w:val="00356E82"/>
    <w:rsid w:val="003578A6"/>
    <w:rsid w:val="00357B8B"/>
    <w:rsid w:val="00357BF8"/>
    <w:rsid w:val="00357D1F"/>
    <w:rsid w:val="00357FB9"/>
    <w:rsid w:val="003608BF"/>
    <w:rsid w:val="00360927"/>
    <w:rsid w:val="00360962"/>
    <w:rsid w:val="00360B15"/>
    <w:rsid w:val="00360C20"/>
    <w:rsid w:val="003610D7"/>
    <w:rsid w:val="003614F4"/>
    <w:rsid w:val="00361ED4"/>
    <w:rsid w:val="00362586"/>
    <w:rsid w:val="0036258F"/>
    <w:rsid w:val="003629B9"/>
    <w:rsid w:val="00362FC9"/>
    <w:rsid w:val="003635C1"/>
    <w:rsid w:val="003636E3"/>
    <w:rsid w:val="00363F81"/>
    <w:rsid w:val="00363FA7"/>
    <w:rsid w:val="003641D9"/>
    <w:rsid w:val="00364212"/>
    <w:rsid w:val="003644E9"/>
    <w:rsid w:val="00364BAD"/>
    <w:rsid w:val="003653E0"/>
    <w:rsid w:val="00365759"/>
    <w:rsid w:val="003658CC"/>
    <w:rsid w:val="00365BED"/>
    <w:rsid w:val="00365D6B"/>
    <w:rsid w:val="00366114"/>
    <w:rsid w:val="00366936"/>
    <w:rsid w:val="00366AC6"/>
    <w:rsid w:val="00366CB7"/>
    <w:rsid w:val="00367275"/>
    <w:rsid w:val="003672B9"/>
    <w:rsid w:val="00367363"/>
    <w:rsid w:val="00367483"/>
    <w:rsid w:val="003676EF"/>
    <w:rsid w:val="00370B42"/>
    <w:rsid w:val="00370CD0"/>
    <w:rsid w:val="00370DF7"/>
    <w:rsid w:val="00370F4B"/>
    <w:rsid w:val="003712D9"/>
    <w:rsid w:val="00371609"/>
    <w:rsid w:val="003717C8"/>
    <w:rsid w:val="00371C96"/>
    <w:rsid w:val="00372021"/>
    <w:rsid w:val="0037212C"/>
    <w:rsid w:val="00372567"/>
    <w:rsid w:val="003726FE"/>
    <w:rsid w:val="003734EB"/>
    <w:rsid w:val="00373738"/>
    <w:rsid w:val="003739B4"/>
    <w:rsid w:val="00373FC4"/>
    <w:rsid w:val="003748DF"/>
    <w:rsid w:val="00374E3F"/>
    <w:rsid w:val="00375025"/>
    <w:rsid w:val="003751A3"/>
    <w:rsid w:val="00375200"/>
    <w:rsid w:val="00375223"/>
    <w:rsid w:val="0037555C"/>
    <w:rsid w:val="003756F8"/>
    <w:rsid w:val="00375BA7"/>
    <w:rsid w:val="00375C52"/>
    <w:rsid w:val="00375D4D"/>
    <w:rsid w:val="00375DB9"/>
    <w:rsid w:val="00376065"/>
    <w:rsid w:val="00376982"/>
    <w:rsid w:val="0037698A"/>
    <w:rsid w:val="00376CAD"/>
    <w:rsid w:val="0037708E"/>
    <w:rsid w:val="003802F9"/>
    <w:rsid w:val="003804A5"/>
    <w:rsid w:val="0038050F"/>
    <w:rsid w:val="00380703"/>
    <w:rsid w:val="00380AD8"/>
    <w:rsid w:val="00380F48"/>
    <w:rsid w:val="003811A6"/>
    <w:rsid w:val="003814AE"/>
    <w:rsid w:val="0038162E"/>
    <w:rsid w:val="0038179F"/>
    <w:rsid w:val="0038182B"/>
    <w:rsid w:val="0038195D"/>
    <w:rsid w:val="00381C4A"/>
    <w:rsid w:val="00381DF8"/>
    <w:rsid w:val="00381E4C"/>
    <w:rsid w:val="00382011"/>
    <w:rsid w:val="00382200"/>
    <w:rsid w:val="00382A1F"/>
    <w:rsid w:val="00382BE7"/>
    <w:rsid w:val="00382FB7"/>
    <w:rsid w:val="00383100"/>
    <w:rsid w:val="0038357C"/>
    <w:rsid w:val="003836A6"/>
    <w:rsid w:val="00383952"/>
    <w:rsid w:val="0038472D"/>
    <w:rsid w:val="00384A9D"/>
    <w:rsid w:val="00384C24"/>
    <w:rsid w:val="00384D59"/>
    <w:rsid w:val="00384FA0"/>
    <w:rsid w:val="003850DC"/>
    <w:rsid w:val="00385108"/>
    <w:rsid w:val="00385390"/>
    <w:rsid w:val="00385527"/>
    <w:rsid w:val="00385BB6"/>
    <w:rsid w:val="00385DAA"/>
    <w:rsid w:val="00385DD1"/>
    <w:rsid w:val="003860BF"/>
    <w:rsid w:val="0038639A"/>
    <w:rsid w:val="00386493"/>
    <w:rsid w:val="00386738"/>
    <w:rsid w:val="00386AF2"/>
    <w:rsid w:val="0038709C"/>
    <w:rsid w:val="003870D6"/>
    <w:rsid w:val="00387209"/>
    <w:rsid w:val="00387B43"/>
    <w:rsid w:val="00387C2C"/>
    <w:rsid w:val="00387E66"/>
    <w:rsid w:val="00387F73"/>
    <w:rsid w:val="003904C6"/>
    <w:rsid w:val="00390684"/>
    <w:rsid w:val="003906C0"/>
    <w:rsid w:val="003912E3"/>
    <w:rsid w:val="00391318"/>
    <w:rsid w:val="00391C8B"/>
    <w:rsid w:val="00391F0D"/>
    <w:rsid w:val="00392782"/>
    <w:rsid w:val="00392E29"/>
    <w:rsid w:val="00392E63"/>
    <w:rsid w:val="00392F20"/>
    <w:rsid w:val="00392FC4"/>
    <w:rsid w:val="00393059"/>
    <w:rsid w:val="00393378"/>
    <w:rsid w:val="00393D12"/>
    <w:rsid w:val="00393F15"/>
    <w:rsid w:val="00394708"/>
    <w:rsid w:val="00395056"/>
    <w:rsid w:val="00395409"/>
    <w:rsid w:val="0039546E"/>
    <w:rsid w:val="00395607"/>
    <w:rsid w:val="00395824"/>
    <w:rsid w:val="00395F2D"/>
    <w:rsid w:val="003960C5"/>
    <w:rsid w:val="003962F3"/>
    <w:rsid w:val="003966D2"/>
    <w:rsid w:val="003967EE"/>
    <w:rsid w:val="00396CC7"/>
    <w:rsid w:val="00396CD9"/>
    <w:rsid w:val="00396E09"/>
    <w:rsid w:val="00396E87"/>
    <w:rsid w:val="00397181"/>
    <w:rsid w:val="00397743"/>
    <w:rsid w:val="00397775"/>
    <w:rsid w:val="0039795A"/>
    <w:rsid w:val="003A0A86"/>
    <w:rsid w:val="003A1875"/>
    <w:rsid w:val="003A22D3"/>
    <w:rsid w:val="003A23F8"/>
    <w:rsid w:val="003A253A"/>
    <w:rsid w:val="003A276A"/>
    <w:rsid w:val="003A2ABF"/>
    <w:rsid w:val="003A2CF9"/>
    <w:rsid w:val="003A2D55"/>
    <w:rsid w:val="003A30B4"/>
    <w:rsid w:val="003A33D9"/>
    <w:rsid w:val="003A367D"/>
    <w:rsid w:val="003A39FA"/>
    <w:rsid w:val="003A40CD"/>
    <w:rsid w:val="003A488F"/>
    <w:rsid w:val="003A4B30"/>
    <w:rsid w:val="003A4D67"/>
    <w:rsid w:val="003A4FD0"/>
    <w:rsid w:val="003A564E"/>
    <w:rsid w:val="003A5A88"/>
    <w:rsid w:val="003A5F81"/>
    <w:rsid w:val="003A66E9"/>
    <w:rsid w:val="003A69EC"/>
    <w:rsid w:val="003A6BEF"/>
    <w:rsid w:val="003A71FD"/>
    <w:rsid w:val="003A759F"/>
    <w:rsid w:val="003A776E"/>
    <w:rsid w:val="003A7963"/>
    <w:rsid w:val="003A7BAA"/>
    <w:rsid w:val="003B0114"/>
    <w:rsid w:val="003B0474"/>
    <w:rsid w:val="003B0B1B"/>
    <w:rsid w:val="003B0B75"/>
    <w:rsid w:val="003B0F23"/>
    <w:rsid w:val="003B1170"/>
    <w:rsid w:val="003B12F3"/>
    <w:rsid w:val="003B141B"/>
    <w:rsid w:val="003B15DB"/>
    <w:rsid w:val="003B1782"/>
    <w:rsid w:val="003B197B"/>
    <w:rsid w:val="003B1AF8"/>
    <w:rsid w:val="003B2873"/>
    <w:rsid w:val="003B38C6"/>
    <w:rsid w:val="003B3C02"/>
    <w:rsid w:val="003B3DD5"/>
    <w:rsid w:val="003B440C"/>
    <w:rsid w:val="003B4557"/>
    <w:rsid w:val="003B4727"/>
    <w:rsid w:val="003B4A03"/>
    <w:rsid w:val="003B4E99"/>
    <w:rsid w:val="003B4EFB"/>
    <w:rsid w:val="003B516B"/>
    <w:rsid w:val="003B5D5B"/>
    <w:rsid w:val="003B5DBA"/>
    <w:rsid w:val="003B5E39"/>
    <w:rsid w:val="003B60B5"/>
    <w:rsid w:val="003B65CE"/>
    <w:rsid w:val="003B68B7"/>
    <w:rsid w:val="003B6ED4"/>
    <w:rsid w:val="003B703A"/>
    <w:rsid w:val="003B7129"/>
    <w:rsid w:val="003B724B"/>
    <w:rsid w:val="003B73AA"/>
    <w:rsid w:val="003B7A35"/>
    <w:rsid w:val="003B7AB2"/>
    <w:rsid w:val="003B7ABC"/>
    <w:rsid w:val="003B7F54"/>
    <w:rsid w:val="003B7FAC"/>
    <w:rsid w:val="003C0721"/>
    <w:rsid w:val="003C0FAA"/>
    <w:rsid w:val="003C1235"/>
    <w:rsid w:val="003C159D"/>
    <w:rsid w:val="003C162D"/>
    <w:rsid w:val="003C1665"/>
    <w:rsid w:val="003C177D"/>
    <w:rsid w:val="003C189E"/>
    <w:rsid w:val="003C195A"/>
    <w:rsid w:val="003C19C5"/>
    <w:rsid w:val="003C1B61"/>
    <w:rsid w:val="003C1ED5"/>
    <w:rsid w:val="003C24F0"/>
    <w:rsid w:val="003C2847"/>
    <w:rsid w:val="003C29DF"/>
    <w:rsid w:val="003C2BE7"/>
    <w:rsid w:val="003C333E"/>
    <w:rsid w:val="003C352C"/>
    <w:rsid w:val="003C3589"/>
    <w:rsid w:val="003C39F6"/>
    <w:rsid w:val="003C4162"/>
    <w:rsid w:val="003C43D2"/>
    <w:rsid w:val="003C447B"/>
    <w:rsid w:val="003C471D"/>
    <w:rsid w:val="003C4FF0"/>
    <w:rsid w:val="003C54F7"/>
    <w:rsid w:val="003C563F"/>
    <w:rsid w:val="003C5819"/>
    <w:rsid w:val="003C587D"/>
    <w:rsid w:val="003C5F39"/>
    <w:rsid w:val="003C6128"/>
    <w:rsid w:val="003C63ED"/>
    <w:rsid w:val="003C6908"/>
    <w:rsid w:val="003C6C65"/>
    <w:rsid w:val="003C6E7D"/>
    <w:rsid w:val="003C6E98"/>
    <w:rsid w:val="003C76C6"/>
    <w:rsid w:val="003C785D"/>
    <w:rsid w:val="003C78CF"/>
    <w:rsid w:val="003C7B58"/>
    <w:rsid w:val="003C7B5D"/>
    <w:rsid w:val="003D0434"/>
    <w:rsid w:val="003D0E4F"/>
    <w:rsid w:val="003D161E"/>
    <w:rsid w:val="003D176D"/>
    <w:rsid w:val="003D1CCE"/>
    <w:rsid w:val="003D1E61"/>
    <w:rsid w:val="003D21F5"/>
    <w:rsid w:val="003D2244"/>
    <w:rsid w:val="003D2C36"/>
    <w:rsid w:val="003D30CF"/>
    <w:rsid w:val="003D398F"/>
    <w:rsid w:val="003D3CBC"/>
    <w:rsid w:val="003D416F"/>
    <w:rsid w:val="003D45F5"/>
    <w:rsid w:val="003D506F"/>
    <w:rsid w:val="003D5099"/>
    <w:rsid w:val="003D587B"/>
    <w:rsid w:val="003D5993"/>
    <w:rsid w:val="003D6B76"/>
    <w:rsid w:val="003D7074"/>
    <w:rsid w:val="003D76DE"/>
    <w:rsid w:val="003D7885"/>
    <w:rsid w:val="003D7A09"/>
    <w:rsid w:val="003D7A0A"/>
    <w:rsid w:val="003D7BD0"/>
    <w:rsid w:val="003D7FE7"/>
    <w:rsid w:val="003E02D4"/>
    <w:rsid w:val="003E0319"/>
    <w:rsid w:val="003E0590"/>
    <w:rsid w:val="003E0972"/>
    <w:rsid w:val="003E0A11"/>
    <w:rsid w:val="003E0DC6"/>
    <w:rsid w:val="003E13FB"/>
    <w:rsid w:val="003E16F4"/>
    <w:rsid w:val="003E1BB9"/>
    <w:rsid w:val="003E2041"/>
    <w:rsid w:val="003E22D8"/>
    <w:rsid w:val="003E246C"/>
    <w:rsid w:val="003E26DF"/>
    <w:rsid w:val="003E27CB"/>
    <w:rsid w:val="003E282E"/>
    <w:rsid w:val="003E2C4B"/>
    <w:rsid w:val="003E2E8B"/>
    <w:rsid w:val="003E3245"/>
    <w:rsid w:val="003E32D9"/>
    <w:rsid w:val="003E450F"/>
    <w:rsid w:val="003E45AA"/>
    <w:rsid w:val="003E4B29"/>
    <w:rsid w:val="003E5202"/>
    <w:rsid w:val="003E5633"/>
    <w:rsid w:val="003E5819"/>
    <w:rsid w:val="003E64BB"/>
    <w:rsid w:val="003E6526"/>
    <w:rsid w:val="003E6A2E"/>
    <w:rsid w:val="003E6DF9"/>
    <w:rsid w:val="003E6F39"/>
    <w:rsid w:val="003E6FEB"/>
    <w:rsid w:val="003E739B"/>
    <w:rsid w:val="003F043B"/>
    <w:rsid w:val="003F10FF"/>
    <w:rsid w:val="003F1222"/>
    <w:rsid w:val="003F1447"/>
    <w:rsid w:val="003F17C7"/>
    <w:rsid w:val="003F1C55"/>
    <w:rsid w:val="003F2558"/>
    <w:rsid w:val="003F25C4"/>
    <w:rsid w:val="003F2812"/>
    <w:rsid w:val="003F3174"/>
    <w:rsid w:val="003F3AD1"/>
    <w:rsid w:val="003F3BD8"/>
    <w:rsid w:val="003F417B"/>
    <w:rsid w:val="003F451A"/>
    <w:rsid w:val="003F4C5C"/>
    <w:rsid w:val="003F52AB"/>
    <w:rsid w:val="003F5EF2"/>
    <w:rsid w:val="003F656D"/>
    <w:rsid w:val="003F65B5"/>
    <w:rsid w:val="003F682E"/>
    <w:rsid w:val="003F7899"/>
    <w:rsid w:val="003F79E3"/>
    <w:rsid w:val="003F7D57"/>
    <w:rsid w:val="003F7E51"/>
    <w:rsid w:val="004003C4"/>
    <w:rsid w:val="00400964"/>
    <w:rsid w:val="00400996"/>
    <w:rsid w:val="00400DEB"/>
    <w:rsid w:val="00401908"/>
    <w:rsid w:val="00401CE5"/>
    <w:rsid w:val="00401DE8"/>
    <w:rsid w:val="00403204"/>
    <w:rsid w:val="00403465"/>
    <w:rsid w:val="0040371C"/>
    <w:rsid w:val="00403AB2"/>
    <w:rsid w:val="0040488E"/>
    <w:rsid w:val="004060C7"/>
    <w:rsid w:val="004062CF"/>
    <w:rsid w:val="0040679D"/>
    <w:rsid w:val="004069F7"/>
    <w:rsid w:val="00406B04"/>
    <w:rsid w:val="00406C38"/>
    <w:rsid w:val="00406C8A"/>
    <w:rsid w:val="00406DA8"/>
    <w:rsid w:val="00407252"/>
    <w:rsid w:val="00407992"/>
    <w:rsid w:val="00407A0D"/>
    <w:rsid w:val="00407A13"/>
    <w:rsid w:val="00407BFB"/>
    <w:rsid w:val="00407D57"/>
    <w:rsid w:val="004102B4"/>
    <w:rsid w:val="00410606"/>
    <w:rsid w:val="00410A7C"/>
    <w:rsid w:val="00410B42"/>
    <w:rsid w:val="00410C10"/>
    <w:rsid w:val="00410F63"/>
    <w:rsid w:val="004115BB"/>
    <w:rsid w:val="004122C7"/>
    <w:rsid w:val="0041233D"/>
    <w:rsid w:val="0041256E"/>
    <w:rsid w:val="004129B7"/>
    <w:rsid w:val="00412AE3"/>
    <w:rsid w:val="00412BA1"/>
    <w:rsid w:val="00412C53"/>
    <w:rsid w:val="0041355C"/>
    <w:rsid w:val="00414A33"/>
    <w:rsid w:val="00414AB9"/>
    <w:rsid w:val="00414E80"/>
    <w:rsid w:val="00415520"/>
    <w:rsid w:val="004159A9"/>
    <w:rsid w:val="00415BE5"/>
    <w:rsid w:val="00416461"/>
    <w:rsid w:val="0041693D"/>
    <w:rsid w:val="00416BBD"/>
    <w:rsid w:val="004170E1"/>
    <w:rsid w:val="00417C2A"/>
    <w:rsid w:val="00417E43"/>
    <w:rsid w:val="00417E4A"/>
    <w:rsid w:val="0042020E"/>
    <w:rsid w:val="00420854"/>
    <w:rsid w:val="00420E82"/>
    <w:rsid w:val="0042120E"/>
    <w:rsid w:val="0042178D"/>
    <w:rsid w:val="00421943"/>
    <w:rsid w:val="00421B68"/>
    <w:rsid w:val="00421BE1"/>
    <w:rsid w:val="00421D5E"/>
    <w:rsid w:val="0042274F"/>
    <w:rsid w:val="004227B5"/>
    <w:rsid w:val="00422900"/>
    <w:rsid w:val="004229E3"/>
    <w:rsid w:val="00422A6A"/>
    <w:rsid w:val="00423371"/>
    <w:rsid w:val="0042350E"/>
    <w:rsid w:val="00423929"/>
    <w:rsid w:val="00423BF7"/>
    <w:rsid w:val="00423C6C"/>
    <w:rsid w:val="00423FF9"/>
    <w:rsid w:val="0042452C"/>
    <w:rsid w:val="00424911"/>
    <w:rsid w:val="00424935"/>
    <w:rsid w:val="004253A5"/>
    <w:rsid w:val="00425589"/>
    <w:rsid w:val="00425D7F"/>
    <w:rsid w:val="00426883"/>
    <w:rsid w:val="00426DCE"/>
    <w:rsid w:val="00426EE3"/>
    <w:rsid w:val="004276FB"/>
    <w:rsid w:val="00427CA9"/>
    <w:rsid w:val="00427CC7"/>
    <w:rsid w:val="0043007C"/>
    <w:rsid w:val="0043009D"/>
    <w:rsid w:val="00430274"/>
    <w:rsid w:val="00430421"/>
    <w:rsid w:val="0043048D"/>
    <w:rsid w:val="0043083C"/>
    <w:rsid w:val="00430E39"/>
    <w:rsid w:val="00430E82"/>
    <w:rsid w:val="00431677"/>
    <w:rsid w:val="00431C6A"/>
    <w:rsid w:val="00431EE8"/>
    <w:rsid w:val="004324F3"/>
    <w:rsid w:val="00432ABB"/>
    <w:rsid w:val="00432F3E"/>
    <w:rsid w:val="00433114"/>
    <w:rsid w:val="004333CC"/>
    <w:rsid w:val="00433708"/>
    <w:rsid w:val="00433A97"/>
    <w:rsid w:val="00433D85"/>
    <w:rsid w:val="00433FBF"/>
    <w:rsid w:val="00434563"/>
    <w:rsid w:val="004347A3"/>
    <w:rsid w:val="00434812"/>
    <w:rsid w:val="0043481F"/>
    <w:rsid w:val="00434C78"/>
    <w:rsid w:val="00434ECC"/>
    <w:rsid w:val="00435B60"/>
    <w:rsid w:val="00435FDB"/>
    <w:rsid w:val="0043610D"/>
    <w:rsid w:val="004365E7"/>
    <w:rsid w:val="0043694C"/>
    <w:rsid w:val="00436D3A"/>
    <w:rsid w:val="004374D2"/>
    <w:rsid w:val="004375D3"/>
    <w:rsid w:val="00437814"/>
    <w:rsid w:val="00437851"/>
    <w:rsid w:val="0044023D"/>
    <w:rsid w:val="00440CBC"/>
    <w:rsid w:val="00440DE2"/>
    <w:rsid w:val="004410A0"/>
    <w:rsid w:val="00441350"/>
    <w:rsid w:val="004415B9"/>
    <w:rsid w:val="00442E2E"/>
    <w:rsid w:val="004434B2"/>
    <w:rsid w:val="0044360D"/>
    <w:rsid w:val="004436B3"/>
    <w:rsid w:val="004437D5"/>
    <w:rsid w:val="00443BE8"/>
    <w:rsid w:val="00443EF9"/>
    <w:rsid w:val="00443FC0"/>
    <w:rsid w:val="004440F9"/>
    <w:rsid w:val="00444100"/>
    <w:rsid w:val="004443F4"/>
    <w:rsid w:val="00445ADD"/>
    <w:rsid w:val="00445B67"/>
    <w:rsid w:val="00445B93"/>
    <w:rsid w:val="00445DE2"/>
    <w:rsid w:val="00445FA3"/>
    <w:rsid w:val="0044668D"/>
    <w:rsid w:val="00446728"/>
    <w:rsid w:val="004467F1"/>
    <w:rsid w:val="00446B4A"/>
    <w:rsid w:val="00446C1F"/>
    <w:rsid w:val="00446C63"/>
    <w:rsid w:val="0044702B"/>
    <w:rsid w:val="00447193"/>
    <w:rsid w:val="004472A8"/>
    <w:rsid w:val="00447B15"/>
    <w:rsid w:val="004500F5"/>
    <w:rsid w:val="00450201"/>
    <w:rsid w:val="00450261"/>
    <w:rsid w:val="0045073A"/>
    <w:rsid w:val="00450C12"/>
    <w:rsid w:val="00450F78"/>
    <w:rsid w:val="00451124"/>
    <w:rsid w:val="0045142C"/>
    <w:rsid w:val="004520EE"/>
    <w:rsid w:val="00452363"/>
    <w:rsid w:val="00452A99"/>
    <w:rsid w:val="00452B1C"/>
    <w:rsid w:val="00452DF2"/>
    <w:rsid w:val="00453876"/>
    <w:rsid w:val="00453DB8"/>
    <w:rsid w:val="00453EBB"/>
    <w:rsid w:val="0045402E"/>
    <w:rsid w:val="0045448E"/>
    <w:rsid w:val="00454642"/>
    <w:rsid w:val="00454AA8"/>
    <w:rsid w:val="0045534E"/>
    <w:rsid w:val="004553B9"/>
    <w:rsid w:val="00455551"/>
    <w:rsid w:val="00455790"/>
    <w:rsid w:val="00456118"/>
    <w:rsid w:val="004561DA"/>
    <w:rsid w:val="0045635D"/>
    <w:rsid w:val="00456532"/>
    <w:rsid w:val="00456961"/>
    <w:rsid w:val="00456B32"/>
    <w:rsid w:val="00457447"/>
    <w:rsid w:val="00457A23"/>
    <w:rsid w:val="00457D05"/>
    <w:rsid w:val="00460025"/>
    <w:rsid w:val="0046031F"/>
    <w:rsid w:val="00460392"/>
    <w:rsid w:val="0046097C"/>
    <w:rsid w:val="004609F3"/>
    <w:rsid w:val="00460E27"/>
    <w:rsid w:val="004615A2"/>
    <w:rsid w:val="004615F8"/>
    <w:rsid w:val="00461888"/>
    <w:rsid w:val="004618F5"/>
    <w:rsid w:val="00461969"/>
    <w:rsid w:val="00461EB7"/>
    <w:rsid w:val="004620DF"/>
    <w:rsid w:val="004620EF"/>
    <w:rsid w:val="0046227B"/>
    <w:rsid w:val="0046237D"/>
    <w:rsid w:val="00462387"/>
    <w:rsid w:val="00462AC7"/>
    <w:rsid w:val="00462D65"/>
    <w:rsid w:val="0046309E"/>
    <w:rsid w:val="0046406C"/>
    <w:rsid w:val="004647C6"/>
    <w:rsid w:val="00464C8C"/>
    <w:rsid w:val="00464CCA"/>
    <w:rsid w:val="00464DC2"/>
    <w:rsid w:val="00464DFA"/>
    <w:rsid w:val="00464F71"/>
    <w:rsid w:val="00465032"/>
    <w:rsid w:val="0046505C"/>
    <w:rsid w:val="004656A4"/>
    <w:rsid w:val="00465D21"/>
    <w:rsid w:val="00465D29"/>
    <w:rsid w:val="00465FF5"/>
    <w:rsid w:val="00465FFD"/>
    <w:rsid w:val="004661D8"/>
    <w:rsid w:val="00466449"/>
    <w:rsid w:val="0046654B"/>
    <w:rsid w:val="004668C5"/>
    <w:rsid w:val="00467167"/>
    <w:rsid w:val="004671FD"/>
    <w:rsid w:val="0046722F"/>
    <w:rsid w:val="0046751E"/>
    <w:rsid w:val="00467B48"/>
    <w:rsid w:val="00467D2B"/>
    <w:rsid w:val="004700D8"/>
    <w:rsid w:val="00470D3E"/>
    <w:rsid w:val="00470F49"/>
    <w:rsid w:val="004714DC"/>
    <w:rsid w:val="0047153E"/>
    <w:rsid w:val="0047180F"/>
    <w:rsid w:val="00471968"/>
    <w:rsid w:val="00471BF9"/>
    <w:rsid w:val="00471F68"/>
    <w:rsid w:val="0047264A"/>
    <w:rsid w:val="004729EE"/>
    <w:rsid w:val="00472FB8"/>
    <w:rsid w:val="004731C0"/>
    <w:rsid w:val="00473639"/>
    <w:rsid w:val="00473AC5"/>
    <w:rsid w:val="00473FBD"/>
    <w:rsid w:val="0047454E"/>
    <w:rsid w:val="004745A6"/>
    <w:rsid w:val="004749BD"/>
    <w:rsid w:val="004754A8"/>
    <w:rsid w:val="0047554A"/>
    <w:rsid w:val="004755BA"/>
    <w:rsid w:val="0047563C"/>
    <w:rsid w:val="0047567B"/>
    <w:rsid w:val="004763AA"/>
    <w:rsid w:val="004764F5"/>
    <w:rsid w:val="004768A3"/>
    <w:rsid w:val="00476B74"/>
    <w:rsid w:val="00476E4C"/>
    <w:rsid w:val="0047742D"/>
    <w:rsid w:val="00477760"/>
    <w:rsid w:val="004777E1"/>
    <w:rsid w:val="004777FC"/>
    <w:rsid w:val="00477C01"/>
    <w:rsid w:val="00477DDC"/>
    <w:rsid w:val="00477F52"/>
    <w:rsid w:val="0048023B"/>
    <w:rsid w:val="00480CAF"/>
    <w:rsid w:val="00480DBB"/>
    <w:rsid w:val="004812C0"/>
    <w:rsid w:val="00481503"/>
    <w:rsid w:val="00481855"/>
    <w:rsid w:val="004818B1"/>
    <w:rsid w:val="00481A59"/>
    <w:rsid w:val="00481E16"/>
    <w:rsid w:val="00482027"/>
    <w:rsid w:val="0048290C"/>
    <w:rsid w:val="00482CC2"/>
    <w:rsid w:val="00482F77"/>
    <w:rsid w:val="00483169"/>
    <w:rsid w:val="00483A8C"/>
    <w:rsid w:val="00483B63"/>
    <w:rsid w:val="00483F96"/>
    <w:rsid w:val="0048410F"/>
    <w:rsid w:val="00484802"/>
    <w:rsid w:val="00484C1A"/>
    <w:rsid w:val="00484D19"/>
    <w:rsid w:val="004851FF"/>
    <w:rsid w:val="00485615"/>
    <w:rsid w:val="00485B69"/>
    <w:rsid w:val="00485EA8"/>
    <w:rsid w:val="004864D6"/>
    <w:rsid w:val="00486CC9"/>
    <w:rsid w:val="00486CCD"/>
    <w:rsid w:val="00487192"/>
    <w:rsid w:val="004871AA"/>
    <w:rsid w:val="0048770F"/>
    <w:rsid w:val="00487767"/>
    <w:rsid w:val="00491DC1"/>
    <w:rsid w:val="00492369"/>
    <w:rsid w:val="004923EE"/>
    <w:rsid w:val="00492AC7"/>
    <w:rsid w:val="00493446"/>
    <w:rsid w:val="004939EA"/>
    <w:rsid w:val="00493BDD"/>
    <w:rsid w:val="00493DFD"/>
    <w:rsid w:val="00493F45"/>
    <w:rsid w:val="00494187"/>
    <w:rsid w:val="004942C4"/>
    <w:rsid w:val="00494875"/>
    <w:rsid w:val="00494A8D"/>
    <w:rsid w:val="00494AA4"/>
    <w:rsid w:val="00494D02"/>
    <w:rsid w:val="00494FA1"/>
    <w:rsid w:val="004952B0"/>
    <w:rsid w:val="004952C2"/>
    <w:rsid w:val="004958EB"/>
    <w:rsid w:val="00495F6C"/>
    <w:rsid w:val="004961BD"/>
    <w:rsid w:val="004961DF"/>
    <w:rsid w:val="00496236"/>
    <w:rsid w:val="00496247"/>
    <w:rsid w:val="0049687F"/>
    <w:rsid w:val="00496CE3"/>
    <w:rsid w:val="00496D95"/>
    <w:rsid w:val="00496DA4"/>
    <w:rsid w:val="00497037"/>
    <w:rsid w:val="004A0286"/>
    <w:rsid w:val="004A0DF0"/>
    <w:rsid w:val="004A126F"/>
    <w:rsid w:val="004A14CC"/>
    <w:rsid w:val="004A1704"/>
    <w:rsid w:val="004A1999"/>
    <w:rsid w:val="004A19A9"/>
    <w:rsid w:val="004A1AB4"/>
    <w:rsid w:val="004A1C6B"/>
    <w:rsid w:val="004A1CA8"/>
    <w:rsid w:val="004A24B4"/>
    <w:rsid w:val="004A294E"/>
    <w:rsid w:val="004A2A7C"/>
    <w:rsid w:val="004A30EE"/>
    <w:rsid w:val="004A37A1"/>
    <w:rsid w:val="004A3A9A"/>
    <w:rsid w:val="004A3B6C"/>
    <w:rsid w:val="004A4177"/>
    <w:rsid w:val="004A453B"/>
    <w:rsid w:val="004A46A9"/>
    <w:rsid w:val="004A46E3"/>
    <w:rsid w:val="004A4939"/>
    <w:rsid w:val="004A4A00"/>
    <w:rsid w:val="004A558E"/>
    <w:rsid w:val="004A5598"/>
    <w:rsid w:val="004A584A"/>
    <w:rsid w:val="004A5899"/>
    <w:rsid w:val="004A6042"/>
    <w:rsid w:val="004A6780"/>
    <w:rsid w:val="004A6838"/>
    <w:rsid w:val="004A689D"/>
    <w:rsid w:val="004A6DC2"/>
    <w:rsid w:val="004A752B"/>
    <w:rsid w:val="004A756B"/>
    <w:rsid w:val="004A772E"/>
    <w:rsid w:val="004A78C7"/>
    <w:rsid w:val="004A7C64"/>
    <w:rsid w:val="004A7E78"/>
    <w:rsid w:val="004A7F64"/>
    <w:rsid w:val="004B0472"/>
    <w:rsid w:val="004B09A2"/>
    <w:rsid w:val="004B119B"/>
    <w:rsid w:val="004B1427"/>
    <w:rsid w:val="004B1A33"/>
    <w:rsid w:val="004B2A6D"/>
    <w:rsid w:val="004B2C3D"/>
    <w:rsid w:val="004B2C98"/>
    <w:rsid w:val="004B2FEA"/>
    <w:rsid w:val="004B30A2"/>
    <w:rsid w:val="004B3100"/>
    <w:rsid w:val="004B35FF"/>
    <w:rsid w:val="004B366C"/>
    <w:rsid w:val="004B3DEC"/>
    <w:rsid w:val="004B44BC"/>
    <w:rsid w:val="004B4586"/>
    <w:rsid w:val="004B49F7"/>
    <w:rsid w:val="004B4AA6"/>
    <w:rsid w:val="004B4C1F"/>
    <w:rsid w:val="004B4D43"/>
    <w:rsid w:val="004B4E5E"/>
    <w:rsid w:val="004B4E62"/>
    <w:rsid w:val="004B4FE9"/>
    <w:rsid w:val="004B53E7"/>
    <w:rsid w:val="004B54C7"/>
    <w:rsid w:val="004B5AEE"/>
    <w:rsid w:val="004B67E7"/>
    <w:rsid w:val="004B6985"/>
    <w:rsid w:val="004B6C44"/>
    <w:rsid w:val="004B6D5C"/>
    <w:rsid w:val="004B70E3"/>
    <w:rsid w:val="004B7462"/>
    <w:rsid w:val="004B763D"/>
    <w:rsid w:val="004B787C"/>
    <w:rsid w:val="004B794B"/>
    <w:rsid w:val="004B7AEA"/>
    <w:rsid w:val="004B7C64"/>
    <w:rsid w:val="004B7C96"/>
    <w:rsid w:val="004B7DA1"/>
    <w:rsid w:val="004C0170"/>
    <w:rsid w:val="004C0189"/>
    <w:rsid w:val="004C0241"/>
    <w:rsid w:val="004C0985"/>
    <w:rsid w:val="004C0A4B"/>
    <w:rsid w:val="004C0D23"/>
    <w:rsid w:val="004C158E"/>
    <w:rsid w:val="004C1602"/>
    <w:rsid w:val="004C1E63"/>
    <w:rsid w:val="004C1F01"/>
    <w:rsid w:val="004C264C"/>
    <w:rsid w:val="004C2892"/>
    <w:rsid w:val="004C2BE8"/>
    <w:rsid w:val="004C2DD8"/>
    <w:rsid w:val="004C382E"/>
    <w:rsid w:val="004C3972"/>
    <w:rsid w:val="004C3B28"/>
    <w:rsid w:val="004C3BFB"/>
    <w:rsid w:val="004C4450"/>
    <w:rsid w:val="004C4554"/>
    <w:rsid w:val="004C4997"/>
    <w:rsid w:val="004C4C30"/>
    <w:rsid w:val="004C50A3"/>
    <w:rsid w:val="004C56C9"/>
    <w:rsid w:val="004C5CBA"/>
    <w:rsid w:val="004C5FF3"/>
    <w:rsid w:val="004C67DA"/>
    <w:rsid w:val="004C6AE7"/>
    <w:rsid w:val="004C6F20"/>
    <w:rsid w:val="004C7203"/>
    <w:rsid w:val="004C7466"/>
    <w:rsid w:val="004C747E"/>
    <w:rsid w:val="004C7538"/>
    <w:rsid w:val="004C7BBE"/>
    <w:rsid w:val="004C7DA5"/>
    <w:rsid w:val="004D0219"/>
    <w:rsid w:val="004D02BF"/>
    <w:rsid w:val="004D069C"/>
    <w:rsid w:val="004D09B4"/>
    <w:rsid w:val="004D0EC5"/>
    <w:rsid w:val="004D10D8"/>
    <w:rsid w:val="004D2471"/>
    <w:rsid w:val="004D372D"/>
    <w:rsid w:val="004D374B"/>
    <w:rsid w:val="004D3A68"/>
    <w:rsid w:val="004D3C22"/>
    <w:rsid w:val="004D3CAB"/>
    <w:rsid w:val="004D47E9"/>
    <w:rsid w:val="004D48E5"/>
    <w:rsid w:val="004D53F6"/>
    <w:rsid w:val="004D54C7"/>
    <w:rsid w:val="004D59C7"/>
    <w:rsid w:val="004D5A1A"/>
    <w:rsid w:val="004D5B4C"/>
    <w:rsid w:val="004D6338"/>
    <w:rsid w:val="004D6A12"/>
    <w:rsid w:val="004D6C9B"/>
    <w:rsid w:val="004D731F"/>
    <w:rsid w:val="004D7824"/>
    <w:rsid w:val="004D7E38"/>
    <w:rsid w:val="004E06A9"/>
    <w:rsid w:val="004E086E"/>
    <w:rsid w:val="004E0B4D"/>
    <w:rsid w:val="004E1B6D"/>
    <w:rsid w:val="004E1CA5"/>
    <w:rsid w:val="004E1D94"/>
    <w:rsid w:val="004E2798"/>
    <w:rsid w:val="004E28C7"/>
    <w:rsid w:val="004E2E0A"/>
    <w:rsid w:val="004E2E6A"/>
    <w:rsid w:val="004E33DE"/>
    <w:rsid w:val="004E36D1"/>
    <w:rsid w:val="004E3746"/>
    <w:rsid w:val="004E3997"/>
    <w:rsid w:val="004E3BA9"/>
    <w:rsid w:val="004E3D67"/>
    <w:rsid w:val="004E48FB"/>
    <w:rsid w:val="004E498D"/>
    <w:rsid w:val="004E4BCF"/>
    <w:rsid w:val="004E4F25"/>
    <w:rsid w:val="004E52BB"/>
    <w:rsid w:val="004E55B2"/>
    <w:rsid w:val="004E5942"/>
    <w:rsid w:val="004E5C26"/>
    <w:rsid w:val="004E60BA"/>
    <w:rsid w:val="004E679D"/>
    <w:rsid w:val="004E6808"/>
    <w:rsid w:val="004E6D1D"/>
    <w:rsid w:val="004E70FF"/>
    <w:rsid w:val="004E744E"/>
    <w:rsid w:val="004E754C"/>
    <w:rsid w:val="004E75F4"/>
    <w:rsid w:val="004E776F"/>
    <w:rsid w:val="004E78FE"/>
    <w:rsid w:val="004E7AAC"/>
    <w:rsid w:val="004E7BC4"/>
    <w:rsid w:val="004E7CC3"/>
    <w:rsid w:val="004E7FFB"/>
    <w:rsid w:val="004F013B"/>
    <w:rsid w:val="004F0160"/>
    <w:rsid w:val="004F043E"/>
    <w:rsid w:val="004F0458"/>
    <w:rsid w:val="004F1006"/>
    <w:rsid w:val="004F15C5"/>
    <w:rsid w:val="004F1E7F"/>
    <w:rsid w:val="004F2B9E"/>
    <w:rsid w:val="004F325D"/>
    <w:rsid w:val="004F3471"/>
    <w:rsid w:val="004F3691"/>
    <w:rsid w:val="004F3833"/>
    <w:rsid w:val="004F3835"/>
    <w:rsid w:val="004F3AB0"/>
    <w:rsid w:val="004F3C4C"/>
    <w:rsid w:val="004F4423"/>
    <w:rsid w:val="004F4D8B"/>
    <w:rsid w:val="004F4DE9"/>
    <w:rsid w:val="004F4FC3"/>
    <w:rsid w:val="004F51E8"/>
    <w:rsid w:val="004F529A"/>
    <w:rsid w:val="004F5399"/>
    <w:rsid w:val="004F5734"/>
    <w:rsid w:val="004F5847"/>
    <w:rsid w:val="004F5B2B"/>
    <w:rsid w:val="004F5B50"/>
    <w:rsid w:val="004F5E45"/>
    <w:rsid w:val="004F5E57"/>
    <w:rsid w:val="004F6067"/>
    <w:rsid w:val="004F64FD"/>
    <w:rsid w:val="004F6560"/>
    <w:rsid w:val="004F65D8"/>
    <w:rsid w:val="004F6676"/>
    <w:rsid w:val="004F6A4A"/>
    <w:rsid w:val="004F70CD"/>
    <w:rsid w:val="004F71CA"/>
    <w:rsid w:val="004F7638"/>
    <w:rsid w:val="004F7D5E"/>
    <w:rsid w:val="005002A0"/>
    <w:rsid w:val="00500ED6"/>
    <w:rsid w:val="00500F86"/>
    <w:rsid w:val="005013E3"/>
    <w:rsid w:val="005014FF"/>
    <w:rsid w:val="00501514"/>
    <w:rsid w:val="0050151E"/>
    <w:rsid w:val="005017B6"/>
    <w:rsid w:val="00501839"/>
    <w:rsid w:val="00501CFE"/>
    <w:rsid w:val="00501D88"/>
    <w:rsid w:val="0050206B"/>
    <w:rsid w:val="00502106"/>
    <w:rsid w:val="00502A4D"/>
    <w:rsid w:val="00502C8F"/>
    <w:rsid w:val="00502FF9"/>
    <w:rsid w:val="00503040"/>
    <w:rsid w:val="005033CB"/>
    <w:rsid w:val="0050365F"/>
    <w:rsid w:val="005039EB"/>
    <w:rsid w:val="00503B02"/>
    <w:rsid w:val="00503C02"/>
    <w:rsid w:val="00503CA5"/>
    <w:rsid w:val="00504343"/>
    <w:rsid w:val="00504479"/>
    <w:rsid w:val="00504676"/>
    <w:rsid w:val="00504C4D"/>
    <w:rsid w:val="00505701"/>
    <w:rsid w:val="005059D0"/>
    <w:rsid w:val="00505D90"/>
    <w:rsid w:val="00505DAE"/>
    <w:rsid w:val="00505DF7"/>
    <w:rsid w:val="005061AC"/>
    <w:rsid w:val="0050628B"/>
    <w:rsid w:val="0050675E"/>
    <w:rsid w:val="0050729F"/>
    <w:rsid w:val="005073FE"/>
    <w:rsid w:val="005076D0"/>
    <w:rsid w:val="00507810"/>
    <w:rsid w:val="00507AB8"/>
    <w:rsid w:val="00507BD1"/>
    <w:rsid w:val="00507E06"/>
    <w:rsid w:val="00507FAC"/>
    <w:rsid w:val="0051017B"/>
    <w:rsid w:val="0051021B"/>
    <w:rsid w:val="005102D0"/>
    <w:rsid w:val="00510413"/>
    <w:rsid w:val="0051079B"/>
    <w:rsid w:val="005107D7"/>
    <w:rsid w:val="00510C2F"/>
    <w:rsid w:val="005114B9"/>
    <w:rsid w:val="005115D4"/>
    <w:rsid w:val="005115D6"/>
    <w:rsid w:val="00511756"/>
    <w:rsid w:val="00511BA9"/>
    <w:rsid w:val="0051203E"/>
    <w:rsid w:val="005126DB"/>
    <w:rsid w:val="0051273E"/>
    <w:rsid w:val="005129FB"/>
    <w:rsid w:val="00512EF0"/>
    <w:rsid w:val="00513818"/>
    <w:rsid w:val="00513832"/>
    <w:rsid w:val="005138F5"/>
    <w:rsid w:val="005139D5"/>
    <w:rsid w:val="00513C02"/>
    <w:rsid w:val="00513C87"/>
    <w:rsid w:val="00513F90"/>
    <w:rsid w:val="005141A1"/>
    <w:rsid w:val="00514395"/>
    <w:rsid w:val="00514533"/>
    <w:rsid w:val="00515346"/>
    <w:rsid w:val="00515C4D"/>
    <w:rsid w:val="005160E5"/>
    <w:rsid w:val="00516A09"/>
    <w:rsid w:val="00516C74"/>
    <w:rsid w:val="00516D57"/>
    <w:rsid w:val="00517650"/>
    <w:rsid w:val="00517C38"/>
    <w:rsid w:val="00517C7A"/>
    <w:rsid w:val="00517E61"/>
    <w:rsid w:val="0052007A"/>
    <w:rsid w:val="00520149"/>
    <w:rsid w:val="00520EEB"/>
    <w:rsid w:val="00521151"/>
    <w:rsid w:val="005211AE"/>
    <w:rsid w:val="005211C1"/>
    <w:rsid w:val="005215D6"/>
    <w:rsid w:val="0052221D"/>
    <w:rsid w:val="005222B4"/>
    <w:rsid w:val="005223B6"/>
    <w:rsid w:val="00522523"/>
    <w:rsid w:val="005229BC"/>
    <w:rsid w:val="005229C3"/>
    <w:rsid w:val="00522EBD"/>
    <w:rsid w:val="00523104"/>
    <w:rsid w:val="005237A3"/>
    <w:rsid w:val="00523B54"/>
    <w:rsid w:val="00524184"/>
    <w:rsid w:val="00525130"/>
    <w:rsid w:val="0052526F"/>
    <w:rsid w:val="0052535A"/>
    <w:rsid w:val="00525364"/>
    <w:rsid w:val="005255FC"/>
    <w:rsid w:val="00525906"/>
    <w:rsid w:val="00525CAD"/>
    <w:rsid w:val="00525E98"/>
    <w:rsid w:val="00525EF3"/>
    <w:rsid w:val="00526041"/>
    <w:rsid w:val="005261E7"/>
    <w:rsid w:val="005263F1"/>
    <w:rsid w:val="00526467"/>
    <w:rsid w:val="00526616"/>
    <w:rsid w:val="00526729"/>
    <w:rsid w:val="00526857"/>
    <w:rsid w:val="00526A76"/>
    <w:rsid w:val="00526B22"/>
    <w:rsid w:val="00526DBB"/>
    <w:rsid w:val="005271C9"/>
    <w:rsid w:val="005279CD"/>
    <w:rsid w:val="00527CD7"/>
    <w:rsid w:val="00527E9E"/>
    <w:rsid w:val="00530217"/>
    <w:rsid w:val="00530325"/>
    <w:rsid w:val="005303AB"/>
    <w:rsid w:val="005303D1"/>
    <w:rsid w:val="0053061E"/>
    <w:rsid w:val="005311CA"/>
    <w:rsid w:val="00531266"/>
    <w:rsid w:val="00531532"/>
    <w:rsid w:val="0053171E"/>
    <w:rsid w:val="0053234E"/>
    <w:rsid w:val="00532498"/>
    <w:rsid w:val="00532756"/>
    <w:rsid w:val="00532809"/>
    <w:rsid w:val="00532A0C"/>
    <w:rsid w:val="00532BD4"/>
    <w:rsid w:val="00533133"/>
    <w:rsid w:val="0053313E"/>
    <w:rsid w:val="0053325A"/>
    <w:rsid w:val="005333F2"/>
    <w:rsid w:val="00533667"/>
    <w:rsid w:val="00533B05"/>
    <w:rsid w:val="00533D95"/>
    <w:rsid w:val="00533FB2"/>
    <w:rsid w:val="00533FC1"/>
    <w:rsid w:val="00534A1F"/>
    <w:rsid w:val="00534EDB"/>
    <w:rsid w:val="00535190"/>
    <w:rsid w:val="00536429"/>
    <w:rsid w:val="005369E9"/>
    <w:rsid w:val="00537574"/>
    <w:rsid w:val="005375DE"/>
    <w:rsid w:val="00537608"/>
    <w:rsid w:val="00537917"/>
    <w:rsid w:val="005379A2"/>
    <w:rsid w:val="00540100"/>
    <w:rsid w:val="00540AF2"/>
    <w:rsid w:val="00540BF8"/>
    <w:rsid w:val="00540D36"/>
    <w:rsid w:val="005411F1"/>
    <w:rsid w:val="00541748"/>
    <w:rsid w:val="00541A53"/>
    <w:rsid w:val="00542204"/>
    <w:rsid w:val="00542494"/>
    <w:rsid w:val="00542A85"/>
    <w:rsid w:val="005431DB"/>
    <w:rsid w:val="005436A7"/>
    <w:rsid w:val="00543868"/>
    <w:rsid w:val="00543D3C"/>
    <w:rsid w:val="00543FA4"/>
    <w:rsid w:val="00544175"/>
    <w:rsid w:val="005442E3"/>
    <w:rsid w:val="00544803"/>
    <w:rsid w:val="00544844"/>
    <w:rsid w:val="00544872"/>
    <w:rsid w:val="005453E2"/>
    <w:rsid w:val="00545420"/>
    <w:rsid w:val="00545725"/>
    <w:rsid w:val="0054697B"/>
    <w:rsid w:val="00546E00"/>
    <w:rsid w:val="0054708E"/>
    <w:rsid w:val="005471CD"/>
    <w:rsid w:val="00547843"/>
    <w:rsid w:val="005478F4"/>
    <w:rsid w:val="00547F36"/>
    <w:rsid w:val="00547FA7"/>
    <w:rsid w:val="005500F0"/>
    <w:rsid w:val="0055039D"/>
    <w:rsid w:val="005503CB"/>
    <w:rsid w:val="00551BDD"/>
    <w:rsid w:val="00552589"/>
    <w:rsid w:val="00552835"/>
    <w:rsid w:val="00553E44"/>
    <w:rsid w:val="0055483F"/>
    <w:rsid w:val="00554A03"/>
    <w:rsid w:val="00554B93"/>
    <w:rsid w:val="00554BDF"/>
    <w:rsid w:val="00554FE1"/>
    <w:rsid w:val="00554FF9"/>
    <w:rsid w:val="00555385"/>
    <w:rsid w:val="00555615"/>
    <w:rsid w:val="00555876"/>
    <w:rsid w:val="00555A6D"/>
    <w:rsid w:val="00555D9F"/>
    <w:rsid w:val="00555EC9"/>
    <w:rsid w:val="00556143"/>
    <w:rsid w:val="0055626A"/>
    <w:rsid w:val="0055671A"/>
    <w:rsid w:val="00556985"/>
    <w:rsid w:val="00556C0B"/>
    <w:rsid w:val="00556CF7"/>
    <w:rsid w:val="00556D0B"/>
    <w:rsid w:val="00556FEA"/>
    <w:rsid w:val="00557593"/>
    <w:rsid w:val="0055779A"/>
    <w:rsid w:val="005577F2"/>
    <w:rsid w:val="00557CC5"/>
    <w:rsid w:val="005603E4"/>
    <w:rsid w:val="00560A4C"/>
    <w:rsid w:val="00560A7E"/>
    <w:rsid w:val="00560CFA"/>
    <w:rsid w:val="0056115D"/>
    <w:rsid w:val="00561AAF"/>
    <w:rsid w:val="00561D3D"/>
    <w:rsid w:val="00562385"/>
    <w:rsid w:val="00562489"/>
    <w:rsid w:val="0056266F"/>
    <w:rsid w:val="00562E73"/>
    <w:rsid w:val="00562F8D"/>
    <w:rsid w:val="00563028"/>
    <w:rsid w:val="00563A1F"/>
    <w:rsid w:val="00563BC1"/>
    <w:rsid w:val="005651BE"/>
    <w:rsid w:val="0056528F"/>
    <w:rsid w:val="00565527"/>
    <w:rsid w:val="005656D1"/>
    <w:rsid w:val="00565774"/>
    <w:rsid w:val="00565B98"/>
    <w:rsid w:val="00565E4D"/>
    <w:rsid w:val="0056648A"/>
    <w:rsid w:val="005669FF"/>
    <w:rsid w:val="00566EB9"/>
    <w:rsid w:val="0056763D"/>
    <w:rsid w:val="00567797"/>
    <w:rsid w:val="00567B6F"/>
    <w:rsid w:val="00567D16"/>
    <w:rsid w:val="00570538"/>
    <w:rsid w:val="00570A04"/>
    <w:rsid w:val="00570C8E"/>
    <w:rsid w:val="0057158E"/>
    <w:rsid w:val="0057160A"/>
    <w:rsid w:val="00571ACF"/>
    <w:rsid w:val="005720C7"/>
    <w:rsid w:val="005726A8"/>
    <w:rsid w:val="00572911"/>
    <w:rsid w:val="005739EC"/>
    <w:rsid w:val="00573B7D"/>
    <w:rsid w:val="00573BCE"/>
    <w:rsid w:val="00573F05"/>
    <w:rsid w:val="0057411D"/>
    <w:rsid w:val="00574527"/>
    <w:rsid w:val="0057474B"/>
    <w:rsid w:val="005747DE"/>
    <w:rsid w:val="0057486B"/>
    <w:rsid w:val="00574A4D"/>
    <w:rsid w:val="00574CBB"/>
    <w:rsid w:val="005755DA"/>
    <w:rsid w:val="00575CD6"/>
    <w:rsid w:val="00576504"/>
    <w:rsid w:val="00576B53"/>
    <w:rsid w:val="00576DDD"/>
    <w:rsid w:val="00577088"/>
    <w:rsid w:val="00577325"/>
    <w:rsid w:val="005776CD"/>
    <w:rsid w:val="00577E8E"/>
    <w:rsid w:val="00580D56"/>
    <w:rsid w:val="00580E9C"/>
    <w:rsid w:val="00581C1F"/>
    <w:rsid w:val="0058203F"/>
    <w:rsid w:val="00582102"/>
    <w:rsid w:val="005821C7"/>
    <w:rsid w:val="005822D5"/>
    <w:rsid w:val="00582616"/>
    <w:rsid w:val="005829DD"/>
    <w:rsid w:val="00582A9F"/>
    <w:rsid w:val="00583609"/>
    <w:rsid w:val="005837E9"/>
    <w:rsid w:val="00583EC9"/>
    <w:rsid w:val="00583EFE"/>
    <w:rsid w:val="005840B8"/>
    <w:rsid w:val="00584689"/>
    <w:rsid w:val="005853DB"/>
    <w:rsid w:val="00585B95"/>
    <w:rsid w:val="00585BB3"/>
    <w:rsid w:val="00585E08"/>
    <w:rsid w:val="00585F19"/>
    <w:rsid w:val="00585F99"/>
    <w:rsid w:val="00586111"/>
    <w:rsid w:val="00586215"/>
    <w:rsid w:val="005862E9"/>
    <w:rsid w:val="005865EF"/>
    <w:rsid w:val="00586757"/>
    <w:rsid w:val="005867BE"/>
    <w:rsid w:val="00586DD5"/>
    <w:rsid w:val="00586E69"/>
    <w:rsid w:val="00586FD0"/>
    <w:rsid w:val="005871DB"/>
    <w:rsid w:val="00587701"/>
    <w:rsid w:val="00587CE8"/>
    <w:rsid w:val="005903EA"/>
    <w:rsid w:val="00590D30"/>
    <w:rsid w:val="00590ED7"/>
    <w:rsid w:val="005913CD"/>
    <w:rsid w:val="005914AE"/>
    <w:rsid w:val="005923FE"/>
    <w:rsid w:val="00592587"/>
    <w:rsid w:val="00592E39"/>
    <w:rsid w:val="00593243"/>
    <w:rsid w:val="005936E7"/>
    <w:rsid w:val="00593C20"/>
    <w:rsid w:val="00593FF2"/>
    <w:rsid w:val="005944AC"/>
    <w:rsid w:val="00594504"/>
    <w:rsid w:val="00594A66"/>
    <w:rsid w:val="00594D02"/>
    <w:rsid w:val="00594D91"/>
    <w:rsid w:val="0059539F"/>
    <w:rsid w:val="005956B3"/>
    <w:rsid w:val="00595AC1"/>
    <w:rsid w:val="00595AC5"/>
    <w:rsid w:val="00595EC0"/>
    <w:rsid w:val="00596275"/>
    <w:rsid w:val="00596B15"/>
    <w:rsid w:val="00596EE5"/>
    <w:rsid w:val="00596F27"/>
    <w:rsid w:val="005971FA"/>
    <w:rsid w:val="0059731A"/>
    <w:rsid w:val="00597338"/>
    <w:rsid w:val="0059771D"/>
    <w:rsid w:val="00597748"/>
    <w:rsid w:val="005977EE"/>
    <w:rsid w:val="00597891"/>
    <w:rsid w:val="0059797E"/>
    <w:rsid w:val="00597D3F"/>
    <w:rsid w:val="005A09DF"/>
    <w:rsid w:val="005A0A8A"/>
    <w:rsid w:val="005A0CFC"/>
    <w:rsid w:val="005A12A2"/>
    <w:rsid w:val="005A17CB"/>
    <w:rsid w:val="005A1B6A"/>
    <w:rsid w:val="005A244C"/>
    <w:rsid w:val="005A2769"/>
    <w:rsid w:val="005A28B7"/>
    <w:rsid w:val="005A2BD0"/>
    <w:rsid w:val="005A2BE1"/>
    <w:rsid w:val="005A2D57"/>
    <w:rsid w:val="005A3502"/>
    <w:rsid w:val="005A39A1"/>
    <w:rsid w:val="005A3BC8"/>
    <w:rsid w:val="005A425C"/>
    <w:rsid w:val="005A477E"/>
    <w:rsid w:val="005A4865"/>
    <w:rsid w:val="005A496D"/>
    <w:rsid w:val="005A4A46"/>
    <w:rsid w:val="005A4DAD"/>
    <w:rsid w:val="005A516B"/>
    <w:rsid w:val="005A5B7C"/>
    <w:rsid w:val="005A5E79"/>
    <w:rsid w:val="005A64A5"/>
    <w:rsid w:val="005A6F67"/>
    <w:rsid w:val="005A710B"/>
    <w:rsid w:val="005A7278"/>
    <w:rsid w:val="005A7ABF"/>
    <w:rsid w:val="005B017D"/>
    <w:rsid w:val="005B0250"/>
    <w:rsid w:val="005B02F1"/>
    <w:rsid w:val="005B04C2"/>
    <w:rsid w:val="005B08F8"/>
    <w:rsid w:val="005B09CF"/>
    <w:rsid w:val="005B0FAE"/>
    <w:rsid w:val="005B0FF4"/>
    <w:rsid w:val="005B1039"/>
    <w:rsid w:val="005B22E7"/>
    <w:rsid w:val="005B2453"/>
    <w:rsid w:val="005B271C"/>
    <w:rsid w:val="005B28A2"/>
    <w:rsid w:val="005B291B"/>
    <w:rsid w:val="005B2BEB"/>
    <w:rsid w:val="005B2C88"/>
    <w:rsid w:val="005B2D54"/>
    <w:rsid w:val="005B3C2E"/>
    <w:rsid w:val="005B409C"/>
    <w:rsid w:val="005B418F"/>
    <w:rsid w:val="005B4256"/>
    <w:rsid w:val="005B4266"/>
    <w:rsid w:val="005B47BA"/>
    <w:rsid w:val="005B4C85"/>
    <w:rsid w:val="005B5035"/>
    <w:rsid w:val="005B507B"/>
    <w:rsid w:val="005B525D"/>
    <w:rsid w:val="005B5D9E"/>
    <w:rsid w:val="005B666D"/>
    <w:rsid w:val="005B74FC"/>
    <w:rsid w:val="005B7669"/>
    <w:rsid w:val="005B778C"/>
    <w:rsid w:val="005B7938"/>
    <w:rsid w:val="005B7C75"/>
    <w:rsid w:val="005C0279"/>
    <w:rsid w:val="005C0BE8"/>
    <w:rsid w:val="005C0DCF"/>
    <w:rsid w:val="005C154D"/>
    <w:rsid w:val="005C1996"/>
    <w:rsid w:val="005C1FA9"/>
    <w:rsid w:val="005C2177"/>
    <w:rsid w:val="005C2420"/>
    <w:rsid w:val="005C2681"/>
    <w:rsid w:val="005C2AF9"/>
    <w:rsid w:val="005C2B29"/>
    <w:rsid w:val="005C2D92"/>
    <w:rsid w:val="005C31A5"/>
    <w:rsid w:val="005C328B"/>
    <w:rsid w:val="005C3478"/>
    <w:rsid w:val="005C34D5"/>
    <w:rsid w:val="005C35DC"/>
    <w:rsid w:val="005C3DF5"/>
    <w:rsid w:val="005C3ED7"/>
    <w:rsid w:val="005C3EE3"/>
    <w:rsid w:val="005C4185"/>
    <w:rsid w:val="005C42DB"/>
    <w:rsid w:val="005C4921"/>
    <w:rsid w:val="005C4A34"/>
    <w:rsid w:val="005C50B6"/>
    <w:rsid w:val="005C50F4"/>
    <w:rsid w:val="005C5187"/>
    <w:rsid w:val="005C5269"/>
    <w:rsid w:val="005C5930"/>
    <w:rsid w:val="005C5D37"/>
    <w:rsid w:val="005C67BD"/>
    <w:rsid w:val="005C6CD5"/>
    <w:rsid w:val="005C6D6B"/>
    <w:rsid w:val="005C6FB9"/>
    <w:rsid w:val="005C7020"/>
    <w:rsid w:val="005C711D"/>
    <w:rsid w:val="005C7241"/>
    <w:rsid w:val="005C74C4"/>
    <w:rsid w:val="005C7B92"/>
    <w:rsid w:val="005C7D4D"/>
    <w:rsid w:val="005D03B6"/>
    <w:rsid w:val="005D0406"/>
    <w:rsid w:val="005D0615"/>
    <w:rsid w:val="005D090E"/>
    <w:rsid w:val="005D09FF"/>
    <w:rsid w:val="005D0BB0"/>
    <w:rsid w:val="005D0DE5"/>
    <w:rsid w:val="005D0F4C"/>
    <w:rsid w:val="005D1462"/>
    <w:rsid w:val="005D1BB2"/>
    <w:rsid w:val="005D1C2F"/>
    <w:rsid w:val="005D2520"/>
    <w:rsid w:val="005D272B"/>
    <w:rsid w:val="005D2B88"/>
    <w:rsid w:val="005D2D43"/>
    <w:rsid w:val="005D2E6C"/>
    <w:rsid w:val="005D344F"/>
    <w:rsid w:val="005D3502"/>
    <w:rsid w:val="005D395D"/>
    <w:rsid w:val="005D4035"/>
    <w:rsid w:val="005D4492"/>
    <w:rsid w:val="005D4835"/>
    <w:rsid w:val="005D499D"/>
    <w:rsid w:val="005D50EC"/>
    <w:rsid w:val="005D5204"/>
    <w:rsid w:val="005D58F6"/>
    <w:rsid w:val="005D5952"/>
    <w:rsid w:val="005D5BB4"/>
    <w:rsid w:val="005D63F4"/>
    <w:rsid w:val="005D6BAA"/>
    <w:rsid w:val="005D6C89"/>
    <w:rsid w:val="005D7238"/>
    <w:rsid w:val="005D7494"/>
    <w:rsid w:val="005D7C7A"/>
    <w:rsid w:val="005E041C"/>
    <w:rsid w:val="005E0785"/>
    <w:rsid w:val="005E079A"/>
    <w:rsid w:val="005E0BE3"/>
    <w:rsid w:val="005E0F3B"/>
    <w:rsid w:val="005E11A9"/>
    <w:rsid w:val="005E11C6"/>
    <w:rsid w:val="005E121F"/>
    <w:rsid w:val="005E1DFA"/>
    <w:rsid w:val="005E22BA"/>
    <w:rsid w:val="005E286E"/>
    <w:rsid w:val="005E2942"/>
    <w:rsid w:val="005E2AFA"/>
    <w:rsid w:val="005E2B38"/>
    <w:rsid w:val="005E2B6C"/>
    <w:rsid w:val="005E34A4"/>
    <w:rsid w:val="005E3913"/>
    <w:rsid w:val="005E3AE0"/>
    <w:rsid w:val="005E3B46"/>
    <w:rsid w:val="005E3D74"/>
    <w:rsid w:val="005E530E"/>
    <w:rsid w:val="005E549D"/>
    <w:rsid w:val="005E5796"/>
    <w:rsid w:val="005E5958"/>
    <w:rsid w:val="005E5AE3"/>
    <w:rsid w:val="005E602C"/>
    <w:rsid w:val="005E61A2"/>
    <w:rsid w:val="005E6223"/>
    <w:rsid w:val="005E6266"/>
    <w:rsid w:val="005E633D"/>
    <w:rsid w:val="005E6719"/>
    <w:rsid w:val="005E6AC0"/>
    <w:rsid w:val="005E6D4B"/>
    <w:rsid w:val="005E7510"/>
    <w:rsid w:val="005E75AE"/>
    <w:rsid w:val="005E7981"/>
    <w:rsid w:val="005E7D0B"/>
    <w:rsid w:val="005E7EC8"/>
    <w:rsid w:val="005F095B"/>
    <w:rsid w:val="005F09CE"/>
    <w:rsid w:val="005F0A7A"/>
    <w:rsid w:val="005F0A81"/>
    <w:rsid w:val="005F1A5A"/>
    <w:rsid w:val="005F27DC"/>
    <w:rsid w:val="005F2B83"/>
    <w:rsid w:val="005F2E1B"/>
    <w:rsid w:val="005F369F"/>
    <w:rsid w:val="005F3859"/>
    <w:rsid w:val="005F42AD"/>
    <w:rsid w:val="005F4435"/>
    <w:rsid w:val="005F4552"/>
    <w:rsid w:val="005F45A6"/>
    <w:rsid w:val="005F4627"/>
    <w:rsid w:val="005F4AA8"/>
    <w:rsid w:val="005F5226"/>
    <w:rsid w:val="005F5242"/>
    <w:rsid w:val="005F6281"/>
    <w:rsid w:val="005F654C"/>
    <w:rsid w:val="005F6B52"/>
    <w:rsid w:val="005F6C69"/>
    <w:rsid w:val="005F7086"/>
    <w:rsid w:val="005F74B5"/>
    <w:rsid w:val="005F7A16"/>
    <w:rsid w:val="005F7D10"/>
    <w:rsid w:val="0060066D"/>
    <w:rsid w:val="006008A2"/>
    <w:rsid w:val="00601165"/>
    <w:rsid w:val="0060169A"/>
    <w:rsid w:val="00601A97"/>
    <w:rsid w:val="00601F93"/>
    <w:rsid w:val="006021D0"/>
    <w:rsid w:val="006027B2"/>
    <w:rsid w:val="006029BC"/>
    <w:rsid w:val="00602A79"/>
    <w:rsid w:val="00602D59"/>
    <w:rsid w:val="00603D50"/>
    <w:rsid w:val="00603F30"/>
    <w:rsid w:val="00604103"/>
    <w:rsid w:val="00604241"/>
    <w:rsid w:val="006043C0"/>
    <w:rsid w:val="00604AA4"/>
    <w:rsid w:val="00604DEB"/>
    <w:rsid w:val="0060565F"/>
    <w:rsid w:val="0060628D"/>
    <w:rsid w:val="00606457"/>
    <w:rsid w:val="0060682E"/>
    <w:rsid w:val="00606A4A"/>
    <w:rsid w:val="00606F11"/>
    <w:rsid w:val="006076B4"/>
    <w:rsid w:val="006079A8"/>
    <w:rsid w:val="00610466"/>
    <w:rsid w:val="00610636"/>
    <w:rsid w:val="0061076E"/>
    <w:rsid w:val="0061088B"/>
    <w:rsid w:val="006109C3"/>
    <w:rsid w:val="00610A7E"/>
    <w:rsid w:val="00610A83"/>
    <w:rsid w:val="00610BA3"/>
    <w:rsid w:val="00610E53"/>
    <w:rsid w:val="00610FE3"/>
    <w:rsid w:val="006111D7"/>
    <w:rsid w:val="0061126A"/>
    <w:rsid w:val="00611312"/>
    <w:rsid w:val="0061140B"/>
    <w:rsid w:val="00611A48"/>
    <w:rsid w:val="00611DC6"/>
    <w:rsid w:val="00611FA1"/>
    <w:rsid w:val="00612309"/>
    <w:rsid w:val="00612367"/>
    <w:rsid w:val="00612459"/>
    <w:rsid w:val="006124C3"/>
    <w:rsid w:val="006128D9"/>
    <w:rsid w:val="00612A48"/>
    <w:rsid w:val="00612BDC"/>
    <w:rsid w:val="00612CA5"/>
    <w:rsid w:val="00612CD5"/>
    <w:rsid w:val="00612F08"/>
    <w:rsid w:val="00612F23"/>
    <w:rsid w:val="0061315C"/>
    <w:rsid w:val="006132FC"/>
    <w:rsid w:val="00613E54"/>
    <w:rsid w:val="00613F9F"/>
    <w:rsid w:val="00614EDD"/>
    <w:rsid w:val="00615817"/>
    <w:rsid w:val="0061634E"/>
    <w:rsid w:val="006164DA"/>
    <w:rsid w:val="00616712"/>
    <w:rsid w:val="006169F9"/>
    <w:rsid w:val="00616A03"/>
    <w:rsid w:val="0061727B"/>
    <w:rsid w:val="006174FA"/>
    <w:rsid w:val="0061785D"/>
    <w:rsid w:val="00617D13"/>
    <w:rsid w:val="00617E31"/>
    <w:rsid w:val="00617FA7"/>
    <w:rsid w:val="0062034F"/>
    <w:rsid w:val="0062039E"/>
    <w:rsid w:val="00620945"/>
    <w:rsid w:val="00620B65"/>
    <w:rsid w:val="00620C7D"/>
    <w:rsid w:val="006211B8"/>
    <w:rsid w:val="00621DB5"/>
    <w:rsid w:val="00622CB5"/>
    <w:rsid w:val="00622EE2"/>
    <w:rsid w:val="00623275"/>
    <w:rsid w:val="00623F4E"/>
    <w:rsid w:val="00624476"/>
    <w:rsid w:val="006244ED"/>
    <w:rsid w:val="006247E6"/>
    <w:rsid w:val="006253FC"/>
    <w:rsid w:val="0062559D"/>
    <w:rsid w:val="00625D20"/>
    <w:rsid w:val="0062655A"/>
    <w:rsid w:val="00626659"/>
    <w:rsid w:val="0062700C"/>
    <w:rsid w:val="0062701C"/>
    <w:rsid w:val="0062714C"/>
    <w:rsid w:val="00627256"/>
    <w:rsid w:val="00627553"/>
    <w:rsid w:val="0062790B"/>
    <w:rsid w:val="00627A49"/>
    <w:rsid w:val="0063014A"/>
    <w:rsid w:val="00630176"/>
    <w:rsid w:val="006301EA"/>
    <w:rsid w:val="00630403"/>
    <w:rsid w:val="00630574"/>
    <w:rsid w:val="006309CF"/>
    <w:rsid w:val="00630BB5"/>
    <w:rsid w:val="00630C3D"/>
    <w:rsid w:val="006313BF"/>
    <w:rsid w:val="006315F6"/>
    <w:rsid w:val="0063168A"/>
    <w:rsid w:val="0063170C"/>
    <w:rsid w:val="00631CF8"/>
    <w:rsid w:val="00631D19"/>
    <w:rsid w:val="00631E3D"/>
    <w:rsid w:val="00632146"/>
    <w:rsid w:val="006321E5"/>
    <w:rsid w:val="00632201"/>
    <w:rsid w:val="0063265C"/>
    <w:rsid w:val="00632956"/>
    <w:rsid w:val="00632A08"/>
    <w:rsid w:val="00632A13"/>
    <w:rsid w:val="00632AD7"/>
    <w:rsid w:val="00632C91"/>
    <w:rsid w:val="00632C94"/>
    <w:rsid w:val="00632CAD"/>
    <w:rsid w:val="00632CCA"/>
    <w:rsid w:val="00632CF4"/>
    <w:rsid w:val="00633084"/>
    <w:rsid w:val="00633344"/>
    <w:rsid w:val="00633423"/>
    <w:rsid w:val="0063359A"/>
    <w:rsid w:val="00633B2C"/>
    <w:rsid w:val="00633C61"/>
    <w:rsid w:val="00633D57"/>
    <w:rsid w:val="00633EB9"/>
    <w:rsid w:val="00634169"/>
    <w:rsid w:val="006341E8"/>
    <w:rsid w:val="006346A5"/>
    <w:rsid w:val="00634741"/>
    <w:rsid w:val="00634AA5"/>
    <w:rsid w:val="00634EA9"/>
    <w:rsid w:val="00635035"/>
    <w:rsid w:val="00635C47"/>
    <w:rsid w:val="00636698"/>
    <w:rsid w:val="00636F5B"/>
    <w:rsid w:val="006370E6"/>
    <w:rsid w:val="006371FE"/>
    <w:rsid w:val="006376F8"/>
    <w:rsid w:val="0063780F"/>
    <w:rsid w:val="00637A72"/>
    <w:rsid w:val="00637E00"/>
    <w:rsid w:val="00640281"/>
    <w:rsid w:val="00640338"/>
    <w:rsid w:val="00640A14"/>
    <w:rsid w:val="00640B00"/>
    <w:rsid w:val="0064184B"/>
    <w:rsid w:val="00641BBD"/>
    <w:rsid w:val="00642065"/>
    <w:rsid w:val="00642AA4"/>
    <w:rsid w:val="00642F56"/>
    <w:rsid w:val="00642F89"/>
    <w:rsid w:val="00643004"/>
    <w:rsid w:val="0064301E"/>
    <w:rsid w:val="006441FF"/>
    <w:rsid w:val="0064422B"/>
    <w:rsid w:val="00644495"/>
    <w:rsid w:val="006446EF"/>
    <w:rsid w:val="00644748"/>
    <w:rsid w:val="00644EF8"/>
    <w:rsid w:val="0064539F"/>
    <w:rsid w:val="00645969"/>
    <w:rsid w:val="00645C9B"/>
    <w:rsid w:val="00645CF8"/>
    <w:rsid w:val="006460AC"/>
    <w:rsid w:val="006464C0"/>
    <w:rsid w:val="0064668C"/>
    <w:rsid w:val="00646834"/>
    <w:rsid w:val="00646CC4"/>
    <w:rsid w:val="00646E15"/>
    <w:rsid w:val="00647313"/>
    <w:rsid w:val="00647842"/>
    <w:rsid w:val="006479AD"/>
    <w:rsid w:val="00647A5E"/>
    <w:rsid w:val="00647AED"/>
    <w:rsid w:val="00647BA4"/>
    <w:rsid w:val="00647C34"/>
    <w:rsid w:val="006503EF"/>
    <w:rsid w:val="006504E9"/>
    <w:rsid w:val="0065093E"/>
    <w:rsid w:val="00650CEC"/>
    <w:rsid w:val="006512F1"/>
    <w:rsid w:val="006514FA"/>
    <w:rsid w:val="00651502"/>
    <w:rsid w:val="006516C9"/>
    <w:rsid w:val="0065213F"/>
    <w:rsid w:val="00652437"/>
    <w:rsid w:val="0065249D"/>
    <w:rsid w:val="0065257E"/>
    <w:rsid w:val="00652756"/>
    <w:rsid w:val="00652811"/>
    <w:rsid w:val="00652C32"/>
    <w:rsid w:val="0065336A"/>
    <w:rsid w:val="00653BCA"/>
    <w:rsid w:val="00654C8D"/>
    <w:rsid w:val="00654C93"/>
    <w:rsid w:val="0065528F"/>
    <w:rsid w:val="0065602F"/>
    <w:rsid w:val="00656639"/>
    <w:rsid w:val="0065663D"/>
    <w:rsid w:val="006568E8"/>
    <w:rsid w:val="0065696F"/>
    <w:rsid w:val="00657125"/>
    <w:rsid w:val="00657695"/>
    <w:rsid w:val="00657CCA"/>
    <w:rsid w:val="006604A2"/>
    <w:rsid w:val="00660AC0"/>
    <w:rsid w:val="00660B95"/>
    <w:rsid w:val="00660F5A"/>
    <w:rsid w:val="00661DA1"/>
    <w:rsid w:val="006624BE"/>
    <w:rsid w:val="00662524"/>
    <w:rsid w:val="00662DB8"/>
    <w:rsid w:val="006632BF"/>
    <w:rsid w:val="0066346F"/>
    <w:rsid w:val="00663555"/>
    <w:rsid w:val="0066368C"/>
    <w:rsid w:val="00663BFD"/>
    <w:rsid w:val="00663C0F"/>
    <w:rsid w:val="00663DA3"/>
    <w:rsid w:val="00663E86"/>
    <w:rsid w:val="00664BFA"/>
    <w:rsid w:val="00664F45"/>
    <w:rsid w:val="006650D9"/>
    <w:rsid w:val="00665268"/>
    <w:rsid w:val="00665A99"/>
    <w:rsid w:val="00665B3D"/>
    <w:rsid w:val="00666035"/>
    <w:rsid w:val="00667CC5"/>
    <w:rsid w:val="00667CCE"/>
    <w:rsid w:val="00667F06"/>
    <w:rsid w:val="00667F5C"/>
    <w:rsid w:val="0067020E"/>
    <w:rsid w:val="00670810"/>
    <w:rsid w:val="00670AE9"/>
    <w:rsid w:val="00670BBB"/>
    <w:rsid w:val="00671D22"/>
    <w:rsid w:val="006721A2"/>
    <w:rsid w:val="0067238A"/>
    <w:rsid w:val="006724E0"/>
    <w:rsid w:val="006724E9"/>
    <w:rsid w:val="00672B7F"/>
    <w:rsid w:val="00672C3E"/>
    <w:rsid w:val="00673812"/>
    <w:rsid w:val="00673B3F"/>
    <w:rsid w:val="0067465F"/>
    <w:rsid w:val="006747CE"/>
    <w:rsid w:val="006748C6"/>
    <w:rsid w:val="00674AE3"/>
    <w:rsid w:val="0067530A"/>
    <w:rsid w:val="0067560C"/>
    <w:rsid w:val="0067562C"/>
    <w:rsid w:val="00675D4F"/>
    <w:rsid w:val="00676208"/>
    <w:rsid w:val="00676F76"/>
    <w:rsid w:val="0067712D"/>
    <w:rsid w:val="006771A1"/>
    <w:rsid w:val="006773E6"/>
    <w:rsid w:val="0067745A"/>
    <w:rsid w:val="0067748E"/>
    <w:rsid w:val="00677596"/>
    <w:rsid w:val="006778B2"/>
    <w:rsid w:val="00677A26"/>
    <w:rsid w:val="00677CE2"/>
    <w:rsid w:val="00677D04"/>
    <w:rsid w:val="00677FED"/>
    <w:rsid w:val="0068020D"/>
    <w:rsid w:val="00680BB1"/>
    <w:rsid w:val="00681723"/>
    <w:rsid w:val="00681C27"/>
    <w:rsid w:val="00681CC7"/>
    <w:rsid w:val="00681D20"/>
    <w:rsid w:val="0068209E"/>
    <w:rsid w:val="00682609"/>
    <w:rsid w:val="006826FF"/>
    <w:rsid w:val="00682977"/>
    <w:rsid w:val="00682A02"/>
    <w:rsid w:val="00682AA8"/>
    <w:rsid w:val="00682E56"/>
    <w:rsid w:val="006833FE"/>
    <w:rsid w:val="00683775"/>
    <w:rsid w:val="00683D88"/>
    <w:rsid w:val="006840DC"/>
    <w:rsid w:val="0068417A"/>
    <w:rsid w:val="0068472D"/>
    <w:rsid w:val="006847C6"/>
    <w:rsid w:val="00684A4E"/>
    <w:rsid w:val="00684B48"/>
    <w:rsid w:val="00684DA8"/>
    <w:rsid w:val="00684E15"/>
    <w:rsid w:val="00685D52"/>
    <w:rsid w:val="00685F6E"/>
    <w:rsid w:val="0068714B"/>
    <w:rsid w:val="00687177"/>
    <w:rsid w:val="00687784"/>
    <w:rsid w:val="00687AA2"/>
    <w:rsid w:val="00687B6F"/>
    <w:rsid w:val="00687C6D"/>
    <w:rsid w:val="00687F2F"/>
    <w:rsid w:val="0069002E"/>
    <w:rsid w:val="0069092A"/>
    <w:rsid w:val="00690B8B"/>
    <w:rsid w:val="00691497"/>
    <w:rsid w:val="006915ED"/>
    <w:rsid w:val="00691733"/>
    <w:rsid w:val="006920EA"/>
    <w:rsid w:val="00692320"/>
    <w:rsid w:val="00692340"/>
    <w:rsid w:val="006925D8"/>
    <w:rsid w:val="0069266F"/>
    <w:rsid w:val="00692762"/>
    <w:rsid w:val="006929AA"/>
    <w:rsid w:val="00692C93"/>
    <w:rsid w:val="00692D69"/>
    <w:rsid w:val="00692FA3"/>
    <w:rsid w:val="006934A3"/>
    <w:rsid w:val="006937E9"/>
    <w:rsid w:val="00693855"/>
    <w:rsid w:val="00693C61"/>
    <w:rsid w:val="00693C63"/>
    <w:rsid w:val="00693E80"/>
    <w:rsid w:val="00694547"/>
    <w:rsid w:val="006946E0"/>
    <w:rsid w:val="0069487A"/>
    <w:rsid w:val="0069510E"/>
    <w:rsid w:val="0069521A"/>
    <w:rsid w:val="00695316"/>
    <w:rsid w:val="0069589A"/>
    <w:rsid w:val="0069658B"/>
    <w:rsid w:val="00696AB1"/>
    <w:rsid w:val="00696CAD"/>
    <w:rsid w:val="00696EB6"/>
    <w:rsid w:val="0069725B"/>
    <w:rsid w:val="00697332"/>
    <w:rsid w:val="006975CC"/>
    <w:rsid w:val="00697629"/>
    <w:rsid w:val="00697D8D"/>
    <w:rsid w:val="00697DD6"/>
    <w:rsid w:val="006A0603"/>
    <w:rsid w:val="006A0950"/>
    <w:rsid w:val="006A0F97"/>
    <w:rsid w:val="006A12D8"/>
    <w:rsid w:val="006A1745"/>
    <w:rsid w:val="006A22B8"/>
    <w:rsid w:val="006A2624"/>
    <w:rsid w:val="006A26D0"/>
    <w:rsid w:val="006A306D"/>
    <w:rsid w:val="006A31D7"/>
    <w:rsid w:val="006A3983"/>
    <w:rsid w:val="006A3C89"/>
    <w:rsid w:val="006A427D"/>
    <w:rsid w:val="006A479A"/>
    <w:rsid w:val="006A5295"/>
    <w:rsid w:val="006A553E"/>
    <w:rsid w:val="006A57A8"/>
    <w:rsid w:val="006A5829"/>
    <w:rsid w:val="006A6873"/>
    <w:rsid w:val="006A68C6"/>
    <w:rsid w:val="006A6EB9"/>
    <w:rsid w:val="006A77C5"/>
    <w:rsid w:val="006A7B79"/>
    <w:rsid w:val="006A7BEB"/>
    <w:rsid w:val="006A7F4A"/>
    <w:rsid w:val="006B00DF"/>
    <w:rsid w:val="006B05F0"/>
    <w:rsid w:val="006B064D"/>
    <w:rsid w:val="006B0873"/>
    <w:rsid w:val="006B0B11"/>
    <w:rsid w:val="006B0D87"/>
    <w:rsid w:val="006B0FF9"/>
    <w:rsid w:val="006B143B"/>
    <w:rsid w:val="006B1453"/>
    <w:rsid w:val="006B1782"/>
    <w:rsid w:val="006B18E7"/>
    <w:rsid w:val="006B1EE0"/>
    <w:rsid w:val="006B215B"/>
    <w:rsid w:val="006B2199"/>
    <w:rsid w:val="006B23E6"/>
    <w:rsid w:val="006B281D"/>
    <w:rsid w:val="006B29C7"/>
    <w:rsid w:val="006B2A01"/>
    <w:rsid w:val="006B2D04"/>
    <w:rsid w:val="006B36EC"/>
    <w:rsid w:val="006B3AE8"/>
    <w:rsid w:val="006B3BE7"/>
    <w:rsid w:val="006B3BF8"/>
    <w:rsid w:val="006B4486"/>
    <w:rsid w:val="006B466A"/>
    <w:rsid w:val="006B48C8"/>
    <w:rsid w:val="006B4AA3"/>
    <w:rsid w:val="006B508C"/>
    <w:rsid w:val="006B5428"/>
    <w:rsid w:val="006B54CF"/>
    <w:rsid w:val="006B569D"/>
    <w:rsid w:val="006B576F"/>
    <w:rsid w:val="006B5789"/>
    <w:rsid w:val="006B5C2A"/>
    <w:rsid w:val="006B5DD6"/>
    <w:rsid w:val="006B5DE1"/>
    <w:rsid w:val="006B5EB2"/>
    <w:rsid w:val="006B6194"/>
    <w:rsid w:val="006B6908"/>
    <w:rsid w:val="006B7F4C"/>
    <w:rsid w:val="006C017E"/>
    <w:rsid w:val="006C042B"/>
    <w:rsid w:val="006C0A8C"/>
    <w:rsid w:val="006C0CDE"/>
    <w:rsid w:val="006C0D52"/>
    <w:rsid w:val="006C1CF5"/>
    <w:rsid w:val="006C2169"/>
    <w:rsid w:val="006C24F3"/>
    <w:rsid w:val="006C281F"/>
    <w:rsid w:val="006C295D"/>
    <w:rsid w:val="006C2CB4"/>
    <w:rsid w:val="006C2E80"/>
    <w:rsid w:val="006C326C"/>
    <w:rsid w:val="006C3364"/>
    <w:rsid w:val="006C3470"/>
    <w:rsid w:val="006C35E5"/>
    <w:rsid w:val="006C3C20"/>
    <w:rsid w:val="006C4187"/>
    <w:rsid w:val="006C424A"/>
    <w:rsid w:val="006C441E"/>
    <w:rsid w:val="006C443C"/>
    <w:rsid w:val="006C45FF"/>
    <w:rsid w:val="006C4C61"/>
    <w:rsid w:val="006C5B53"/>
    <w:rsid w:val="006C5E1A"/>
    <w:rsid w:val="006C5E1B"/>
    <w:rsid w:val="006C5E49"/>
    <w:rsid w:val="006C604E"/>
    <w:rsid w:val="006C6609"/>
    <w:rsid w:val="006C6872"/>
    <w:rsid w:val="006C6CBB"/>
    <w:rsid w:val="006C758D"/>
    <w:rsid w:val="006C759B"/>
    <w:rsid w:val="006C79FE"/>
    <w:rsid w:val="006D03FA"/>
    <w:rsid w:val="006D0A8F"/>
    <w:rsid w:val="006D1476"/>
    <w:rsid w:val="006D19EC"/>
    <w:rsid w:val="006D1E2B"/>
    <w:rsid w:val="006D2100"/>
    <w:rsid w:val="006D23D5"/>
    <w:rsid w:val="006D23F8"/>
    <w:rsid w:val="006D2530"/>
    <w:rsid w:val="006D3274"/>
    <w:rsid w:val="006D34A8"/>
    <w:rsid w:val="006D353D"/>
    <w:rsid w:val="006D35B1"/>
    <w:rsid w:val="006D3B5F"/>
    <w:rsid w:val="006D3F65"/>
    <w:rsid w:val="006D3F98"/>
    <w:rsid w:val="006D429F"/>
    <w:rsid w:val="006D470D"/>
    <w:rsid w:val="006D4E6F"/>
    <w:rsid w:val="006D50A2"/>
    <w:rsid w:val="006D5186"/>
    <w:rsid w:val="006D5652"/>
    <w:rsid w:val="006D59CE"/>
    <w:rsid w:val="006D5F8A"/>
    <w:rsid w:val="006D6103"/>
    <w:rsid w:val="006D6253"/>
    <w:rsid w:val="006D6283"/>
    <w:rsid w:val="006D67D4"/>
    <w:rsid w:val="006D68E6"/>
    <w:rsid w:val="006D6C5F"/>
    <w:rsid w:val="006D6E17"/>
    <w:rsid w:val="006D6E1F"/>
    <w:rsid w:val="006D74BD"/>
    <w:rsid w:val="006D7511"/>
    <w:rsid w:val="006D7A19"/>
    <w:rsid w:val="006D7B80"/>
    <w:rsid w:val="006D7D36"/>
    <w:rsid w:val="006E01AF"/>
    <w:rsid w:val="006E0295"/>
    <w:rsid w:val="006E03C4"/>
    <w:rsid w:val="006E0EAA"/>
    <w:rsid w:val="006E0EDC"/>
    <w:rsid w:val="006E1122"/>
    <w:rsid w:val="006E1123"/>
    <w:rsid w:val="006E13DE"/>
    <w:rsid w:val="006E1433"/>
    <w:rsid w:val="006E1824"/>
    <w:rsid w:val="006E1DB4"/>
    <w:rsid w:val="006E1F79"/>
    <w:rsid w:val="006E2785"/>
    <w:rsid w:val="006E2B78"/>
    <w:rsid w:val="006E2D66"/>
    <w:rsid w:val="006E2D9B"/>
    <w:rsid w:val="006E388A"/>
    <w:rsid w:val="006E3AE0"/>
    <w:rsid w:val="006E42AC"/>
    <w:rsid w:val="006E4627"/>
    <w:rsid w:val="006E5559"/>
    <w:rsid w:val="006E55E8"/>
    <w:rsid w:val="006E5F56"/>
    <w:rsid w:val="006E672B"/>
    <w:rsid w:val="006E6839"/>
    <w:rsid w:val="006E6E53"/>
    <w:rsid w:val="006E6E7A"/>
    <w:rsid w:val="006E6FF5"/>
    <w:rsid w:val="006E70A7"/>
    <w:rsid w:val="006E728C"/>
    <w:rsid w:val="006E7EC6"/>
    <w:rsid w:val="006E7FAD"/>
    <w:rsid w:val="006F05AB"/>
    <w:rsid w:val="006F0EF2"/>
    <w:rsid w:val="006F1093"/>
    <w:rsid w:val="006F13CB"/>
    <w:rsid w:val="006F1491"/>
    <w:rsid w:val="006F15E5"/>
    <w:rsid w:val="006F17BC"/>
    <w:rsid w:val="006F1F6D"/>
    <w:rsid w:val="006F1F8D"/>
    <w:rsid w:val="006F2279"/>
    <w:rsid w:val="006F2349"/>
    <w:rsid w:val="006F2E06"/>
    <w:rsid w:val="006F3670"/>
    <w:rsid w:val="006F398D"/>
    <w:rsid w:val="006F3B16"/>
    <w:rsid w:val="006F3E5F"/>
    <w:rsid w:val="006F3E97"/>
    <w:rsid w:val="006F4AE7"/>
    <w:rsid w:val="006F4E9A"/>
    <w:rsid w:val="006F54DA"/>
    <w:rsid w:val="006F586A"/>
    <w:rsid w:val="006F64C0"/>
    <w:rsid w:val="006F6B8F"/>
    <w:rsid w:val="006F6C41"/>
    <w:rsid w:val="006F75E0"/>
    <w:rsid w:val="006F7A54"/>
    <w:rsid w:val="006F7CE7"/>
    <w:rsid w:val="00700ABA"/>
    <w:rsid w:val="00701357"/>
    <w:rsid w:val="00701A14"/>
    <w:rsid w:val="007022BF"/>
    <w:rsid w:val="00702572"/>
    <w:rsid w:val="00702853"/>
    <w:rsid w:val="00702F1C"/>
    <w:rsid w:val="00703105"/>
    <w:rsid w:val="0070341F"/>
    <w:rsid w:val="007038D2"/>
    <w:rsid w:val="00703BD1"/>
    <w:rsid w:val="0070454C"/>
    <w:rsid w:val="007046FF"/>
    <w:rsid w:val="0070496D"/>
    <w:rsid w:val="00704EA3"/>
    <w:rsid w:val="007053E6"/>
    <w:rsid w:val="00705A4E"/>
    <w:rsid w:val="00705B52"/>
    <w:rsid w:val="00705E10"/>
    <w:rsid w:val="00706197"/>
    <w:rsid w:val="00706327"/>
    <w:rsid w:val="007075F7"/>
    <w:rsid w:val="00707847"/>
    <w:rsid w:val="00707F62"/>
    <w:rsid w:val="0071037F"/>
    <w:rsid w:val="0071066C"/>
    <w:rsid w:val="00710F76"/>
    <w:rsid w:val="007117BA"/>
    <w:rsid w:val="007117CB"/>
    <w:rsid w:val="00711909"/>
    <w:rsid w:val="00712165"/>
    <w:rsid w:val="00712467"/>
    <w:rsid w:val="0071258A"/>
    <w:rsid w:val="00712A52"/>
    <w:rsid w:val="00712D6E"/>
    <w:rsid w:val="00712F84"/>
    <w:rsid w:val="007130DC"/>
    <w:rsid w:val="007136E1"/>
    <w:rsid w:val="0071395C"/>
    <w:rsid w:val="00714158"/>
    <w:rsid w:val="00714234"/>
    <w:rsid w:val="007143BE"/>
    <w:rsid w:val="00714844"/>
    <w:rsid w:val="0071556A"/>
    <w:rsid w:val="007158FD"/>
    <w:rsid w:val="00716A5E"/>
    <w:rsid w:val="00716A7F"/>
    <w:rsid w:val="00716E5B"/>
    <w:rsid w:val="00716E7D"/>
    <w:rsid w:val="00717089"/>
    <w:rsid w:val="007170AB"/>
    <w:rsid w:val="0071775F"/>
    <w:rsid w:val="0072073E"/>
    <w:rsid w:val="00720856"/>
    <w:rsid w:val="00720C59"/>
    <w:rsid w:val="00720D69"/>
    <w:rsid w:val="0072104A"/>
    <w:rsid w:val="0072121C"/>
    <w:rsid w:val="00721368"/>
    <w:rsid w:val="007215EA"/>
    <w:rsid w:val="007216F3"/>
    <w:rsid w:val="0072194C"/>
    <w:rsid w:val="00721959"/>
    <w:rsid w:val="00721DA1"/>
    <w:rsid w:val="00722986"/>
    <w:rsid w:val="007230CC"/>
    <w:rsid w:val="007234A4"/>
    <w:rsid w:val="007236F0"/>
    <w:rsid w:val="0072376B"/>
    <w:rsid w:val="00723D06"/>
    <w:rsid w:val="00724117"/>
    <w:rsid w:val="00724C51"/>
    <w:rsid w:val="00724C90"/>
    <w:rsid w:val="00724EB1"/>
    <w:rsid w:val="007250C8"/>
    <w:rsid w:val="007253DA"/>
    <w:rsid w:val="00726074"/>
    <w:rsid w:val="00726099"/>
    <w:rsid w:val="007265AD"/>
    <w:rsid w:val="00726690"/>
    <w:rsid w:val="00726851"/>
    <w:rsid w:val="00726ACA"/>
    <w:rsid w:val="00726B8E"/>
    <w:rsid w:val="007274B7"/>
    <w:rsid w:val="0072762F"/>
    <w:rsid w:val="007278C7"/>
    <w:rsid w:val="007279EE"/>
    <w:rsid w:val="00727D3D"/>
    <w:rsid w:val="00730ADA"/>
    <w:rsid w:val="00730C86"/>
    <w:rsid w:val="00730FB1"/>
    <w:rsid w:val="007311D8"/>
    <w:rsid w:val="007313CE"/>
    <w:rsid w:val="00731CB9"/>
    <w:rsid w:val="00731E8B"/>
    <w:rsid w:val="0073228E"/>
    <w:rsid w:val="0073244B"/>
    <w:rsid w:val="0073254A"/>
    <w:rsid w:val="007327B8"/>
    <w:rsid w:val="007327F5"/>
    <w:rsid w:val="00732BB5"/>
    <w:rsid w:val="00732D76"/>
    <w:rsid w:val="00733111"/>
    <w:rsid w:val="00733447"/>
    <w:rsid w:val="0073384B"/>
    <w:rsid w:val="00733ABC"/>
    <w:rsid w:val="00733CB9"/>
    <w:rsid w:val="00734076"/>
    <w:rsid w:val="0073427E"/>
    <w:rsid w:val="0073471C"/>
    <w:rsid w:val="00734B4C"/>
    <w:rsid w:val="00734CFB"/>
    <w:rsid w:val="00734E78"/>
    <w:rsid w:val="007351A1"/>
    <w:rsid w:val="00735314"/>
    <w:rsid w:val="0073541E"/>
    <w:rsid w:val="00735420"/>
    <w:rsid w:val="0073587A"/>
    <w:rsid w:val="00735EE0"/>
    <w:rsid w:val="00735F4C"/>
    <w:rsid w:val="00736496"/>
    <w:rsid w:val="00736529"/>
    <w:rsid w:val="00736B78"/>
    <w:rsid w:val="00737208"/>
    <w:rsid w:val="0073771F"/>
    <w:rsid w:val="007377B0"/>
    <w:rsid w:val="00737EA9"/>
    <w:rsid w:val="007400A9"/>
    <w:rsid w:val="007407CF"/>
    <w:rsid w:val="00740E0B"/>
    <w:rsid w:val="00740E71"/>
    <w:rsid w:val="00741922"/>
    <w:rsid w:val="00743B51"/>
    <w:rsid w:val="00743DB0"/>
    <w:rsid w:val="00744180"/>
    <w:rsid w:val="00744954"/>
    <w:rsid w:val="0074496D"/>
    <w:rsid w:val="00744A79"/>
    <w:rsid w:val="0074560D"/>
    <w:rsid w:val="00745B5E"/>
    <w:rsid w:val="00746272"/>
    <w:rsid w:val="00746291"/>
    <w:rsid w:val="00746867"/>
    <w:rsid w:val="00746938"/>
    <w:rsid w:val="00746AA7"/>
    <w:rsid w:val="00746DCC"/>
    <w:rsid w:val="00746E4F"/>
    <w:rsid w:val="00746FA6"/>
    <w:rsid w:val="0074711E"/>
    <w:rsid w:val="00747570"/>
    <w:rsid w:val="007478F9"/>
    <w:rsid w:val="007501B8"/>
    <w:rsid w:val="007504AF"/>
    <w:rsid w:val="00750BEE"/>
    <w:rsid w:val="00750ECA"/>
    <w:rsid w:val="00751128"/>
    <w:rsid w:val="007511AA"/>
    <w:rsid w:val="007512C9"/>
    <w:rsid w:val="0075133A"/>
    <w:rsid w:val="00752049"/>
    <w:rsid w:val="00752321"/>
    <w:rsid w:val="00752377"/>
    <w:rsid w:val="007527D4"/>
    <w:rsid w:val="007529B4"/>
    <w:rsid w:val="007529FA"/>
    <w:rsid w:val="00752A27"/>
    <w:rsid w:val="00752D72"/>
    <w:rsid w:val="00752F85"/>
    <w:rsid w:val="007532EA"/>
    <w:rsid w:val="007535F8"/>
    <w:rsid w:val="0075383B"/>
    <w:rsid w:val="00753B05"/>
    <w:rsid w:val="007541E4"/>
    <w:rsid w:val="00754819"/>
    <w:rsid w:val="0075559D"/>
    <w:rsid w:val="00755A5A"/>
    <w:rsid w:val="00755AFC"/>
    <w:rsid w:val="00755C15"/>
    <w:rsid w:val="00756821"/>
    <w:rsid w:val="00756AD0"/>
    <w:rsid w:val="00756D70"/>
    <w:rsid w:val="007576DD"/>
    <w:rsid w:val="00757BDB"/>
    <w:rsid w:val="00757C2B"/>
    <w:rsid w:val="007602FD"/>
    <w:rsid w:val="0076056C"/>
    <w:rsid w:val="00760914"/>
    <w:rsid w:val="0076147A"/>
    <w:rsid w:val="00761C48"/>
    <w:rsid w:val="007623AB"/>
    <w:rsid w:val="00762AAC"/>
    <w:rsid w:val="00762DFF"/>
    <w:rsid w:val="00763E07"/>
    <w:rsid w:val="00763F96"/>
    <w:rsid w:val="00763FB5"/>
    <w:rsid w:val="00763FEC"/>
    <w:rsid w:val="00764231"/>
    <w:rsid w:val="0076482A"/>
    <w:rsid w:val="0076497E"/>
    <w:rsid w:val="00764AF3"/>
    <w:rsid w:val="00764C6E"/>
    <w:rsid w:val="00764D4C"/>
    <w:rsid w:val="007653A0"/>
    <w:rsid w:val="007653E0"/>
    <w:rsid w:val="00765582"/>
    <w:rsid w:val="00765BC3"/>
    <w:rsid w:val="00765BE2"/>
    <w:rsid w:val="0076678F"/>
    <w:rsid w:val="00766E58"/>
    <w:rsid w:val="00767212"/>
    <w:rsid w:val="00767248"/>
    <w:rsid w:val="007673EC"/>
    <w:rsid w:val="007674B6"/>
    <w:rsid w:val="00767AD1"/>
    <w:rsid w:val="00767C64"/>
    <w:rsid w:val="00770132"/>
    <w:rsid w:val="007708A7"/>
    <w:rsid w:val="0077096E"/>
    <w:rsid w:val="00770C04"/>
    <w:rsid w:val="0077126D"/>
    <w:rsid w:val="0077129D"/>
    <w:rsid w:val="007719E5"/>
    <w:rsid w:val="00771C9D"/>
    <w:rsid w:val="007721F8"/>
    <w:rsid w:val="0077261A"/>
    <w:rsid w:val="007726E9"/>
    <w:rsid w:val="00772C82"/>
    <w:rsid w:val="00773094"/>
    <w:rsid w:val="0077370C"/>
    <w:rsid w:val="00773A4A"/>
    <w:rsid w:val="007742F3"/>
    <w:rsid w:val="007746FC"/>
    <w:rsid w:val="00774B5B"/>
    <w:rsid w:val="007761BA"/>
    <w:rsid w:val="007765E4"/>
    <w:rsid w:val="00776928"/>
    <w:rsid w:val="00776BB5"/>
    <w:rsid w:val="00776CD6"/>
    <w:rsid w:val="00776CFF"/>
    <w:rsid w:val="007771BF"/>
    <w:rsid w:val="007774EF"/>
    <w:rsid w:val="0077763A"/>
    <w:rsid w:val="00777A3C"/>
    <w:rsid w:val="00777AB4"/>
    <w:rsid w:val="00777E6F"/>
    <w:rsid w:val="00780135"/>
    <w:rsid w:val="007805BD"/>
    <w:rsid w:val="007805F1"/>
    <w:rsid w:val="00780826"/>
    <w:rsid w:val="0078088E"/>
    <w:rsid w:val="00780A18"/>
    <w:rsid w:val="007812AE"/>
    <w:rsid w:val="00781760"/>
    <w:rsid w:val="007817FF"/>
    <w:rsid w:val="00781A52"/>
    <w:rsid w:val="00781FBC"/>
    <w:rsid w:val="00782381"/>
    <w:rsid w:val="00782A44"/>
    <w:rsid w:val="00782B42"/>
    <w:rsid w:val="00782CB0"/>
    <w:rsid w:val="00782E88"/>
    <w:rsid w:val="007835EA"/>
    <w:rsid w:val="007839DF"/>
    <w:rsid w:val="007844AD"/>
    <w:rsid w:val="007848C6"/>
    <w:rsid w:val="00784908"/>
    <w:rsid w:val="00784BF9"/>
    <w:rsid w:val="00784F9B"/>
    <w:rsid w:val="00785514"/>
    <w:rsid w:val="00785907"/>
    <w:rsid w:val="00785C4E"/>
    <w:rsid w:val="00785E21"/>
    <w:rsid w:val="00785E5D"/>
    <w:rsid w:val="00785F17"/>
    <w:rsid w:val="00786794"/>
    <w:rsid w:val="007869D7"/>
    <w:rsid w:val="00786B75"/>
    <w:rsid w:val="00786EA5"/>
    <w:rsid w:val="0078745F"/>
    <w:rsid w:val="00787F88"/>
    <w:rsid w:val="00790060"/>
    <w:rsid w:val="00790170"/>
    <w:rsid w:val="0079046B"/>
    <w:rsid w:val="0079051C"/>
    <w:rsid w:val="007906B7"/>
    <w:rsid w:val="007907A4"/>
    <w:rsid w:val="0079092B"/>
    <w:rsid w:val="00790B9E"/>
    <w:rsid w:val="00790C62"/>
    <w:rsid w:val="00790DE7"/>
    <w:rsid w:val="00790F57"/>
    <w:rsid w:val="0079110B"/>
    <w:rsid w:val="007914F5"/>
    <w:rsid w:val="00791824"/>
    <w:rsid w:val="00791ABC"/>
    <w:rsid w:val="00792842"/>
    <w:rsid w:val="00792894"/>
    <w:rsid w:val="00792D85"/>
    <w:rsid w:val="00793999"/>
    <w:rsid w:val="00793A8F"/>
    <w:rsid w:val="00793BA2"/>
    <w:rsid w:val="00793EEA"/>
    <w:rsid w:val="007947AD"/>
    <w:rsid w:val="00794FBF"/>
    <w:rsid w:val="007952CC"/>
    <w:rsid w:val="00795444"/>
    <w:rsid w:val="00795833"/>
    <w:rsid w:val="007959AE"/>
    <w:rsid w:val="00795CA9"/>
    <w:rsid w:val="007963AF"/>
    <w:rsid w:val="00796467"/>
    <w:rsid w:val="007977F5"/>
    <w:rsid w:val="00797834"/>
    <w:rsid w:val="007A0106"/>
    <w:rsid w:val="007A02D1"/>
    <w:rsid w:val="007A056A"/>
    <w:rsid w:val="007A0E0B"/>
    <w:rsid w:val="007A1703"/>
    <w:rsid w:val="007A1EA3"/>
    <w:rsid w:val="007A2052"/>
    <w:rsid w:val="007A249B"/>
    <w:rsid w:val="007A36DF"/>
    <w:rsid w:val="007A36EE"/>
    <w:rsid w:val="007A37C3"/>
    <w:rsid w:val="007A406A"/>
    <w:rsid w:val="007A48F7"/>
    <w:rsid w:val="007A4CED"/>
    <w:rsid w:val="007A59E6"/>
    <w:rsid w:val="007A5A66"/>
    <w:rsid w:val="007A5B1D"/>
    <w:rsid w:val="007A5BAB"/>
    <w:rsid w:val="007A5E08"/>
    <w:rsid w:val="007A6224"/>
    <w:rsid w:val="007A65CF"/>
    <w:rsid w:val="007A67F4"/>
    <w:rsid w:val="007A70FE"/>
    <w:rsid w:val="007A7202"/>
    <w:rsid w:val="007A72A4"/>
    <w:rsid w:val="007A731E"/>
    <w:rsid w:val="007A77F6"/>
    <w:rsid w:val="007A7D5A"/>
    <w:rsid w:val="007A7D7E"/>
    <w:rsid w:val="007A7D87"/>
    <w:rsid w:val="007B02B3"/>
    <w:rsid w:val="007B037A"/>
    <w:rsid w:val="007B0599"/>
    <w:rsid w:val="007B062B"/>
    <w:rsid w:val="007B0684"/>
    <w:rsid w:val="007B08CA"/>
    <w:rsid w:val="007B0A7E"/>
    <w:rsid w:val="007B0EF7"/>
    <w:rsid w:val="007B0FEB"/>
    <w:rsid w:val="007B10D5"/>
    <w:rsid w:val="007B21CD"/>
    <w:rsid w:val="007B2207"/>
    <w:rsid w:val="007B2614"/>
    <w:rsid w:val="007B2763"/>
    <w:rsid w:val="007B27AE"/>
    <w:rsid w:val="007B2AC3"/>
    <w:rsid w:val="007B2B0B"/>
    <w:rsid w:val="007B2BD5"/>
    <w:rsid w:val="007B341F"/>
    <w:rsid w:val="007B3AAC"/>
    <w:rsid w:val="007B3C19"/>
    <w:rsid w:val="007B428B"/>
    <w:rsid w:val="007B43B0"/>
    <w:rsid w:val="007B4538"/>
    <w:rsid w:val="007B4A4B"/>
    <w:rsid w:val="007B5093"/>
    <w:rsid w:val="007B5A1B"/>
    <w:rsid w:val="007B5A23"/>
    <w:rsid w:val="007B5FC9"/>
    <w:rsid w:val="007B609E"/>
    <w:rsid w:val="007B6213"/>
    <w:rsid w:val="007B623B"/>
    <w:rsid w:val="007B63D8"/>
    <w:rsid w:val="007B658D"/>
    <w:rsid w:val="007B6DB4"/>
    <w:rsid w:val="007B717D"/>
    <w:rsid w:val="007B7A1E"/>
    <w:rsid w:val="007B7DB2"/>
    <w:rsid w:val="007C03DB"/>
    <w:rsid w:val="007C057D"/>
    <w:rsid w:val="007C0644"/>
    <w:rsid w:val="007C06BA"/>
    <w:rsid w:val="007C0AEB"/>
    <w:rsid w:val="007C0F1C"/>
    <w:rsid w:val="007C0F93"/>
    <w:rsid w:val="007C1B9E"/>
    <w:rsid w:val="007C1C83"/>
    <w:rsid w:val="007C1FEB"/>
    <w:rsid w:val="007C24A9"/>
    <w:rsid w:val="007C2AC7"/>
    <w:rsid w:val="007C2FDD"/>
    <w:rsid w:val="007C3213"/>
    <w:rsid w:val="007C3B31"/>
    <w:rsid w:val="007C3B64"/>
    <w:rsid w:val="007C4043"/>
    <w:rsid w:val="007C4643"/>
    <w:rsid w:val="007C5170"/>
    <w:rsid w:val="007C52AC"/>
    <w:rsid w:val="007C5A77"/>
    <w:rsid w:val="007C5CC9"/>
    <w:rsid w:val="007C61C8"/>
    <w:rsid w:val="007C63DF"/>
    <w:rsid w:val="007C66D2"/>
    <w:rsid w:val="007C6A38"/>
    <w:rsid w:val="007C6ECC"/>
    <w:rsid w:val="007C6EEC"/>
    <w:rsid w:val="007C6F2D"/>
    <w:rsid w:val="007C7920"/>
    <w:rsid w:val="007C7F84"/>
    <w:rsid w:val="007D0AD3"/>
    <w:rsid w:val="007D0BCC"/>
    <w:rsid w:val="007D167E"/>
    <w:rsid w:val="007D17CB"/>
    <w:rsid w:val="007D18BC"/>
    <w:rsid w:val="007D19A5"/>
    <w:rsid w:val="007D1CCC"/>
    <w:rsid w:val="007D1FEE"/>
    <w:rsid w:val="007D2C3B"/>
    <w:rsid w:val="007D39A3"/>
    <w:rsid w:val="007D3B25"/>
    <w:rsid w:val="007D470E"/>
    <w:rsid w:val="007D47C1"/>
    <w:rsid w:val="007D4A00"/>
    <w:rsid w:val="007D4A51"/>
    <w:rsid w:val="007D4B83"/>
    <w:rsid w:val="007D4DE4"/>
    <w:rsid w:val="007D586F"/>
    <w:rsid w:val="007D5D05"/>
    <w:rsid w:val="007D5DFF"/>
    <w:rsid w:val="007D6922"/>
    <w:rsid w:val="007D7031"/>
    <w:rsid w:val="007D70E6"/>
    <w:rsid w:val="007D74AA"/>
    <w:rsid w:val="007D7627"/>
    <w:rsid w:val="007D7850"/>
    <w:rsid w:val="007D7896"/>
    <w:rsid w:val="007D7AF0"/>
    <w:rsid w:val="007D7C0B"/>
    <w:rsid w:val="007D7C4D"/>
    <w:rsid w:val="007D7CA6"/>
    <w:rsid w:val="007D7D86"/>
    <w:rsid w:val="007E034F"/>
    <w:rsid w:val="007E0527"/>
    <w:rsid w:val="007E0F3B"/>
    <w:rsid w:val="007E1572"/>
    <w:rsid w:val="007E167B"/>
    <w:rsid w:val="007E182F"/>
    <w:rsid w:val="007E1C1B"/>
    <w:rsid w:val="007E1C2A"/>
    <w:rsid w:val="007E1EF3"/>
    <w:rsid w:val="007E227F"/>
    <w:rsid w:val="007E2708"/>
    <w:rsid w:val="007E2AD8"/>
    <w:rsid w:val="007E3226"/>
    <w:rsid w:val="007E3455"/>
    <w:rsid w:val="007E3796"/>
    <w:rsid w:val="007E3CF0"/>
    <w:rsid w:val="007E3DAE"/>
    <w:rsid w:val="007E4313"/>
    <w:rsid w:val="007E5298"/>
    <w:rsid w:val="007E5533"/>
    <w:rsid w:val="007E5975"/>
    <w:rsid w:val="007E5A52"/>
    <w:rsid w:val="007E5F4F"/>
    <w:rsid w:val="007E604D"/>
    <w:rsid w:val="007E61C9"/>
    <w:rsid w:val="007E6368"/>
    <w:rsid w:val="007E63AB"/>
    <w:rsid w:val="007E6618"/>
    <w:rsid w:val="007E67BD"/>
    <w:rsid w:val="007E6FFE"/>
    <w:rsid w:val="007E767B"/>
    <w:rsid w:val="007E7711"/>
    <w:rsid w:val="007E7A16"/>
    <w:rsid w:val="007E7C40"/>
    <w:rsid w:val="007E7E7D"/>
    <w:rsid w:val="007E7F5F"/>
    <w:rsid w:val="007F02EB"/>
    <w:rsid w:val="007F03C0"/>
    <w:rsid w:val="007F10C0"/>
    <w:rsid w:val="007F10CE"/>
    <w:rsid w:val="007F13C4"/>
    <w:rsid w:val="007F16F2"/>
    <w:rsid w:val="007F1833"/>
    <w:rsid w:val="007F194E"/>
    <w:rsid w:val="007F1CDD"/>
    <w:rsid w:val="007F2376"/>
    <w:rsid w:val="007F2423"/>
    <w:rsid w:val="007F2541"/>
    <w:rsid w:val="007F2A06"/>
    <w:rsid w:val="007F2B0A"/>
    <w:rsid w:val="007F2CDA"/>
    <w:rsid w:val="007F3779"/>
    <w:rsid w:val="007F3AE2"/>
    <w:rsid w:val="007F425F"/>
    <w:rsid w:val="007F4D4C"/>
    <w:rsid w:val="007F51CC"/>
    <w:rsid w:val="007F559D"/>
    <w:rsid w:val="007F5AB5"/>
    <w:rsid w:val="007F6411"/>
    <w:rsid w:val="007F64FE"/>
    <w:rsid w:val="007F665E"/>
    <w:rsid w:val="007F6743"/>
    <w:rsid w:val="007F6A03"/>
    <w:rsid w:val="007F6CEA"/>
    <w:rsid w:val="007F7070"/>
    <w:rsid w:val="007F7230"/>
    <w:rsid w:val="007F7472"/>
    <w:rsid w:val="007F75D3"/>
    <w:rsid w:val="008000FD"/>
    <w:rsid w:val="008002B7"/>
    <w:rsid w:val="008006BA"/>
    <w:rsid w:val="00800723"/>
    <w:rsid w:val="00801525"/>
    <w:rsid w:val="008016EA"/>
    <w:rsid w:val="0080210A"/>
    <w:rsid w:val="008022F1"/>
    <w:rsid w:val="00802621"/>
    <w:rsid w:val="00802F13"/>
    <w:rsid w:val="00803233"/>
    <w:rsid w:val="00803581"/>
    <w:rsid w:val="00803D2D"/>
    <w:rsid w:val="008040AC"/>
    <w:rsid w:val="008040B0"/>
    <w:rsid w:val="00805257"/>
    <w:rsid w:val="00805401"/>
    <w:rsid w:val="008054AB"/>
    <w:rsid w:val="008057E6"/>
    <w:rsid w:val="00806A8A"/>
    <w:rsid w:val="00806BB6"/>
    <w:rsid w:val="00807411"/>
    <w:rsid w:val="008074B2"/>
    <w:rsid w:val="00807A74"/>
    <w:rsid w:val="00807D8F"/>
    <w:rsid w:val="008101A5"/>
    <w:rsid w:val="008102A1"/>
    <w:rsid w:val="008102CE"/>
    <w:rsid w:val="0081042A"/>
    <w:rsid w:val="008104AF"/>
    <w:rsid w:val="0081054D"/>
    <w:rsid w:val="00810B35"/>
    <w:rsid w:val="00810CC7"/>
    <w:rsid w:val="00810E12"/>
    <w:rsid w:val="00810F3D"/>
    <w:rsid w:val="00811315"/>
    <w:rsid w:val="00811DA7"/>
    <w:rsid w:val="00811FA4"/>
    <w:rsid w:val="00812031"/>
    <w:rsid w:val="0081225B"/>
    <w:rsid w:val="00812437"/>
    <w:rsid w:val="0081278D"/>
    <w:rsid w:val="00812819"/>
    <w:rsid w:val="00812860"/>
    <w:rsid w:val="008129D3"/>
    <w:rsid w:val="00812C5B"/>
    <w:rsid w:val="00812E39"/>
    <w:rsid w:val="0081321F"/>
    <w:rsid w:val="008135D8"/>
    <w:rsid w:val="008137AC"/>
    <w:rsid w:val="00814308"/>
    <w:rsid w:val="00814326"/>
    <w:rsid w:val="00814711"/>
    <w:rsid w:val="00814A1E"/>
    <w:rsid w:val="00814E00"/>
    <w:rsid w:val="008155C7"/>
    <w:rsid w:val="008160C2"/>
    <w:rsid w:val="008165AE"/>
    <w:rsid w:val="0081668C"/>
    <w:rsid w:val="00816B4B"/>
    <w:rsid w:val="00816E2B"/>
    <w:rsid w:val="008170CF"/>
    <w:rsid w:val="008174F6"/>
    <w:rsid w:val="00817A37"/>
    <w:rsid w:val="00817A6A"/>
    <w:rsid w:val="00817C15"/>
    <w:rsid w:val="00817D31"/>
    <w:rsid w:val="00820133"/>
    <w:rsid w:val="00820491"/>
    <w:rsid w:val="008205DB"/>
    <w:rsid w:val="00820718"/>
    <w:rsid w:val="0082084A"/>
    <w:rsid w:val="008209C8"/>
    <w:rsid w:val="00820D0B"/>
    <w:rsid w:val="00820F49"/>
    <w:rsid w:val="00820F7D"/>
    <w:rsid w:val="00821256"/>
    <w:rsid w:val="00821756"/>
    <w:rsid w:val="0082180D"/>
    <w:rsid w:val="008222C4"/>
    <w:rsid w:val="00822796"/>
    <w:rsid w:val="00822FFA"/>
    <w:rsid w:val="008231A9"/>
    <w:rsid w:val="008231B0"/>
    <w:rsid w:val="008233B0"/>
    <w:rsid w:val="0082355B"/>
    <w:rsid w:val="0082368C"/>
    <w:rsid w:val="00823F43"/>
    <w:rsid w:val="00823F6F"/>
    <w:rsid w:val="008240FF"/>
    <w:rsid w:val="008248D3"/>
    <w:rsid w:val="00824DC0"/>
    <w:rsid w:val="00825021"/>
    <w:rsid w:val="00825189"/>
    <w:rsid w:val="0082556B"/>
    <w:rsid w:val="0082606D"/>
    <w:rsid w:val="00826622"/>
    <w:rsid w:val="00826797"/>
    <w:rsid w:val="00826E8E"/>
    <w:rsid w:val="0082710C"/>
    <w:rsid w:val="00827880"/>
    <w:rsid w:val="0082791D"/>
    <w:rsid w:val="0083006A"/>
    <w:rsid w:val="00830164"/>
    <w:rsid w:val="00830732"/>
    <w:rsid w:val="008307C1"/>
    <w:rsid w:val="00830C60"/>
    <w:rsid w:val="00830F2B"/>
    <w:rsid w:val="00832CAA"/>
    <w:rsid w:val="00832CBA"/>
    <w:rsid w:val="00832E78"/>
    <w:rsid w:val="00832E87"/>
    <w:rsid w:val="00832FB6"/>
    <w:rsid w:val="008332E4"/>
    <w:rsid w:val="00833504"/>
    <w:rsid w:val="00833516"/>
    <w:rsid w:val="008338A1"/>
    <w:rsid w:val="008338C6"/>
    <w:rsid w:val="0083395F"/>
    <w:rsid w:val="008350B0"/>
    <w:rsid w:val="008353AD"/>
    <w:rsid w:val="00835A1A"/>
    <w:rsid w:val="00835DB5"/>
    <w:rsid w:val="0083675C"/>
    <w:rsid w:val="00836BC3"/>
    <w:rsid w:val="00836BF4"/>
    <w:rsid w:val="00836C57"/>
    <w:rsid w:val="00836D84"/>
    <w:rsid w:val="00836FBD"/>
    <w:rsid w:val="00837249"/>
    <w:rsid w:val="0083762E"/>
    <w:rsid w:val="008379D4"/>
    <w:rsid w:val="00837A0A"/>
    <w:rsid w:val="00840382"/>
    <w:rsid w:val="008404CF"/>
    <w:rsid w:val="008405C9"/>
    <w:rsid w:val="008407B6"/>
    <w:rsid w:val="0084119A"/>
    <w:rsid w:val="008411F8"/>
    <w:rsid w:val="008414A2"/>
    <w:rsid w:val="008414CC"/>
    <w:rsid w:val="008417D8"/>
    <w:rsid w:val="00841921"/>
    <w:rsid w:val="0084213B"/>
    <w:rsid w:val="0084266B"/>
    <w:rsid w:val="00842B85"/>
    <w:rsid w:val="00843180"/>
    <w:rsid w:val="008431EB"/>
    <w:rsid w:val="0084321C"/>
    <w:rsid w:val="008432E2"/>
    <w:rsid w:val="0084363D"/>
    <w:rsid w:val="00843647"/>
    <w:rsid w:val="0084377D"/>
    <w:rsid w:val="00843DAA"/>
    <w:rsid w:val="00843EF0"/>
    <w:rsid w:val="00844010"/>
    <w:rsid w:val="008449D5"/>
    <w:rsid w:val="00844B7D"/>
    <w:rsid w:val="00845221"/>
    <w:rsid w:val="008457BF"/>
    <w:rsid w:val="00846142"/>
    <w:rsid w:val="00846A67"/>
    <w:rsid w:val="00846AEC"/>
    <w:rsid w:val="00846DB8"/>
    <w:rsid w:val="00846F16"/>
    <w:rsid w:val="00847122"/>
    <w:rsid w:val="00847164"/>
    <w:rsid w:val="00847CF3"/>
    <w:rsid w:val="008501EF"/>
    <w:rsid w:val="00850279"/>
    <w:rsid w:val="00850318"/>
    <w:rsid w:val="00850868"/>
    <w:rsid w:val="00850C5D"/>
    <w:rsid w:val="00850F9B"/>
    <w:rsid w:val="008514BE"/>
    <w:rsid w:val="008515B0"/>
    <w:rsid w:val="0085180A"/>
    <w:rsid w:val="00851976"/>
    <w:rsid w:val="00851A9E"/>
    <w:rsid w:val="00851ABB"/>
    <w:rsid w:val="00852427"/>
    <w:rsid w:val="0085284D"/>
    <w:rsid w:val="008529A0"/>
    <w:rsid w:val="00852A73"/>
    <w:rsid w:val="00853104"/>
    <w:rsid w:val="0085312B"/>
    <w:rsid w:val="00853AA2"/>
    <w:rsid w:val="00853C43"/>
    <w:rsid w:val="00853C99"/>
    <w:rsid w:val="00853D25"/>
    <w:rsid w:val="00853E62"/>
    <w:rsid w:val="008542BD"/>
    <w:rsid w:val="0085449E"/>
    <w:rsid w:val="00854A72"/>
    <w:rsid w:val="00854F2F"/>
    <w:rsid w:val="00855182"/>
    <w:rsid w:val="00855263"/>
    <w:rsid w:val="00855696"/>
    <w:rsid w:val="00855B82"/>
    <w:rsid w:val="00855BAC"/>
    <w:rsid w:val="0085676F"/>
    <w:rsid w:val="0085692D"/>
    <w:rsid w:val="00856AF3"/>
    <w:rsid w:val="00856B64"/>
    <w:rsid w:val="00856CD1"/>
    <w:rsid w:val="00857330"/>
    <w:rsid w:val="00857C8D"/>
    <w:rsid w:val="00857DD7"/>
    <w:rsid w:val="00857E08"/>
    <w:rsid w:val="008606DC"/>
    <w:rsid w:val="0086073F"/>
    <w:rsid w:val="00860BA0"/>
    <w:rsid w:val="00860BB0"/>
    <w:rsid w:val="00860C43"/>
    <w:rsid w:val="00860E29"/>
    <w:rsid w:val="00860EB2"/>
    <w:rsid w:val="00860F2F"/>
    <w:rsid w:val="00860FEE"/>
    <w:rsid w:val="00861156"/>
    <w:rsid w:val="008613A7"/>
    <w:rsid w:val="00861817"/>
    <w:rsid w:val="008618B6"/>
    <w:rsid w:val="00861971"/>
    <w:rsid w:val="00861B19"/>
    <w:rsid w:val="008620BF"/>
    <w:rsid w:val="00862188"/>
    <w:rsid w:val="00862674"/>
    <w:rsid w:val="00862A71"/>
    <w:rsid w:val="00862B71"/>
    <w:rsid w:val="00862C82"/>
    <w:rsid w:val="00862C84"/>
    <w:rsid w:val="00862D33"/>
    <w:rsid w:val="00862E48"/>
    <w:rsid w:val="00863255"/>
    <w:rsid w:val="00863592"/>
    <w:rsid w:val="00863A37"/>
    <w:rsid w:val="00863B71"/>
    <w:rsid w:val="00864556"/>
    <w:rsid w:val="0086476F"/>
    <w:rsid w:val="008648DE"/>
    <w:rsid w:val="00864915"/>
    <w:rsid w:val="00864DBE"/>
    <w:rsid w:val="00865081"/>
    <w:rsid w:val="0086527E"/>
    <w:rsid w:val="008658B6"/>
    <w:rsid w:val="00865EAF"/>
    <w:rsid w:val="00865ED1"/>
    <w:rsid w:val="00865F10"/>
    <w:rsid w:val="0086611B"/>
    <w:rsid w:val="008662DD"/>
    <w:rsid w:val="008667AE"/>
    <w:rsid w:val="00866932"/>
    <w:rsid w:val="00866BC9"/>
    <w:rsid w:val="00866CF2"/>
    <w:rsid w:val="00866EC5"/>
    <w:rsid w:val="00866EF2"/>
    <w:rsid w:val="00866FD7"/>
    <w:rsid w:val="0086730C"/>
    <w:rsid w:val="008676B5"/>
    <w:rsid w:val="00867DDB"/>
    <w:rsid w:val="00867E4D"/>
    <w:rsid w:val="0087095A"/>
    <w:rsid w:val="00870F63"/>
    <w:rsid w:val="008712F2"/>
    <w:rsid w:val="008713FF"/>
    <w:rsid w:val="0087155F"/>
    <w:rsid w:val="00871669"/>
    <w:rsid w:val="0087229B"/>
    <w:rsid w:val="0087241F"/>
    <w:rsid w:val="0087267D"/>
    <w:rsid w:val="008729B5"/>
    <w:rsid w:val="008729C9"/>
    <w:rsid w:val="00872D41"/>
    <w:rsid w:val="00872EE4"/>
    <w:rsid w:val="008730D6"/>
    <w:rsid w:val="008735F6"/>
    <w:rsid w:val="008737E3"/>
    <w:rsid w:val="00873AD2"/>
    <w:rsid w:val="00873C33"/>
    <w:rsid w:val="00874A7A"/>
    <w:rsid w:val="00875152"/>
    <w:rsid w:val="008751C6"/>
    <w:rsid w:val="00875445"/>
    <w:rsid w:val="008755CA"/>
    <w:rsid w:val="00875AD7"/>
    <w:rsid w:val="00875DD5"/>
    <w:rsid w:val="00875DE2"/>
    <w:rsid w:val="00875EA2"/>
    <w:rsid w:val="00876798"/>
    <w:rsid w:val="00876BAA"/>
    <w:rsid w:val="00876FBF"/>
    <w:rsid w:val="00877003"/>
    <w:rsid w:val="008773ED"/>
    <w:rsid w:val="00877761"/>
    <w:rsid w:val="008777CF"/>
    <w:rsid w:val="00877867"/>
    <w:rsid w:val="00877AC4"/>
    <w:rsid w:val="00877BB8"/>
    <w:rsid w:val="00877E91"/>
    <w:rsid w:val="008807B8"/>
    <w:rsid w:val="008809A1"/>
    <w:rsid w:val="00880CD6"/>
    <w:rsid w:val="008813E2"/>
    <w:rsid w:val="00881AB0"/>
    <w:rsid w:val="00881AFB"/>
    <w:rsid w:val="00881C1C"/>
    <w:rsid w:val="00881C42"/>
    <w:rsid w:val="008823B5"/>
    <w:rsid w:val="008826C5"/>
    <w:rsid w:val="00882AAD"/>
    <w:rsid w:val="00882C7A"/>
    <w:rsid w:val="00882C87"/>
    <w:rsid w:val="00882FDF"/>
    <w:rsid w:val="0088317C"/>
    <w:rsid w:val="00883BE6"/>
    <w:rsid w:val="00883EFF"/>
    <w:rsid w:val="008840C8"/>
    <w:rsid w:val="008842F8"/>
    <w:rsid w:val="00884BAB"/>
    <w:rsid w:val="008853EE"/>
    <w:rsid w:val="00885413"/>
    <w:rsid w:val="00885465"/>
    <w:rsid w:val="00885482"/>
    <w:rsid w:val="00885792"/>
    <w:rsid w:val="008859E0"/>
    <w:rsid w:val="00885CCC"/>
    <w:rsid w:val="0088665E"/>
    <w:rsid w:val="00887471"/>
    <w:rsid w:val="00887575"/>
    <w:rsid w:val="008875B4"/>
    <w:rsid w:val="008878DC"/>
    <w:rsid w:val="00890F2D"/>
    <w:rsid w:val="0089139F"/>
    <w:rsid w:val="008917B8"/>
    <w:rsid w:val="00891834"/>
    <w:rsid w:val="008926C3"/>
    <w:rsid w:val="00892912"/>
    <w:rsid w:val="00892A3C"/>
    <w:rsid w:val="00892F70"/>
    <w:rsid w:val="008937F4"/>
    <w:rsid w:val="008938FE"/>
    <w:rsid w:val="008939D1"/>
    <w:rsid w:val="0089404D"/>
    <w:rsid w:val="0089466B"/>
    <w:rsid w:val="008949D8"/>
    <w:rsid w:val="00894DA6"/>
    <w:rsid w:val="00895006"/>
    <w:rsid w:val="00895030"/>
    <w:rsid w:val="00895275"/>
    <w:rsid w:val="00895850"/>
    <w:rsid w:val="008958EC"/>
    <w:rsid w:val="00895B2B"/>
    <w:rsid w:val="008964A0"/>
    <w:rsid w:val="00896747"/>
    <w:rsid w:val="00896D7D"/>
    <w:rsid w:val="00897067"/>
    <w:rsid w:val="0089740B"/>
    <w:rsid w:val="008975EA"/>
    <w:rsid w:val="00897764"/>
    <w:rsid w:val="00897871"/>
    <w:rsid w:val="008A09A3"/>
    <w:rsid w:val="008A0FB7"/>
    <w:rsid w:val="008A1A9F"/>
    <w:rsid w:val="008A1D43"/>
    <w:rsid w:val="008A1F4D"/>
    <w:rsid w:val="008A2489"/>
    <w:rsid w:val="008A25C6"/>
    <w:rsid w:val="008A2CD5"/>
    <w:rsid w:val="008A361D"/>
    <w:rsid w:val="008A3677"/>
    <w:rsid w:val="008A3A30"/>
    <w:rsid w:val="008A44C3"/>
    <w:rsid w:val="008A44F8"/>
    <w:rsid w:val="008A49E9"/>
    <w:rsid w:val="008A5097"/>
    <w:rsid w:val="008A5C96"/>
    <w:rsid w:val="008A5F5E"/>
    <w:rsid w:val="008A6388"/>
    <w:rsid w:val="008A68CF"/>
    <w:rsid w:val="008A6E1F"/>
    <w:rsid w:val="008A6FE1"/>
    <w:rsid w:val="008A7C76"/>
    <w:rsid w:val="008A7C94"/>
    <w:rsid w:val="008A7F8D"/>
    <w:rsid w:val="008B02B9"/>
    <w:rsid w:val="008B076D"/>
    <w:rsid w:val="008B0A8F"/>
    <w:rsid w:val="008B0CC9"/>
    <w:rsid w:val="008B0ED9"/>
    <w:rsid w:val="008B10DA"/>
    <w:rsid w:val="008B125B"/>
    <w:rsid w:val="008B1577"/>
    <w:rsid w:val="008B1732"/>
    <w:rsid w:val="008B1A88"/>
    <w:rsid w:val="008B1B38"/>
    <w:rsid w:val="008B2437"/>
    <w:rsid w:val="008B25AF"/>
    <w:rsid w:val="008B26CB"/>
    <w:rsid w:val="008B2BF0"/>
    <w:rsid w:val="008B3047"/>
    <w:rsid w:val="008B32F4"/>
    <w:rsid w:val="008B3521"/>
    <w:rsid w:val="008B3646"/>
    <w:rsid w:val="008B3DCB"/>
    <w:rsid w:val="008B4280"/>
    <w:rsid w:val="008B48F2"/>
    <w:rsid w:val="008B4BF0"/>
    <w:rsid w:val="008B4C16"/>
    <w:rsid w:val="008B4ED4"/>
    <w:rsid w:val="008B4FA8"/>
    <w:rsid w:val="008B5316"/>
    <w:rsid w:val="008B5871"/>
    <w:rsid w:val="008B5BB8"/>
    <w:rsid w:val="008B5DE4"/>
    <w:rsid w:val="008B5EA3"/>
    <w:rsid w:val="008B5FD2"/>
    <w:rsid w:val="008B6800"/>
    <w:rsid w:val="008B6C1A"/>
    <w:rsid w:val="008B6C24"/>
    <w:rsid w:val="008B7180"/>
    <w:rsid w:val="008B7332"/>
    <w:rsid w:val="008B7727"/>
    <w:rsid w:val="008B7834"/>
    <w:rsid w:val="008B7C3A"/>
    <w:rsid w:val="008B7CB1"/>
    <w:rsid w:val="008B7EF7"/>
    <w:rsid w:val="008C0261"/>
    <w:rsid w:val="008C0527"/>
    <w:rsid w:val="008C08F3"/>
    <w:rsid w:val="008C09DD"/>
    <w:rsid w:val="008C0AF3"/>
    <w:rsid w:val="008C1114"/>
    <w:rsid w:val="008C117E"/>
    <w:rsid w:val="008C1A58"/>
    <w:rsid w:val="008C1C5C"/>
    <w:rsid w:val="008C270B"/>
    <w:rsid w:val="008C28D2"/>
    <w:rsid w:val="008C29EB"/>
    <w:rsid w:val="008C2B1D"/>
    <w:rsid w:val="008C2C80"/>
    <w:rsid w:val="008C2D31"/>
    <w:rsid w:val="008C31B7"/>
    <w:rsid w:val="008C37CF"/>
    <w:rsid w:val="008C3A5E"/>
    <w:rsid w:val="008C3CEB"/>
    <w:rsid w:val="008C3E24"/>
    <w:rsid w:val="008C467E"/>
    <w:rsid w:val="008C4A98"/>
    <w:rsid w:val="008C5006"/>
    <w:rsid w:val="008C507D"/>
    <w:rsid w:val="008C512F"/>
    <w:rsid w:val="008C54BE"/>
    <w:rsid w:val="008C5764"/>
    <w:rsid w:val="008C579D"/>
    <w:rsid w:val="008C5DD7"/>
    <w:rsid w:val="008C6145"/>
    <w:rsid w:val="008C6208"/>
    <w:rsid w:val="008C646F"/>
    <w:rsid w:val="008C6810"/>
    <w:rsid w:val="008C6ABB"/>
    <w:rsid w:val="008C6CF9"/>
    <w:rsid w:val="008C6F3B"/>
    <w:rsid w:val="008C7085"/>
    <w:rsid w:val="008C7095"/>
    <w:rsid w:val="008C70CA"/>
    <w:rsid w:val="008C729F"/>
    <w:rsid w:val="008C7439"/>
    <w:rsid w:val="008C7444"/>
    <w:rsid w:val="008C75BF"/>
    <w:rsid w:val="008C7D59"/>
    <w:rsid w:val="008C7E00"/>
    <w:rsid w:val="008D0028"/>
    <w:rsid w:val="008D00DC"/>
    <w:rsid w:val="008D018B"/>
    <w:rsid w:val="008D0494"/>
    <w:rsid w:val="008D0685"/>
    <w:rsid w:val="008D0769"/>
    <w:rsid w:val="008D09FB"/>
    <w:rsid w:val="008D1075"/>
    <w:rsid w:val="008D1375"/>
    <w:rsid w:val="008D19C5"/>
    <w:rsid w:val="008D1F5D"/>
    <w:rsid w:val="008D22E1"/>
    <w:rsid w:val="008D2519"/>
    <w:rsid w:val="008D2A24"/>
    <w:rsid w:val="008D2B8D"/>
    <w:rsid w:val="008D2C28"/>
    <w:rsid w:val="008D2E53"/>
    <w:rsid w:val="008D3283"/>
    <w:rsid w:val="008D3534"/>
    <w:rsid w:val="008D3675"/>
    <w:rsid w:val="008D37DC"/>
    <w:rsid w:val="008D3B89"/>
    <w:rsid w:val="008D3C29"/>
    <w:rsid w:val="008D3F3F"/>
    <w:rsid w:val="008D4423"/>
    <w:rsid w:val="008D476D"/>
    <w:rsid w:val="008D4F92"/>
    <w:rsid w:val="008D50A4"/>
    <w:rsid w:val="008D526F"/>
    <w:rsid w:val="008D590E"/>
    <w:rsid w:val="008D5B59"/>
    <w:rsid w:val="008D5E6F"/>
    <w:rsid w:val="008D64ED"/>
    <w:rsid w:val="008D6BF0"/>
    <w:rsid w:val="008D7B8E"/>
    <w:rsid w:val="008D7D6D"/>
    <w:rsid w:val="008E012D"/>
    <w:rsid w:val="008E0830"/>
    <w:rsid w:val="008E0C6F"/>
    <w:rsid w:val="008E0E25"/>
    <w:rsid w:val="008E1867"/>
    <w:rsid w:val="008E1AED"/>
    <w:rsid w:val="008E1E1A"/>
    <w:rsid w:val="008E1FB6"/>
    <w:rsid w:val="008E216C"/>
    <w:rsid w:val="008E2736"/>
    <w:rsid w:val="008E2C07"/>
    <w:rsid w:val="008E3233"/>
    <w:rsid w:val="008E336B"/>
    <w:rsid w:val="008E3646"/>
    <w:rsid w:val="008E3BB8"/>
    <w:rsid w:val="008E3E19"/>
    <w:rsid w:val="008E3FC2"/>
    <w:rsid w:val="008E4801"/>
    <w:rsid w:val="008E4D04"/>
    <w:rsid w:val="008E4E3E"/>
    <w:rsid w:val="008E525C"/>
    <w:rsid w:val="008E5A8B"/>
    <w:rsid w:val="008E5BA7"/>
    <w:rsid w:val="008E60FE"/>
    <w:rsid w:val="008E6181"/>
    <w:rsid w:val="008E62EA"/>
    <w:rsid w:val="008E63E7"/>
    <w:rsid w:val="008E6587"/>
    <w:rsid w:val="008E6593"/>
    <w:rsid w:val="008E66E5"/>
    <w:rsid w:val="008E6A5B"/>
    <w:rsid w:val="008E6BCA"/>
    <w:rsid w:val="008E6D38"/>
    <w:rsid w:val="008E71E1"/>
    <w:rsid w:val="008E7C0D"/>
    <w:rsid w:val="008E7E3B"/>
    <w:rsid w:val="008F02B1"/>
    <w:rsid w:val="008F03FE"/>
    <w:rsid w:val="008F06E8"/>
    <w:rsid w:val="008F08F9"/>
    <w:rsid w:val="008F09E6"/>
    <w:rsid w:val="008F17BB"/>
    <w:rsid w:val="008F1966"/>
    <w:rsid w:val="008F1BAE"/>
    <w:rsid w:val="008F1C3F"/>
    <w:rsid w:val="008F2285"/>
    <w:rsid w:val="008F24EC"/>
    <w:rsid w:val="008F2547"/>
    <w:rsid w:val="008F286E"/>
    <w:rsid w:val="008F28CD"/>
    <w:rsid w:val="008F310F"/>
    <w:rsid w:val="008F31E4"/>
    <w:rsid w:val="008F3372"/>
    <w:rsid w:val="008F4093"/>
    <w:rsid w:val="008F41C5"/>
    <w:rsid w:val="008F4366"/>
    <w:rsid w:val="008F4466"/>
    <w:rsid w:val="008F45B9"/>
    <w:rsid w:val="008F47A2"/>
    <w:rsid w:val="008F4E13"/>
    <w:rsid w:val="008F4EFC"/>
    <w:rsid w:val="008F5167"/>
    <w:rsid w:val="008F55F3"/>
    <w:rsid w:val="008F5AC4"/>
    <w:rsid w:val="008F5D5E"/>
    <w:rsid w:val="008F5F45"/>
    <w:rsid w:val="008F6020"/>
    <w:rsid w:val="008F61F8"/>
    <w:rsid w:val="008F6C08"/>
    <w:rsid w:val="008F7475"/>
    <w:rsid w:val="008F7A9C"/>
    <w:rsid w:val="0090082B"/>
    <w:rsid w:val="009008A7"/>
    <w:rsid w:val="009008B4"/>
    <w:rsid w:val="009019C8"/>
    <w:rsid w:val="00901B0F"/>
    <w:rsid w:val="0090227C"/>
    <w:rsid w:val="0090240E"/>
    <w:rsid w:val="00902908"/>
    <w:rsid w:val="00903080"/>
    <w:rsid w:val="009034B5"/>
    <w:rsid w:val="0090367A"/>
    <w:rsid w:val="009037C5"/>
    <w:rsid w:val="0090382D"/>
    <w:rsid w:val="00903989"/>
    <w:rsid w:val="009039EF"/>
    <w:rsid w:val="00903E9B"/>
    <w:rsid w:val="0090421D"/>
    <w:rsid w:val="0090430B"/>
    <w:rsid w:val="00905299"/>
    <w:rsid w:val="009052A6"/>
    <w:rsid w:val="00905853"/>
    <w:rsid w:val="009059DE"/>
    <w:rsid w:val="00905CA3"/>
    <w:rsid w:val="0090603D"/>
    <w:rsid w:val="00906650"/>
    <w:rsid w:val="00906791"/>
    <w:rsid w:val="00907010"/>
    <w:rsid w:val="00907C0A"/>
    <w:rsid w:val="009104D3"/>
    <w:rsid w:val="009109FB"/>
    <w:rsid w:val="00910A8A"/>
    <w:rsid w:val="00910AD2"/>
    <w:rsid w:val="00910CBE"/>
    <w:rsid w:val="00910D97"/>
    <w:rsid w:val="00910E61"/>
    <w:rsid w:val="009118FC"/>
    <w:rsid w:val="009125E9"/>
    <w:rsid w:val="00912925"/>
    <w:rsid w:val="00912A3C"/>
    <w:rsid w:val="009132B1"/>
    <w:rsid w:val="00913B57"/>
    <w:rsid w:val="009145D3"/>
    <w:rsid w:val="00914B9D"/>
    <w:rsid w:val="00914D94"/>
    <w:rsid w:val="00914EB1"/>
    <w:rsid w:val="00915143"/>
    <w:rsid w:val="00915C59"/>
    <w:rsid w:val="00915CE9"/>
    <w:rsid w:val="00916A38"/>
    <w:rsid w:val="00916CC7"/>
    <w:rsid w:val="00917102"/>
    <w:rsid w:val="00917110"/>
    <w:rsid w:val="00917227"/>
    <w:rsid w:val="009172B2"/>
    <w:rsid w:val="009173D7"/>
    <w:rsid w:val="00917767"/>
    <w:rsid w:val="00917C8D"/>
    <w:rsid w:val="00917E59"/>
    <w:rsid w:val="00917E63"/>
    <w:rsid w:val="00917F97"/>
    <w:rsid w:val="009202BF"/>
    <w:rsid w:val="00920733"/>
    <w:rsid w:val="00920EEC"/>
    <w:rsid w:val="00921365"/>
    <w:rsid w:val="0092152C"/>
    <w:rsid w:val="0092184E"/>
    <w:rsid w:val="00921942"/>
    <w:rsid w:val="0092240D"/>
    <w:rsid w:val="00922D68"/>
    <w:rsid w:val="0092313F"/>
    <w:rsid w:val="009233AA"/>
    <w:rsid w:val="009233C3"/>
    <w:rsid w:val="0092393C"/>
    <w:rsid w:val="009239F3"/>
    <w:rsid w:val="00923DB7"/>
    <w:rsid w:val="00923F07"/>
    <w:rsid w:val="00923F2C"/>
    <w:rsid w:val="0092469B"/>
    <w:rsid w:val="0092476B"/>
    <w:rsid w:val="009247AB"/>
    <w:rsid w:val="0092504F"/>
    <w:rsid w:val="009260B0"/>
    <w:rsid w:val="00927530"/>
    <w:rsid w:val="00927802"/>
    <w:rsid w:val="00927D4A"/>
    <w:rsid w:val="00927DDD"/>
    <w:rsid w:val="009301C2"/>
    <w:rsid w:val="00930340"/>
    <w:rsid w:val="00930778"/>
    <w:rsid w:val="00930A1F"/>
    <w:rsid w:val="00930E5F"/>
    <w:rsid w:val="00930F25"/>
    <w:rsid w:val="0093190E"/>
    <w:rsid w:val="009320D5"/>
    <w:rsid w:val="009324E3"/>
    <w:rsid w:val="00932FAB"/>
    <w:rsid w:val="0093309C"/>
    <w:rsid w:val="00933490"/>
    <w:rsid w:val="009335FE"/>
    <w:rsid w:val="00933607"/>
    <w:rsid w:val="00933801"/>
    <w:rsid w:val="00933862"/>
    <w:rsid w:val="00933F7E"/>
    <w:rsid w:val="0093416E"/>
    <w:rsid w:val="009344E3"/>
    <w:rsid w:val="0093454B"/>
    <w:rsid w:val="00934659"/>
    <w:rsid w:val="0093496F"/>
    <w:rsid w:val="00934A24"/>
    <w:rsid w:val="0093502F"/>
    <w:rsid w:val="009350B9"/>
    <w:rsid w:val="00935433"/>
    <w:rsid w:val="009356CE"/>
    <w:rsid w:val="009357C4"/>
    <w:rsid w:val="00935DB8"/>
    <w:rsid w:val="009361C5"/>
    <w:rsid w:val="009364CC"/>
    <w:rsid w:val="009366BF"/>
    <w:rsid w:val="00936991"/>
    <w:rsid w:val="00936A9B"/>
    <w:rsid w:val="00936EE7"/>
    <w:rsid w:val="00937664"/>
    <w:rsid w:val="009379FC"/>
    <w:rsid w:val="00937E6B"/>
    <w:rsid w:val="00937EFC"/>
    <w:rsid w:val="009400DA"/>
    <w:rsid w:val="00940216"/>
    <w:rsid w:val="0094033A"/>
    <w:rsid w:val="00940357"/>
    <w:rsid w:val="00940387"/>
    <w:rsid w:val="009403E7"/>
    <w:rsid w:val="009404E4"/>
    <w:rsid w:val="00940940"/>
    <w:rsid w:val="00940A3B"/>
    <w:rsid w:val="00940D4E"/>
    <w:rsid w:val="00940DD6"/>
    <w:rsid w:val="00940FC6"/>
    <w:rsid w:val="00941239"/>
    <w:rsid w:val="00941927"/>
    <w:rsid w:val="00941A9E"/>
    <w:rsid w:val="00941B35"/>
    <w:rsid w:val="00941BFF"/>
    <w:rsid w:val="00941C0B"/>
    <w:rsid w:val="009424D8"/>
    <w:rsid w:val="00942A6E"/>
    <w:rsid w:val="009431AB"/>
    <w:rsid w:val="00943301"/>
    <w:rsid w:val="00943C83"/>
    <w:rsid w:val="0094400E"/>
    <w:rsid w:val="009445C6"/>
    <w:rsid w:val="00944A52"/>
    <w:rsid w:val="00944C03"/>
    <w:rsid w:val="00944C9D"/>
    <w:rsid w:val="00944FC1"/>
    <w:rsid w:val="009450D5"/>
    <w:rsid w:val="0094516A"/>
    <w:rsid w:val="0094594B"/>
    <w:rsid w:val="00945955"/>
    <w:rsid w:val="00945A52"/>
    <w:rsid w:val="00946268"/>
    <w:rsid w:val="00946290"/>
    <w:rsid w:val="00946A5A"/>
    <w:rsid w:val="00946DCC"/>
    <w:rsid w:val="00947039"/>
    <w:rsid w:val="00947040"/>
    <w:rsid w:val="00947640"/>
    <w:rsid w:val="00947AD1"/>
    <w:rsid w:val="00947DF9"/>
    <w:rsid w:val="00947E5B"/>
    <w:rsid w:val="00950573"/>
    <w:rsid w:val="00950BE1"/>
    <w:rsid w:val="00950C34"/>
    <w:rsid w:val="00950CBD"/>
    <w:rsid w:val="00950E5C"/>
    <w:rsid w:val="00951151"/>
    <w:rsid w:val="009512BF"/>
    <w:rsid w:val="00951561"/>
    <w:rsid w:val="00951582"/>
    <w:rsid w:val="00951846"/>
    <w:rsid w:val="00951E82"/>
    <w:rsid w:val="00952032"/>
    <w:rsid w:val="00952624"/>
    <w:rsid w:val="009526CB"/>
    <w:rsid w:val="00952709"/>
    <w:rsid w:val="00952752"/>
    <w:rsid w:val="0095284C"/>
    <w:rsid w:val="0095296A"/>
    <w:rsid w:val="00952A72"/>
    <w:rsid w:val="00952C0B"/>
    <w:rsid w:val="00952C5A"/>
    <w:rsid w:val="00952FB9"/>
    <w:rsid w:val="00953038"/>
    <w:rsid w:val="009535CD"/>
    <w:rsid w:val="00953699"/>
    <w:rsid w:val="00953A83"/>
    <w:rsid w:val="00953E4C"/>
    <w:rsid w:val="009542E0"/>
    <w:rsid w:val="009543C9"/>
    <w:rsid w:val="009547E5"/>
    <w:rsid w:val="009557A8"/>
    <w:rsid w:val="0095598E"/>
    <w:rsid w:val="009559B6"/>
    <w:rsid w:val="00955C1F"/>
    <w:rsid w:val="009563AB"/>
    <w:rsid w:val="00956492"/>
    <w:rsid w:val="009566DD"/>
    <w:rsid w:val="00956773"/>
    <w:rsid w:val="009569C2"/>
    <w:rsid w:val="00957142"/>
    <w:rsid w:val="00957E2B"/>
    <w:rsid w:val="00960900"/>
    <w:rsid w:val="009610E5"/>
    <w:rsid w:val="00961705"/>
    <w:rsid w:val="00961B1F"/>
    <w:rsid w:val="00962121"/>
    <w:rsid w:val="009621B3"/>
    <w:rsid w:val="0096250F"/>
    <w:rsid w:val="009626C6"/>
    <w:rsid w:val="0096273D"/>
    <w:rsid w:val="00962988"/>
    <w:rsid w:val="00962E77"/>
    <w:rsid w:val="00962EC6"/>
    <w:rsid w:val="009635EF"/>
    <w:rsid w:val="00963601"/>
    <w:rsid w:val="0096360F"/>
    <w:rsid w:val="00963747"/>
    <w:rsid w:val="00963A4B"/>
    <w:rsid w:val="00963BCD"/>
    <w:rsid w:val="00963CB7"/>
    <w:rsid w:val="00964055"/>
    <w:rsid w:val="009640BB"/>
    <w:rsid w:val="0096416C"/>
    <w:rsid w:val="009643C8"/>
    <w:rsid w:val="00964E45"/>
    <w:rsid w:val="0096501C"/>
    <w:rsid w:val="00966238"/>
    <w:rsid w:val="0096701D"/>
    <w:rsid w:val="0096703B"/>
    <w:rsid w:val="0096718A"/>
    <w:rsid w:val="00967A34"/>
    <w:rsid w:val="00967DCB"/>
    <w:rsid w:val="00970950"/>
    <w:rsid w:val="00970B33"/>
    <w:rsid w:val="0097140E"/>
    <w:rsid w:val="00971536"/>
    <w:rsid w:val="00971679"/>
    <w:rsid w:val="00971EB9"/>
    <w:rsid w:val="00971F5E"/>
    <w:rsid w:val="009721C8"/>
    <w:rsid w:val="00973525"/>
    <w:rsid w:val="00973C7C"/>
    <w:rsid w:val="00973D6E"/>
    <w:rsid w:val="00973FA7"/>
    <w:rsid w:val="009745B6"/>
    <w:rsid w:val="009746E2"/>
    <w:rsid w:val="00974B6C"/>
    <w:rsid w:val="00974C89"/>
    <w:rsid w:val="00975798"/>
    <w:rsid w:val="009759B0"/>
    <w:rsid w:val="00977830"/>
    <w:rsid w:val="0098193B"/>
    <w:rsid w:val="00981CA4"/>
    <w:rsid w:val="009820D4"/>
    <w:rsid w:val="00982520"/>
    <w:rsid w:val="009825D2"/>
    <w:rsid w:val="009827B4"/>
    <w:rsid w:val="009827E2"/>
    <w:rsid w:val="009828CA"/>
    <w:rsid w:val="00982B9A"/>
    <w:rsid w:val="0098311E"/>
    <w:rsid w:val="009832CF"/>
    <w:rsid w:val="009837FC"/>
    <w:rsid w:val="00983AA5"/>
    <w:rsid w:val="00984648"/>
    <w:rsid w:val="0098476D"/>
    <w:rsid w:val="009848E7"/>
    <w:rsid w:val="00984972"/>
    <w:rsid w:val="00984E0A"/>
    <w:rsid w:val="0098502E"/>
    <w:rsid w:val="009854A0"/>
    <w:rsid w:val="0098553E"/>
    <w:rsid w:val="009855A2"/>
    <w:rsid w:val="00985E36"/>
    <w:rsid w:val="009861EC"/>
    <w:rsid w:val="0098654C"/>
    <w:rsid w:val="0098682C"/>
    <w:rsid w:val="00987948"/>
    <w:rsid w:val="00987DFB"/>
    <w:rsid w:val="00987FEE"/>
    <w:rsid w:val="0099012D"/>
    <w:rsid w:val="00990A65"/>
    <w:rsid w:val="00990ABA"/>
    <w:rsid w:val="00990C27"/>
    <w:rsid w:val="00990EE5"/>
    <w:rsid w:val="00990F69"/>
    <w:rsid w:val="0099174E"/>
    <w:rsid w:val="00991903"/>
    <w:rsid w:val="00991AB6"/>
    <w:rsid w:val="00991D7A"/>
    <w:rsid w:val="00991F62"/>
    <w:rsid w:val="00992494"/>
    <w:rsid w:val="009932E0"/>
    <w:rsid w:val="00993617"/>
    <w:rsid w:val="00994720"/>
    <w:rsid w:val="009948FC"/>
    <w:rsid w:val="00994917"/>
    <w:rsid w:val="00994A59"/>
    <w:rsid w:val="00994C89"/>
    <w:rsid w:val="00995275"/>
    <w:rsid w:val="009958E2"/>
    <w:rsid w:val="00995B7E"/>
    <w:rsid w:val="00996462"/>
    <w:rsid w:val="00996561"/>
    <w:rsid w:val="0099666F"/>
    <w:rsid w:val="00996A88"/>
    <w:rsid w:val="00996B70"/>
    <w:rsid w:val="00996E2F"/>
    <w:rsid w:val="00996EA5"/>
    <w:rsid w:val="009970EB"/>
    <w:rsid w:val="00997196"/>
    <w:rsid w:val="009973A4"/>
    <w:rsid w:val="009975BD"/>
    <w:rsid w:val="0099768F"/>
    <w:rsid w:val="009976D1"/>
    <w:rsid w:val="00997993"/>
    <w:rsid w:val="00997F64"/>
    <w:rsid w:val="009A0145"/>
    <w:rsid w:val="009A0B8E"/>
    <w:rsid w:val="009A0BE4"/>
    <w:rsid w:val="009A0CD3"/>
    <w:rsid w:val="009A1281"/>
    <w:rsid w:val="009A1430"/>
    <w:rsid w:val="009A2989"/>
    <w:rsid w:val="009A3450"/>
    <w:rsid w:val="009A3457"/>
    <w:rsid w:val="009A3937"/>
    <w:rsid w:val="009A3B62"/>
    <w:rsid w:val="009A3C67"/>
    <w:rsid w:val="009A411B"/>
    <w:rsid w:val="009A426F"/>
    <w:rsid w:val="009A45AC"/>
    <w:rsid w:val="009A46B8"/>
    <w:rsid w:val="009A4F52"/>
    <w:rsid w:val="009A5293"/>
    <w:rsid w:val="009A5500"/>
    <w:rsid w:val="009A63FE"/>
    <w:rsid w:val="009A6486"/>
    <w:rsid w:val="009A6913"/>
    <w:rsid w:val="009A6A24"/>
    <w:rsid w:val="009A6BE6"/>
    <w:rsid w:val="009A70B0"/>
    <w:rsid w:val="009A738B"/>
    <w:rsid w:val="009A7677"/>
    <w:rsid w:val="009A7A6D"/>
    <w:rsid w:val="009A7BD7"/>
    <w:rsid w:val="009A7CAB"/>
    <w:rsid w:val="009B0943"/>
    <w:rsid w:val="009B0B59"/>
    <w:rsid w:val="009B1290"/>
    <w:rsid w:val="009B1492"/>
    <w:rsid w:val="009B1D37"/>
    <w:rsid w:val="009B1D3A"/>
    <w:rsid w:val="009B21A7"/>
    <w:rsid w:val="009B230D"/>
    <w:rsid w:val="009B23FC"/>
    <w:rsid w:val="009B27BF"/>
    <w:rsid w:val="009B2923"/>
    <w:rsid w:val="009B2DDC"/>
    <w:rsid w:val="009B2F6F"/>
    <w:rsid w:val="009B2F80"/>
    <w:rsid w:val="009B3448"/>
    <w:rsid w:val="009B35D0"/>
    <w:rsid w:val="009B3C3F"/>
    <w:rsid w:val="009B3C7D"/>
    <w:rsid w:val="009B3F5B"/>
    <w:rsid w:val="009B4C4F"/>
    <w:rsid w:val="009B4E0E"/>
    <w:rsid w:val="009B512E"/>
    <w:rsid w:val="009B5295"/>
    <w:rsid w:val="009B5C1C"/>
    <w:rsid w:val="009B6733"/>
    <w:rsid w:val="009B699D"/>
    <w:rsid w:val="009B6E2F"/>
    <w:rsid w:val="009B7015"/>
    <w:rsid w:val="009B72F0"/>
    <w:rsid w:val="009B77DD"/>
    <w:rsid w:val="009C0005"/>
    <w:rsid w:val="009C0121"/>
    <w:rsid w:val="009C084B"/>
    <w:rsid w:val="009C0CEC"/>
    <w:rsid w:val="009C0D30"/>
    <w:rsid w:val="009C0D71"/>
    <w:rsid w:val="009C187E"/>
    <w:rsid w:val="009C1EF2"/>
    <w:rsid w:val="009C2324"/>
    <w:rsid w:val="009C2370"/>
    <w:rsid w:val="009C28A4"/>
    <w:rsid w:val="009C2981"/>
    <w:rsid w:val="009C2E8C"/>
    <w:rsid w:val="009C33B9"/>
    <w:rsid w:val="009C34FB"/>
    <w:rsid w:val="009C35FE"/>
    <w:rsid w:val="009C3775"/>
    <w:rsid w:val="009C3857"/>
    <w:rsid w:val="009C39A0"/>
    <w:rsid w:val="009C3B91"/>
    <w:rsid w:val="009C3F45"/>
    <w:rsid w:val="009C4130"/>
    <w:rsid w:val="009C41E2"/>
    <w:rsid w:val="009C55C9"/>
    <w:rsid w:val="009C5817"/>
    <w:rsid w:val="009C5B0A"/>
    <w:rsid w:val="009C6091"/>
    <w:rsid w:val="009C6537"/>
    <w:rsid w:val="009C6E69"/>
    <w:rsid w:val="009C6EC3"/>
    <w:rsid w:val="009C72FA"/>
    <w:rsid w:val="009C7398"/>
    <w:rsid w:val="009C75B8"/>
    <w:rsid w:val="009C76DD"/>
    <w:rsid w:val="009C77E6"/>
    <w:rsid w:val="009C79F1"/>
    <w:rsid w:val="009C7BFF"/>
    <w:rsid w:val="009C7D67"/>
    <w:rsid w:val="009D02F2"/>
    <w:rsid w:val="009D04FF"/>
    <w:rsid w:val="009D1323"/>
    <w:rsid w:val="009D141C"/>
    <w:rsid w:val="009D1AAB"/>
    <w:rsid w:val="009D1B0D"/>
    <w:rsid w:val="009D233E"/>
    <w:rsid w:val="009D24A1"/>
    <w:rsid w:val="009D2528"/>
    <w:rsid w:val="009D2673"/>
    <w:rsid w:val="009D2B82"/>
    <w:rsid w:val="009D2BC2"/>
    <w:rsid w:val="009D2C8E"/>
    <w:rsid w:val="009D3357"/>
    <w:rsid w:val="009D33F5"/>
    <w:rsid w:val="009D34B3"/>
    <w:rsid w:val="009D3B5F"/>
    <w:rsid w:val="009D3EFE"/>
    <w:rsid w:val="009D434A"/>
    <w:rsid w:val="009D46A8"/>
    <w:rsid w:val="009D5007"/>
    <w:rsid w:val="009D5033"/>
    <w:rsid w:val="009D59C6"/>
    <w:rsid w:val="009D5E54"/>
    <w:rsid w:val="009D5E99"/>
    <w:rsid w:val="009D6A08"/>
    <w:rsid w:val="009D6B76"/>
    <w:rsid w:val="009D775C"/>
    <w:rsid w:val="009D7CDE"/>
    <w:rsid w:val="009D7E9B"/>
    <w:rsid w:val="009E0012"/>
    <w:rsid w:val="009E01B6"/>
    <w:rsid w:val="009E04C7"/>
    <w:rsid w:val="009E05C7"/>
    <w:rsid w:val="009E089E"/>
    <w:rsid w:val="009E0AEF"/>
    <w:rsid w:val="009E0F84"/>
    <w:rsid w:val="009E13B1"/>
    <w:rsid w:val="009E16E5"/>
    <w:rsid w:val="009E2110"/>
    <w:rsid w:val="009E29F9"/>
    <w:rsid w:val="009E2D3F"/>
    <w:rsid w:val="009E2FF3"/>
    <w:rsid w:val="009E39FE"/>
    <w:rsid w:val="009E410B"/>
    <w:rsid w:val="009E42B5"/>
    <w:rsid w:val="009E4482"/>
    <w:rsid w:val="009E4F8B"/>
    <w:rsid w:val="009E5051"/>
    <w:rsid w:val="009E582D"/>
    <w:rsid w:val="009E5A25"/>
    <w:rsid w:val="009E5DBE"/>
    <w:rsid w:val="009E5F95"/>
    <w:rsid w:val="009E639E"/>
    <w:rsid w:val="009E6788"/>
    <w:rsid w:val="009E6865"/>
    <w:rsid w:val="009E73E3"/>
    <w:rsid w:val="009E747E"/>
    <w:rsid w:val="009E79CA"/>
    <w:rsid w:val="009E7B8D"/>
    <w:rsid w:val="009E7E48"/>
    <w:rsid w:val="009F02A0"/>
    <w:rsid w:val="009F02A6"/>
    <w:rsid w:val="009F1275"/>
    <w:rsid w:val="009F15EF"/>
    <w:rsid w:val="009F169C"/>
    <w:rsid w:val="009F2458"/>
    <w:rsid w:val="009F2590"/>
    <w:rsid w:val="009F2671"/>
    <w:rsid w:val="009F272E"/>
    <w:rsid w:val="009F27B1"/>
    <w:rsid w:val="009F2C47"/>
    <w:rsid w:val="009F2D2F"/>
    <w:rsid w:val="009F3353"/>
    <w:rsid w:val="009F33AC"/>
    <w:rsid w:val="009F357F"/>
    <w:rsid w:val="009F37AB"/>
    <w:rsid w:val="009F3A59"/>
    <w:rsid w:val="009F44BF"/>
    <w:rsid w:val="009F4BBE"/>
    <w:rsid w:val="009F5C48"/>
    <w:rsid w:val="009F5FB3"/>
    <w:rsid w:val="009F663F"/>
    <w:rsid w:val="009F703E"/>
    <w:rsid w:val="009F789B"/>
    <w:rsid w:val="009F78F1"/>
    <w:rsid w:val="009F7D1F"/>
    <w:rsid w:val="009F7EA2"/>
    <w:rsid w:val="00A0007A"/>
    <w:rsid w:val="00A001C7"/>
    <w:rsid w:val="00A00831"/>
    <w:rsid w:val="00A00888"/>
    <w:rsid w:val="00A00BCB"/>
    <w:rsid w:val="00A00C03"/>
    <w:rsid w:val="00A00CCD"/>
    <w:rsid w:val="00A00F67"/>
    <w:rsid w:val="00A00FAB"/>
    <w:rsid w:val="00A0137A"/>
    <w:rsid w:val="00A0145D"/>
    <w:rsid w:val="00A0161B"/>
    <w:rsid w:val="00A016AD"/>
    <w:rsid w:val="00A01741"/>
    <w:rsid w:val="00A0177B"/>
    <w:rsid w:val="00A01B9D"/>
    <w:rsid w:val="00A01D67"/>
    <w:rsid w:val="00A01FA0"/>
    <w:rsid w:val="00A01FA7"/>
    <w:rsid w:val="00A0206D"/>
    <w:rsid w:val="00A02133"/>
    <w:rsid w:val="00A0281A"/>
    <w:rsid w:val="00A02B5B"/>
    <w:rsid w:val="00A02E44"/>
    <w:rsid w:val="00A030D3"/>
    <w:rsid w:val="00A031AA"/>
    <w:rsid w:val="00A03212"/>
    <w:rsid w:val="00A03276"/>
    <w:rsid w:val="00A0336E"/>
    <w:rsid w:val="00A03C28"/>
    <w:rsid w:val="00A043C7"/>
    <w:rsid w:val="00A04679"/>
    <w:rsid w:val="00A04DD7"/>
    <w:rsid w:val="00A04F05"/>
    <w:rsid w:val="00A05049"/>
    <w:rsid w:val="00A05086"/>
    <w:rsid w:val="00A057C3"/>
    <w:rsid w:val="00A05984"/>
    <w:rsid w:val="00A05DCC"/>
    <w:rsid w:val="00A05DD5"/>
    <w:rsid w:val="00A05E19"/>
    <w:rsid w:val="00A05EC6"/>
    <w:rsid w:val="00A0712A"/>
    <w:rsid w:val="00A07462"/>
    <w:rsid w:val="00A0748E"/>
    <w:rsid w:val="00A074AB"/>
    <w:rsid w:val="00A0750A"/>
    <w:rsid w:val="00A077C9"/>
    <w:rsid w:val="00A0783A"/>
    <w:rsid w:val="00A07899"/>
    <w:rsid w:val="00A07DCF"/>
    <w:rsid w:val="00A07F47"/>
    <w:rsid w:val="00A07FE5"/>
    <w:rsid w:val="00A101D6"/>
    <w:rsid w:val="00A10791"/>
    <w:rsid w:val="00A10EA5"/>
    <w:rsid w:val="00A10FE3"/>
    <w:rsid w:val="00A1139B"/>
    <w:rsid w:val="00A11546"/>
    <w:rsid w:val="00A117D9"/>
    <w:rsid w:val="00A11952"/>
    <w:rsid w:val="00A11E09"/>
    <w:rsid w:val="00A122BE"/>
    <w:rsid w:val="00A122D2"/>
    <w:rsid w:val="00A12328"/>
    <w:rsid w:val="00A12F49"/>
    <w:rsid w:val="00A12FC2"/>
    <w:rsid w:val="00A1315F"/>
    <w:rsid w:val="00A134A3"/>
    <w:rsid w:val="00A13714"/>
    <w:rsid w:val="00A138AB"/>
    <w:rsid w:val="00A139CD"/>
    <w:rsid w:val="00A14160"/>
    <w:rsid w:val="00A14475"/>
    <w:rsid w:val="00A14EA5"/>
    <w:rsid w:val="00A15169"/>
    <w:rsid w:val="00A15233"/>
    <w:rsid w:val="00A153CE"/>
    <w:rsid w:val="00A15654"/>
    <w:rsid w:val="00A15984"/>
    <w:rsid w:val="00A160C9"/>
    <w:rsid w:val="00A167E3"/>
    <w:rsid w:val="00A16882"/>
    <w:rsid w:val="00A16AA5"/>
    <w:rsid w:val="00A16D6B"/>
    <w:rsid w:val="00A16FAC"/>
    <w:rsid w:val="00A170CF"/>
    <w:rsid w:val="00A17FE7"/>
    <w:rsid w:val="00A2013D"/>
    <w:rsid w:val="00A2031D"/>
    <w:rsid w:val="00A20911"/>
    <w:rsid w:val="00A20C44"/>
    <w:rsid w:val="00A20D13"/>
    <w:rsid w:val="00A212AC"/>
    <w:rsid w:val="00A212D9"/>
    <w:rsid w:val="00A215AF"/>
    <w:rsid w:val="00A21682"/>
    <w:rsid w:val="00A21CD8"/>
    <w:rsid w:val="00A21ED5"/>
    <w:rsid w:val="00A227E4"/>
    <w:rsid w:val="00A22938"/>
    <w:rsid w:val="00A22F5F"/>
    <w:rsid w:val="00A238D6"/>
    <w:rsid w:val="00A239B3"/>
    <w:rsid w:val="00A23B27"/>
    <w:rsid w:val="00A24018"/>
    <w:rsid w:val="00A24D51"/>
    <w:rsid w:val="00A25395"/>
    <w:rsid w:val="00A25B8A"/>
    <w:rsid w:val="00A267F6"/>
    <w:rsid w:val="00A273F9"/>
    <w:rsid w:val="00A27F84"/>
    <w:rsid w:val="00A30069"/>
    <w:rsid w:val="00A30089"/>
    <w:rsid w:val="00A30203"/>
    <w:rsid w:val="00A30354"/>
    <w:rsid w:val="00A3082B"/>
    <w:rsid w:val="00A3191A"/>
    <w:rsid w:val="00A31920"/>
    <w:rsid w:val="00A31CCA"/>
    <w:rsid w:val="00A31ECD"/>
    <w:rsid w:val="00A3228D"/>
    <w:rsid w:val="00A32C6A"/>
    <w:rsid w:val="00A33031"/>
    <w:rsid w:val="00A3358A"/>
    <w:rsid w:val="00A33971"/>
    <w:rsid w:val="00A33A0D"/>
    <w:rsid w:val="00A33E85"/>
    <w:rsid w:val="00A33FFF"/>
    <w:rsid w:val="00A340FE"/>
    <w:rsid w:val="00A34365"/>
    <w:rsid w:val="00A34453"/>
    <w:rsid w:val="00A34489"/>
    <w:rsid w:val="00A345E2"/>
    <w:rsid w:val="00A34CBA"/>
    <w:rsid w:val="00A34E01"/>
    <w:rsid w:val="00A34E76"/>
    <w:rsid w:val="00A350C3"/>
    <w:rsid w:val="00A3547C"/>
    <w:rsid w:val="00A35527"/>
    <w:rsid w:val="00A3586C"/>
    <w:rsid w:val="00A3658D"/>
    <w:rsid w:val="00A36768"/>
    <w:rsid w:val="00A3696C"/>
    <w:rsid w:val="00A3749F"/>
    <w:rsid w:val="00A374F9"/>
    <w:rsid w:val="00A37DB2"/>
    <w:rsid w:val="00A4071D"/>
    <w:rsid w:val="00A408BA"/>
    <w:rsid w:val="00A40ED6"/>
    <w:rsid w:val="00A4120F"/>
    <w:rsid w:val="00A41872"/>
    <w:rsid w:val="00A41A9F"/>
    <w:rsid w:val="00A41B2F"/>
    <w:rsid w:val="00A41F99"/>
    <w:rsid w:val="00A42F99"/>
    <w:rsid w:val="00A43187"/>
    <w:rsid w:val="00A43211"/>
    <w:rsid w:val="00A43283"/>
    <w:rsid w:val="00A432B6"/>
    <w:rsid w:val="00A433BD"/>
    <w:rsid w:val="00A4392E"/>
    <w:rsid w:val="00A43EC9"/>
    <w:rsid w:val="00A43F0A"/>
    <w:rsid w:val="00A44046"/>
    <w:rsid w:val="00A44253"/>
    <w:rsid w:val="00A45685"/>
    <w:rsid w:val="00A4592E"/>
    <w:rsid w:val="00A45C3D"/>
    <w:rsid w:val="00A45C64"/>
    <w:rsid w:val="00A46192"/>
    <w:rsid w:val="00A4648A"/>
    <w:rsid w:val="00A46A05"/>
    <w:rsid w:val="00A46E1B"/>
    <w:rsid w:val="00A46E42"/>
    <w:rsid w:val="00A471EB"/>
    <w:rsid w:val="00A472B4"/>
    <w:rsid w:val="00A47A86"/>
    <w:rsid w:val="00A500C5"/>
    <w:rsid w:val="00A5077A"/>
    <w:rsid w:val="00A50B50"/>
    <w:rsid w:val="00A50D5B"/>
    <w:rsid w:val="00A50FF1"/>
    <w:rsid w:val="00A50FFD"/>
    <w:rsid w:val="00A51414"/>
    <w:rsid w:val="00A51DCB"/>
    <w:rsid w:val="00A51F5E"/>
    <w:rsid w:val="00A52417"/>
    <w:rsid w:val="00A5241C"/>
    <w:rsid w:val="00A5263B"/>
    <w:rsid w:val="00A527F7"/>
    <w:rsid w:val="00A52A66"/>
    <w:rsid w:val="00A52AFD"/>
    <w:rsid w:val="00A52F20"/>
    <w:rsid w:val="00A53763"/>
    <w:rsid w:val="00A53E92"/>
    <w:rsid w:val="00A53FD1"/>
    <w:rsid w:val="00A5435F"/>
    <w:rsid w:val="00A544F6"/>
    <w:rsid w:val="00A54581"/>
    <w:rsid w:val="00A54611"/>
    <w:rsid w:val="00A5484B"/>
    <w:rsid w:val="00A54C7B"/>
    <w:rsid w:val="00A551ED"/>
    <w:rsid w:val="00A555A7"/>
    <w:rsid w:val="00A55671"/>
    <w:rsid w:val="00A5630E"/>
    <w:rsid w:val="00A5664D"/>
    <w:rsid w:val="00A56B0D"/>
    <w:rsid w:val="00A56D66"/>
    <w:rsid w:val="00A56E3D"/>
    <w:rsid w:val="00A57341"/>
    <w:rsid w:val="00A57F24"/>
    <w:rsid w:val="00A600D3"/>
    <w:rsid w:val="00A6036F"/>
    <w:rsid w:val="00A60918"/>
    <w:rsid w:val="00A60B1F"/>
    <w:rsid w:val="00A60B26"/>
    <w:rsid w:val="00A61014"/>
    <w:rsid w:val="00A61083"/>
    <w:rsid w:val="00A61D3A"/>
    <w:rsid w:val="00A621DD"/>
    <w:rsid w:val="00A62EBD"/>
    <w:rsid w:val="00A63146"/>
    <w:rsid w:val="00A63298"/>
    <w:rsid w:val="00A63553"/>
    <w:rsid w:val="00A637CE"/>
    <w:rsid w:val="00A64567"/>
    <w:rsid w:val="00A646CC"/>
    <w:rsid w:val="00A65155"/>
    <w:rsid w:val="00A65586"/>
    <w:rsid w:val="00A655ED"/>
    <w:rsid w:val="00A65651"/>
    <w:rsid w:val="00A656E3"/>
    <w:rsid w:val="00A6595E"/>
    <w:rsid w:val="00A65A80"/>
    <w:rsid w:val="00A65CA5"/>
    <w:rsid w:val="00A66600"/>
    <w:rsid w:val="00A667AD"/>
    <w:rsid w:val="00A6744A"/>
    <w:rsid w:val="00A67474"/>
    <w:rsid w:val="00A67A14"/>
    <w:rsid w:val="00A67C74"/>
    <w:rsid w:val="00A67E5A"/>
    <w:rsid w:val="00A67E97"/>
    <w:rsid w:val="00A67F78"/>
    <w:rsid w:val="00A7018C"/>
    <w:rsid w:val="00A7049C"/>
    <w:rsid w:val="00A70623"/>
    <w:rsid w:val="00A70666"/>
    <w:rsid w:val="00A709E5"/>
    <w:rsid w:val="00A70E0E"/>
    <w:rsid w:val="00A70ECE"/>
    <w:rsid w:val="00A70F20"/>
    <w:rsid w:val="00A70F23"/>
    <w:rsid w:val="00A71132"/>
    <w:rsid w:val="00A7122A"/>
    <w:rsid w:val="00A7177B"/>
    <w:rsid w:val="00A71905"/>
    <w:rsid w:val="00A719CC"/>
    <w:rsid w:val="00A71A91"/>
    <w:rsid w:val="00A71D41"/>
    <w:rsid w:val="00A71D69"/>
    <w:rsid w:val="00A723DF"/>
    <w:rsid w:val="00A727B0"/>
    <w:rsid w:val="00A730A9"/>
    <w:rsid w:val="00A733FE"/>
    <w:rsid w:val="00A73B25"/>
    <w:rsid w:val="00A73B87"/>
    <w:rsid w:val="00A73EE9"/>
    <w:rsid w:val="00A747B0"/>
    <w:rsid w:val="00A74972"/>
    <w:rsid w:val="00A74AD5"/>
    <w:rsid w:val="00A74AD9"/>
    <w:rsid w:val="00A74FAF"/>
    <w:rsid w:val="00A75245"/>
    <w:rsid w:val="00A75971"/>
    <w:rsid w:val="00A75B8D"/>
    <w:rsid w:val="00A75F43"/>
    <w:rsid w:val="00A76354"/>
    <w:rsid w:val="00A766EA"/>
    <w:rsid w:val="00A76732"/>
    <w:rsid w:val="00A770AE"/>
    <w:rsid w:val="00A77135"/>
    <w:rsid w:val="00A77198"/>
    <w:rsid w:val="00A771C6"/>
    <w:rsid w:val="00A7729F"/>
    <w:rsid w:val="00A77563"/>
    <w:rsid w:val="00A777F7"/>
    <w:rsid w:val="00A80001"/>
    <w:rsid w:val="00A803DB"/>
    <w:rsid w:val="00A80487"/>
    <w:rsid w:val="00A80572"/>
    <w:rsid w:val="00A80603"/>
    <w:rsid w:val="00A80AC7"/>
    <w:rsid w:val="00A8112F"/>
    <w:rsid w:val="00A81220"/>
    <w:rsid w:val="00A818AD"/>
    <w:rsid w:val="00A819EA"/>
    <w:rsid w:val="00A81D1D"/>
    <w:rsid w:val="00A824B8"/>
    <w:rsid w:val="00A825CF"/>
    <w:rsid w:val="00A82688"/>
    <w:rsid w:val="00A82ABA"/>
    <w:rsid w:val="00A836BB"/>
    <w:rsid w:val="00A839DE"/>
    <w:rsid w:val="00A83A23"/>
    <w:rsid w:val="00A83E57"/>
    <w:rsid w:val="00A83F75"/>
    <w:rsid w:val="00A844BB"/>
    <w:rsid w:val="00A845A8"/>
    <w:rsid w:val="00A84D04"/>
    <w:rsid w:val="00A8501A"/>
    <w:rsid w:val="00A8505B"/>
    <w:rsid w:val="00A853CF"/>
    <w:rsid w:val="00A854BE"/>
    <w:rsid w:val="00A8562C"/>
    <w:rsid w:val="00A85A5E"/>
    <w:rsid w:val="00A860FD"/>
    <w:rsid w:val="00A86275"/>
    <w:rsid w:val="00A86398"/>
    <w:rsid w:val="00A86516"/>
    <w:rsid w:val="00A8711C"/>
    <w:rsid w:val="00A87A04"/>
    <w:rsid w:val="00A87C59"/>
    <w:rsid w:val="00A87C5A"/>
    <w:rsid w:val="00A90490"/>
    <w:rsid w:val="00A9052D"/>
    <w:rsid w:val="00A90C99"/>
    <w:rsid w:val="00A90D4B"/>
    <w:rsid w:val="00A9107B"/>
    <w:rsid w:val="00A9133A"/>
    <w:rsid w:val="00A91B07"/>
    <w:rsid w:val="00A91C59"/>
    <w:rsid w:val="00A91DB8"/>
    <w:rsid w:val="00A91DDA"/>
    <w:rsid w:val="00A92054"/>
    <w:rsid w:val="00A92875"/>
    <w:rsid w:val="00A928F9"/>
    <w:rsid w:val="00A92A2E"/>
    <w:rsid w:val="00A92B80"/>
    <w:rsid w:val="00A92D24"/>
    <w:rsid w:val="00A93D78"/>
    <w:rsid w:val="00A94073"/>
    <w:rsid w:val="00A944C6"/>
    <w:rsid w:val="00A94E54"/>
    <w:rsid w:val="00A94ED8"/>
    <w:rsid w:val="00A950BA"/>
    <w:rsid w:val="00A952F3"/>
    <w:rsid w:val="00A955B9"/>
    <w:rsid w:val="00A95A2F"/>
    <w:rsid w:val="00A95B92"/>
    <w:rsid w:val="00A95F9C"/>
    <w:rsid w:val="00A960BC"/>
    <w:rsid w:val="00A96F85"/>
    <w:rsid w:val="00A97A1A"/>
    <w:rsid w:val="00A97C31"/>
    <w:rsid w:val="00A97EE3"/>
    <w:rsid w:val="00AA03CB"/>
    <w:rsid w:val="00AA09E5"/>
    <w:rsid w:val="00AA0E4E"/>
    <w:rsid w:val="00AA11FB"/>
    <w:rsid w:val="00AA167B"/>
    <w:rsid w:val="00AA1862"/>
    <w:rsid w:val="00AA18D9"/>
    <w:rsid w:val="00AA1A20"/>
    <w:rsid w:val="00AA21CA"/>
    <w:rsid w:val="00AA2388"/>
    <w:rsid w:val="00AA24DC"/>
    <w:rsid w:val="00AA2654"/>
    <w:rsid w:val="00AA369E"/>
    <w:rsid w:val="00AA457B"/>
    <w:rsid w:val="00AA49C5"/>
    <w:rsid w:val="00AA4A16"/>
    <w:rsid w:val="00AA528E"/>
    <w:rsid w:val="00AA530E"/>
    <w:rsid w:val="00AA552A"/>
    <w:rsid w:val="00AA5645"/>
    <w:rsid w:val="00AA56ED"/>
    <w:rsid w:val="00AA5B41"/>
    <w:rsid w:val="00AA5F23"/>
    <w:rsid w:val="00AA65EB"/>
    <w:rsid w:val="00AA6678"/>
    <w:rsid w:val="00AA6687"/>
    <w:rsid w:val="00AA6B24"/>
    <w:rsid w:val="00AA6BF7"/>
    <w:rsid w:val="00AA6EAF"/>
    <w:rsid w:val="00AA71B0"/>
    <w:rsid w:val="00AA743A"/>
    <w:rsid w:val="00AA7485"/>
    <w:rsid w:val="00AA7580"/>
    <w:rsid w:val="00AA7E05"/>
    <w:rsid w:val="00AB0175"/>
    <w:rsid w:val="00AB04A0"/>
    <w:rsid w:val="00AB0545"/>
    <w:rsid w:val="00AB060C"/>
    <w:rsid w:val="00AB0770"/>
    <w:rsid w:val="00AB0CEC"/>
    <w:rsid w:val="00AB0F00"/>
    <w:rsid w:val="00AB109D"/>
    <w:rsid w:val="00AB113D"/>
    <w:rsid w:val="00AB13F6"/>
    <w:rsid w:val="00AB177D"/>
    <w:rsid w:val="00AB1A25"/>
    <w:rsid w:val="00AB1EC8"/>
    <w:rsid w:val="00AB1FCC"/>
    <w:rsid w:val="00AB2723"/>
    <w:rsid w:val="00AB28E0"/>
    <w:rsid w:val="00AB2C32"/>
    <w:rsid w:val="00AB2FE3"/>
    <w:rsid w:val="00AB310B"/>
    <w:rsid w:val="00AB34BA"/>
    <w:rsid w:val="00AB3637"/>
    <w:rsid w:val="00AB366D"/>
    <w:rsid w:val="00AB3B53"/>
    <w:rsid w:val="00AB3B83"/>
    <w:rsid w:val="00AB3CB9"/>
    <w:rsid w:val="00AB3F23"/>
    <w:rsid w:val="00AB46B7"/>
    <w:rsid w:val="00AB4844"/>
    <w:rsid w:val="00AB4975"/>
    <w:rsid w:val="00AB4BB0"/>
    <w:rsid w:val="00AB4C03"/>
    <w:rsid w:val="00AB4D42"/>
    <w:rsid w:val="00AB5033"/>
    <w:rsid w:val="00AB60FD"/>
    <w:rsid w:val="00AB623C"/>
    <w:rsid w:val="00AB66AE"/>
    <w:rsid w:val="00AB6715"/>
    <w:rsid w:val="00AB7581"/>
    <w:rsid w:val="00AB76C5"/>
    <w:rsid w:val="00AB76F2"/>
    <w:rsid w:val="00AB7B5B"/>
    <w:rsid w:val="00AC0293"/>
    <w:rsid w:val="00AC058E"/>
    <w:rsid w:val="00AC0A27"/>
    <w:rsid w:val="00AC0A44"/>
    <w:rsid w:val="00AC0CB9"/>
    <w:rsid w:val="00AC128C"/>
    <w:rsid w:val="00AC1295"/>
    <w:rsid w:val="00AC1A25"/>
    <w:rsid w:val="00AC200F"/>
    <w:rsid w:val="00AC28DD"/>
    <w:rsid w:val="00AC2C32"/>
    <w:rsid w:val="00AC2E08"/>
    <w:rsid w:val="00AC3142"/>
    <w:rsid w:val="00AC3753"/>
    <w:rsid w:val="00AC3A40"/>
    <w:rsid w:val="00AC4027"/>
    <w:rsid w:val="00AC457E"/>
    <w:rsid w:val="00AC4A21"/>
    <w:rsid w:val="00AC55A6"/>
    <w:rsid w:val="00AC5959"/>
    <w:rsid w:val="00AC5C2F"/>
    <w:rsid w:val="00AC5D39"/>
    <w:rsid w:val="00AC5D5C"/>
    <w:rsid w:val="00AC6471"/>
    <w:rsid w:val="00AC6991"/>
    <w:rsid w:val="00AC6A5C"/>
    <w:rsid w:val="00AC6B65"/>
    <w:rsid w:val="00AC75C3"/>
    <w:rsid w:val="00AC7739"/>
    <w:rsid w:val="00AC7826"/>
    <w:rsid w:val="00AC79E1"/>
    <w:rsid w:val="00AC7DF7"/>
    <w:rsid w:val="00AC7E37"/>
    <w:rsid w:val="00AD0224"/>
    <w:rsid w:val="00AD0378"/>
    <w:rsid w:val="00AD1DB3"/>
    <w:rsid w:val="00AD21F6"/>
    <w:rsid w:val="00AD222A"/>
    <w:rsid w:val="00AD2795"/>
    <w:rsid w:val="00AD27F0"/>
    <w:rsid w:val="00AD2D5F"/>
    <w:rsid w:val="00AD32DC"/>
    <w:rsid w:val="00AD3AE1"/>
    <w:rsid w:val="00AD3C46"/>
    <w:rsid w:val="00AD3C98"/>
    <w:rsid w:val="00AD41F5"/>
    <w:rsid w:val="00AD425F"/>
    <w:rsid w:val="00AD432C"/>
    <w:rsid w:val="00AD4CC3"/>
    <w:rsid w:val="00AD4F26"/>
    <w:rsid w:val="00AD5786"/>
    <w:rsid w:val="00AD5E93"/>
    <w:rsid w:val="00AD5FC0"/>
    <w:rsid w:val="00AD6E41"/>
    <w:rsid w:val="00AD6E7E"/>
    <w:rsid w:val="00AD71D6"/>
    <w:rsid w:val="00AD7218"/>
    <w:rsid w:val="00AD7454"/>
    <w:rsid w:val="00AD75F2"/>
    <w:rsid w:val="00AD7C42"/>
    <w:rsid w:val="00AD7D0C"/>
    <w:rsid w:val="00AE0305"/>
    <w:rsid w:val="00AE054F"/>
    <w:rsid w:val="00AE089A"/>
    <w:rsid w:val="00AE0A3B"/>
    <w:rsid w:val="00AE0E2B"/>
    <w:rsid w:val="00AE185F"/>
    <w:rsid w:val="00AE1C9C"/>
    <w:rsid w:val="00AE1E39"/>
    <w:rsid w:val="00AE1F7E"/>
    <w:rsid w:val="00AE20A9"/>
    <w:rsid w:val="00AE260B"/>
    <w:rsid w:val="00AE264D"/>
    <w:rsid w:val="00AE2B3B"/>
    <w:rsid w:val="00AE2D92"/>
    <w:rsid w:val="00AE2EB9"/>
    <w:rsid w:val="00AE3349"/>
    <w:rsid w:val="00AE378E"/>
    <w:rsid w:val="00AE37CE"/>
    <w:rsid w:val="00AE39AC"/>
    <w:rsid w:val="00AE3A30"/>
    <w:rsid w:val="00AE408E"/>
    <w:rsid w:val="00AE438F"/>
    <w:rsid w:val="00AE4586"/>
    <w:rsid w:val="00AE46E9"/>
    <w:rsid w:val="00AE475F"/>
    <w:rsid w:val="00AE4931"/>
    <w:rsid w:val="00AE493A"/>
    <w:rsid w:val="00AE4AB5"/>
    <w:rsid w:val="00AE5055"/>
    <w:rsid w:val="00AE50D8"/>
    <w:rsid w:val="00AE54BA"/>
    <w:rsid w:val="00AE5633"/>
    <w:rsid w:val="00AE72C2"/>
    <w:rsid w:val="00AE754B"/>
    <w:rsid w:val="00AE783E"/>
    <w:rsid w:val="00AF04E0"/>
    <w:rsid w:val="00AF0526"/>
    <w:rsid w:val="00AF092F"/>
    <w:rsid w:val="00AF0C91"/>
    <w:rsid w:val="00AF0D1E"/>
    <w:rsid w:val="00AF12E5"/>
    <w:rsid w:val="00AF15CE"/>
    <w:rsid w:val="00AF16E6"/>
    <w:rsid w:val="00AF1B53"/>
    <w:rsid w:val="00AF1D6E"/>
    <w:rsid w:val="00AF2201"/>
    <w:rsid w:val="00AF227D"/>
    <w:rsid w:val="00AF2344"/>
    <w:rsid w:val="00AF28E9"/>
    <w:rsid w:val="00AF2BBB"/>
    <w:rsid w:val="00AF2ECE"/>
    <w:rsid w:val="00AF2F00"/>
    <w:rsid w:val="00AF31B5"/>
    <w:rsid w:val="00AF35D5"/>
    <w:rsid w:val="00AF3801"/>
    <w:rsid w:val="00AF388B"/>
    <w:rsid w:val="00AF3F01"/>
    <w:rsid w:val="00AF41C6"/>
    <w:rsid w:val="00AF4324"/>
    <w:rsid w:val="00AF4616"/>
    <w:rsid w:val="00AF4BBA"/>
    <w:rsid w:val="00AF4C6D"/>
    <w:rsid w:val="00AF5005"/>
    <w:rsid w:val="00AF531E"/>
    <w:rsid w:val="00AF5A38"/>
    <w:rsid w:val="00AF635D"/>
    <w:rsid w:val="00AF678D"/>
    <w:rsid w:val="00AF6D99"/>
    <w:rsid w:val="00AF6E9B"/>
    <w:rsid w:val="00AF72B7"/>
    <w:rsid w:val="00AF772F"/>
    <w:rsid w:val="00AF7E26"/>
    <w:rsid w:val="00AF7F63"/>
    <w:rsid w:val="00AF7F97"/>
    <w:rsid w:val="00AF7FA7"/>
    <w:rsid w:val="00B00790"/>
    <w:rsid w:val="00B0085E"/>
    <w:rsid w:val="00B00D75"/>
    <w:rsid w:val="00B013DC"/>
    <w:rsid w:val="00B018BE"/>
    <w:rsid w:val="00B018D7"/>
    <w:rsid w:val="00B01B50"/>
    <w:rsid w:val="00B01CFD"/>
    <w:rsid w:val="00B023A9"/>
    <w:rsid w:val="00B0281D"/>
    <w:rsid w:val="00B0306F"/>
    <w:rsid w:val="00B030BD"/>
    <w:rsid w:val="00B033FD"/>
    <w:rsid w:val="00B037E2"/>
    <w:rsid w:val="00B03B99"/>
    <w:rsid w:val="00B04300"/>
    <w:rsid w:val="00B047C0"/>
    <w:rsid w:val="00B0501D"/>
    <w:rsid w:val="00B05105"/>
    <w:rsid w:val="00B052A0"/>
    <w:rsid w:val="00B055D0"/>
    <w:rsid w:val="00B05A4E"/>
    <w:rsid w:val="00B05B43"/>
    <w:rsid w:val="00B05C40"/>
    <w:rsid w:val="00B05D85"/>
    <w:rsid w:val="00B05FD6"/>
    <w:rsid w:val="00B0602D"/>
    <w:rsid w:val="00B06073"/>
    <w:rsid w:val="00B0642A"/>
    <w:rsid w:val="00B0742A"/>
    <w:rsid w:val="00B07568"/>
    <w:rsid w:val="00B076DB"/>
    <w:rsid w:val="00B07EAB"/>
    <w:rsid w:val="00B1007E"/>
    <w:rsid w:val="00B102E8"/>
    <w:rsid w:val="00B107BF"/>
    <w:rsid w:val="00B10A5F"/>
    <w:rsid w:val="00B10C35"/>
    <w:rsid w:val="00B10F32"/>
    <w:rsid w:val="00B11141"/>
    <w:rsid w:val="00B11432"/>
    <w:rsid w:val="00B117F6"/>
    <w:rsid w:val="00B119B4"/>
    <w:rsid w:val="00B11FB1"/>
    <w:rsid w:val="00B12416"/>
    <w:rsid w:val="00B12492"/>
    <w:rsid w:val="00B124FA"/>
    <w:rsid w:val="00B12BD5"/>
    <w:rsid w:val="00B12C6D"/>
    <w:rsid w:val="00B12DC0"/>
    <w:rsid w:val="00B12E9D"/>
    <w:rsid w:val="00B12FD2"/>
    <w:rsid w:val="00B13266"/>
    <w:rsid w:val="00B132A9"/>
    <w:rsid w:val="00B13B27"/>
    <w:rsid w:val="00B140AE"/>
    <w:rsid w:val="00B1489C"/>
    <w:rsid w:val="00B14CA6"/>
    <w:rsid w:val="00B15477"/>
    <w:rsid w:val="00B15E3F"/>
    <w:rsid w:val="00B16326"/>
    <w:rsid w:val="00B16331"/>
    <w:rsid w:val="00B16477"/>
    <w:rsid w:val="00B16507"/>
    <w:rsid w:val="00B165D5"/>
    <w:rsid w:val="00B16634"/>
    <w:rsid w:val="00B1685F"/>
    <w:rsid w:val="00B16977"/>
    <w:rsid w:val="00B16F86"/>
    <w:rsid w:val="00B2028C"/>
    <w:rsid w:val="00B207EE"/>
    <w:rsid w:val="00B20A46"/>
    <w:rsid w:val="00B20BE1"/>
    <w:rsid w:val="00B20C1A"/>
    <w:rsid w:val="00B212B4"/>
    <w:rsid w:val="00B21589"/>
    <w:rsid w:val="00B220B1"/>
    <w:rsid w:val="00B228A3"/>
    <w:rsid w:val="00B22E98"/>
    <w:rsid w:val="00B23283"/>
    <w:rsid w:val="00B234AE"/>
    <w:rsid w:val="00B2365E"/>
    <w:rsid w:val="00B238C1"/>
    <w:rsid w:val="00B23C20"/>
    <w:rsid w:val="00B241C0"/>
    <w:rsid w:val="00B24247"/>
    <w:rsid w:val="00B24292"/>
    <w:rsid w:val="00B243A9"/>
    <w:rsid w:val="00B24CA0"/>
    <w:rsid w:val="00B24D00"/>
    <w:rsid w:val="00B25135"/>
    <w:rsid w:val="00B251F7"/>
    <w:rsid w:val="00B25558"/>
    <w:rsid w:val="00B25D12"/>
    <w:rsid w:val="00B261EC"/>
    <w:rsid w:val="00B2620F"/>
    <w:rsid w:val="00B26FC9"/>
    <w:rsid w:val="00B27098"/>
    <w:rsid w:val="00B2709D"/>
    <w:rsid w:val="00B272AB"/>
    <w:rsid w:val="00B27A41"/>
    <w:rsid w:val="00B27BBA"/>
    <w:rsid w:val="00B27CBF"/>
    <w:rsid w:val="00B30173"/>
    <w:rsid w:val="00B30C3C"/>
    <w:rsid w:val="00B30FE9"/>
    <w:rsid w:val="00B311DD"/>
    <w:rsid w:val="00B311F4"/>
    <w:rsid w:val="00B3152E"/>
    <w:rsid w:val="00B31763"/>
    <w:rsid w:val="00B3190A"/>
    <w:rsid w:val="00B319B4"/>
    <w:rsid w:val="00B320E1"/>
    <w:rsid w:val="00B3248E"/>
    <w:rsid w:val="00B32875"/>
    <w:rsid w:val="00B3291A"/>
    <w:rsid w:val="00B335F6"/>
    <w:rsid w:val="00B34017"/>
    <w:rsid w:val="00B343CA"/>
    <w:rsid w:val="00B34DB2"/>
    <w:rsid w:val="00B34DBC"/>
    <w:rsid w:val="00B35C54"/>
    <w:rsid w:val="00B35CC9"/>
    <w:rsid w:val="00B35EB8"/>
    <w:rsid w:val="00B369F3"/>
    <w:rsid w:val="00B36ADC"/>
    <w:rsid w:val="00B36BD2"/>
    <w:rsid w:val="00B36E8C"/>
    <w:rsid w:val="00B371F9"/>
    <w:rsid w:val="00B37576"/>
    <w:rsid w:val="00B37C80"/>
    <w:rsid w:val="00B4056A"/>
    <w:rsid w:val="00B405F0"/>
    <w:rsid w:val="00B40EE1"/>
    <w:rsid w:val="00B41221"/>
    <w:rsid w:val="00B4122B"/>
    <w:rsid w:val="00B41718"/>
    <w:rsid w:val="00B417B7"/>
    <w:rsid w:val="00B419F9"/>
    <w:rsid w:val="00B41C00"/>
    <w:rsid w:val="00B41EBA"/>
    <w:rsid w:val="00B424F4"/>
    <w:rsid w:val="00B428B9"/>
    <w:rsid w:val="00B42B9D"/>
    <w:rsid w:val="00B42C0E"/>
    <w:rsid w:val="00B42CE5"/>
    <w:rsid w:val="00B42D88"/>
    <w:rsid w:val="00B432E2"/>
    <w:rsid w:val="00B43335"/>
    <w:rsid w:val="00B436DB"/>
    <w:rsid w:val="00B437A3"/>
    <w:rsid w:val="00B438A3"/>
    <w:rsid w:val="00B43D0A"/>
    <w:rsid w:val="00B44120"/>
    <w:rsid w:val="00B447BC"/>
    <w:rsid w:val="00B44C8F"/>
    <w:rsid w:val="00B44F7B"/>
    <w:rsid w:val="00B451B5"/>
    <w:rsid w:val="00B4547B"/>
    <w:rsid w:val="00B45C79"/>
    <w:rsid w:val="00B45D4E"/>
    <w:rsid w:val="00B46224"/>
    <w:rsid w:val="00B46251"/>
    <w:rsid w:val="00B469A3"/>
    <w:rsid w:val="00B46A07"/>
    <w:rsid w:val="00B46C5F"/>
    <w:rsid w:val="00B46D6D"/>
    <w:rsid w:val="00B46FD8"/>
    <w:rsid w:val="00B47248"/>
    <w:rsid w:val="00B503EE"/>
    <w:rsid w:val="00B50868"/>
    <w:rsid w:val="00B50EE0"/>
    <w:rsid w:val="00B50F35"/>
    <w:rsid w:val="00B510DD"/>
    <w:rsid w:val="00B51256"/>
    <w:rsid w:val="00B51379"/>
    <w:rsid w:val="00B5196D"/>
    <w:rsid w:val="00B51CF2"/>
    <w:rsid w:val="00B51D45"/>
    <w:rsid w:val="00B521BE"/>
    <w:rsid w:val="00B5239F"/>
    <w:rsid w:val="00B5242F"/>
    <w:rsid w:val="00B525FD"/>
    <w:rsid w:val="00B52FB2"/>
    <w:rsid w:val="00B530CE"/>
    <w:rsid w:val="00B538F3"/>
    <w:rsid w:val="00B53C59"/>
    <w:rsid w:val="00B53EBA"/>
    <w:rsid w:val="00B546D9"/>
    <w:rsid w:val="00B54B51"/>
    <w:rsid w:val="00B54F57"/>
    <w:rsid w:val="00B5515C"/>
    <w:rsid w:val="00B55664"/>
    <w:rsid w:val="00B55A06"/>
    <w:rsid w:val="00B55BEF"/>
    <w:rsid w:val="00B56AFF"/>
    <w:rsid w:val="00B56D5E"/>
    <w:rsid w:val="00B56E3C"/>
    <w:rsid w:val="00B5752F"/>
    <w:rsid w:val="00B57E79"/>
    <w:rsid w:val="00B57F3D"/>
    <w:rsid w:val="00B60195"/>
    <w:rsid w:val="00B6022F"/>
    <w:rsid w:val="00B603C1"/>
    <w:rsid w:val="00B60D3F"/>
    <w:rsid w:val="00B61B68"/>
    <w:rsid w:val="00B61ECA"/>
    <w:rsid w:val="00B621F6"/>
    <w:rsid w:val="00B6221F"/>
    <w:rsid w:val="00B623E9"/>
    <w:rsid w:val="00B62842"/>
    <w:rsid w:val="00B6377F"/>
    <w:rsid w:val="00B63E1A"/>
    <w:rsid w:val="00B643BB"/>
    <w:rsid w:val="00B6464C"/>
    <w:rsid w:val="00B64A7D"/>
    <w:rsid w:val="00B64DD9"/>
    <w:rsid w:val="00B6515C"/>
    <w:rsid w:val="00B6543C"/>
    <w:rsid w:val="00B65C30"/>
    <w:rsid w:val="00B65CA0"/>
    <w:rsid w:val="00B6604E"/>
    <w:rsid w:val="00B663EE"/>
    <w:rsid w:val="00B66989"/>
    <w:rsid w:val="00B66996"/>
    <w:rsid w:val="00B66D23"/>
    <w:rsid w:val="00B67312"/>
    <w:rsid w:val="00B673CA"/>
    <w:rsid w:val="00B677F5"/>
    <w:rsid w:val="00B67813"/>
    <w:rsid w:val="00B67A1F"/>
    <w:rsid w:val="00B67DDC"/>
    <w:rsid w:val="00B67FF7"/>
    <w:rsid w:val="00B70006"/>
    <w:rsid w:val="00B70646"/>
    <w:rsid w:val="00B71D47"/>
    <w:rsid w:val="00B71E49"/>
    <w:rsid w:val="00B72911"/>
    <w:rsid w:val="00B7291D"/>
    <w:rsid w:val="00B72999"/>
    <w:rsid w:val="00B72E9A"/>
    <w:rsid w:val="00B72EA5"/>
    <w:rsid w:val="00B72F27"/>
    <w:rsid w:val="00B73267"/>
    <w:rsid w:val="00B7390F"/>
    <w:rsid w:val="00B73FF6"/>
    <w:rsid w:val="00B74D7B"/>
    <w:rsid w:val="00B75194"/>
    <w:rsid w:val="00B752AA"/>
    <w:rsid w:val="00B7565F"/>
    <w:rsid w:val="00B756EC"/>
    <w:rsid w:val="00B757B7"/>
    <w:rsid w:val="00B75B44"/>
    <w:rsid w:val="00B75B83"/>
    <w:rsid w:val="00B75BDF"/>
    <w:rsid w:val="00B76076"/>
    <w:rsid w:val="00B76297"/>
    <w:rsid w:val="00B762FC"/>
    <w:rsid w:val="00B76895"/>
    <w:rsid w:val="00B76A9D"/>
    <w:rsid w:val="00B76CE2"/>
    <w:rsid w:val="00B77283"/>
    <w:rsid w:val="00B7766C"/>
    <w:rsid w:val="00B77752"/>
    <w:rsid w:val="00B77882"/>
    <w:rsid w:val="00B7798A"/>
    <w:rsid w:val="00B77AA0"/>
    <w:rsid w:val="00B77B50"/>
    <w:rsid w:val="00B77C54"/>
    <w:rsid w:val="00B77D17"/>
    <w:rsid w:val="00B80017"/>
    <w:rsid w:val="00B80249"/>
    <w:rsid w:val="00B802BA"/>
    <w:rsid w:val="00B80788"/>
    <w:rsid w:val="00B80938"/>
    <w:rsid w:val="00B80C38"/>
    <w:rsid w:val="00B81622"/>
    <w:rsid w:val="00B8166B"/>
    <w:rsid w:val="00B81AA0"/>
    <w:rsid w:val="00B81ABE"/>
    <w:rsid w:val="00B81D88"/>
    <w:rsid w:val="00B82252"/>
    <w:rsid w:val="00B8226D"/>
    <w:rsid w:val="00B82540"/>
    <w:rsid w:val="00B82698"/>
    <w:rsid w:val="00B827DA"/>
    <w:rsid w:val="00B83253"/>
    <w:rsid w:val="00B833EC"/>
    <w:rsid w:val="00B848A5"/>
    <w:rsid w:val="00B84A85"/>
    <w:rsid w:val="00B84BD5"/>
    <w:rsid w:val="00B85505"/>
    <w:rsid w:val="00B857CA"/>
    <w:rsid w:val="00B8610A"/>
    <w:rsid w:val="00B86477"/>
    <w:rsid w:val="00B86558"/>
    <w:rsid w:val="00B8656E"/>
    <w:rsid w:val="00B868E6"/>
    <w:rsid w:val="00B86AD1"/>
    <w:rsid w:val="00B86BBD"/>
    <w:rsid w:val="00B86C96"/>
    <w:rsid w:val="00B87046"/>
    <w:rsid w:val="00B87B45"/>
    <w:rsid w:val="00B9013B"/>
    <w:rsid w:val="00B90546"/>
    <w:rsid w:val="00B908E2"/>
    <w:rsid w:val="00B90A15"/>
    <w:rsid w:val="00B90AB3"/>
    <w:rsid w:val="00B90E0F"/>
    <w:rsid w:val="00B910A0"/>
    <w:rsid w:val="00B9127E"/>
    <w:rsid w:val="00B914B7"/>
    <w:rsid w:val="00B9171D"/>
    <w:rsid w:val="00B91914"/>
    <w:rsid w:val="00B91B6B"/>
    <w:rsid w:val="00B91FBC"/>
    <w:rsid w:val="00B922A1"/>
    <w:rsid w:val="00B922B9"/>
    <w:rsid w:val="00B924F0"/>
    <w:rsid w:val="00B925A1"/>
    <w:rsid w:val="00B9291E"/>
    <w:rsid w:val="00B92EBC"/>
    <w:rsid w:val="00B92F64"/>
    <w:rsid w:val="00B93110"/>
    <w:rsid w:val="00B931C8"/>
    <w:rsid w:val="00B9322E"/>
    <w:rsid w:val="00B93770"/>
    <w:rsid w:val="00B93A64"/>
    <w:rsid w:val="00B940DA"/>
    <w:rsid w:val="00B9426F"/>
    <w:rsid w:val="00B942D9"/>
    <w:rsid w:val="00B94A26"/>
    <w:rsid w:val="00B94ECA"/>
    <w:rsid w:val="00B95055"/>
    <w:rsid w:val="00B95C99"/>
    <w:rsid w:val="00B95E87"/>
    <w:rsid w:val="00B96A78"/>
    <w:rsid w:val="00B96F46"/>
    <w:rsid w:val="00B97BBD"/>
    <w:rsid w:val="00BA05AA"/>
    <w:rsid w:val="00BA10E4"/>
    <w:rsid w:val="00BA14F4"/>
    <w:rsid w:val="00BA1511"/>
    <w:rsid w:val="00BA1A80"/>
    <w:rsid w:val="00BA1B4C"/>
    <w:rsid w:val="00BA2772"/>
    <w:rsid w:val="00BA27A3"/>
    <w:rsid w:val="00BA31B0"/>
    <w:rsid w:val="00BA36A8"/>
    <w:rsid w:val="00BA3A7D"/>
    <w:rsid w:val="00BA42F5"/>
    <w:rsid w:val="00BA4461"/>
    <w:rsid w:val="00BA4541"/>
    <w:rsid w:val="00BA478A"/>
    <w:rsid w:val="00BA499F"/>
    <w:rsid w:val="00BA4C51"/>
    <w:rsid w:val="00BA4CA6"/>
    <w:rsid w:val="00BA4CCD"/>
    <w:rsid w:val="00BA51BF"/>
    <w:rsid w:val="00BA5F1B"/>
    <w:rsid w:val="00BA6212"/>
    <w:rsid w:val="00BA6597"/>
    <w:rsid w:val="00BA66A9"/>
    <w:rsid w:val="00BA6B38"/>
    <w:rsid w:val="00BA70FA"/>
    <w:rsid w:val="00BA749D"/>
    <w:rsid w:val="00BA7639"/>
    <w:rsid w:val="00BA7A2B"/>
    <w:rsid w:val="00BA7E82"/>
    <w:rsid w:val="00BB00F8"/>
    <w:rsid w:val="00BB0241"/>
    <w:rsid w:val="00BB040B"/>
    <w:rsid w:val="00BB0430"/>
    <w:rsid w:val="00BB087B"/>
    <w:rsid w:val="00BB0B3C"/>
    <w:rsid w:val="00BB0BA5"/>
    <w:rsid w:val="00BB12BC"/>
    <w:rsid w:val="00BB1543"/>
    <w:rsid w:val="00BB1A5C"/>
    <w:rsid w:val="00BB1BC1"/>
    <w:rsid w:val="00BB2683"/>
    <w:rsid w:val="00BB27EF"/>
    <w:rsid w:val="00BB31F4"/>
    <w:rsid w:val="00BB349C"/>
    <w:rsid w:val="00BB34CD"/>
    <w:rsid w:val="00BB3812"/>
    <w:rsid w:val="00BB394D"/>
    <w:rsid w:val="00BB3BAD"/>
    <w:rsid w:val="00BB40C6"/>
    <w:rsid w:val="00BB47FD"/>
    <w:rsid w:val="00BB493A"/>
    <w:rsid w:val="00BB496C"/>
    <w:rsid w:val="00BB4AB5"/>
    <w:rsid w:val="00BB4B7C"/>
    <w:rsid w:val="00BB4F58"/>
    <w:rsid w:val="00BB5224"/>
    <w:rsid w:val="00BB5AE5"/>
    <w:rsid w:val="00BB5C20"/>
    <w:rsid w:val="00BB5D1E"/>
    <w:rsid w:val="00BB622B"/>
    <w:rsid w:val="00BB65D4"/>
    <w:rsid w:val="00BB6B5A"/>
    <w:rsid w:val="00BB6C74"/>
    <w:rsid w:val="00BB714A"/>
    <w:rsid w:val="00BB780D"/>
    <w:rsid w:val="00BC000F"/>
    <w:rsid w:val="00BC04AA"/>
    <w:rsid w:val="00BC05D4"/>
    <w:rsid w:val="00BC0965"/>
    <w:rsid w:val="00BC0C36"/>
    <w:rsid w:val="00BC0F41"/>
    <w:rsid w:val="00BC1451"/>
    <w:rsid w:val="00BC1561"/>
    <w:rsid w:val="00BC1EBA"/>
    <w:rsid w:val="00BC1F82"/>
    <w:rsid w:val="00BC2442"/>
    <w:rsid w:val="00BC2B4F"/>
    <w:rsid w:val="00BC3408"/>
    <w:rsid w:val="00BC347C"/>
    <w:rsid w:val="00BC34B2"/>
    <w:rsid w:val="00BC37E0"/>
    <w:rsid w:val="00BC3877"/>
    <w:rsid w:val="00BC3CAE"/>
    <w:rsid w:val="00BC3CDD"/>
    <w:rsid w:val="00BC3D28"/>
    <w:rsid w:val="00BC3D40"/>
    <w:rsid w:val="00BC412E"/>
    <w:rsid w:val="00BC431E"/>
    <w:rsid w:val="00BC45F9"/>
    <w:rsid w:val="00BC48E7"/>
    <w:rsid w:val="00BC4990"/>
    <w:rsid w:val="00BC4C07"/>
    <w:rsid w:val="00BC4C30"/>
    <w:rsid w:val="00BC509A"/>
    <w:rsid w:val="00BC50E0"/>
    <w:rsid w:val="00BC5FE1"/>
    <w:rsid w:val="00BC695F"/>
    <w:rsid w:val="00BC6E96"/>
    <w:rsid w:val="00BC70FB"/>
    <w:rsid w:val="00BC72A1"/>
    <w:rsid w:val="00BC773A"/>
    <w:rsid w:val="00BC7AE7"/>
    <w:rsid w:val="00BD0CCF"/>
    <w:rsid w:val="00BD0F43"/>
    <w:rsid w:val="00BD13A6"/>
    <w:rsid w:val="00BD1518"/>
    <w:rsid w:val="00BD1765"/>
    <w:rsid w:val="00BD1929"/>
    <w:rsid w:val="00BD1AC1"/>
    <w:rsid w:val="00BD1FFB"/>
    <w:rsid w:val="00BD20CB"/>
    <w:rsid w:val="00BD2383"/>
    <w:rsid w:val="00BD2480"/>
    <w:rsid w:val="00BD29E5"/>
    <w:rsid w:val="00BD2A21"/>
    <w:rsid w:val="00BD2C6E"/>
    <w:rsid w:val="00BD322F"/>
    <w:rsid w:val="00BD3635"/>
    <w:rsid w:val="00BD3763"/>
    <w:rsid w:val="00BD3C0C"/>
    <w:rsid w:val="00BD4087"/>
    <w:rsid w:val="00BD4234"/>
    <w:rsid w:val="00BD507C"/>
    <w:rsid w:val="00BD51DA"/>
    <w:rsid w:val="00BD555B"/>
    <w:rsid w:val="00BD59FE"/>
    <w:rsid w:val="00BD5BC8"/>
    <w:rsid w:val="00BD5D46"/>
    <w:rsid w:val="00BD5E44"/>
    <w:rsid w:val="00BD60B2"/>
    <w:rsid w:val="00BD6227"/>
    <w:rsid w:val="00BD6C0C"/>
    <w:rsid w:val="00BD6FD5"/>
    <w:rsid w:val="00BD75DC"/>
    <w:rsid w:val="00BD76DD"/>
    <w:rsid w:val="00BD771A"/>
    <w:rsid w:val="00BD7D60"/>
    <w:rsid w:val="00BE092B"/>
    <w:rsid w:val="00BE1998"/>
    <w:rsid w:val="00BE2027"/>
    <w:rsid w:val="00BE252F"/>
    <w:rsid w:val="00BE2687"/>
    <w:rsid w:val="00BE2695"/>
    <w:rsid w:val="00BE28C3"/>
    <w:rsid w:val="00BE2A8E"/>
    <w:rsid w:val="00BE3080"/>
    <w:rsid w:val="00BE30D4"/>
    <w:rsid w:val="00BE3AA3"/>
    <w:rsid w:val="00BE43BD"/>
    <w:rsid w:val="00BE44B0"/>
    <w:rsid w:val="00BE45CC"/>
    <w:rsid w:val="00BE48D6"/>
    <w:rsid w:val="00BE4904"/>
    <w:rsid w:val="00BE4B60"/>
    <w:rsid w:val="00BE4D79"/>
    <w:rsid w:val="00BE4D85"/>
    <w:rsid w:val="00BE4E82"/>
    <w:rsid w:val="00BE53BC"/>
    <w:rsid w:val="00BE5505"/>
    <w:rsid w:val="00BE584B"/>
    <w:rsid w:val="00BE5B33"/>
    <w:rsid w:val="00BE5C9E"/>
    <w:rsid w:val="00BE601C"/>
    <w:rsid w:val="00BE65CB"/>
    <w:rsid w:val="00BE682C"/>
    <w:rsid w:val="00BE7323"/>
    <w:rsid w:val="00BE7548"/>
    <w:rsid w:val="00BE758F"/>
    <w:rsid w:val="00BE76C9"/>
    <w:rsid w:val="00BE7757"/>
    <w:rsid w:val="00BE7B9B"/>
    <w:rsid w:val="00BE7F04"/>
    <w:rsid w:val="00BE7F26"/>
    <w:rsid w:val="00BF04B9"/>
    <w:rsid w:val="00BF04D0"/>
    <w:rsid w:val="00BF06A8"/>
    <w:rsid w:val="00BF0CBB"/>
    <w:rsid w:val="00BF0CC8"/>
    <w:rsid w:val="00BF1072"/>
    <w:rsid w:val="00BF1920"/>
    <w:rsid w:val="00BF1B92"/>
    <w:rsid w:val="00BF1DCA"/>
    <w:rsid w:val="00BF1DFB"/>
    <w:rsid w:val="00BF1F26"/>
    <w:rsid w:val="00BF2859"/>
    <w:rsid w:val="00BF29C8"/>
    <w:rsid w:val="00BF2E98"/>
    <w:rsid w:val="00BF304D"/>
    <w:rsid w:val="00BF33BF"/>
    <w:rsid w:val="00BF4291"/>
    <w:rsid w:val="00BF459B"/>
    <w:rsid w:val="00BF45BF"/>
    <w:rsid w:val="00BF48A1"/>
    <w:rsid w:val="00BF52D0"/>
    <w:rsid w:val="00BF56EC"/>
    <w:rsid w:val="00BF5929"/>
    <w:rsid w:val="00BF5998"/>
    <w:rsid w:val="00BF5C31"/>
    <w:rsid w:val="00BF60B8"/>
    <w:rsid w:val="00BF6363"/>
    <w:rsid w:val="00BF6439"/>
    <w:rsid w:val="00BF68AE"/>
    <w:rsid w:val="00BF6E6C"/>
    <w:rsid w:val="00BF6E9B"/>
    <w:rsid w:val="00BF7165"/>
    <w:rsid w:val="00BF7420"/>
    <w:rsid w:val="00BF7819"/>
    <w:rsid w:val="00BF7D33"/>
    <w:rsid w:val="00BF7DE5"/>
    <w:rsid w:val="00C0024E"/>
    <w:rsid w:val="00C003CB"/>
    <w:rsid w:val="00C0048C"/>
    <w:rsid w:val="00C00493"/>
    <w:rsid w:val="00C005AE"/>
    <w:rsid w:val="00C0070E"/>
    <w:rsid w:val="00C00AEB"/>
    <w:rsid w:val="00C014C7"/>
    <w:rsid w:val="00C014CA"/>
    <w:rsid w:val="00C017DB"/>
    <w:rsid w:val="00C019FF"/>
    <w:rsid w:val="00C01A59"/>
    <w:rsid w:val="00C01E35"/>
    <w:rsid w:val="00C02026"/>
    <w:rsid w:val="00C02415"/>
    <w:rsid w:val="00C02488"/>
    <w:rsid w:val="00C02882"/>
    <w:rsid w:val="00C032FE"/>
    <w:rsid w:val="00C0348D"/>
    <w:rsid w:val="00C03969"/>
    <w:rsid w:val="00C0400B"/>
    <w:rsid w:val="00C043DD"/>
    <w:rsid w:val="00C04CC6"/>
    <w:rsid w:val="00C05374"/>
    <w:rsid w:val="00C05469"/>
    <w:rsid w:val="00C055CA"/>
    <w:rsid w:val="00C057EC"/>
    <w:rsid w:val="00C059DD"/>
    <w:rsid w:val="00C05A69"/>
    <w:rsid w:val="00C05B54"/>
    <w:rsid w:val="00C05C89"/>
    <w:rsid w:val="00C05DA9"/>
    <w:rsid w:val="00C06047"/>
    <w:rsid w:val="00C060B4"/>
    <w:rsid w:val="00C06311"/>
    <w:rsid w:val="00C06BF4"/>
    <w:rsid w:val="00C06DE2"/>
    <w:rsid w:val="00C06F6C"/>
    <w:rsid w:val="00C07C9D"/>
    <w:rsid w:val="00C07FC0"/>
    <w:rsid w:val="00C105F6"/>
    <w:rsid w:val="00C10B55"/>
    <w:rsid w:val="00C11135"/>
    <w:rsid w:val="00C1161B"/>
    <w:rsid w:val="00C11633"/>
    <w:rsid w:val="00C11943"/>
    <w:rsid w:val="00C12435"/>
    <w:rsid w:val="00C126A3"/>
    <w:rsid w:val="00C12704"/>
    <w:rsid w:val="00C1282B"/>
    <w:rsid w:val="00C12BA2"/>
    <w:rsid w:val="00C13169"/>
    <w:rsid w:val="00C131A0"/>
    <w:rsid w:val="00C133E9"/>
    <w:rsid w:val="00C140AA"/>
    <w:rsid w:val="00C14B2F"/>
    <w:rsid w:val="00C14C3B"/>
    <w:rsid w:val="00C14E60"/>
    <w:rsid w:val="00C14FA0"/>
    <w:rsid w:val="00C14FE6"/>
    <w:rsid w:val="00C15203"/>
    <w:rsid w:val="00C15597"/>
    <w:rsid w:val="00C155A6"/>
    <w:rsid w:val="00C15D4E"/>
    <w:rsid w:val="00C16006"/>
    <w:rsid w:val="00C16B78"/>
    <w:rsid w:val="00C16EC7"/>
    <w:rsid w:val="00C1735E"/>
    <w:rsid w:val="00C17453"/>
    <w:rsid w:val="00C17DDF"/>
    <w:rsid w:val="00C2001D"/>
    <w:rsid w:val="00C20119"/>
    <w:rsid w:val="00C20539"/>
    <w:rsid w:val="00C20644"/>
    <w:rsid w:val="00C2089C"/>
    <w:rsid w:val="00C209A7"/>
    <w:rsid w:val="00C20A4A"/>
    <w:rsid w:val="00C20BA4"/>
    <w:rsid w:val="00C20BC0"/>
    <w:rsid w:val="00C2198A"/>
    <w:rsid w:val="00C21AAD"/>
    <w:rsid w:val="00C21F2D"/>
    <w:rsid w:val="00C21F9D"/>
    <w:rsid w:val="00C2213A"/>
    <w:rsid w:val="00C22164"/>
    <w:rsid w:val="00C223DE"/>
    <w:rsid w:val="00C225D3"/>
    <w:rsid w:val="00C2262E"/>
    <w:rsid w:val="00C227F0"/>
    <w:rsid w:val="00C23062"/>
    <w:rsid w:val="00C23266"/>
    <w:rsid w:val="00C23D7A"/>
    <w:rsid w:val="00C24BF3"/>
    <w:rsid w:val="00C250C3"/>
    <w:rsid w:val="00C251B9"/>
    <w:rsid w:val="00C25300"/>
    <w:rsid w:val="00C25407"/>
    <w:rsid w:val="00C25EF8"/>
    <w:rsid w:val="00C264B6"/>
    <w:rsid w:val="00C26695"/>
    <w:rsid w:val="00C269EE"/>
    <w:rsid w:val="00C26C03"/>
    <w:rsid w:val="00C26CFB"/>
    <w:rsid w:val="00C275AA"/>
    <w:rsid w:val="00C2764E"/>
    <w:rsid w:val="00C2779D"/>
    <w:rsid w:val="00C27B0F"/>
    <w:rsid w:val="00C27DB8"/>
    <w:rsid w:val="00C30108"/>
    <w:rsid w:val="00C3014C"/>
    <w:rsid w:val="00C30222"/>
    <w:rsid w:val="00C30F04"/>
    <w:rsid w:val="00C31AA3"/>
    <w:rsid w:val="00C31ABE"/>
    <w:rsid w:val="00C31BC6"/>
    <w:rsid w:val="00C320D6"/>
    <w:rsid w:val="00C32266"/>
    <w:rsid w:val="00C325CF"/>
    <w:rsid w:val="00C325FC"/>
    <w:rsid w:val="00C326E0"/>
    <w:rsid w:val="00C32FE5"/>
    <w:rsid w:val="00C33350"/>
    <w:rsid w:val="00C33BA0"/>
    <w:rsid w:val="00C33C66"/>
    <w:rsid w:val="00C34088"/>
    <w:rsid w:val="00C340B3"/>
    <w:rsid w:val="00C347B5"/>
    <w:rsid w:val="00C34917"/>
    <w:rsid w:val="00C3493A"/>
    <w:rsid w:val="00C34CC5"/>
    <w:rsid w:val="00C355C9"/>
    <w:rsid w:val="00C35729"/>
    <w:rsid w:val="00C357AB"/>
    <w:rsid w:val="00C35B2D"/>
    <w:rsid w:val="00C35D5A"/>
    <w:rsid w:val="00C36835"/>
    <w:rsid w:val="00C36A7B"/>
    <w:rsid w:val="00C36B01"/>
    <w:rsid w:val="00C36E29"/>
    <w:rsid w:val="00C37022"/>
    <w:rsid w:val="00C377FA"/>
    <w:rsid w:val="00C37ADB"/>
    <w:rsid w:val="00C37E6E"/>
    <w:rsid w:val="00C401A7"/>
    <w:rsid w:val="00C40389"/>
    <w:rsid w:val="00C40C2F"/>
    <w:rsid w:val="00C40E42"/>
    <w:rsid w:val="00C40ECC"/>
    <w:rsid w:val="00C413DC"/>
    <w:rsid w:val="00C416F5"/>
    <w:rsid w:val="00C41721"/>
    <w:rsid w:val="00C417E5"/>
    <w:rsid w:val="00C4181F"/>
    <w:rsid w:val="00C41952"/>
    <w:rsid w:val="00C41C43"/>
    <w:rsid w:val="00C41D1F"/>
    <w:rsid w:val="00C41DCC"/>
    <w:rsid w:val="00C4245B"/>
    <w:rsid w:val="00C42A36"/>
    <w:rsid w:val="00C42CB5"/>
    <w:rsid w:val="00C432AD"/>
    <w:rsid w:val="00C4337B"/>
    <w:rsid w:val="00C4386A"/>
    <w:rsid w:val="00C43911"/>
    <w:rsid w:val="00C446F9"/>
    <w:rsid w:val="00C44EFC"/>
    <w:rsid w:val="00C46052"/>
    <w:rsid w:val="00C4641C"/>
    <w:rsid w:val="00C46A86"/>
    <w:rsid w:val="00C46CAE"/>
    <w:rsid w:val="00C46E1A"/>
    <w:rsid w:val="00C472F3"/>
    <w:rsid w:val="00C4763F"/>
    <w:rsid w:val="00C47791"/>
    <w:rsid w:val="00C500EE"/>
    <w:rsid w:val="00C50145"/>
    <w:rsid w:val="00C50571"/>
    <w:rsid w:val="00C50930"/>
    <w:rsid w:val="00C50947"/>
    <w:rsid w:val="00C50C65"/>
    <w:rsid w:val="00C50D3A"/>
    <w:rsid w:val="00C515A1"/>
    <w:rsid w:val="00C5168F"/>
    <w:rsid w:val="00C51D12"/>
    <w:rsid w:val="00C523CF"/>
    <w:rsid w:val="00C527E6"/>
    <w:rsid w:val="00C52E8E"/>
    <w:rsid w:val="00C5309C"/>
    <w:rsid w:val="00C531C6"/>
    <w:rsid w:val="00C53600"/>
    <w:rsid w:val="00C537A5"/>
    <w:rsid w:val="00C53D0B"/>
    <w:rsid w:val="00C5401B"/>
    <w:rsid w:val="00C54A28"/>
    <w:rsid w:val="00C55B41"/>
    <w:rsid w:val="00C55C83"/>
    <w:rsid w:val="00C56FEE"/>
    <w:rsid w:val="00C57069"/>
    <w:rsid w:val="00C570E2"/>
    <w:rsid w:val="00C573D2"/>
    <w:rsid w:val="00C57690"/>
    <w:rsid w:val="00C578BE"/>
    <w:rsid w:val="00C5799E"/>
    <w:rsid w:val="00C57A63"/>
    <w:rsid w:val="00C6027F"/>
    <w:rsid w:val="00C609CF"/>
    <w:rsid w:val="00C614E3"/>
    <w:rsid w:val="00C617E2"/>
    <w:rsid w:val="00C6185B"/>
    <w:rsid w:val="00C61DE7"/>
    <w:rsid w:val="00C620F5"/>
    <w:rsid w:val="00C62820"/>
    <w:rsid w:val="00C629E0"/>
    <w:rsid w:val="00C62CA8"/>
    <w:rsid w:val="00C6314F"/>
    <w:rsid w:val="00C635C7"/>
    <w:rsid w:val="00C63672"/>
    <w:rsid w:val="00C648E0"/>
    <w:rsid w:val="00C651E7"/>
    <w:rsid w:val="00C653D5"/>
    <w:rsid w:val="00C65595"/>
    <w:rsid w:val="00C65B88"/>
    <w:rsid w:val="00C65FA9"/>
    <w:rsid w:val="00C66026"/>
    <w:rsid w:val="00C6637F"/>
    <w:rsid w:val="00C66499"/>
    <w:rsid w:val="00C6662E"/>
    <w:rsid w:val="00C6790C"/>
    <w:rsid w:val="00C67AA8"/>
    <w:rsid w:val="00C67C08"/>
    <w:rsid w:val="00C67FB7"/>
    <w:rsid w:val="00C70426"/>
    <w:rsid w:val="00C70BE0"/>
    <w:rsid w:val="00C710D5"/>
    <w:rsid w:val="00C71559"/>
    <w:rsid w:val="00C71DD8"/>
    <w:rsid w:val="00C71F6C"/>
    <w:rsid w:val="00C720CC"/>
    <w:rsid w:val="00C721C3"/>
    <w:rsid w:val="00C7259F"/>
    <w:rsid w:val="00C726CD"/>
    <w:rsid w:val="00C729E5"/>
    <w:rsid w:val="00C72BAA"/>
    <w:rsid w:val="00C72DAB"/>
    <w:rsid w:val="00C7325F"/>
    <w:rsid w:val="00C73580"/>
    <w:rsid w:val="00C737EC"/>
    <w:rsid w:val="00C7438C"/>
    <w:rsid w:val="00C74B6A"/>
    <w:rsid w:val="00C74E1F"/>
    <w:rsid w:val="00C753F0"/>
    <w:rsid w:val="00C75C08"/>
    <w:rsid w:val="00C778D9"/>
    <w:rsid w:val="00C77D66"/>
    <w:rsid w:val="00C8039D"/>
    <w:rsid w:val="00C80A21"/>
    <w:rsid w:val="00C80D50"/>
    <w:rsid w:val="00C80FBC"/>
    <w:rsid w:val="00C818AA"/>
    <w:rsid w:val="00C81B76"/>
    <w:rsid w:val="00C820AF"/>
    <w:rsid w:val="00C8213C"/>
    <w:rsid w:val="00C822A8"/>
    <w:rsid w:val="00C82D1E"/>
    <w:rsid w:val="00C834C2"/>
    <w:rsid w:val="00C83852"/>
    <w:rsid w:val="00C8394B"/>
    <w:rsid w:val="00C83B7C"/>
    <w:rsid w:val="00C83DA5"/>
    <w:rsid w:val="00C83F69"/>
    <w:rsid w:val="00C84090"/>
    <w:rsid w:val="00C8461B"/>
    <w:rsid w:val="00C84F3D"/>
    <w:rsid w:val="00C85194"/>
    <w:rsid w:val="00C85706"/>
    <w:rsid w:val="00C857A0"/>
    <w:rsid w:val="00C85AF1"/>
    <w:rsid w:val="00C85D75"/>
    <w:rsid w:val="00C8621D"/>
    <w:rsid w:val="00C86713"/>
    <w:rsid w:val="00C86E85"/>
    <w:rsid w:val="00C87083"/>
    <w:rsid w:val="00C87481"/>
    <w:rsid w:val="00C87574"/>
    <w:rsid w:val="00C8760B"/>
    <w:rsid w:val="00C8761D"/>
    <w:rsid w:val="00C87CC8"/>
    <w:rsid w:val="00C90071"/>
    <w:rsid w:val="00C903C2"/>
    <w:rsid w:val="00C903D2"/>
    <w:rsid w:val="00C90484"/>
    <w:rsid w:val="00C90990"/>
    <w:rsid w:val="00C90A8B"/>
    <w:rsid w:val="00C90E9A"/>
    <w:rsid w:val="00C90F4A"/>
    <w:rsid w:val="00C91525"/>
    <w:rsid w:val="00C915C8"/>
    <w:rsid w:val="00C91745"/>
    <w:rsid w:val="00C92250"/>
    <w:rsid w:val="00C926FC"/>
    <w:rsid w:val="00C9273F"/>
    <w:rsid w:val="00C92CC1"/>
    <w:rsid w:val="00C92D6B"/>
    <w:rsid w:val="00C9326C"/>
    <w:rsid w:val="00C9339E"/>
    <w:rsid w:val="00C936A6"/>
    <w:rsid w:val="00C93A51"/>
    <w:rsid w:val="00C93AA6"/>
    <w:rsid w:val="00C93DC7"/>
    <w:rsid w:val="00C93DF2"/>
    <w:rsid w:val="00C93F8B"/>
    <w:rsid w:val="00C93FCF"/>
    <w:rsid w:val="00C940CC"/>
    <w:rsid w:val="00C94171"/>
    <w:rsid w:val="00C942D9"/>
    <w:rsid w:val="00C94309"/>
    <w:rsid w:val="00C94B48"/>
    <w:rsid w:val="00C94BB2"/>
    <w:rsid w:val="00C95280"/>
    <w:rsid w:val="00C954FA"/>
    <w:rsid w:val="00C95549"/>
    <w:rsid w:val="00C95859"/>
    <w:rsid w:val="00C95A01"/>
    <w:rsid w:val="00C95F20"/>
    <w:rsid w:val="00C95F78"/>
    <w:rsid w:val="00C96349"/>
    <w:rsid w:val="00C9641A"/>
    <w:rsid w:val="00C968DD"/>
    <w:rsid w:val="00C96938"/>
    <w:rsid w:val="00C96BAE"/>
    <w:rsid w:val="00C96EE9"/>
    <w:rsid w:val="00C974F8"/>
    <w:rsid w:val="00C976E0"/>
    <w:rsid w:val="00C97734"/>
    <w:rsid w:val="00C979D6"/>
    <w:rsid w:val="00C97E18"/>
    <w:rsid w:val="00CA001F"/>
    <w:rsid w:val="00CA0708"/>
    <w:rsid w:val="00CA1216"/>
    <w:rsid w:val="00CA128C"/>
    <w:rsid w:val="00CA1371"/>
    <w:rsid w:val="00CA191B"/>
    <w:rsid w:val="00CA1B97"/>
    <w:rsid w:val="00CA236C"/>
    <w:rsid w:val="00CA23BA"/>
    <w:rsid w:val="00CA2635"/>
    <w:rsid w:val="00CA2815"/>
    <w:rsid w:val="00CA2A3D"/>
    <w:rsid w:val="00CA2ABF"/>
    <w:rsid w:val="00CA2D34"/>
    <w:rsid w:val="00CA2E06"/>
    <w:rsid w:val="00CA2F5F"/>
    <w:rsid w:val="00CA3679"/>
    <w:rsid w:val="00CA3CFF"/>
    <w:rsid w:val="00CA4403"/>
    <w:rsid w:val="00CA4670"/>
    <w:rsid w:val="00CA48E5"/>
    <w:rsid w:val="00CA4C8E"/>
    <w:rsid w:val="00CA53AA"/>
    <w:rsid w:val="00CA5666"/>
    <w:rsid w:val="00CA5723"/>
    <w:rsid w:val="00CA57B3"/>
    <w:rsid w:val="00CA5B7B"/>
    <w:rsid w:val="00CA5C52"/>
    <w:rsid w:val="00CA5C87"/>
    <w:rsid w:val="00CA5D4F"/>
    <w:rsid w:val="00CA5ED0"/>
    <w:rsid w:val="00CA620F"/>
    <w:rsid w:val="00CA6643"/>
    <w:rsid w:val="00CA6A09"/>
    <w:rsid w:val="00CA6BB0"/>
    <w:rsid w:val="00CA7114"/>
    <w:rsid w:val="00CA71CF"/>
    <w:rsid w:val="00CA72B1"/>
    <w:rsid w:val="00CA76F4"/>
    <w:rsid w:val="00CA7931"/>
    <w:rsid w:val="00CA79DF"/>
    <w:rsid w:val="00CB0185"/>
    <w:rsid w:val="00CB0AD0"/>
    <w:rsid w:val="00CB0EFC"/>
    <w:rsid w:val="00CB1115"/>
    <w:rsid w:val="00CB1444"/>
    <w:rsid w:val="00CB1C0A"/>
    <w:rsid w:val="00CB1D97"/>
    <w:rsid w:val="00CB1F76"/>
    <w:rsid w:val="00CB267B"/>
    <w:rsid w:val="00CB2BD9"/>
    <w:rsid w:val="00CB3166"/>
    <w:rsid w:val="00CB32DE"/>
    <w:rsid w:val="00CB396B"/>
    <w:rsid w:val="00CB3C6A"/>
    <w:rsid w:val="00CB448F"/>
    <w:rsid w:val="00CB47C5"/>
    <w:rsid w:val="00CB4FAB"/>
    <w:rsid w:val="00CB54DA"/>
    <w:rsid w:val="00CB55A8"/>
    <w:rsid w:val="00CB5671"/>
    <w:rsid w:val="00CB589E"/>
    <w:rsid w:val="00CB5CFC"/>
    <w:rsid w:val="00CB5D16"/>
    <w:rsid w:val="00CB61AD"/>
    <w:rsid w:val="00CB67E9"/>
    <w:rsid w:val="00CB67F4"/>
    <w:rsid w:val="00CB684C"/>
    <w:rsid w:val="00CB6B4B"/>
    <w:rsid w:val="00CB731A"/>
    <w:rsid w:val="00CB7635"/>
    <w:rsid w:val="00CB79EE"/>
    <w:rsid w:val="00CC006D"/>
    <w:rsid w:val="00CC04F8"/>
    <w:rsid w:val="00CC09DD"/>
    <w:rsid w:val="00CC0A96"/>
    <w:rsid w:val="00CC0DA1"/>
    <w:rsid w:val="00CC0DE3"/>
    <w:rsid w:val="00CC14DE"/>
    <w:rsid w:val="00CC15F0"/>
    <w:rsid w:val="00CC16BD"/>
    <w:rsid w:val="00CC184B"/>
    <w:rsid w:val="00CC1B71"/>
    <w:rsid w:val="00CC2374"/>
    <w:rsid w:val="00CC27C1"/>
    <w:rsid w:val="00CC29E7"/>
    <w:rsid w:val="00CC2CAB"/>
    <w:rsid w:val="00CC2D3C"/>
    <w:rsid w:val="00CC2D42"/>
    <w:rsid w:val="00CC2FBD"/>
    <w:rsid w:val="00CC34D3"/>
    <w:rsid w:val="00CC34E3"/>
    <w:rsid w:val="00CC35CF"/>
    <w:rsid w:val="00CC38E3"/>
    <w:rsid w:val="00CC39FE"/>
    <w:rsid w:val="00CC3C9F"/>
    <w:rsid w:val="00CC3D0D"/>
    <w:rsid w:val="00CC4020"/>
    <w:rsid w:val="00CC41AD"/>
    <w:rsid w:val="00CC4CD3"/>
    <w:rsid w:val="00CC4D3E"/>
    <w:rsid w:val="00CC604D"/>
    <w:rsid w:val="00CC60BB"/>
    <w:rsid w:val="00CC621E"/>
    <w:rsid w:val="00CC6259"/>
    <w:rsid w:val="00CC6C4B"/>
    <w:rsid w:val="00CC6C7D"/>
    <w:rsid w:val="00CC6FD8"/>
    <w:rsid w:val="00CC7492"/>
    <w:rsid w:val="00CC7B51"/>
    <w:rsid w:val="00CD00E3"/>
    <w:rsid w:val="00CD0A78"/>
    <w:rsid w:val="00CD1177"/>
    <w:rsid w:val="00CD1A39"/>
    <w:rsid w:val="00CD1C08"/>
    <w:rsid w:val="00CD1D25"/>
    <w:rsid w:val="00CD2C54"/>
    <w:rsid w:val="00CD351C"/>
    <w:rsid w:val="00CD3A4F"/>
    <w:rsid w:val="00CD43A7"/>
    <w:rsid w:val="00CD4558"/>
    <w:rsid w:val="00CD46A8"/>
    <w:rsid w:val="00CD4CDF"/>
    <w:rsid w:val="00CD595F"/>
    <w:rsid w:val="00CD5A76"/>
    <w:rsid w:val="00CD6276"/>
    <w:rsid w:val="00CD63DC"/>
    <w:rsid w:val="00CD642B"/>
    <w:rsid w:val="00CD76F0"/>
    <w:rsid w:val="00CD795A"/>
    <w:rsid w:val="00CE00C4"/>
    <w:rsid w:val="00CE0449"/>
    <w:rsid w:val="00CE0B1C"/>
    <w:rsid w:val="00CE0CF1"/>
    <w:rsid w:val="00CE0EA0"/>
    <w:rsid w:val="00CE11E3"/>
    <w:rsid w:val="00CE15D5"/>
    <w:rsid w:val="00CE17DB"/>
    <w:rsid w:val="00CE198A"/>
    <w:rsid w:val="00CE1AC7"/>
    <w:rsid w:val="00CE1ADE"/>
    <w:rsid w:val="00CE1EBC"/>
    <w:rsid w:val="00CE24AB"/>
    <w:rsid w:val="00CE282C"/>
    <w:rsid w:val="00CE2C82"/>
    <w:rsid w:val="00CE3BC0"/>
    <w:rsid w:val="00CE4240"/>
    <w:rsid w:val="00CE462A"/>
    <w:rsid w:val="00CE48EE"/>
    <w:rsid w:val="00CE4D13"/>
    <w:rsid w:val="00CE50A6"/>
    <w:rsid w:val="00CE51A0"/>
    <w:rsid w:val="00CE53AC"/>
    <w:rsid w:val="00CE5450"/>
    <w:rsid w:val="00CE5CCC"/>
    <w:rsid w:val="00CE5DF9"/>
    <w:rsid w:val="00CE5F6B"/>
    <w:rsid w:val="00CE63B7"/>
    <w:rsid w:val="00CE6755"/>
    <w:rsid w:val="00CE6794"/>
    <w:rsid w:val="00CE6824"/>
    <w:rsid w:val="00CE6D69"/>
    <w:rsid w:val="00CE776F"/>
    <w:rsid w:val="00CE7AD7"/>
    <w:rsid w:val="00CE7B04"/>
    <w:rsid w:val="00CF02A0"/>
    <w:rsid w:val="00CF0674"/>
    <w:rsid w:val="00CF09DA"/>
    <w:rsid w:val="00CF0A22"/>
    <w:rsid w:val="00CF0D8C"/>
    <w:rsid w:val="00CF0DE5"/>
    <w:rsid w:val="00CF0E0D"/>
    <w:rsid w:val="00CF0FB2"/>
    <w:rsid w:val="00CF164D"/>
    <w:rsid w:val="00CF16B8"/>
    <w:rsid w:val="00CF174E"/>
    <w:rsid w:val="00CF1837"/>
    <w:rsid w:val="00CF1DA6"/>
    <w:rsid w:val="00CF1E07"/>
    <w:rsid w:val="00CF1E09"/>
    <w:rsid w:val="00CF2567"/>
    <w:rsid w:val="00CF2BB0"/>
    <w:rsid w:val="00CF2EF5"/>
    <w:rsid w:val="00CF2F36"/>
    <w:rsid w:val="00CF30D8"/>
    <w:rsid w:val="00CF3236"/>
    <w:rsid w:val="00CF357C"/>
    <w:rsid w:val="00CF3CBA"/>
    <w:rsid w:val="00CF3CEF"/>
    <w:rsid w:val="00CF3D85"/>
    <w:rsid w:val="00CF3EEC"/>
    <w:rsid w:val="00CF4299"/>
    <w:rsid w:val="00CF4D53"/>
    <w:rsid w:val="00CF4E96"/>
    <w:rsid w:val="00CF4ECA"/>
    <w:rsid w:val="00CF52CC"/>
    <w:rsid w:val="00CF5648"/>
    <w:rsid w:val="00CF5B6C"/>
    <w:rsid w:val="00CF5C79"/>
    <w:rsid w:val="00CF6955"/>
    <w:rsid w:val="00CF6D82"/>
    <w:rsid w:val="00CF6EB7"/>
    <w:rsid w:val="00CF72D0"/>
    <w:rsid w:val="00CF78F5"/>
    <w:rsid w:val="00CF7E13"/>
    <w:rsid w:val="00D006FC"/>
    <w:rsid w:val="00D0070F"/>
    <w:rsid w:val="00D00A3A"/>
    <w:rsid w:val="00D00B6A"/>
    <w:rsid w:val="00D01066"/>
    <w:rsid w:val="00D010F6"/>
    <w:rsid w:val="00D01423"/>
    <w:rsid w:val="00D01516"/>
    <w:rsid w:val="00D016D4"/>
    <w:rsid w:val="00D01A90"/>
    <w:rsid w:val="00D01BD3"/>
    <w:rsid w:val="00D01D04"/>
    <w:rsid w:val="00D01FAB"/>
    <w:rsid w:val="00D0288A"/>
    <w:rsid w:val="00D02A96"/>
    <w:rsid w:val="00D02BA9"/>
    <w:rsid w:val="00D02FE0"/>
    <w:rsid w:val="00D03244"/>
    <w:rsid w:val="00D0333F"/>
    <w:rsid w:val="00D03552"/>
    <w:rsid w:val="00D03B6C"/>
    <w:rsid w:val="00D04199"/>
    <w:rsid w:val="00D04220"/>
    <w:rsid w:val="00D04390"/>
    <w:rsid w:val="00D0479A"/>
    <w:rsid w:val="00D048D7"/>
    <w:rsid w:val="00D049E2"/>
    <w:rsid w:val="00D04AC9"/>
    <w:rsid w:val="00D055D6"/>
    <w:rsid w:val="00D062EE"/>
    <w:rsid w:val="00D06BAF"/>
    <w:rsid w:val="00D07339"/>
    <w:rsid w:val="00D0750F"/>
    <w:rsid w:val="00D078C6"/>
    <w:rsid w:val="00D07B7B"/>
    <w:rsid w:val="00D07ED2"/>
    <w:rsid w:val="00D1020D"/>
    <w:rsid w:val="00D10470"/>
    <w:rsid w:val="00D10552"/>
    <w:rsid w:val="00D10CED"/>
    <w:rsid w:val="00D10D2A"/>
    <w:rsid w:val="00D116D3"/>
    <w:rsid w:val="00D1189E"/>
    <w:rsid w:val="00D11CBA"/>
    <w:rsid w:val="00D11E9D"/>
    <w:rsid w:val="00D11EB8"/>
    <w:rsid w:val="00D122F5"/>
    <w:rsid w:val="00D125E5"/>
    <w:rsid w:val="00D1263F"/>
    <w:rsid w:val="00D12738"/>
    <w:rsid w:val="00D12763"/>
    <w:rsid w:val="00D12B36"/>
    <w:rsid w:val="00D140CB"/>
    <w:rsid w:val="00D14406"/>
    <w:rsid w:val="00D145A5"/>
    <w:rsid w:val="00D14C5E"/>
    <w:rsid w:val="00D150A2"/>
    <w:rsid w:val="00D155FA"/>
    <w:rsid w:val="00D1580C"/>
    <w:rsid w:val="00D15F7F"/>
    <w:rsid w:val="00D1614B"/>
    <w:rsid w:val="00D164E0"/>
    <w:rsid w:val="00D1663A"/>
    <w:rsid w:val="00D166D3"/>
    <w:rsid w:val="00D16DBB"/>
    <w:rsid w:val="00D16E74"/>
    <w:rsid w:val="00D16F41"/>
    <w:rsid w:val="00D1777E"/>
    <w:rsid w:val="00D20398"/>
    <w:rsid w:val="00D20794"/>
    <w:rsid w:val="00D21615"/>
    <w:rsid w:val="00D21830"/>
    <w:rsid w:val="00D219C5"/>
    <w:rsid w:val="00D21AAC"/>
    <w:rsid w:val="00D21CC3"/>
    <w:rsid w:val="00D21EC6"/>
    <w:rsid w:val="00D22351"/>
    <w:rsid w:val="00D22683"/>
    <w:rsid w:val="00D235B2"/>
    <w:rsid w:val="00D23C15"/>
    <w:rsid w:val="00D247DE"/>
    <w:rsid w:val="00D24AB4"/>
    <w:rsid w:val="00D24C71"/>
    <w:rsid w:val="00D24CC4"/>
    <w:rsid w:val="00D24ECA"/>
    <w:rsid w:val="00D2534E"/>
    <w:rsid w:val="00D253F0"/>
    <w:rsid w:val="00D257D4"/>
    <w:rsid w:val="00D25C16"/>
    <w:rsid w:val="00D26005"/>
    <w:rsid w:val="00D26485"/>
    <w:rsid w:val="00D26776"/>
    <w:rsid w:val="00D26954"/>
    <w:rsid w:val="00D26E8C"/>
    <w:rsid w:val="00D27236"/>
    <w:rsid w:val="00D274C5"/>
    <w:rsid w:val="00D2776E"/>
    <w:rsid w:val="00D27908"/>
    <w:rsid w:val="00D27BBB"/>
    <w:rsid w:val="00D30438"/>
    <w:rsid w:val="00D30440"/>
    <w:rsid w:val="00D30916"/>
    <w:rsid w:val="00D30AB3"/>
    <w:rsid w:val="00D31091"/>
    <w:rsid w:val="00D31592"/>
    <w:rsid w:val="00D31729"/>
    <w:rsid w:val="00D31AB0"/>
    <w:rsid w:val="00D322C5"/>
    <w:rsid w:val="00D3246C"/>
    <w:rsid w:val="00D328E1"/>
    <w:rsid w:val="00D3299B"/>
    <w:rsid w:val="00D32D40"/>
    <w:rsid w:val="00D32E23"/>
    <w:rsid w:val="00D331BE"/>
    <w:rsid w:val="00D334E6"/>
    <w:rsid w:val="00D33B6A"/>
    <w:rsid w:val="00D33DD9"/>
    <w:rsid w:val="00D346A4"/>
    <w:rsid w:val="00D34DCF"/>
    <w:rsid w:val="00D35226"/>
    <w:rsid w:val="00D35325"/>
    <w:rsid w:val="00D357B6"/>
    <w:rsid w:val="00D358E4"/>
    <w:rsid w:val="00D35BBB"/>
    <w:rsid w:val="00D35D6F"/>
    <w:rsid w:val="00D35F2A"/>
    <w:rsid w:val="00D3637F"/>
    <w:rsid w:val="00D367B5"/>
    <w:rsid w:val="00D36882"/>
    <w:rsid w:val="00D36AE1"/>
    <w:rsid w:val="00D37593"/>
    <w:rsid w:val="00D3764B"/>
    <w:rsid w:val="00D3790F"/>
    <w:rsid w:val="00D37C66"/>
    <w:rsid w:val="00D37E46"/>
    <w:rsid w:val="00D40163"/>
    <w:rsid w:val="00D4034F"/>
    <w:rsid w:val="00D40901"/>
    <w:rsid w:val="00D40F7A"/>
    <w:rsid w:val="00D413D1"/>
    <w:rsid w:val="00D4159E"/>
    <w:rsid w:val="00D416F4"/>
    <w:rsid w:val="00D41ACE"/>
    <w:rsid w:val="00D42078"/>
    <w:rsid w:val="00D422D4"/>
    <w:rsid w:val="00D424A2"/>
    <w:rsid w:val="00D42B77"/>
    <w:rsid w:val="00D42DD9"/>
    <w:rsid w:val="00D436B1"/>
    <w:rsid w:val="00D43764"/>
    <w:rsid w:val="00D437B6"/>
    <w:rsid w:val="00D437D7"/>
    <w:rsid w:val="00D44704"/>
    <w:rsid w:val="00D4483F"/>
    <w:rsid w:val="00D44AD1"/>
    <w:rsid w:val="00D44AEB"/>
    <w:rsid w:val="00D44E76"/>
    <w:rsid w:val="00D4533A"/>
    <w:rsid w:val="00D4545E"/>
    <w:rsid w:val="00D45864"/>
    <w:rsid w:val="00D45BD4"/>
    <w:rsid w:val="00D45F2A"/>
    <w:rsid w:val="00D45F45"/>
    <w:rsid w:val="00D46BF0"/>
    <w:rsid w:val="00D46EFF"/>
    <w:rsid w:val="00D47179"/>
    <w:rsid w:val="00D477B1"/>
    <w:rsid w:val="00D47CD9"/>
    <w:rsid w:val="00D50174"/>
    <w:rsid w:val="00D5096D"/>
    <w:rsid w:val="00D50F7C"/>
    <w:rsid w:val="00D511F7"/>
    <w:rsid w:val="00D5121F"/>
    <w:rsid w:val="00D51542"/>
    <w:rsid w:val="00D51791"/>
    <w:rsid w:val="00D519D2"/>
    <w:rsid w:val="00D51EB6"/>
    <w:rsid w:val="00D5206D"/>
    <w:rsid w:val="00D52091"/>
    <w:rsid w:val="00D52692"/>
    <w:rsid w:val="00D52751"/>
    <w:rsid w:val="00D5287F"/>
    <w:rsid w:val="00D536C7"/>
    <w:rsid w:val="00D53A8D"/>
    <w:rsid w:val="00D53B4E"/>
    <w:rsid w:val="00D53C12"/>
    <w:rsid w:val="00D544BF"/>
    <w:rsid w:val="00D544C7"/>
    <w:rsid w:val="00D545D3"/>
    <w:rsid w:val="00D551F7"/>
    <w:rsid w:val="00D552A4"/>
    <w:rsid w:val="00D552CB"/>
    <w:rsid w:val="00D555DE"/>
    <w:rsid w:val="00D557AC"/>
    <w:rsid w:val="00D55DA4"/>
    <w:rsid w:val="00D5641E"/>
    <w:rsid w:val="00D56BA7"/>
    <w:rsid w:val="00D56EFB"/>
    <w:rsid w:val="00D56F62"/>
    <w:rsid w:val="00D5744C"/>
    <w:rsid w:val="00D5768C"/>
    <w:rsid w:val="00D577B5"/>
    <w:rsid w:val="00D578F7"/>
    <w:rsid w:val="00D57A23"/>
    <w:rsid w:val="00D57EA6"/>
    <w:rsid w:val="00D60080"/>
    <w:rsid w:val="00D603A6"/>
    <w:rsid w:val="00D610BA"/>
    <w:rsid w:val="00D6189E"/>
    <w:rsid w:val="00D61C07"/>
    <w:rsid w:val="00D61F80"/>
    <w:rsid w:val="00D620AE"/>
    <w:rsid w:val="00D62101"/>
    <w:rsid w:val="00D627FD"/>
    <w:rsid w:val="00D629BC"/>
    <w:rsid w:val="00D62C10"/>
    <w:rsid w:val="00D62C80"/>
    <w:rsid w:val="00D63072"/>
    <w:rsid w:val="00D631E0"/>
    <w:rsid w:val="00D636AD"/>
    <w:rsid w:val="00D63A43"/>
    <w:rsid w:val="00D654AD"/>
    <w:rsid w:val="00D65563"/>
    <w:rsid w:val="00D65876"/>
    <w:rsid w:val="00D65987"/>
    <w:rsid w:val="00D6599D"/>
    <w:rsid w:val="00D65D18"/>
    <w:rsid w:val="00D666BD"/>
    <w:rsid w:val="00D6695A"/>
    <w:rsid w:val="00D669B7"/>
    <w:rsid w:val="00D66AA8"/>
    <w:rsid w:val="00D66B6D"/>
    <w:rsid w:val="00D67311"/>
    <w:rsid w:val="00D6743E"/>
    <w:rsid w:val="00D67873"/>
    <w:rsid w:val="00D70AF6"/>
    <w:rsid w:val="00D70EEC"/>
    <w:rsid w:val="00D7111B"/>
    <w:rsid w:val="00D71167"/>
    <w:rsid w:val="00D71707"/>
    <w:rsid w:val="00D71A03"/>
    <w:rsid w:val="00D71A31"/>
    <w:rsid w:val="00D71BBF"/>
    <w:rsid w:val="00D71D93"/>
    <w:rsid w:val="00D71E38"/>
    <w:rsid w:val="00D72007"/>
    <w:rsid w:val="00D7254E"/>
    <w:rsid w:val="00D72A33"/>
    <w:rsid w:val="00D72CCF"/>
    <w:rsid w:val="00D73908"/>
    <w:rsid w:val="00D74143"/>
    <w:rsid w:val="00D745E7"/>
    <w:rsid w:val="00D74D24"/>
    <w:rsid w:val="00D75004"/>
    <w:rsid w:val="00D755C0"/>
    <w:rsid w:val="00D75777"/>
    <w:rsid w:val="00D75E5A"/>
    <w:rsid w:val="00D762BE"/>
    <w:rsid w:val="00D763B7"/>
    <w:rsid w:val="00D76493"/>
    <w:rsid w:val="00D770A0"/>
    <w:rsid w:val="00D7769A"/>
    <w:rsid w:val="00D77970"/>
    <w:rsid w:val="00D77BA1"/>
    <w:rsid w:val="00D77CB0"/>
    <w:rsid w:val="00D77D5B"/>
    <w:rsid w:val="00D801C3"/>
    <w:rsid w:val="00D80505"/>
    <w:rsid w:val="00D8063B"/>
    <w:rsid w:val="00D812BA"/>
    <w:rsid w:val="00D813D0"/>
    <w:rsid w:val="00D8150B"/>
    <w:rsid w:val="00D815A0"/>
    <w:rsid w:val="00D818D0"/>
    <w:rsid w:val="00D81D36"/>
    <w:rsid w:val="00D821D8"/>
    <w:rsid w:val="00D822F7"/>
    <w:rsid w:val="00D82801"/>
    <w:rsid w:val="00D82D21"/>
    <w:rsid w:val="00D82E4A"/>
    <w:rsid w:val="00D83232"/>
    <w:rsid w:val="00D83416"/>
    <w:rsid w:val="00D83775"/>
    <w:rsid w:val="00D83C77"/>
    <w:rsid w:val="00D84341"/>
    <w:rsid w:val="00D84868"/>
    <w:rsid w:val="00D84AAE"/>
    <w:rsid w:val="00D84F4D"/>
    <w:rsid w:val="00D85250"/>
    <w:rsid w:val="00D8534F"/>
    <w:rsid w:val="00D855F7"/>
    <w:rsid w:val="00D8562C"/>
    <w:rsid w:val="00D856DD"/>
    <w:rsid w:val="00D85F56"/>
    <w:rsid w:val="00D8670B"/>
    <w:rsid w:val="00D86777"/>
    <w:rsid w:val="00D86837"/>
    <w:rsid w:val="00D870E5"/>
    <w:rsid w:val="00D870ED"/>
    <w:rsid w:val="00D873F1"/>
    <w:rsid w:val="00D87479"/>
    <w:rsid w:val="00D87533"/>
    <w:rsid w:val="00D875E6"/>
    <w:rsid w:val="00D87946"/>
    <w:rsid w:val="00D87EDA"/>
    <w:rsid w:val="00D87FC3"/>
    <w:rsid w:val="00D9029D"/>
    <w:rsid w:val="00D904AC"/>
    <w:rsid w:val="00D90526"/>
    <w:rsid w:val="00D91431"/>
    <w:rsid w:val="00D9161A"/>
    <w:rsid w:val="00D9217F"/>
    <w:rsid w:val="00D92185"/>
    <w:rsid w:val="00D92322"/>
    <w:rsid w:val="00D924A8"/>
    <w:rsid w:val="00D92635"/>
    <w:rsid w:val="00D9288D"/>
    <w:rsid w:val="00D92AC7"/>
    <w:rsid w:val="00D93026"/>
    <w:rsid w:val="00D93246"/>
    <w:rsid w:val="00D933AE"/>
    <w:rsid w:val="00D93651"/>
    <w:rsid w:val="00D939C0"/>
    <w:rsid w:val="00D93CFA"/>
    <w:rsid w:val="00D942E5"/>
    <w:rsid w:val="00D945C8"/>
    <w:rsid w:val="00D949ED"/>
    <w:rsid w:val="00D94BC3"/>
    <w:rsid w:val="00D94C0E"/>
    <w:rsid w:val="00D94F02"/>
    <w:rsid w:val="00D9528F"/>
    <w:rsid w:val="00D9567A"/>
    <w:rsid w:val="00D95884"/>
    <w:rsid w:val="00D95A2A"/>
    <w:rsid w:val="00D95D0F"/>
    <w:rsid w:val="00D95E8D"/>
    <w:rsid w:val="00D961DB"/>
    <w:rsid w:val="00D96258"/>
    <w:rsid w:val="00D96384"/>
    <w:rsid w:val="00D9649E"/>
    <w:rsid w:val="00D96657"/>
    <w:rsid w:val="00D967DC"/>
    <w:rsid w:val="00D97434"/>
    <w:rsid w:val="00D97641"/>
    <w:rsid w:val="00DA004B"/>
    <w:rsid w:val="00DA046E"/>
    <w:rsid w:val="00DA04D0"/>
    <w:rsid w:val="00DA0EFB"/>
    <w:rsid w:val="00DA0F41"/>
    <w:rsid w:val="00DA0FB8"/>
    <w:rsid w:val="00DA1582"/>
    <w:rsid w:val="00DA17B4"/>
    <w:rsid w:val="00DA21FD"/>
    <w:rsid w:val="00DA226E"/>
    <w:rsid w:val="00DA22EA"/>
    <w:rsid w:val="00DA28EC"/>
    <w:rsid w:val="00DA2AD8"/>
    <w:rsid w:val="00DA2C12"/>
    <w:rsid w:val="00DA2DD5"/>
    <w:rsid w:val="00DA3374"/>
    <w:rsid w:val="00DA38DA"/>
    <w:rsid w:val="00DA3BAA"/>
    <w:rsid w:val="00DA4156"/>
    <w:rsid w:val="00DA4340"/>
    <w:rsid w:val="00DA44C0"/>
    <w:rsid w:val="00DA47E7"/>
    <w:rsid w:val="00DA4B0D"/>
    <w:rsid w:val="00DA4C4D"/>
    <w:rsid w:val="00DA5A01"/>
    <w:rsid w:val="00DA5D9F"/>
    <w:rsid w:val="00DA61FC"/>
    <w:rsid w:val="00DA6243"/>
    <w:rsid w:val="00DA6B23"/>
    <w:rsid w:val="00DA76FF"/>
    <w:rsid w:val="00DA7831"/>
    <w:rsid w:val="00DA7860"/>
    <w:rsid w:val="00DB0057"/>
    <w:rsid w:val="00DB07ED"/>
    <w:rsid w:val="00DB0839"/>
    <w:rsid w:val="00DB08F1"/>
    <w:rsid w:val="00DB137B"/>
    <w:rsid w:val="00DB18A1"/>
    <w:rsid w:val="00DB1CFC"/>
    <w:rsid w:val="00DB2222"/>
    <w:rsid w:val="00DB2638"/>
    <w:rsid w:val="00DB2D28"/>
    <w:rsid w:val="00DB301C"/>
    <w:rsid w:val="00DB35AA"/>
    <w:rsid w:val="00DB399C"/>
    <w:rsid w:val="00DB3AB7"/>
    <w:rsid w:val="00DB4027"/>
    <w:rsid w:val="00DB410F"/>
    <w:rsid w:val="00DB44E9"/>
    <w:rsid w:val="00DB47E4"/>
    <w:rsid w:val="00DB4BB3"/>
    <w:rsid w:val="00DB4DFE"/>
    <w:rsid w:val="00DB5384"/>
    <w:rsid w:val="00DB5435"/>
    <w:rsid w:val="00DB582B"/>
    <w:rsid w:val="00DB62C6"/>
    <w:rsid w:val="00DB6329"/>
    <w:rsid w:val="00DB664F"/>
    <w:rsid w:val="00DB68C6"/>
    <w:rsid w:val="00DB69FA"/>
    <w:rsid w:val="00DB69FF"/>
    <w:rsid w:val="00DB6D06"/>
    <w:rsid w:val="00DB6D71"/>
    <w:rsid w:val="00DB712F"/>
    <w:rsid w:val="00DB7493"/>
    <w:rsid w:val="00DB75DB"/>
    <w:rsid w:val="00DB7CA0"/>
    <w:rsid w:val="00DB7D48"/>
    <w:rsid w:val="00DC01B6"/>
    <w:rsid w:val="00DC0388"/>
    <w:rsid w:val="00DC06D5"/>
    <w:rsid w:val="00DC0706"/>
    <w:rsid w:val="00DC0750"/>
    <w:rsid w:val="00DC0BB5"/>
    <w:rsid w:val="00DC0E04"/>
    <w:rsid w:val="00DC0E9F"/>
    <w:rsid w:val="00DC10B4"/>
    <w:rsid w:val="00DC10CA"/>
    <w:rsid w:val="00DC13A9"/>
    <w:rsid w:val="00DC1A91"/>
    <w:rsid w:val="00DC1D9F"/>
    <w:rsid w:val="00DC2038"/>
    <w:rsid w:val="00DC218A"/>
    <w:rsid w:val="00DC21E2"/>
    <w:rsid w:val="00DC232B"/>
    <w:rsid w:val="00DC2396"/>
    <w:rsid w:val="00DC2906"/>
    <w:rsid w:val="00DC2C1F"/>
    <w:rsid w:val="00DC3677"/>
    <w:rsid w:val="00DC3AFF"/>
    <w:rsid w:val="00DC3B08"/>
    <w:rsid w:val="00DC3D24"/>
    <w:rsid w:val="00DC40BD"/>
    <w:rsid w:val="00DC44EF"/>
    <w:rsid w:val="00DC4808"/>
    <w:rsid w:val="00DC4C1C"/>
    <w:rsid w:val="00DC4D74"/>
    <w:rsid w:val="00DC510A"/>
    <w:rsid w:val="00DC52E4"/>
    <w:rsid w:val="00DC5CCB"/>
    <w:rsid w:val="00DC62AF"/>
    <w:rsid w:val="00DC637E"/>
    <w:rsid w:val="00DC686F"/>
    <w:rsid w:val="00DC70CE"/>
    <w:rsid w:val="00DC7ACD"/>
    <w:rsid w:val="00DC7C8A"/>
    <w:rsid w:val="00DD0034"/>
    <w:rsid w:val="00DD008B"/>
    <w:rsid w:val="00DD0271"/>
    <w:rsid w:val="00DD046D"/>
    <w:rsid w:val="00DD0891"/>
    <w:rsid w:val="00DD08DE"/>
    <w:rsid w:val="00DD0EAE"/>
    <w:rsid w:val="00DD1290"/>
    <w:rsid w:val="00DD1451"/>
    <w:rsid w:val="00DD17B0"/>
    <w:rsid w:val="00DD2175"/>
    <w:rsid w:val="00DD223A"/>
    <w:rsid w:val="00DD2763"/>
    <w:rsid w:val="00DD2E0F"/>
    <w:rsid w:val="00DD3004"/>
    <w:rsid w:val="00DD3407"/>
    <w:rsid w:val="00DD343C"/>
    <w:rsid w:val="00DD35A6"/>
    <w:rsid w:val="00DD3655"/>
    <w:rsid w:val="00DD3F35"/>
    <w:rsid w:val="00DD40A7"/>
    <w:rsid w:val="00DD40B2"/>
    <w:rsid w:val="00DD43BB"/>
    <w:rsid w:val="00DD45E4"/>
    <w:rsid w:val="00DD4853"/>
    <w:rsid w:val="00DD49E6"/>
    <w:rsid w:val="00DD4AAB"/>
    <w:rsid w:val="00DD4DAD"/>
    <w:rsid w:val="00DD50F8"/>
    <w:rsid w:val="00DD5159"/>
    <w:rsid w:val="00DD520E"/>
    <w:rsid w:val="00DD538A"/>
    <w:rsid w:val="00DD53C6"/>
    <w:rsid w:val="00DD5717"/>
    <w:rsid w:val="00DD572B"/>
    <w:rsid w:val="00DD5F32"/>
    <w:rsid w:val="00DD5F65"/>
    <w:rsid w:val="00DD6E1A"/>
    <w:rsid w:val="00DD6EBC"/>
    <w:rsid w:val="00DD7BE6"/>
    <w:rsid w:val="00DE0AD1"/>
    <w:rsid w:val="00DE0B97"/>
    <w:rsid w:val="00DE0D7B"/>
    <w:rsid w:val="00DE104D"/>
    <w:rsid w:val="00DE120A"/>
    <w:rsid w:val="00DE1337"/>
    <w:rsid w:val="00DE1461"/>
    <w:rsid w:val="00DE162B"/>
    <w:rsid w:val="00DE1730"/>
    <w:rsid w:val="00DE183F"/>
    <w:rsid w:val="00DE1DF5"/>
    <w:rsid w:val="00DE1F90"/>
    <w:rsid w:val="00DE21D9"/>
    <w:rsid w:val="00DE231C"/>
    <w:rsid w:val="00DE274C"/>
    <w:rsid w:val="00DE2CA2"/>
    <w:rsid w:val="00DE3095"/>
    <w:rsid w:val="00DE3705"/>
    <w:rsid w:val="00DE3E43"/>
    <w:rsid w:val="00DE3ECE"/>
    <w:rsid w:val="00DE40EE"/>
    <w:rsid w:val="00DE4703"/>
    <w:rsid w:val="00DE53F4"/>
    <w:rsid w:val="00DE56BD"/>
    <w:rsid w:val="00DE57B9"/>
    <w:rsid w:val="00DE57CD"/>
    <w:rsid w:val="00DE6205"/>
    <w:rsid w:val="00DE630B"/>
    <w:rsid w:val="00DE6564"/>
    <w:rsid w:val="00DE67DA"/>
    <w:rsid w:val="00DE6A82"/>
    <w:rsid w:val="00DE6D80"/>
    <w:rsid w:val="00DE732E"/>
    <w:rsid w:val="00DE7456"/>
    <w:rsid w:val="00DE7755"/>
    <w:rsid w:val="00DE781B"/>
    <w:rsid w:val="00DF0057"/>
    <w:rsid w:val="00DF07D2"/>
    <w:rsid w:val="00DF0B8A"/>
    <w:rsid w:val="00DF0BAC"/>
    <w:rsid w:val="00DF0C14"/>
    <w:rsid w:val="00DF1584"/>
    <w:rsid w:val="00DF1686"/>
    <w:rsid w:val="00DF194B"/>
    <w:rsid w:val="00DF1B25"/>
    <w:rsid w:val="00DF1E20"/>
    <w:rsid w:val="00DF2065"/>
    <w:rsid w:val="00DF207B"/>
    <w:rsid w:val="00DF234D"/>
    <w:rsid w:val="00DF279C"/>
    <w:rsid w:val="00DF338B"/>
    <w:rsid w:val="00DF339A"/>
    <w:rsid w:val="00DF3571"/>
    <w:rsid w:val="00DF3E90"/>
    <w:rsid w:val="00DF4060"/>
    <w:rsid w:val="00DF434B"/>
    <w:rsid w:val="00DF4951"/>
    <w:rsid w:val="00DF49C1"/>
    <w:rsid w:val="00DF4D9F"/>
    <w:rsid w:val="00DF5054"/>
    <w:rsid w:val="00DF53DC"/>
    <w:rsid w:val="00DF5A5A"/>
    <w:rsid w:val="00DF5EEE"/>
    <w:rsid w:val="00DF5F3E"/>
    <w:rsid w:val="00DF5F6B"/>
    <w:rsid w:val="00DF5FFD"/>
    <w:rsid w:val="00DF617E"/>
    <w:rsid w:val="00DF647A"/>
    <w:rsid w:val="00DF649B"/>
    <w:rsid w:val="00DF64BA"/>
    <w:rsid w:val="00DF666F"/>
    <w:rsid w:val="00DF669A"/>
    <w:rsid w:val="00DF6E0C"/>
    <w:rsid w:val="00DF72A9"/>
    <w:rsid w:val="00DF76E8"/>
    <w:rsid w:val="00DF7951"/>
    <w:rsid w:val="00DF7BBA"/>
    <w:rsid w:val="00E002D8"/>
    <w:rsid w:val="00E00FED"/>
    <w:rsid w:val="00E01135"/>
    <w:rsid w:val="00E01177"/>
    <w:rsid w:val="00E01483"/>
    <w:rsid w:val="00E01798"/>
    <w:rsid w:val="00E01E05"/>
    <w:rsid w:val="00E025EB"/>
    <w:rsid w:val="00E02AF1"/>
    <w:rsid w:val="00E03890"/>
    <w:rsid w:val="00E03969"/>
    <w:rsid w:val="00E03986"/>
    <w:rsid w:val="00E03B8D"/>
    <w:rsid w:val="00E0450D"/>
    <w:rsid w:val="00E047C5"/>
    <w:rsid w:val="00E0490E"/>
    <w:rsid w:val="00E049AD"/>
    <w:rsid w:val="00E0527F"/>
    <w:rsid w:val="00E0554B"/>
    <w:rsid w:val="00E05971"/>
    <w:rsid w:val="00E05CC6"/>
    <w:rsid w:val="00E05EDB"/>
    <w:rsid w:val="00E05FFD"/>
    <w:rsid w:val="00E06170"/>
    <w:rsid w:val="00E06989"/>
    <w:rsid w:val="00E06C41"/>
    <w:rsid w:val="00E0729D"/>
    <w:rsid w:val="00E07996"/>
    <w:rsid w:val="00E07DD4"/>
    <w:rsid w:val="00E07E7A"/>
    <w:rsid w:val="00E101CF"/>
    <w:rsid w:val="00E102B9"/>
    <w:rsid w:val="00E10AAF"/>
    <w:rsid w:val="00E10DFB"/>
    <w:rsid w:val="00E1117E"/>
    <w:rsid w:val="00E114F6"/>
    <w:rsid w:val="00E11C24"/>
    <w:rsid w:val="00E1236D"/>
    <w:rsid w:val="00E124E4"/>
    <w:rsid w:val="00E128F0"/>
    <w:rsid w:val="00E12B1D"/>
    <w:rsid w:val="00E12DFA"/>
    <w:rsid w:val="00E12F6E"/>
    <w:rsid w:val="00E133AB"/>
    <w:rsid w:val="00E1350E"/>
    <w:rsid w:val="00E1374B"/>
    <w:rsid w:val="00E138E5"/>
    <w:rsid w:val="00E14291"/>
    <w:rsid w:val="00E149C8"/>
    <w:rsid w:val="00E14B6A"/>
    <w:rsid w:val="00E14BED"/>
    <w:rsid w:val="00E1500C"/>
    <w:rsid w:val="00E15153"/>
    <w:rsid w:val="00E151DE"/>
    <w:rsid w:val="00E1561A"/>
    <w:rsid w:val="00E15ED3"/>
    <w:rsid w:val="00E15F1F"/>
    <w:rsid w:val="00E16220"/>
    <w:rsid w:val="00E16BB0"/>
    <w:rsid w:val="00E16D2D"/>
    <w:rsid w:val="00E17181"/>
    <w:rsid w:val="00E1732C"/>
    <w:rsid w:val="00E173EE"/>
    <w:rsid w:val="00E1746D"/>
    <w:rsid w:val="00E17B75"/>
    <w:rsid w:val="00E17DC3"/>
    <w:rsid w:val="00E20295"/>
    <w:rsid w:val="00E2082A"/>
    <w:rsid w:val="00E2097B"/>
    <w:rsid w:val="00E20A15"/>
    <w:rsid w:val="00E20B1D"/>
    <w:rsid w:val="00E20F59"/>
    <w:rsid w:val="00E21166"/>
    <w:rsid w:val="00E21758"/>
    <w:rsid w:val="00E21759"/>
    <w:rsid w:val="00E217B0"/>
    <w:rsid w:val="00E21882"/>
    <w:rsid w:val="00E2188F"/>
    <w:rsid w:val="00E218C3"/>
    <w:rsid w:val="00E218E1"/>
    <w:rsid w:val="00E21EB3"/>
    <w:rsid w:val="00E22280"/>
    <w:rsid w:val="00E22418"/>
    <w:rsid w:val="00E22C05"/>
    <w:rsid w:val="00E24190"/>
    <w:rsid w:val="00E2432D"/>
    <w:rsid w:val="00E243F2"/>
    <w:rsid w:val="00E250B0"/>
    <w:rsid w:val="00E255C4"/>
    <w:rsid w:val="00E25740"/>
    <w:rsid w:val="00E2593E"/>
    <w:rsid w:val="00E259B0"/>
    <w:rsid w:val="00E25FDF"/>
    <w:rsid w:val="00E26E40"/>
    <w:rsid w:val="00E26E73"/>
    <w:rsid w:val="00E2738B"/>
    <w:rsid w:val="00E27448"/>
    <w:rsid w:val="00E277EC"/>
    <w:rsid w:val="00E278C0"/>
    <w:rsid w:val="00E278DD"/>
    <w:rsid w:val="00E27AC9"/>
    <w:rsid w:val="00E3060E"/>
    <w:rsid w:val="00E3096C"/>
    <w:rsid w:val="00E30BA7"/>
    <w:rsid w:val="00E31049"/>
    <w:rsid w:val="00E3104C"/>
    <w:rsid w:val="00E3105D"/>
    <w:rsid w:val="00E31330"/>
    <w:rsid w:val="00E32095"/>
    <w:rsid w:val="00E32149"/>
    <w:rsid w:val="00E321C2"/>
    <w:rsid w:val="00E321DC"/>
    <w:rsid w:val="00E32565"/>
    <w:rsid w:val="00E32D2C"/>
    <w:rsid w:val="00E3314E"/>
    <w:rsid w:val="00E331C0"/>
    <w:rsid w:val="00E3389A"/>
    <w:rsid w:val="00E33D0A"/>
    <w:rsid w:val="00E33D2F"/>
    <w:rsid w:val="00E33E42"/>
    <w:rsid w:val="00E34830"/>
    <w:rsid w:val="00E348F5"/>
    <w:rsid w:val="00E3516D"/>
    <w:rsid w:val="00E351A9"/>
    <w:rsid w:val="00E357E6"/>
    <w:rsid w:val="00E35E02"/>
    <w:rsid w:val="00E35ECE"/>
    <w:rsid w:val="00E3600A"/>
    <w:rsid w:val="00E361B0"/>
    <w:rsid w:val="00E361C4"/>
    <w:rsid w:val="00E3636F"/>
    <w:rsid w:val="00E363CF"/>
    <w:rsid w:val="00E36BFC"/>
    <w:rsid w:val="00E36D97"/>
    <w:rsid w:val="00E36E63"/>
    <w:rsid w:val="00E37754"/>
    <w:rsid w:val="00E37930"/>
    <w:rsid w:val="00E379FD"/>
    <w:rsid w:val="00E37C47"/>
    <w:rsid w:val="00E406DB"/>
    <w:rsid w:val="00E4080F"/>
    <w:rsid w:val="00E40810"/>
    <w:rsid w:val="00E4081F"/>
    <w:rsid w:val="00E40EC4"/>
    <w:rsid w:val="00E40EF7"/>
    <w:rsid w:val="00E41AC6"/>
    <w:rsid w:val="00E41B9D"/>
    <w:rsid w:val="00E41F32"/>
    <w:rsid w:val="00E426AA"/>
    <w:rsid w:val="00E42758"/>
    <w:rsid w:val="00E427C0"/>
    <w:rsid w:val="00E429B4"/>
    <w:rsid w:val="00E42BBE"/>
    <w:rsid w:val="00E42C57"/>
    <w:rsid w:val="00E4423D"/>
    <w:rsid w:val="00E44456"/>
    <w:rsid w:val="00E44CE9"/>
    <w:rsid w:val="00E452E1"/>
    <w:rsid w:val="00E457F1"/>
    <w:rsid w:val="00E45910"/>
    <w:rsid w:val="00E45B4F"/>
    <w:rsid w:val="00E45C4F"/>
    <w:rsid w:val="00E45C78"/>
    <w:rsid w:val="00E46010"/>
    <w:rsid w:val="00E4603B"/>
    <w:rsid w:val="00E4620B"/>
    <w:rsid w:val="00E462F2"/>
    <w:rsid w:val="00E46F27"/>
    <w:rsid w:val="00E47100"/>
    <w:rsid w:val="00E47395"/>
    <w:rsid w:val="00E476E2"/>
    <w:rsid w:val="00E47CB6"/>
    <w:rsid w:val="00E501EA"/>
    <w:rsid w:val="00E50EA4"/>
    <w:rsid w:val="00E51094"/>
    <w:rsid w:val="00E51333"/>
    <w:rsid w:val="00E5191A"/>
    <w:rsid w:val="00E519B5"/>
    <w:rsid w:val="00E5241D"/>
    <w:rsid w:val="00E52920"/>
    <w:rsid w:val="00E52C9F"/>
    <w:rsid w:val="00E52DDE"/>
    <w:rsid w:val="00E530CD"/>
    <w:rsid w:val="00E532F9"/>
    <w:rsid w:val="00E533D6"/>
    <w:rsid w:val="00E536B7"/>
    <w:rsid w:val="00E545AA"/>
    <w:rsid w:val="00E54634"/>
    <w:rsid w:val="00E54ADC"/>
    <w:rsid w:val="00E54BB7"/>
    <w:rsid w:val="00E5553F"/>
    <w:rsid w:val="00E557F9"/>
    <w:rsid w:val="00E55A1A"/>
    <w:rsid w:val="00E55C88"/>
    <w:rsid w:val="00E5605D"/>
    <w:rsid w:val="00E56090"/>
    <w:rsid w:val="00E562A1"/>
    <w:rsid w:val="00E5647A"/>
    <w:rsid w:val="00E5657A"/>
    <w:rsid w:val="00E56813"/>
    <w:rsid w:val="00E569F3"/>
    <w:rsid w:val="00E5729A"/>
    <w:rsid w:val="00E57835"/>
    <w:rsid w:val="00E57A9E"/>
    <w:rsid w:val="00E57D35"/>
    <w:rsid w:val="00E6046F"/>
    <w:rsid w:val="00E609D5"/>
    <w:rsid w:val="00E60AF7"/>
    <w:rsid w:val="00E60DC7"/>
    <w:rsid w:val="00E60ED0"/>
    <w:rsid w:val="00E60FDE"/>
    <w:rsid w:val="00E6105A"/>
    <w:rsid w:val="00E614C0"/>
    <w:rsid w:val="00E61F17"/>
    <w:rsid w:val="00E61F6E"/>
    <w:rsid w:val="00E621FB"/>
    <w:rsid w:val="00E62A7A"/>
    <w:rsid w:val="00E62E0E"/>
    <w:rsid w:val="00E62E4F"/>
    <w:rsid w:val="00E63087"/>
    <w:rsid w:val="00E63119"/>
    <w:rsid w:val="00E63560"/>
    <w:rsid w:val="00E6385A"/>
    <w:rsid w:val="00E63A82"/>
    <w:rsid w:val="00E63E1C"/>
    <w:rsid w:val="00E641DF"/>
    <w:rsid w:val="00E64624"/>
    <w:rsid w:val="00E64FDC"/>
    <w:rsid w:val="00E657CD"/>
    <w:rsid w:val="00E65B14"/>
    <w:rsid w:val="00E65ED7"/>
    <w:rsid w:val="00E662F2"/>
    <w:rsid w:val="00E66646"/>
    <w:rsid w:val="00E6689A"/>
    <w:rsid w:val="00E66DFD"/>
    <w:rsid w:val="00E670B4"/>
    <w:rsid w:val="00E6716E"/>
    <w:rsid w:val="00E6758B"/>
    <w:rsid w:val="00E6764A"/>
    <w:rsid w:val="00E67670"/>
    <w:rsid w:val="00E676A8"/>
    <w:rsid w:val="00E676E4"/>
    <w:rsid w:val="00E679E7"/>
    <w:rsid w:val="00E67E8D"/>
    <w:rsid w:val="00E67F26"/>
    <w:rsid w:val="00E67FE8"/>
    <w:rsid w:val="00E7009A"/>
    <w:rsid w:val="00E702BF"/>
    <w:rsid w:val="00E705BA"/>
    <w:rsid w:val="00E70949"/>
    <w:rsid w:val="00E70B19"/>
    <w:rsid w:val="00E70C38"/>
    <w:rsid w:val="00E70E43"/>
    <w:rsid w:val="00E71144"/>
    <w:rsid w:val="00E71245"/>
    <w:rsid w:val="00E7193B"/>
    <w:rsid w:val="00E721F1"/>
    <w:rsid w:val="00E7222E"/>
    <w:rsid w:val="00E72437"/>
    <w:rsid w:val="00E737A1"/>
    <w:rsid w:val="00E73DF3"/>
    <w:rsid w:val="00E73FD6"/>
    <w:rsid w:val="00E74168"/>
    <w:rsid w:val="00E757F7"/>
    <w:rsid w:val="00E75E58"/>
    <w:rsid w:val="00E760D4"/>
    <w:rsid w:val="00E76179"/>
    <w:rsid w:val="00E761AE"/>
    <w:rsid w:val="00E76441"/>
    <w:rsid w:val="00E76652"/>
    <w:rsid w:val="00E7679E"/>
    <w:rsid w:val="00E76CCB"/>
    <w:rsid w:val="00E7750F"/>
    <w:rsid w:val="00E776DF"/>
    <w:rsid w:val="00E77B01"/>
    <w:rsid w:val="00E802E3"/>
    <w:rsid w:val="00E80F7B"/>
    <w:rsid w:val="00E810A4"/>
    <w:rsid w:val="00E8121A"/>
    <w:rsid w:val="00E8157A"/>
    <w:rsid w:val="00E8186D"/>
    <w:rsid w:val="00E81A76"/>
    <w:rsid w:val="00E81C89"/>
    <w:rsid w:val="00E81D97"/>
    <w:rsid w:val="00E821E9"/>
    <w:rsid w:val="00E823A9"/>
    <w:rsid w:val="00E827BF"/>
    <w:rsid w:val="00E82990"/>
    <w:rsid w:val="00E82D91"/>
    <w:rsid w:val="00E83038"/>
    <w:rsid w:val="00E830C8"/>
    <w:rsid w:val="00E83203"/>
    <w:rsid w:val="00E83525"/>
    <w:rsid w:val="00E8371D"/>
    <w:rsid w:val="00E8395A"/>
    <w:rsid w:val="00E839E5"/>
    <w:rsid w:val="00E83B42"/>
    <w:rsid w:val="00E840B9"/>
    <w:rsid w:val="00E8438E"/>
    <w:rsid w:val="00E84587"/>
    <w:rsid w:val="00E845F8"/>
    <w:rsid w:val="00E8473F"/>
    <w:rsid w:val="00E84DF0"/>
    <w:rsid w:val="00E8542F"/>
    <w:rsid w:val="00E85739"/>
    <w:rsid w:val="00E85A86"/>
    <w:rsid w:val="00E86842"/>
    <w:rsid w:val="00E86DFC"/>
    <w:rsid w:val="00E86E8B"/>
    <w:rsid w:val="00E8704C"/>
    <w:rsid w:val="00E871B8"/>
    <w:rsid w:val="00E879B8"/>
    <w:rsid w:val="00E9032B"/>
    <w:rsid w:val="00E903DD"/>
    <w:rsid w:val="00E9092B"/>
    <w:rsid w:val="00E909FB"/>
    <w:rsid w:val="00E90E94"/>
    <w:rsid w:val="00E91021"/>
    <w:rsid w:val="00E915CB"/>
    <w:rsid w:val="00E9180B"/>
    <w:rsid w:val="00E922DE"/>
    <w:rsid w:val="00E927E2"/>
    <w:rsid w:val="00E928B5"/>
    <w:rsid w:val="00E92B42"/>
    <w:rsid w:val="00E92B6D"/>
    <w:rsid w:val="00E9366D"/>
    <w:rsid w:val="00E93874"/>
    <w:rsid w:val="00E93A22"/>
    <w:rsid w:val="00E93B85"/>
    <w:rsid w:val="00E93D63"/>
    <w:rsid w:val="00E93E2B"/>
    <w:rsid w:val="00E94290"/>
    <w:rsid w:val="00E94E92"/>
    <w:rsid w:val="00E9567E"/>
    <w:rsid w:val="00E96379"/>
    <w:rsid w:val="00E963F6"/>
    <w:rsid w:val="00E97369"/>
    <w:rsid w:val="00E9761E"/>
    <w:rsid w:val="00E979E2"/>
    <w:rsid w:val="00EA0456"/>
    <w:rsid w:val="00EA0A16"/>
    <w:rsid w:val="00EA1180"/>
    <w:rsid w:val="00EA19E6"/>
    <w:rsid w:val="00EA1E79"/>
    <w:rsid w:val="00EA1F80"/>
    <w:rsid w:val="00EA21F1"/>
    <w:rsid w:val="00EA283F"/>
    <w:rsid w:val="00EA3137"/>
    <w:rsid w:val="00EA31E4"/>
    <w:rsid w:val="00EA34B8"/>
    <w:rsid w:val="00EA3B19"/>
    <w:rsid w:val="00EA3C0E"/>
    <w:rsid w:val="00EA42F8"/>
    <w:rsid w:val="00EA443F"/>
    <w:rsid w:val="00EA4D50"/>
    <w:rsid w:val="00EA5228"/>
    <w:rsid w:val="00EA5453"/>
    <w:rsid w:val="00EA5AD3"/>
    <w:rsid w:val="00EA5AD5"/>
    <w:rsid w:val="00EA5E7A"/>
    <w:rsid w:val="00EA61F7"/>
    <w:rsid w:val="00EA6561"/>
    <w:rsid w:val="00EA6B63"/>
    <w:rsid w:val="00EA6C07"/>
    <w:rsid w:val="00EA705B"/>
    <w:rsid w:val="00EA71F8"/>
    <w:rsid w:val="00EA78C2"/>
    <w:rsid w:val="00EA7FA5"/>
    <w:rsid w:val="00EB078E"/>
    <w:rsid w:val="00EB0AD1"/>
    <w:rsid w:val="00EB16D7"/>
    <w:rsid w:val="00EB1B09"/>
    <w:rsid w:val="00EB1CAB"/>
    <w:rsid w:val="00EB245B"/>
    <w:rsid w:val="00EB269C"/>
    <w:rsid w:val="00EB2B4E"/>
    <w:rsid w:val="00EB30B6"/>
    <w:rsid w:val="00EB3211"/>
    <w:rsid w:val="00EB3244"/>
    <w:rsid w:val="00EB38F2"/>
    <w:rsid w:val="00EB3B2C"/>
    <w:rsid w:val="00EB3B78"/>
    <w:rsid w:val="00EB3FC8"/>
    <w:rsid w:val="00EB40DD"/>
    <w:rsid w:val="00EB4986"/>
    <w:rsid w:val="00EB4B82"/>
    <w:rsid w:val="00EB501B"/>
    <w:rsid w:val="00EB5253"/>
    <w:rsid w:val="00EB56A8"/>
    <w:rsid w:val="00EB5992"/>
    <w:rsid w:val="00EB5B21"/>
    <w:rsid w:val="00EB5C09"/>
    <w:rsid w:val="00EB67B0"/>
    <w:rsid w:val="00EB6F51"/>
    <w:rsid w:val="00EB6F56"/>
    <w:rsid w:val="00EB72A5"/>
    <w:rsid w:val="00EB736A"/>
    <w:rsid w:val="00EC0073"/>
    <w:rsid w:val="00EC0098"/>
    <w:rsid w:val="00EC0548"/>
    <w:rsid w:val="00EC06C0"/>
    <w:rsid w:val="00EC0E20"/>
    <w:rsid w:val="00EC0F1B"/>
    <w:rsid w:val="00EC0FDE"/>
    <w:rsid w:val="00EC135A"/>
    <w:rsid w:val="00EC17CA"/>
    <w:rsid w:val="00EC1A7C"/>
    <w:rsid w:val="00EC1BC3"/>
    <w:rsid w:val="00EC1D90"/>
    <w:rsid w:val="00EC2170"/>
    <w:rsid w:val="00EC2603"/>
    <w:rsid w:val="00EC2E10"/>
    <w:rsid w:val="00EC3441"/>
    <w:rsid w:val="00EC3474"/>
    <w:rsid w:val="00EC3654"/>
    <w:rsid w:val="00EC39C1"/>
    <w:rsid w:val="00EC3F69"/>
    <w:rsid w:val="00EC45BE"/>
    <w:rsid w:val="00EC46D3"/>
    <w:rsid w:val="00EC4973"/>
    <w:rsid w:val="00EC512F"/>
    <w:rsid w:val="00EC5D1C"/>
    <w:rsid w:val="00EC6010"/>
    <w:rsid w:val="00EC629B"/>
    <w:rsid w:val="00EC672F"/>
    <w:rsid w:val="00EC7002"/>
    <w:rsid w:val="00EC700F"/>
    <w:rsid w:val="00EC74EF"/>
    <w:rsid w:val="00EC75FD"/>
    <w:rsid w:val="00EC76D3"/>
    <w:rsid w:val="00EC7B1F"/>
    <w:rsid w:val="00EC7C4C"/>
    <w:rsid w:val="00EC7CDA"/>
    <w:rsid w:val="00ED0720"/>
    <w:rsid w:val="00ED07BA"/>
    <w:rsid w:val="00ED0BE7"/>
    <w:rsid w:val="00ED10E7"/>
    <w:rsid w:val="00ED1389"/>
    <w:rsid w:val="00ED14A3"/>
    <w:rsid w:val="00ED15F7"/>
    <w:rsid w:val="00ED21AE"/>
    <w:rsid w:val="00ED270E"/>
    <w:rsid w:val="00ED2794"/>
    <w:rsid w:val="00ED2D4D"/>
    <w:rsid w:val="00ED2DB6"/>
    <w:rsid w:val="00ED3456"/>
    <w:rsid w:val="00ED3ACC"/>
    <w:rsid w:val="00ED3B3D"/>
    <w:rsid w:val="00ED3C7D"/>
    <w:rsid w:val="00ED51A6"/>
    <w:rsid w:val="00ED5481"/>
    <w:rsid w:val="00ED5A4F"/>
    <w:rsid w:val="00ED5DB9"/>
    <w:rsid w:val="00ED619D"/>
    <w:rsid w:val="00ED636A"/>
    <w:rsid w:val="00ED6420"/>
    <w:rsid w:val="00ED70D6"/>
    <w:rsid w:val="00ED727B"/>
    <w:rsid w:val="00ED7B2C"/>
    <w:rsid w:val="00EE0247"/>
    <w:rsid w:val="00EE0661"/>
    <w:rsid w:val="00EE0A48"/>
    <w:rsid w:val="00EE0A8B"/>
    <w:rsid w:val="00EE0D72"/>
    <w:rsid w:val="00EE1699"/>
    <w:rsid w:val="00EE1D4B"/>
    <w:rsid w:val="00EE201A"/>
    <w:rsid w:val="00EE2088"/>
    <w:rsid w:val="00EE213C"/>
    <w:rsid w:val="00EE23C2"/>
    <w:rsid w:val="00EE287B"/>
    <w:rsid w:val="00EE2A36"/>
    <w:rsid w:val="00EE371A"/>
    <w:rsid w:val="00EE391A"/>
    <w:rsid w:val="00EE39DE"/>
    <w:rsid w:val="00EE3AB6"/>
    <w:rsid w:val="00EE3B3E"/>
    <w:rsid w:val="00EE41DE"/>
    <w:rsid w:val="00EE4AA2"/>
    <w:rsid w:val="00EE4B39"/>
    <w:rsid w:val="00EE5094"/>
    <w:rsid w:val="00EE52BF"/>
    <w:rsid w:val="00EE565C"/>
    <w:rsid w:val="00EE603F"/>
    <w:rsid w:val="00EE661A"/>
    <w:rsid w:val="00EE6E06"/>
    <w:rsid w:val="00EE6E93"/>
    <w:rsid w:val="00EE70D3"/>
    <w:rsid w:val="00EE70E3"/>
    <w:rsid w:val="00EF0138"/>
    <w:rsid w:val="00EF02B8"/>
    <w:rsid w:val="00EF054B"/>
    <w:rsid w:val="00EF0D3E"/>
    <w:rsid w:val="00EF1070"/>
    <w:rsid w:val="00EF1757"/>
    <w:rsid w:val="00EF1B77"/>
    <w:rsid w:val="00EF1F77"/>
    <w:rsid w:val="00EF20C4"/>
    <w:rsid w:val="00EF26C1"/>
    <w:rsid w:val="00EF29E3"/>
    <w:rsid w:val="00EF2BDA"/>
    <w:rsid w:val="00EF2DB0"/>
    <w:rsid w:val="00EF357D"/>
    <w:rsid w:val="00EF37CC"/>
    <w:rsid w:val="00EF3950"/>
    <w:rsid w:val="00EF4130"/>
    <w:rsid w:val="00EF4151"/>
    <w:rsid w:val="00EF45BD"/>
    <w:rsid w:val="00EF4722"/>
    <w:rsid w:val="00EF4C89"/>
    <w:rsid w:val="00EF4FBF"/>
    <w:rsid w:val="00EF511A"/>
    <w:rsid w:val="00EF55BC"/>
    <w:rsid w:val="00EF568D"/>
    <w:rsid w:val="00EF57AF"/>
    <w:rsid w:val="00EF58AC"/>
    <w:rsid w:val="00EF5A07"/>
    <w:rsid w:val="00EF666A"/>
    <w:rsid w:val="00EF6691"/>
    <w:rsid w:val="00EF67DB"/>
    <w:rsid w:val="00EF699A"/>
    <w:rsid w:val="00EF6C93"/>
    <w:rsid w:val="00EF6F7F"/>
    <w:rsid w:val="00EF73AF"/>
    <w:rsid w:val="00EF770C"/>
    <w:rsid w:val="00EF7734"/>
    <w:rsid w:val="00EF7B51"/>
    <w:rsid w:val="00EF7FFA"/>
    <w:rsid w:val="00F0049F"/>
    <w:rsid w:val="00F006E7"/>
    <w:rsid w:val="00F007EE"/>
    <w:rsid w:val="00F00CAA"/>
    <w:rsid w:val="00F00F0C"/>
    <w:rsid w:val="00F02159"/>
    <w:rsid w:val="00F02958"/>
    <w:rsid w:val="00F02C36"/>
    <w:rsid w:val="00F036E6"/>
    <w:rsid w:val="00F04158"/>
    <w:rsid w:val="00F0417D"/>
    <w:rsid w:val="00F04646"/>
    <w:rsid w:val="00F0466E"/>
    <w:rsid w:val="00F049B8"/>
    <w:rsid w:val="00F04CC2"/>
    <w:rsid w:val="00F04F89"/>
    <w:rsid w:val="00F05360"/>
    <w:rsid w:val="00F05423"/>
    <w:rsid w:val="00F057A8"/>
    <w:rsid w:val="00F057F1"/>
    <w:rsid w:val="00F05A76"/>
    <w:rsid w:val="00F05ECC"/>
    <w:rsid w:val="00F05EE0"/>
    <w:rsid w:val="00F060D2"/>
    <w:rsid w:val="00F062D8"/>
    <w:rsid w:val="00F062DF"/>
    <w:rsid w:val="00F0656D"/>
    <w:rsid w:val="00F0679F"/>
    <w:rsid w:val="00F06B8F"/>
    <w:rsid w:val="00F06FCB"/>
    <w:rsid w:val="00F07324"/>
    <w:rsid w:val="00F074C9"/>
    <w:rsid w:val="00F0762F"/>
    <w:rsid w:val="00F07954"/>
    <w:rsid w:val="00F07CCD"/>
    <w:rsid w:val="00F10284"/>
    <w:rsid w:val="00F1099E"/>
    <w:rsid w:val="00F1120D"/>
    <w:rsid w:val="00F11530"/>
    <w:rsid w:val="00F118B6"/>
    <w:rsid w:val="00F1195C"/>
    <w:rsid w:val="00F1199C"/>
    <w:rsid w:val="00F11DE0"/>
    <w:rsid w:val="00F11DF6"/>
    <w:rsid w:val="00F12AAF"/>
    <w:rsid w:val="00F12D97"/>
    <w:rsid w:val="00F13176"/>
    <w:rsid w:val="00F131A3"/>
    <w:rsid w:val="00F13CA6"/>
    <w:rsid w:val="00F13D75"/>
    <w:rsid w:val="00F13DC9"/>
    <w:rsid w:val="00F141A2"/>
    <w:rsid w:val="00F1490C"/>
    <w:rsid w:val="00F1509E"/>
    <w:rsid w:val="00F150D3"/>
    <w:rsid w:val="00F153C1"/>
    <w:rsid w:val="00F15A64"/>
    <w:rsid w:val="00F15D40"/>
    <w:rsid w:val="00F1659A"/>
    <w:rsid w:val="00F169C4"/>
    <w:rsid w:val="00F16C9B"/>
    <w:rsid w:val="00F17117"/>
    <w:rsid w:val="00F17533"/>
    <w:rsid w:val="00F1782E"/>
    <w:rsid w:val="00F178C6"/>
    <w:rsid w:val="00F17A62"/>
    <w:rsid w:val="00F17D6C"/>
    <w:rsid w:val="00F204AE"/>
    <w:rsid w:val="00F205B0"/>
    <w:rsid w:val="00F20A86"/>
    <w:rsid w:val="00F20F60"/>
    <w:rsid w:val="00F213AA"/>
    <w:rsid w:val="00F216C8"/>
    <w:rsid w:val="00F22442"/>
    <w:rsid w:val="00F2267F"/>
    <w:rsid w:val="00F22731"/>
    <w:rsid w:val="00F2278F"/>
    <w:rsid w:val="00F228DB"/>
    <w:rsid w:val="00F22956"/>
    <w:rsid w:val="00F22CB8"/>
    <w:rsid w:val="00F22DA5"/>
    <w:rsid w:val="00F2320E"/>
    <w:rsid w:val="00F2341A"/>
    <w:rsid w:val="00F2345A"/>
    <w:rsid w:val="00F23647"/>
    <w:rsid w:val="00F2386D"/>
    <w:rsid w:val="00F23FBF"/>
    <w:rsid w:val="00F2408C"/>
    <w:rsid w:val="00F240AD"/>
    <w:rsid w:val="00F24220"/>
    <w:rsid w:val="00F244EA"/>
    <w:rsid w:val="00F245EA"/>
    <w:rsid w:val="00F24826"/>
    <w:rsid w:val="00F24CA2"/>
    <w:rsid w:val="00F24E8F"/>
    <w:rsid w:val="00F24EB4"/>
    <w:rsid w:val="00F25064"/>
    <w:rsid w:val="00F254AD"/>
    <w:rsid w:val="00F25571"/>
    <w:rsid w:val="00F2569E"/>
    <w:rsid w:val="00F26171"/>
    <w:rsid w:val="00F26232"/>
    <w:rsid w:val="00F2673B"/>
    <w:rsid w:val="00F26881"/>
    <w:rsid w:val="00F27390"/>
    <w:rsid w:val="00F277A1"/>
    <w:rsid w:val="00F277F6"/>
    <w:rsid w:val="00F279CC"/>
    <w:rsid w:val="00F27A65"/>
    <w:rsid w:val="00F27E4E"/>
    <w:rsid w:val="00F300E0"/>
    <w:rsid w:val="00F30837"/>
    <w:rsid w:val="00F30AD2"/>
    <w:rsid w:val="00F3117C"/>
    <w:rsid w:val="00F317E0"/>
    <w:rsid w:val="00F318A2"/>
    <w:rsid w:val="00F318C3"/>
    <w:rsid w:val="00F319AD"/>
    <w:rsid w:val="00F32049"/>
    <w:rsid w:val="00F321C8"/>
    <w:rsid w:val="00F3222D"/>
    <w:rsid w:val="00F322DB"/>
    <w:rsid w:val="00F325F2"/>
    <w:rsid w:val="00F32A6C"/>
    <w:rsid w:val="00F32A89"/>
    <w:rsid w:val="00F32DAD"/>
    <w:rsid w:val="00F33573"/>
    <w:rsid w:val="00F33884"/>
    <w:rsid w:val="00F349B6"/>
    <w:rsid w:val="00F34BAC"/>
    <w:rsid w:val="00F34BD8"/>
    <w:rsid w:val="00F35532"/>
    <w:rsid w:val="00F35935"/>
    <w:rsid w:val="00F364F4"/>
    <w:rsid w:val="00F36647"/>
    <w:rsid w:val="00F36A1D"/>
    <w:rsid w:val="00F36CE1"/>
    <w:rsid w:val="00F36F58"/>
    <w:rsid w:val="00F37434"/>
    <w:rsid w:val="00F374A3"/>
    <w:rsid w:val="00F37625"/>
    <w:rsid w:val="00F37897"/>
    <w:rsid w:val="00F401E9"/>
    <w:rsid w:val="00F40246"/>
    <w:rsid w:val="00F40594"/>
    <w:rsid w:val="00F407DF"/>
    <w:rsid w:val="00F40C6A"/>
    <w:rsid w:val="00F4164E"/>
    <w:rsid w:val="00F419CC"/>
    <w:rsid w:val="00F41AF0"/>
    <w:rsid w:val="00F41D3F"/>
    <w:rsid w:val="00F422E9"/>
    <w:rsid w:val="00F42887"/>
    <w:rsid w:val="00F431DF"/>
    <w:rsid w:val="00F4370D"/>
    <w:rsid w:val="00F43C7B"/>
    <w:rsid w:val="00F43FF8"/>
    <w:rsid w:val="00F44456"/>
    <w:rsid w:val="00F44832"/>
    <w:rsid w:val="00F44E37"/>
    <w:rsid w:val="00F44F1B"/>
    <w:rsid w:val="00F45238"/>
    <w:rsid w:val="00F45486"/>
    <w:rsid w:val="00F454E0"/>
    <w:rsid w:val="00F455EC"/>
    <w:rsid w:val="00F458E2"/>
    <w:rsid w:val="00F45969"/>
    <w:rsid w:val="00F45DBC"/>
    <w:rsid w:val="00F4681A"/>
    <w:rsid w:val="00F46F2B"/>
    <w:rsid w:val="00F4719C"/>
    <w:rsid w:val="00F47581"/>
    <w:rsid w:val="00F477CC"/>
    <w:rsid w:val="00F477FB"/>
    <w:rsid w:val="00F478A8"/>
    <w:rsid w:val="00F47E67"/>
    <w:rsid w:val="00F50208"/>
    <w:rsid w:val="00F50346"/>
    <w:rsid w:val="00F50F8D"/>
    <w:rsid w:val="00F50FCD"/>
    <w:rsid w:val="00F51805"/>
    <w:rsid w:val="00F51CD9"/>
    <w:rsid w:val="00F51CEF"/>
    <w:rsid w:val="00F51EC7"/>
    <w:rsid w:val="00F51F63"/>
    <w:rsid w:val="00F520A4"/>
    <w:rsid w:val="00F52310"/>
    <w:rsid w:val="00F52445"/>
    <w:rsid w:val="00F52588"/>
    <w:rsid w:val="00F5266B"/>
    <w:rsid w:val="00F5271E"/>
    <w:rsid w:val="00F5301F"/>
    <w:rsid w:val="00F53431"/>
    <w:rsid w:val="00F53ABF"/>
    <w:rsid w:val="00F53B68"/>
    <w:rsid w:val="00F53E8E"/>
    <w:rsid w:val="00F53FD5"/>
    <w:rsid w:val="00F53FFB"/>
    <w:rsid w:val="00F54352"/>
    <w:rsid w:val="00F545E7"/>
    <w:rsid w:val="00F54993"/>
    <w:rsid w:val="00F55370"/>
    <w:rsid w:val="00F558B0"/>
    <w:rsid w:val="00F55A1D"/>
    <w:rsid w:val="00F55A42"/>
    <w:rsid w:val="00F55CD9"/>
    <w:rsid w:val="00F55F6E"/>
    <w:rsid w:val="00F5653C"/>
    <w:rsid w:val="00F56740"/>
    <w:rsid w:val="00F56A1E"/>
    <w:rsid w:val="00F56C08"/>
    <w:rsid w:val="00F57494"/>
    <w:rsid w:val="00F57976"/>
    <w:rsid w:val="00F602D3"/>
    <w:rsid w:val="00F603FD"/>
    <w:rsid w:val="00F60727"/>
    <w:rsid w:val="00F60EF4"/>
    <w:rsid w:val="00F610EE"/>
    <w:rsid w:val="00F61BF3"/>
    <w:rsid w:val="00F61C78"/>
    <w:rsid w:val="00F61C9E"/>
    <w:rsid w:val="00F61ECB"/>
    <w:rsid w:val="00F624FC"/>
    <w:rsid w:val="00F62B30"/>
    <w:rsid w:val="00F63592"/>
    <w:rsid w:val="00F6374E"/>
    <w:rsid w:val="00F63862"/>
    <w:rsid w:val="00F63918"/>
    <w:rsid w:val="00F63F79"/>
    <w:rsid w:val="00F63FB9"/>
    <w:rsid w:val="00F6442C"/>
    <w:rsid w:val="00F64AB6"/>
    <w:rsid w:val="00F64C9E"/>
    <w:rsid w:val="00F64EF8"/>
    <w:rsid w:val="00F65254"/>
    <w:rsid w:val="00F65823"/>
    <w:rsid w:val="00F65990"/>
    <w:rsid w:val="00F65D3D"/>
    <w:rsid w:val="00F66A2F"/>
    <w:rsid w:val="00F66E09"/>
    <w:rsid w:val="00F677FB"/>
    <w:rsid w:val="00F67D7A"/>
    <w:rsid w:val="00F67E2E"/>
    <w:rsid w:val="00F67F35"/>
    <w:rsid w:val="00F67F5F"/>
    <w:rsid w:val="00F709AE"/>
    <w:rsid w:val="00F70FF1"/>
    <w:rsid w:val="00F71228"/>
    <w:rsid w:val="00F7141F"/>
    <w:rsid w:val="00F7169E"/>
    <w:rsid w:val="00F717D2"/>
    <w:rsid w:val="00F71D99"/>
    <w:rsid w:val="00F723E2"/>
    <w:rsid w:val="00F72420"/>
    <w:rsid w:val="00F724C7"/>
    <w:rsid w:val="00F7259D"/>
    <w:rsid w:val="00F72F48"/>
    <w:rsid w:val="00F735FF"/>
    <w:rsid w:val="00F7383F"/>
    <w:rsid w:val="00F73BDF"/>
    <w:rsid w:val="00F73CF2"/>
    <w:rsid w:val="00F7449B"/>
    <w:rsid w:val="00F74864"/>
    <w:rsid w:val="00F74BFC"/>
    <w:rsid w:val="00F75136"/>
    <w:rsid w:val="00F75647"/>
    <w:rsid w:val="00F76B8E"/>
    <w:rsid w:val="00F7720D"/>
    <w:rsid w:val="00F77D25"/>
    <w:rsid w:val="00F8016E"/>
    <w:rsid w:val="00F8037A"/>
    <w:rsid w:val="00F8052F"/>
    <w:rsid w:val="00F80C1F"/>
    <w:rsid w:val="00F80E32"/>
    <w:rsid w:val="00F80EC9"/>
    <w:rsid w:val="00F8103A"/>
    <w:rsid w:val="00F81A9C"/>
    <w:rsid w:val="00F81AB9"/>
    <w:rsid w:val="00F81D7E"/>
    <w:rsid w:val="00F82268"/>
    <w:rsid w:val="00F8262C"/>
    <w:rsid w:val="00F83274"/>
    <w:rsid w:val="00F844F2"/>
    <w:rsid w:val="00F8471F"/>
    <w:rsid w:val="00F847A5"/>
    <w:rsid w:val="00F847B6"/>
    <w:rsid w:val="00F852CA"/>
    <w:rsid w:val="00F85308"/>
    <w:rsid w:val="00F856F4"/>
    <w:rsid w:val="00F85923"/>
    <w:rsid w:val="00F85AAC"/>
    <w:rsid w:val="00F85C3C"/>
    <w:rsid w:val="00F860EF"/>
    <w:rsid w:val="00F864EA"/>
    <w:rsid w:val="00F867AB"/>
    <w:rsid w:val="00F86B15"/>
    <w:rsid w:val="00F87674"/>
    <w:rsid w:val="00F87A9B"/>
    <w:rsid w:val="00F87BD3"/>
    <w:rsid w:val="00F87E7E"/>
    <w:rsid w:val="00F900F4"/>
    <w:rsid w:val="00F903E8"/>
    <w:rsid w:val="00F915E4"/>
    <w:rsid w:val="00F915F0"/>
    <w:rsid w:val="00F91758"/>
    <w:rsid w:val="00F9189D"/>
    <w:rsid w:val="00F918A5"/>
    <w:rsid w:val="00F91B39"/>
    <w:rsid w:val="00F91DD6"/>
    <w:rsid w:val="00F920FC"/>
    <w:rsid w:val="00F92263"/>
    <w:rsid w:val="00F92752"/>
    <w:rsid w:val="00F927B9"/>
    <w:rsid w:val="00F92B02"/>
    <w:rsid w:val="00F92D1C"/>
    <w:rsid w:val="00F92DBF"/>
    <w:rsid w:val="00F92FC1"/>
    <w:rsid w:val="00F934A9"/>
    <w:rsid w:val="00F934C4"/>
    <w:rsid w:val="00F93759"/>
    <w:rsid w:val="00F93905"/>
    <w:rsid w:val="00F93CD5"/>
    <w:rsid w:val="00F93D7B"/>
    <w:rsid w:val="00F93FFC"/>
    <w:rsid w:val="00F94061"/>
    <w:rsid w:val="00F94142"/>
    <w:rsid w:val="00F9438E"/>
    <w:rsid w:val="00F94823"/>
    <w:rsid w:val="00F948A1"/>
    <w:rsid w:val="00F94E6F"/>
    <w:rsid w:val="00F950AD"/>
    <w:rsid w:val="00F953E4"/>
    <w:rsid w:val="00F9543F"/>
    <w:rsid w:val="00F95526"/>
    <w:rsid w:val="00F9583A"/>
    <w:rsid w:val="00F95AC0"/>
    <w:rsid w:val="00F95B59"/>
    <w:rsid w:val="00F96250"/>
    <w:rsid w:val="00F964F3"/>
    <w:rsid w:val="00F96D32"/>
    <w:rsid w:val="00F977FD"/>
    <w:rsid w:val="00F979FB"/>
    <w:rsid w:val="00F97A47"/>
    <w:rsid w:val="00F97AB1"/>
    <w:rsid w:val="00F97AF5"/>
    <w:rsid w:val="00F97E2B"/>
    <w:rsid w:val="00FA0890"/>
    <w:rsid w:val="00FA0EA8"/>
    <w:rsid w:val="00FA0F5E"/>
    <w:rsid w:val="00FA15C5"/>
    <w:rsid w:val="00FA1C65"/>
    <w:rsid w:val="00FA1ED2"/>
    <w:rsid w:val="00FA2021"/>
    <w:rsid w:val="00FA24C3"/>
    <w:rsid w:val="00FA2653"/>
    <w:rsid w:val="00FA2CF6"/>
    <w:rsid w:val="00FA2E7E"/>
    <w:rsid w:val="00FA3074"/>
    <w:rsid w:val="00FA34DC"/>
    <w:rsid w:val="00FA3D16"/>
    <w:rsid w:val="00FA4468"/>
    <w:rsid w:val="00FA4C73"/>
    <w:rsid w:val="00FA54B3"/>
    <w:rsid w:val="00FA550C"/>
    <w:rsid w:val="00FA5913"/>
    <w:rsid w:val="00FA60D5"/>
    <w:rsid w:val="00FA6508"/>
    <w:rsid w:val="00FA6697"/>
    <w:rsid w:val="00FA6BD8"/>
    <w:rsid w:val="00FA77DB"/>
    <w:rsid w:val="00FA79A0"/>
    <w:rsid w:val="00FB0658"/>
    <w:rsid w:val="00FB0E15"/>
    <w:rsid w:val="00FB10DF"/>
    <w:rsid w:val="00FB1317"/>
    <w:rsid w:val="00FB1408"/>
    <w:rsid w:val="00FB26AB"/>
    <w:rsid w:val="00FB28D2"/>
    <w:rsid w:val="00FB2996"/>
    <w:rsid w:val="00FB2D21"/>
    <w:rsid w:val="00FB2D9B"/>
    <w:rsid w:val="00FB2E91"/>
    <w:rsid w:val="00FB34C9"/>
    <w:rsid w:val="00FB3AAB"/>
    <w:rsid w:val="00FB3B7B"/>
    <w:rsid w:val="00FB3CA4"/>
    <w:rsid w:val="00FB3DCF"/>
    <w:rsid w:val="00FB40D7"/>
    <w:rsid w:val="00FB4102"/>
    <w:rsid w:val="00FB428A"/>
    <w:rsid w:val="00FB4C1C"/>
    <w:rsid w:val="00FB4CFA"/>
    <w:rsid w:val="00FB5377"/>
    <w:rsid w:val="00FB562B"/>
    <w:rsid w:val="00FB5C26"/>
    <w:rsid w:val="00FB5C8E"/>
    <w:rsid w:val="00FB5E26"/>
    <w:rsid w:val="00FB61FB"/>
    <w:rsid w:val="00FB67C6"/>
    <w:rsid w:val="00FB6904"/>
    <w:rsid w:val="00FB6CF0"/>
    <w:rsid w:val="00FB6FC6"/>
    <w:rsid w:val="00FB796B"/>
    <w:rsid w:val="00FB7B1E"/>
    <w:rsid w:val="00FB7D6C"/>
    <w:rsid w:val="00FC02F1"/>
    <w:rsid w:val="00FC05A6"/>
    <w:rsid w:val="00FC09FC"/>
    <w:rsid w:val="00FC1091"/>
    <w:rsid w:val="00FC10C9"/>
    <w:rsid w:val="00FC1812"/>
    <w:rsid w:val="00FC1CF3"/>
    <w:rsid w:val="00FC21B3"/>
    <w:rsid w:val="00FC2B8B"/>
    <w:rsid w:val="00FC2F7E"/>
    <w:rsid w:val="00FC33ED"/>
    <w:rsid w:val="00FC3ADA"/>
    <w:rsid w:val="00FC3C58"/>
    <w:rsid w:val="00FC457E"/>
    <w:rsid w:val="00FC4863"/>
    <w:rsid w:val="00FC49AA"/>
    <w:rsid w:val="00FC4D5C"/>
    <w:rsid w:val="00FC5181"/>
    <w:rsid w:val="00FC5240"/>
    <w:rsid w:val="00FC524F"/>
    <w:rsid w:val="00FC5496"/>
    <w:rsid w:val="00FC5A0F"/>
    <w:rsid w:val="00FC6026"/>
    <w:rsid w:val="00FC6946"/>
    <w:rsid w:val="00FC6F37"/>
    <w:rsid w:val="00FC76BD"/>
    <w:rsid w:val="00FC7825"/>
    <w:rsid w:val="00FC7B7D"/>
    <w:rsid w:val="00FC7DE6"/>
    <w:rsid w:val="00FC7E32"/>
    <w:rsid w:val="00FD0B43"/>
    <w:rsid w:val="00FD0B63"/>
    <w:rsid w:val="00FD127E"/>
    <w:rsid w:val="00FD1331"/>
    <w:rsid w:val="00FD13F9"/>
    <w:rsid w:val="00FD146C"/>
    <w:rsid w:val="00FD1562"/>
    <w:rsid w:val="00FD1E7F"/>
    <w:rsid w:val="00FD223B"/>
    <w:rsid w:val="00FD2353"/>
    <w:rsid w:val="00FD3EBC"/>
    <w:rsid w:val="00FD5DD2"/>
    <w:rsid w:val="00FD600B"/>
    <w:rsid w:val="00FD623D"/>
    <w:rsid w:val="00FD62ED"/>
    <w:rsid w:val="00FD6366"/>
    <w:rsid w:val="00FD63DA"/>
    <w:rsid w:val="00FD65BA"/>
    <w:rsid w:val="00FD68C9"/>
    <w:rsid w:val="00FD6A40"/>
    <w:rsid w:val="00FD6CAA"/>
    <w:rsid w:val="00FD6D20"/>
    <w:rsid w:val="00FD6D2A"/>
    <w:rsid w:val="00FD6F0C"/>
    <w:rsid w:val="00FD6F22"/>
    <w:rsid w:val="00FD765D"/>
    <w:rsid w:val="00FD77DB"/>
    <w:rsid w:val="00FD7882"/>
    <w:rsid w:val="00FD7A34"/>
    <w:rsid w:val="00FD7E6E"/>
    <w:rsid w:val="00FD7F22"/>
    <w:rsid w:val="00FE01E7"/>
    <w:rsid w:val="00FE0254"/>
    <w:rsid w:val="00FE08FC"/>
    <w:rsid w:val="00FE0A78"/>
    <w:rsid w:val="00FE0B00"/>
    <w:rsid w:val="00FE1321"/>
    <w:rsid w:val="00FE1D61"/>
    <w:rsid w:val="00FE29B3"/>
    <w:rsid w:val="00FE34C5"/>
    <w:rsid w:val="00FE3575"/>
    <w:rsid w:val="00FE3B0D"/>
    <w:rsid w:val="00FE3B88"/>
    <w:rsid w:val="00FE3C1A"/>
    <w:rsid w:val="00FE3D45"/>
    <w:rsid w:val="00FE3D63"/>
    <w:rsid w:val="00FE4299"/>
    <w:rsid w:val="00FE493A"/>
    <w:rsid w:val="00FE4A3C"/>
    <w:rsid w:val="00FE4DAD"/>
    <w:rsid w:val="00FE544F"/>
    <w:rsid w:val="00FE648F"/>
    <w:rsid w:val="00FE6664"/>
    <w:rsid w:val="00FE6C2D"/>
    <w:rsid w:val="00FE6F0C"/>
    <w:rsid w:val="00FE74CB"/>
    <w:rsid w:val="00FE76DE"/>
    <w:rsid w:val="00FE7916"/>
    <w:rsid w:val="00FF0524"/>
    <w:rsid w:val="00FF0717"/>
    <w:rsid w:val="00FF08CF"/>
    <w:rsid w:val="00FF0E1B"/>
    <w:rsid w:val="00FF132A"/>
    <w:rsid w:val="00FF14F9"/>
    <w:rsid w:val="00FF1757"/>
    <w:rsid w:val="00FF1823"/>
    <w:rsid w:val="00FF2096"/>
    <w:rsid w:val="00FF24F0"/>
    <w:rsid w:val="00FF27F1"/>
    <w:rsid w:val="00FF2928"/>
    <w:rsid w:val="00FF2E3B"/>
    <w:rsid w:val="00FF2EA3"/>
    <w:rsid w:val="00FF2F3C"/>
    <w:rsid w:val="00FF2FA7"/>
    <w:rsid w:val="00FF3038"/>
    <w:rsid w:val="00FF3F08"/>
    <w:rsid w:val="00FF3F71"/>
    <w:rsid w:val="00FF40E7"/>
    <w:rsid w:val="00FF4A0B"/>
    <w:rsid w:val="00FF4EE4"/>
    <w:rsid w:val="00FF55F9"/>
    <w:rsid w:val="00FF5F23"/>
    <w:rsid w:val="00FF6A19"/>
    <w:rsid w:val="00FF6C3E"/>
    <w:rsid w:val="00FF7630"/>
    <w:rsid w:val="00FF76AD"/>
    <w:rsid w:val="00FF7883"/>
    <w:rsid w:val="00FF78D0"/>
    <w:rsid w:val="00FF7964"/>
    <w:rsid w:val="00FF7B6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57761"/>
    <o:shapelayout v:ext="edit">
      <o:idmap v:ext="edit" data="1"/>
    </o:shapelayout>
  </w:shapeDefaults>
  <w:decimalSymbol w:val="."/>
  <w:listSeparator w:val=","/>
  <w14:docId w14:val="159E4092"/>
  <w15:docId w15:val="{012AD074-B8DD-4F9F-AB87-ED560492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834C2"/>
    <w:pPr>
      <w:spacing w:after="180" w:line="270" w:lineRule="exact"/>
    </w:pPr>
    <w:rPr>
      <w:rFonts w:ascii="Arial" w:hAnsi="Arial"/>
      <w:color w:val="373737"/>
      <w:sz w:val="20"/>
    </w:rPr>
  </w:style>
  <w:style w:type="paragraph" w:styleId="Heading1">
    <w:name w:val="heading 1"/>
    <w:basedOn w:val="Normal"/>
    <w:next w:val="BodyText"/>
    <w:link w:val="Heading1Char"/>
    <w:qFormat/>
    <w:rsid w:val="0033445D"/>
    <w:pPr>
      <w:keepNext/>
      <w:numPr>
        <w:numId w:val="37"/>
      </w:numPr>
      <w:spacing w:after="60" w:line="280" w:lineRule="atLeast"/>
      <w:ind w:left="720"/>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33445D"/>
    <w:pPr>
      <w:ind w:left="3686"/>
      <w:outlineLvl w:val="1"/>
    </w:pPr>
    <w:rPr>
      <w:bCs w:val="0"/>
      <w:iCs/>
      <w:color w:val="56B4DF"/>
      <w:sz w:val="24"/>
      <w:szCs w:val="28"/>
    </w:rPr>
  </w:style>
  <w:style w:type="paragraph" w:styleId="Heading3">
    <w:name w:val="heading 3"/>
    <w:basedOn w:val="BodyText"/>
    <w:next w:val="BodyText"/>
    <w:link w:val="Heading3Char"/>
    <w:qFormat/>
    <w:rsid w:val="00C02415"/>
    <w:pPr>
      <w:keepNext/>
      <w:spacing w:before="120" w:after="60" w:line="280" w:lineRule="atLeast"/>
      <w:outlineLvl w:val="2"/>
    </w:pPr>
    <w:rPr>
      <w:rFonts w:asciiTheme="majorHAnsi" w:eastAsia="Times New Roman" w:hAnsiTheme="majorHAnsi" w:cs="Arial"/>
      <w:bCs/>
      <w:color w:val="005CAF"/>
    </w:rPr>
  </w:style>
  <w:style w:type="paragraph" w:styleId="Heading4">
    <w:name w:val="heading 4"/>
    <w:basedOn w:val="BodyText"/>
    <w:next w:val="BodyText"/>
    <w:link w:val="Heading4Char"/>
    <w:uiPriority w:val="9"/>
    <w:unhideWhenUsed/>
    <w:rsid w:val="0033445D"/>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33445D"/>
    <w:pPr>
      <w:keepNext/>
      <w:pageBreakBefore/>
      <w:spacing w:after="60" w:line="280" w:lineRule="atLeast"/>
      <w:ind w:left="2381" w:hanging="2381"/>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33445D"/>
    <w:pPr>
      <w:keepNext/>
      <w:keepLines/>
      <w:spacing w:after="60" w:line="280" w:lineRule="atLeast"/>
      <w:ind w:left="709" w:hanging="709"/>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33445D"/>
    <w:pPr>
      <w:keepNext/>
      <w:keepLines/>
      <w:spacing w:after="60" w:line="280" w:lineRule="atLeast"/>
      <w:outlineLvl w:val="7"/>
    </w:pPr>
    <w:rPr>
      <w:rFonts w:asciiTheme="majorHAnsi" w:eastAsiaTheme="majorEastAsia" w:hAnsiTheme="majorHAnsi" w:cstheme="majorBidi"/>
      <w:color w:val="005CA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33445D"/>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33445D"/>
    <w:pPr>
      <w:numPr>
        <w:numId w:val="2"/>
      </w:numPr>
      <w:tabs>
        <w:tab w:val="clear" w:pos="1418"/>
        <w:tab w:val="num" w:pos="360"/>
      </w:tabs>
      <w:spacing w:before="100" w:line="312" w:lineRule="auto"/>
      <w:ind w:left="0" w:firstLine="0"/>
    </w:pPr>
    <w:rPr>
      <w:rFonts w:eastAsia="Times New Roman"/>
      <w:lang w:eastAsia="en-AU"/>
    </w:rPr>
  </w:style>
  <w:style w:type="character" w:customStyle="1" w:styleId="Heading1Char">
    <w:name w:val="Heading 1 Char"/>
    <w:basedOn w:val="DefaultParagraphFont"/>
    <w:link w:val="Heading1"/>
    <w:rsid w:val="0033445D"/>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33445D"/>
    <w:rPr>
      <w:rFonts w:asciiTheme="majorHAnsi" w:eastAsia="Times New Roman" w:hAnsiTheme="majorHAnsi" w:cs="Arial"/>
      <w:b/>
      <w:iCs/>
      <w:color w:val="56B4DF"/>
      <w:kern w:val="32"/>
      <w:sz w:val="24"/>
      <w:szCs w:val="28"/>
    </w:rPr>
  </w:style>
  <w:style w:type="character" w:customStyle="1" w:styleId="Heading3Char">
    <w:name w:val="Heading 3 Char"/>
    <w:basedOn w:val="DefaultParagraphFont"/>
    <w:link w:val="Heading3"/>
    <w:rsid w:val="00C02415"/>
    <w:rPr>
      <w:rFonts w:asciiTheme="majorHAnsi" w:eastAsia="Times New Roman" w:hAnsiTheme="majorHAnsi" w:cs="Arial"/>
      <w:bCs/>
      <w:color w:val="005CAF"/>
      <w:sz w:val="20"/>
    </w:rPr>
  </w:style>
  <w:style w:type="paragraph" w:styleId="TOC1">
    <w:name w:val="toc 1"/>
    <w:basedOn w:val="Normal"/>
    <w:next w:val="Normal"/>
    <w:autoRedefine/>
    <w:uiPriority w:val="39"/>
    <w:rsid w:val="00AA743A"/>
    <w:pPr>
      <w:tabs>
        <w:tab w:val="right" w:pos="13892"/>
      </w:tabs>
      <w:spacing w:before="60" w:after="60"/>
      <w:ind w:left="567" w:right="104" w:hanging="567"/>
    </w:pPr>
    <w:rPr>
      <w:rFonts w:eastAsia="Times New Roman"/>
      <w:b/>
      <w:noProof/>
      <w:szCs w:val="24"/>
    </w:rPr>
  </w:style>
  <w:style w:type="paragraph" w:styleId="FootnoteText">
    <w:name w:val="footnote text"/>
    <w:basedOn w:val="Normal"/>
    <w:link w:val="FootnoteTextChar"/>
    <w:uiPriority w:val="19"/>
    <w:rsid w:val="0033445D"/>
    <w:pPr>
      <w:ind w:left="2268" w:hanging="108"/>
    </w:pPr>
    <w:rPr>
      <w:rFonts w:eastAsia="Times New Roman"/>
      <w:sz w:val="16"/>
    </w:rPr>
  </w:style>
  <w:style w:type="character" w:customStyle="1" w:styleId="FootnoteTextChar">
    <w:name w:val="Footnote Text Char"/>
    <w:basedOn w:val="DefaultParagraphFont"/>
    <w:link w:val="FootnoteText"/>
    <w:uiPriority w:val="19"/>
    <w:rsid w:val="0033445D"/>
    <w:rPr>
      <w:rFonts w:ascii="Arial" w:eastAsia="Times New Roman" w:hAnsi="Arial"/>
      <w:color w:val="373737"/>
      <w:sz w:val="16"/>
    </w:rPr>
  </w:style>
  <w:style w:type="paragraph" w:styleId="Footer">
    <w:name w:val="footer"/>
    <w:basedOn w:val="Normal"/>
    <w:link w:val="FooterChar"/>
    <w:uiPriority w:val="99"/>
    <w:rsid w:val="0033445D"/>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33445D"/>
    <w:rPr>
      <w:rFonts w:ascii="Arial" w:eastAsia="Times New Roman" w:hAnsi="Arial"/>
      <w:color w:val="373737"/>
      <w:sz w:val="16"/>
      <w:szCs w:val="16"/>
    </w:rPr>
  </w:style>
  <w:style w:type="paragraph" w:styleId="TableofFigures">
    <w:name w:val="table of figures"/>
    <w:basedOn w:val="Normal"/>
    <w:next w:val="Normal"/>
    <w:uiPriority w:val="99"/>
    <w:rsid w:val="00157FA6"/>
    <w:pPr>
      <w:tabs>
        <w:tab w:val="right" w:pos="13892"/>
      </w:tabs>
      <w:spacing w:after="40"/>
      <w:ind w:left="442" w:right="805" w:hanging="442"/>
    </w:pPr>
    <w:rPr>
      <w:rFonts w:asciiTheme="minorHAnsi" w:eastAsia="Times New Roman" w:hAnsiTheme="minorHAnsi"/>
      <w:bCs/>
      <w:noProof/>
      <w:lang w:val="en-US"/>
    </w:rPr>
  </w:style>
  <w:style w:type="character" w:styleId="FootnoteReference">
    <w:name w:val="footnote reference"/>
    <w:basedOn w:val="DefaultParagraphFont"/>
    <w:uiPriority w:val="19"/>
    <w:rsid w:val="0033445D"/>
    <w:rPr>
      <w:vertAlign w:val="superscript"/>
    </w:rPr>
  </w:style>
  <w:style w:type="character" w:styleId="PageNumber">
    <w:name w:val="page number"/>
    <w:rsid w:val="0033445D"/>
    <w:rPr>
      <w:rFonts w:ascii="Arial" w:hAnsi="Arial"/>
      <w:sz w:val="18"/>
    </w:rPr>
  </w:style>
  <w:style w:type="paragraph" w:styleId="BodyText">
    <w:name w:val="Body Text"/>
    <w:link w:val="BodyTextChar"/>
    <w:qFormat/>
    <w:rsid w:val="0033445D"/>
    <w:pPr>
      <w:spacing w:after="120" w:line="270" w:lineRule="exact"/>
    </w:pPr>
    <w:rPr>
      <w:color w:val="373737"/>
      <w:sz w:val="20"/>
    </w:rPr>
  </w:style>
  <w:style w:type="character" w:customStyle="1" w:styleId="BodyTextChar">
    <w:name w:val="Body Text Char"/>
    <w:basedOn w:val="DefaultParagraphFont"/>
    <w:link w:val="BodyText"/>
    <w:rsid w:val="0033445D"/>
    <w:rPr>
      <w:color w:val="373737"/>
      <w:sz w:val="20"/>
    </w:rPr>
  </w:style>
  <w:style w:type="paragraph" w:styleId="Subtitle">
    <w:name w:val="Subtitle"/>
    <w:basedOn w:val="Normal"/>
    <w:next w:val="Normal"/>
    <w:link w:val="SubtitleChar"/>
    <w:rsid w:val="0033445D"/>
    <w:pPr>
      <w:numPr>
        <w:ilvl w:val="1"/>
      </w:numPr>
      <w:spacing w:line="240" w:lineRule="auto"/>
    </w:pPr>
    <w:rPr>
      <w:rFonts w:asciiTheme="majorHAnsi" w:eastAsiaTheme="majorEastAsia" w:hAnsiTheme="majorHAnsi" w:cstheme="majorBidi"/>
      <w:iCs/>
      <w:color w:val="005CAF" w:themeColor="accent1"/>
      <w:spacing w:val="15"/>
      <w:sz w:val="32"/>
      <w:szCs w:val="24"/>
    </w:rPr>
  </w:style>
  <w:style w:type="character" w:customStyle="1" w:styleId="SubtitleChar">
    <w:name w:val="Subtitle Char"/>
    <w:basedOn w:val="DefaultParagraphFont"/>
    <w:link w:val="Subtitle"/>
    <w:rsid w:val="0033445D"/>
    <w:rPr>
      <w:rFonts w:asciiTheme="majorHAnsi" w:eastAsiaTheme="majorEastAsia" w:hAnsiTheme="majorHAnsi" w:cstheme="majorBidi"/>
      <w:iCs/>
      <w:color w:val="005CAF" w:themeColor="accent1"/>
      <w:spacing w:val="15"/>
      <w:sz w:val="32"/>
      <w:szCs w:val="24"/>
    </w:rPr>
  </w:style>
  <w:style w:type="character" w:styleId="Hyperlink">
    <w:name w:val="Hyperlink"/>
    <w:uiPriority w:val="99"/>
    <w:rsid w:val="0033445D"/>
    <w:rPr>
      <w:color w:val="005CAF"/>
      <w:u w:val="none"/>
    </w:rPr>
  </w:style>
  <w:style w:type="table" w:styleId="Table3Deffects1">
    <w:name w:val="Table 3D effects 1"/>
    <w:basedOn w:val="TableNormal"/>
    <w:rsid w:val="0033445D"/>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33445D"/>
    <w:rPr>
      <w:rFonts w:ascii="Tahoma" w:eastAsia="Times New Roman" w:hAnsi="Tahoma" w:cs="Tahoma"/>
      <w:sz w:val="16"/>
      <w:szCs w:val="16"/>
    </w:rPr>
  </w:style>
  <w:style w:type="character" w:customStyle="1" w:styleId="BalloonTextChar">
    <w:name w:val="Balloon Text Char"/>
    <w:basedOn w:val="DefaultParagraphFont"/>
    <w:link w:val="BalloonText"/>
    <w:rsid w:val="0033445D"/>
    <w:rPr>
      <w:rFonts w:ascii="Tahoma" w:eastAsia="Times New Roman" w:hAnsi="Tahoma" w:cs="Tahoma"/>
      <w:color w:val="373737"/>
      <w:sz w:val="16"/>
      <w:szCs w:val="16"/>
    </w:rPr>
  </w:style>
  <w:style w:type="table" w:styleId="TableGrid">
    <w:name w:val="Table Grid"/>
    <w:basedOn w:val="TableNormal"/>
    <w:uiPriority w:val="59"/>
    <w:rsid w:val="0033445D"/>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45D"/>
    <w:rPr>
      <w:color w:val="808080"/>
    </w:rPr>
  </w:style>
  <w:style w:type="table" w:styleId="MediumGrid3-Accent1">
    <w:name w:val="Medium Grid 3 Accent 1"/>
    <w:basedOn w:val="TableNormal"/>
    <w:uiPriority w:val="69"/>
    <w:rsid w:val="0033445D"/>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33445D"/>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33445D"/>
    <w:rPr>
      <w:b/>
      <w:bCs/>
      <w:i/>
      <w:iCs/>
      <w:color w:val="005CAF" w:themeColor="accent1"/>
    </w:rPr>
  </w:style>
  <w:style w:type="paragraph" w:styleId="Bibliography">
    <w:name w:val="Bibliography"/>
    <w:basedOn w:val="Normal"/>
    <w:next w:val="Normal"/>
    <w:uiPriority w:val="37"/>
    <w:unhideWhenUsed/>
    <w:rsid w:val="0033445D"/>
    <w:rPr>
      <w:rFonts w:eastAsia="Times New Roman"/>
    </w:rPr>
  </w:style>
  <w:style w:type="paragraph" w:styleId="TOCHeading">
    <w:name w:val="TOC Heading"/>
    <w:basedOn w:val="Heading1"/>
    <w:next w:val="Normal"/>
    <w:uiPriority w:val="39"/>
    <w:unhideWhenUsed/>
    <w:qFormat/>
    <w:rsid w:val="0033445D"/>
    <w:pPr>
      <w:keepLines/>
      <w:spacing w:before="480" w:line="276" w:lineRule="auto"/>
      <w:ind w:left="0" w:firstLine="0"/>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33445D"/>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33445D"/>
    <w:pPr>
      <w:numPr>
        <w:numId w:val="3"/>
      </w:numPr>
    </w:pPr>
  </w:style>
  <w:style w:type="character" w:customStyle="1" w:styleId="Heading4Char">
    <w:name w:val="Heading 4 Char"/>
    <w:basedOn w:val="DefaultParagraphFont"/>
    <w:link w:val="Heading4"/>
    <w:uiPriority w:val="9"/>
    <w:rsid w:val="0033445D"/>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33445D"/>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qFormat/>
    <w:rsid w:val="0033445D"/>
    <w:pPr>
      <w:ind w:left="0" w:firstLine="0"/>
    </w:pPr>
    <w:rPr>
      <w:lang w:val="en"/>
    </w:rPr>
  </w:style>
  <w:style w:type="character" w:customStyle="1" w:styleId="ListParagraphChar">
    <w:name w:val="List Paragraph Char"/>
    <w:basedOn w:val="DefaultParagraphFont"/>
    <w:link w:val="ListParagraph"/>
    <w:uiPriority w:val="34"/>
    <w:rsid w:val="0033445D"/>
    <w:rPr>
      <w:color w:val="373737"/>
      <w:sz w:val="20"/>
      <w:lang w:val="en"/>
    </w:rPr>
  </w:style>
  <w:style w:type="numbering" w:customStyle="1" w:styleId="OCEBulletedList">
    <w:name w:val="OCE Bulleted List"/>
    <w:uiPriority w:val="99"/>
    <w:rsid w:val="0054708E"/>
    <w:pPr>
      <w:numPr>
        <w:numId w:val="4"/>
      </w:numPr>
    </w:pPr>
  </w:style>
  <w:style w:type="paragraph" w:styleId="ListBullet">
    <w:name w:val="List Bullet"/>
    <w:basedOn w:val="BodyText"/>
    <w:uiPriority w:val="4"/>
    <w:qFormat/>
    <w:rsid w:val="0054708E"/>
    <w:pPr>
      <w:spacing w:after="40"/>
      <w:ind w:left="340" w:hanging="340"/>
      <w:jc w:val="both"/>
    </w:pPr>
  </w:style>
  <w:style w:type="paragraph" w:styleId="ListContinue2">
    <w:name w:val="List Continue 2"/>
    <w:basedOn w:val="Normal"/>
    <w:rsid w:val="0033445D"/>
    <w:pPr>
      <w:spacing w:after="120"/>
      <w:ind w:left="566"/>
      <w:contextualSpacing/>
    </w:pPr>
  </w:style>
  <w:style w:type="paragraph" w:styleId="ListBullet2">
    <w:name w:val="List Bullet 2"/>
    <w:basedOn w:val="ListBullet"/>
    <w:uiPriority w:val="4"/>
    <w:qFormat/>
    <w:rsid w:val="00EC06C0"/>
  </w:style>
  <w:style w:type="paragraph" w:styleId="ListBullet4">
    <w:name w:val="List Bullet 4"/>
    <w:basedOn w:val="ListBullet3"/>
    <w:rsid w:val="002475D3"/>
  </w:style>
  <w:style w:type="paragraph" w:styleId="ListBullet3">
    <w:name w:val="List Bullet 3"/>
    <w:basedOn w:val="ListBullet2"/>
    <w:uiPriority w:val="4"/>
    <w:qFormat/>
    <w:rsid w:val="00EC06C0"/>
  </w:style>
  <w:style w:type="paragraph" w:styleId="ListNumber">
    <w:name w:val="List Number"/>
    <w:basedOn w:val="Normal"/>
    <w:uiPriority w:val="4"/>
    <w:qFormat/>
    <w:rsid w:val="0033445D"/>
    <w:pPr>
      <w:numPr>
        <w:numId w:val="5"/>
      </w:numPr>
      <w:spacing w:after="60"/>
      <w:jc w:val="both"/>
    </w:pPr>
  </w:style>
  <w:style w:type="paragraph" w:styleId="ListNumber2">
    <w:name w:val="List Number 2"/>
    <w:basedOn w:val="ListNumber"/>
    <w:uiPriority w:val="4"/>
    <w:qFormat/>
    <w:rsid w:val="0033445D"/>
    <w:pPr>
      <w:numPr>
        <w:ilvl w:val="1"/>
      </w:numPr>
    </w:pPr>
  </w:style>
  <w:style w:type="paragraph" w:styleId="ListNumber3">
    <w:name w:val="List Number 3"/>
    <w:basedOn w:val="ListNumber2"/>
    <w:uiPriority w:val="4"/>
    <w:qFormat/>
    <w:rsid w:val="0033445D"/>
    <w:pPr>
      <w:numPr>
        <w:ilvl w:val="2"/>
      </w:numPr>
    </w:pPr>
  </w:style>
  <w:style w:type="character" w:customStyle="1" w:styleId="Heading7Char">
    <w:name w:val="Heading 7 Char"/>
    <w:basedOn w:val="DefaultParagraphFont"/>
    <w:link w:val="Heading7"/>
    <w:uiPriority w:val="1"/>
    <w:rsid w:val="0033445D"/>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33445D"/>
    <w:pPr>
      <w:ind w:firstLine="360"/>
    </w:pPr>
    <w:rPr>
      <w:rFonts w:ascii="Arial" w:hAnsi="Arial"/>
    </w:rPr>
  </w:style>
  <w:style w:type="character" w:customStyle="1" w:styleId="BodyTextFirstIndentChar">
    <w:name w:val="Body Text First Indent Char"/>
    <w:basedOn w:val="BodyTextChar"/>
    <w:link w:val="BodyTextFirstIndent"/>
    <w:semiHidden/>
    <w:rsid w:val="0033445D"/>
    <w:rPr>
      <w:rFonts w:ascii="Arial" w:hAnsi="Arial"/>
      <w:color w:val="373737"/>
      <w:sz w:val="20"/>
    </w:rPr>
  </w:style>
  <w:style w:type="paragraph" w:styleId="BodyTextIndent">
    <w:name w:val="Body Text Indent"/>
    <w:basedOn w:val="Normal"/>
    <w:link w:val="BodyTextIndentChar"/>
    <w:semiHidden/>
    <w:unhideWhenUsed/>
    <w:rsid w:val="0033445D"/>
    <w:pPr>
      <w:spacing w:after="120"/>
      <w:ind w:left="283"/>
    </w:pPr>
  </w:style>
  <w:style w:type="character" w:customStyle="1" w:styleId="BodyTextIndentChar">
    <w:name w:val="Body Text Indent Char"/>
    <w:basedOn w:val="DefaultParagraphFont"/>
    <w:link w:val="BodyTextIndent"/>
    <w:semiHidden/>
    <w:rsid w:val="0033445D"/>
    <w:rPr>
      <w:rFonts w:ascii="Arial" w:hAnsi="Arial"/>
      <w:color w:val="373737"/>
      <w:sz w:val="20"/>
    </w:rPr>
  </w:style>
  <w:style w:type="paragraph" w:styleId="BodyTextFirstIndent2">
    <w:name w:val="Body Text First Indent 2"/>
    <w:basedOn w:val="BodyTextIndent"/>
    <w:link w:val="BodyTextFirstIndent2Char"/>
    <w:semiHidden/>
    <w:rsid w:val="0033445D"/>
    <w:pPr>
      <w:spacing w:after="180"/>
      <w:ind w:left="360" w:firstLine="360"/>
    </w:pPr>
  </w:style>
  <w:style w:type="character" w:customStyle="1" w:styleId="BodyTextFirstIndent2Char">
    <w:name w:val="Body Text First Indent 2 Char"/>
    <w:basedOn w:val="BodyTextIndentChar"/>
    <w:link w:val="BodyTextFirstIndent2"/>
    <w:semiHidden/>
    <w:rsid w:val="0033445D"/>
    <w:rPr>
      <w:rFonts w:ascii="Arial" w:hAnsi="Arial"/>
      <w:color w:val="373737"/>
      <w:sz w:val="20"/>
    </w:rPr>
  </w:style>
  <w:style w:type="character" w:customStyle="1" w:styleId="Heading8Char">
    <w:name w:val="Heading 8 Char"/>
    <w:basedOn w:val="DefaultParagraphFont"/>
    <w:link w:val="Heading8"/>
    <w:uiPriority w:val="1"/>
    <w:rsid w:val="0033445D"/>
    <w:rPr>
      <w:rFonts w:asciiTheme="majorHAnsi" w:eastAsiaTheme="majorEastAsia" w:hAnsiTheme="majorHAnsi" w:cstheme="majorBidi"/>
      <w:color w:val="005CAF"/>
      <w:sz w:val="20"/>
      <w:szCs w:val="20"/>
    </w:rPr>
  </w:style>
  <w:style w:type="paragraph" w:customStyle="1" w:styleId="Source">
    <w:name w:val="Source"/>
    <w:basedOn w:val="Normal"/>
    <w:next w:val="BodyText"/>
    <w:link w:val="SourceChar"/>
    <w:qFormat/>
    <w:rsid w:val="0033445D"/>
    <w:pPr>
      <w:spacing w:after="60" w:line="240" w:lineRule="auto"/>
    </w:pPr>
    <w:rPr>
      <w:rFonts w:eastAsia="Times New Roman" w:cs="Arial"/>
      <w:color w:val="005CAF"/>
      <w:sz w:val="16"/>
      <w:szCs w:val="20"/>
      <w:lang w:val="en"/>
    </w:rPr>
  </w:style>
  <w:style w:type="character" w:customStyle="1" w:styleId="SourceChar">
    <w:name w:val="Source Char"/>
    <w:basedOn w:val="DefaultParagraphFont"/>
    <w:link w:val="Source"/>
    <w:rsid w:val="0033445D"/>
    <w:rPr>
      <w:rFonts w:ascii="Arial" w:eastAsia="Times New Roman" w:hAnsi="Arial" w:cs="Arial"/>
      <w:color w:val="005CAF"/>
      <w:sz w:val="16"/>
      <w:szCs w:val="20"/>
      <w:lang w:val="en"/>
    </w:rPr>
  </w:style>
  <w:style w:type="paragraph" w:customStyle="1" w:styleId="Tabletext">
    <w:name w:val="Table text"/>
    <w:basedOn w:val="Normal"/>
    <w:link w:val="TabletextChar"/>
    <w:qFormat/>
    <w:rsid w:val="0033445D"/>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33445D"/>
    <w:rPr>
      <w:rFonts w:ascii="Arial" w:hAnsi="Arial" w:cs="Arial"/>
      <w:color w:val="373737"/>
      <w:sz w:val="18"/>
      <w:szCs w:val="18"/>
    </w:rPr>
  </w:style>
  <w:style w:type="paragraph" w:customStyle="1" w:styleId="Tableheader">
    <w:name w:val="Table header"/>
    <w:basedOn w:val="Normal"/>
    <w:link w:val="TableheaderChar"/>
    <w:qFormat/>
    <w:rsid w:val="0033445D"/>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33445D"/>
    <w:rPr>
      <w:rFonts w:ascii="Arial" w:hAnsi="Arial" w:cs="Arial"/>
      <w:b/>
      <w:color w:val="FFFFFF"/>
      <w:sz w:val="18"/>
      <w:szCs w:val="18"/>
    </w:rPr>
  </w:style>
  <w:style w:type="paragraph" w:styleId="Caption">
    <w:name w:val="caption"/>
    <w:basedOn w:val="Normal"/>
    <w:next w:val="BodyText"/>
    <w:rsid w:val="0033445D"/>
    <w:pPr>
      <w:keepNext/>
      <w:keepLines/>
      <w:spacing w:after="60" w:line="240" w:lineRule="auto"/>
    </w:pPr>
    <w:rPr>
      <w:b/>
      <w:bCs/>
      <w:color w:val="005CAF"/>
      <w:szCs w:val="18"/>
    </w:rPr>
  </w:style>
  <w:style w:type="paragraph" w:customStyle="1" w:styleId="Note">
    <w:name w:val="Note"/>
    <w:basedOn w:val="Source"/>
    <w:rsid w:val="0033445D"/>
    <w:pPr>
      <w:keepNext/>
    </w:pPr>
  </w:style>
  <w:style w:type="table" w:customStyle="1" w:styleId="OCETable">
    <w:name w:val="OCE Table"/>
    <w:basedOn w:val="TableNormal"/>
    <w:uiPriority w:val="99"/>
    <w:rsid w:val="0033445D"/>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3445D"/>
    <w:pPr>
      <w:ind w:left="-1985"/>
    </w:pPr>
  </w:style>
  <w:style w:type="paragraph" w:customStyle="1" w:styleId="NoteWide">
    <w:name w:val="Note Wide"/>
    <w:basedOn w:val="Note"/>
    <w:rsid w:val="0033445D"/>
    <w:pPr>
      <w:ind w:left="-1985"/>
    </w:pPr>
  </w:style>
  <w:style w:type="paragraph" w:customStyle="1" w:styleId="SourceWide">
    <w:name w:val="Source Wide"/>
    <w:basedOn w:val="Source"/>
    <w:next w:val="BodyText"/>
    <w:rsid w:val="0033445D"/>
    <w:pPr>
      <w:ind w:left="-1985"/>
    </w:pPr>
  </w:style>
  <w:style w:type="paragraph" w:customStyle="1" w:styleId="Placeholder">
    <w:name w:val="Placeholder"/>
    <w:basedOn w:val="Normal"/>
    <w:rsid w:val="00B37576"/>
    <w:pPr>
      <w:widowControl w:val="0"/>
      <w:spacing w:after="0" w:line="240" w:lineRule="auto"/>
    </w:pPr>
    <w:rPr>
      <w:sz w:val="18"/>
    </w:rPr>
  </w:style>
  <w:style w:type="paragraph" w:customStyle="1" w:styleId="PlaceholderWide">
    <w:name w:val="Placeholder Wide"/>
    <w:basedOn w:val="Placeholder"/>
    <w:rsid w:val="00B37576"/>
  </w:style>
  <w:style w:type="paragraph" w:customStyle="1" w:styleId="Boxtext">
    <w:name w:val="Box text"/>
    <w:basedOn w:val="Placeholder"/>
    <w:rsid w:val="0033445D"/>
    <w:pPr>
      <w:spacing w:after="180" w:line="270" w:lineRule="exact"/>
    </w:pPr>
    <w:rPr>
      <w:rFonts w:eastAsia="Times New Roman" w:cs="Arial"/>
      <w:sz w:val="20"/>
      <w:szCs w:val="18"/>
      <w:lang w:val="en"/>
    </w:rPr>
  </w:style>
  <w:style w:type="numbering" w:customStyle="1" w:styleId="OCENumberedList">
    <w:name w:val="OCE Numbered List"/>
    <w:uiPriority w:val="99"/>
    <w:rsid w:val="0033445D"/>
    <w:pPr>
      <w:numPr>
        <w:numId w:val="52"/>
      </w:numPr>
    </w:pPr>
  </w:style>
  <w:style w:type="paragraph" w:customStyle="1" w:styleId="UnnumberedHeading">
    <w:name w:val="Unnumbered Heading"/>
    <w:next w:val="BodyText"/>
    <w:link w:val="UnnumberedHeadingChar"/>
    <w:rsid w:val="0033445D"/>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33445D"/>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33445D"/>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33445D"/>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33445D"/>
    <w:pPr>
      <w:spacing w:before="240" w:line="270" w:lineRule="exact"/>
    </w:pPr>
    <w:rPr>
      <w:rFonts w:eastAsia="Times New Roman" w:cs="Arial"/>
      <w:b/>
      <w:caps/>
      <w:sz w:val="21"/>
      <w:szCs w:val="20"/>
    </w:rPr>
  </w:style>
  <w:style w:type="character" w:customStyle="1" w:styleId="ResearchPaperChar">
    <w:name w:val="Research Paper # Char"/>
    <w:link w:val="ResearchPaper"/>
    <w:rsid w:val="0033445D"/>
    <w:rPr>
      <w:rFonts w:ascii="Arial" w:eastAsia="Times New Roman" w:hAnsi="Arial" w:cs="Arial"/>
      <w:b/>
      <w:caps/>
      <w:color w:val="373737"/>
      <w:sz w:val="21"/>
      <w:szCs w:val="20"/>
    </w:rPr>
  </w:style>
  <w:style w:type="paragraph" w:customStyle="1" w:styleId="Author">
    <w:name w:val="Author"/>
    <w:basedOn w:val="Normal"/>
    <w:link w:val="AuthorChar"/>
    <w:rsid w:val="0033445D"/>
    <w:pPr>
      <w:spacing w:before="180"/>
    </w:pPr>
    <w:rPr>
      <w:rFonts w:eastAsia="Times New Roman" w:cs="Arial"/>
      <w:b/>
      <w:color w:val="005CAF"/>
      <w:sz w:val="32"/>
      <w:szCs w:val="20"/>
    </w:rPr>
  </w:style>
  <w:style w:type="character" w:customStyle="1" w:styleId="AuthorChar">
    <w:name w:val="Author Char"/>
    <w:basedOn w:val="DefaultParagraphFont"/>
    <w:link w:val="Author"/>
    <w:rsid w:val="0033445D"/>
    <w:rPr>
      <w:rFonts w:ascii="Arial" w:eastAsia="Times New Roman" w:hAnsi="Arial" w:cs="Arial"/>
      <w:b/>
      <w:color w:val="005CAF"/>
      <w:sz w:val="32"/>
      <w:szCs w:val="20"/>
    </w:rPr>
  </w:style>
  <w:style w:type="paragraph" w:customStyle="1" w:styleId="MonthYear">
    <w:name w:val="Month Year"/>
    <w:basedOn w:val="Normal"/>
    <w:link w:val="MonthYearChar"/>
    <w:qFormat/>
    <w:rsid w:val="0033445D"/>
    <w:pPr>
      <w:spacing w:before="720"/>
    </w:pPr>
    <w:rPr>
      <w:rFonts w:asciiTheme="minorHAnsi" w:eastAsia="Times New Roman" w:hAnsiTheme="minorHAnsi" w:cs="Arial"/>
      <w:b/>
      <w:color w:val="56B4DF"/>
      <w:sz w:val="32"/>
      <w:szCs w:val="20"/>
    </w:rPr>
  </w:style>
  <w:style w:type="character" w:customStyle="1" w:styleId="MonthYearChar">
    <w:name w:val="Month Year Char"/>
    <w:basedOn w:val="DefaultParagraphFont"/>
    <w:link w:val="MonthYear"/>
    <w:rsid w:val="0033445D"/>
    <w:rPr>
      <w:rFonts w:eastAsia="Times New Roman" w:cs="Arial"/>
      <w:b/>
      <w:color w:val="56B4DF"/>
      <w:sz w:val="32"/>
      <w:szCs w:val="20"/>
    </w:rPr>
  </w:style>
  <w:style w:type="paragraph" w:customStyle="1" w:styleId="AbstractHeader">
    <w:name w:val="Abstract Header"/>
    <w:basedOn w:val="Normal"/>
    <w:link w:val="AbstractHeaderChar"/>
    <w:qFormat/>
    <w:rsid w:val="0033445D"/>
    <w:pPr>
      <w:spacing w:before="360"/>
    </w:pPr>
    <w:rPr>
      <w:rFonts w:eastAsia="Times New Roman" w:cs="Arial"/>
      <w:color w:val="005CAF"/>
      <w:sz w:val="32"/>
      <w:szCs w:val="20"/>
    </w:rPr>
  </w:style>
  <w:style w:type="character" w:customStyle="1" w:styleId="AbstractHeaderChar">
    <w:name w:val="Abstract Header Char"/>
    <w:basedOn w:val="DefaultParagraphFont"/>
    <w:link w:val="AbstractHeader"/>
    <w:rsid w:val="0033445D"/>
    <w:rPr>
      <w:rFonts w:ascii="Arial" w:eastAsia="Times New Roman" w:hAnsi="Arial" w:cs="Arial"/>
      <w:color w:val="005CAF"/>
      <w:sz w:val="32"/>
      <w:szCs w:val="20"/>
    </w:rPr>
  </w:style>
  <w:style w:type="numbering" w:customStyle="1" w:styleId="EASDMultilevelList">
    <w:name w:val="EASD Multilevel List"/>
    <w:uiPriority w:val="99"/>
    <w:rsid w:val="0033445D"/>
    <w:pPr>
      <w:numPr>
        <w:numId w:val="6"/>
      </w:numPr>
    </w:pPr>
  </w:style>
  <w:style w:type="numbering" w:styleId="111111">
    <w:name w:val="Outline List 2"/>
    <w:basedOn w:val="NoList"/>
    <w:rsid w:val="0033445D"/>
    <w:pPr>
      <w:numPr>
        <w:numId w:val="1"/>
      </w:numPr>
    </w:pPr>
  </w:style>
  <w:style w:type="paragraph" w:customStyle="1" w:styleId="Abstractbodytext">
    <w:name w:val="Abstract body text"/>
    <w:basedOn w:val="CoverNormal"/>
    <w:link w:val="AbstractbodytextChar"/>
    <w:uiPriority w:val="9"/>
    <w:semiHidden/>
    <w:rsid w:val="0033445D"/>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33445D"/>
    <w:rPr>
      <w:rFonts w:ascii="Arial" w:eastAsia="Times New Roman" w:hAnsi="Arial" w:cs="Arial"/>
      <w:color w:val="373737"/>
      <w:sz w:val="20"/>
      <w:szCs w:val="20"/>
      <w:lang w:val="en"/>
    </w:rPr>
  </w:style>
  <w:style w:type="paragraph" w:customStyle="1" w:styleId="CoverNormal">
    <w:name w:val="Cover Normal"/>
    <w:basedOn w:val="Normal"/>
    <w:rsid w:val="0033445D"/>
    <w:pPr>
      <w:spacing w:line="240" w:lineRule="auto"/>
    </w:pPr>
  </w:style>
  <w:style w:type="paragraph" w:customStyle="1" w:styleId="TitleHeading">
    <w:name w:val="Title Heading"/>
    <w:link w:val="TitleHeadingChar"/>
    <w:qFormat/>
    <w:rsid w:val="0033445D"/>
    <w:pPr>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3445D"/>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DC1D9F"/>
    <w:pPr>
      <w:numPr>
        <w:numId w:val="7"/>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DC1D9F"/>
    <w:rPr>
      <w:rFonts w:eastAsia="Times New Roman" w:cs="Arial"/>
      <w:b/>
      <w:color w:val="373737"/>
      <w:sz w:val="20"/>
      <w:szCs w:val="20"/>
      <w:lang w:val="en"/>
    </w:rPr>
  </w:style>
  <w:style w:type="paragraph" w:styleId="Header">
    <w:name w:val="header"/>
    <w:aliases w:val="HeaderPort"/>
    <w:basedOn w:val="Normal"/>
    <w:link w:val="HeaderChar"/>
    <w:unhideWhenUsed/>
    <w:rsid w:val="0033445D"/>
    <w:pPr>
      <w:spacing w:after="0" w:line="240" w:lineRule="auto"/>
    </w:pPr>
  </w:style>
  <w:style w:type="character" w:customStyle="1" w:styleId="HeaderChar">
    <w:name w:val="Header Char"/>
    <w:aliases w:val="HeaderPort Char"/>
    <w:basedOn w:val="DefaultParagraphFont"/>
    <w:link w:val="Header"/>
    <w:rsid w:val="0033445D"/>
    <w:rPr>
      <w:rFonts w:ascii="Arial" w:hAnsi="Arial"/>
      <w:color w:val="373737"/>
      <w:sz w:val="20"/>
    </w:rPr>
  </w:style>
  <w:style w:type="paragraph" w:customStyle="1" w:styleId="CoverAbstract">
    <w:name w:val="Cover Abstract"/>
    <w:basedOn w:val="Normal"/>
    <w:uiPriority w:val="10"/>
    <w:rsid w:val="0033445D"/>
    <w:rPr>
      <w:lang w:val="en"/>
    </w:rPr>
  </w:style>
  <w:style w:type="paragraph" w:customStyle="1" w:styleId="ReportCoverContact">
    <w:name w:val="Report Cover Contact"/>
    <w:basedOn w:val="Normal"/>
    <w:rsid w:val="0033445D"/>
    <w:pPr>
      <w:spacing w:after="60"/>
    </w:pPr>
    <w:rPr>
      <w:rFonts w:eastAsia="Calibri" w:cs="Arial"/>
      <w:sz w:val="16"/>
      <w:szCs w:val="18"/>
      <w:lang w:val="en"/>
    </w:rPr>
  </w:style>
  <w:style w:type="paragraph" w:customStyle="1" w:styleId="ReportCoverInformation">
    <w:name w:val="Report Cover Information"/>
    <w:basedOn w:val="Normal"/>
    <w:rsid w:val="0033445D"/>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157FA6"/>
    <w:pPr>
      <w:tabs>
        <w:tab w:val="right" w:pos="13892"/>
      </w:tabs>
      <w:spacing w:after="60"/>
      <w:ind w:left="1134" w:right="805" w:hanging="567"/>
    </w:pPr>
    <w:rPr>
      <w:noProof/>
    </w:rPr>
  </w:style>
  <w:style w:type="paragraph" w:styleId="TOC3">
    <w:name w:val="toc 3"/>
    <w:basedOn w:val="Normal"/>
    <w:next w:val="Normal"/>
    <w:autoRedefine/>
    <w:uiPriority w:val="39"/>
    <w:rsid w:val="00157FA6"/>
    <w:pPr>
      <w:tabs>
        <w:tab w:val="right" w:pos="13892"/>
      </w:tabs>
      <w:spacing w:after="60"/>
      <w:ind w:left="1843" w:right="805"/>
    </w:pPr>
    <w:rPr>
      <w:noProof/>
    </w:rPr>
  </w:style>
  <w:style w:type="paragraph" w:styleId="TOC6">
    <w:name w:val="toc 6"/>
    <w:basedOn w:val="Normal"/>
    <w:next w:val="Normal"/>
    <w:autoRedefine/>
    <w:uiPriority w:val="39"/>
    <w:rsid w:val="00157FA6"/>
    <w:pPr>
      <w:tabs>
        <w:tab w:val="right" w:pos="13892"/>
      </w:tabs>
      <w:spacing w:before="120" w:after="60"/>
      <w:ind w:left="1559" w:right="805" w:hanging="1559"/>
    </w:pPr>
    <w:rPr>
      <w:b/>
      <w:noProof/>
    </w:rPr>
  </w:style>
  <w:style w:type="paragraph" w:customStyle="1" w:styleId="Contents">
    <w:name w:val="Contents"/>
    <w:basedOn w:val="CoverNormal"/>
    <w:rsid w:val="0033445D"/>
    <w:pPr>
      <w:pageBreakBefore/>
      <w:jc w:val="center"/>
    </w:pPr>
    <w:rPr>
      <w:rFonts w:asciiTheme="majorHAnsi" w:hAnsiTheme="majorHAnsi" w:cstheme="majorHAnsi"/>
      <w:b/>
      <w:color w:val="005CAF"/>
      <w:sz w:val="52"/>
      <w:szCs w:val="52"/>
    </w:rPr>
  </w:style>
  <w:style w:type="paragraph" w:customStyle="1" w:styleId="CreativeCommonsLicence">
    <w:name w:val="Creative Commons Licence"/>
    <w:basedOn w:val="CoverHeadings"/>
    <w:next w:val="DisclaimerandAcknowledgement"/>
    <w:rsid w:val="0033445D"/>
    <w:pPr>
      <w:keepNext/>
      <w:outlineLvl w:val="7"/>
    </w:pPr>
  </w:style>
  <w:style w:type="paragraph" w:customStyle="1" w:styleId="Keypointsheader">
    <w:name w:val="Key points header"/>
    <w:basedOn w:val="BodyText"/>
    <w:link w:val="KeypointsheaderChar"/>
    <w:qFormat/>
    <w:rsid w:val="00172EF5"/>
    <w:pPr>
      <w:keepNext/>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2EF5"/>
    <w:rPr>
      <w:rFonts w:eastAsia="Times New Roman" w:cs="Times New Roman"/>
      <w:b/>
      <w:color w:val="005CAF"/>
      <w:sz w:val="32"/>
      <w:szCs w:val="20"/>
    </w:rPr>
  </w:style>
  <w:style w:type="paragraph" w:customStyle="1" w:styleId="AbstractText">
    <w:name w:val="Abstract Text"/>
    <w:basedOn w:val="CoverNormal"/>
    <w:rsid w:val="0033445D"/>
    <w:pPr>
      <w:spacing w:before="60" w:after="60" w:line="260" w:lineRule="exact"/>
    </w:pPr>
  </w:style>
  <w:style w:type="paragraph" w:customStyle="1" w:styleId="JELCodeheader">
    <w:name w:val="JEL Code header"/>
    <w:link w:val="JELCodeheaderChar"/>
    <w:qFormat/>
    <w:rsid w:val="0033445D"/>
    <w:pPr>
      <w:spacing w:after="0" w:line="270" w:lineRule="exact"/>
      <w:jc w:val="both"/>
    </w:pPr>
    <w:rPr>
      <w:rFonts w:ascii="Arial" w:eastAsia="Times New Roman" w:hAnsi="Arial" w:cs="Arial"/>
      <w:b/>
      <w:color w:val="005CAF"/>
      <w:sz w:val="20"/>
      <w:szCs w:val="20"/>
      <w:lang w:val="en"/>
    </w:rPr>
  </w:style>
  <w:style w:type="character" w:customStyle="1" w:styleId="JELCodeheaderChar">
    <w:name w:val="JEL Code header Char"/>
    <w:basedOn w:val="DefaultParagraphFont"/>
    <w:link w:val="JELCodeheader"/>
    <w:rsid w:val="0033445D"/>
    <w:rPr>
      <w:rFonts w:ascii="Arial" w:eastAsia="Times New Roman" w:hAnsi="Arial" w:cs="Arial"/>
      <w:b/>
      <w:color w:val="005CAF"/>
      <w:sz w:val="20"/>
      <w:szCs w:val="20"/>
      <w:lang w:val="en"/>
    </w:rPr>
  </w:style>
  <w:style w:type="paragraph" w:customStyle="1" w:styleId="DisclaimerandAcknowledgement">
    <w:name w:val="Disclaimer and Acknowledgement"/>
    <w:basedOn w:val="Normal"/>
    <w:link w:val="DisclaimerandAcknowledgementChar"/>
    <w:qFormat/>
    <w:rsid w:val="0033445D"/>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33445D"/>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33445D"/>
    <w:rPr>
      <w:rFonts w:eastAsia="Calibri" w:cs="Times New Roman"/>
      <w:color w:val="005CAF"/>
      <w:szCs w:val="20"/>
    </w:rPr>
  </w:style>
  <w:style w:type="character" w:customStyle="1" w:styleId="HyperlinkStyleChar">
    <w:name w:val="Hyperlink Style Char"/>
    <w:link w:val="HyperlinkStyle"/>
    <w:rsid w:val="0033445D"/>
    <w:rPr>
      <w:rFonts w:ascii="Arial" w:eastAsia="Calibri" w:hAnsi="Arial" w:cs="Times New Roman"/>
      <w:color w:val="005CAF"/>
      <w:sz w:val="20"/>
      <w:szCs w:val="20"/>
    </w:rPr>
  </w:style>
  <w:style w:type="paragraph" w:customStyle="1" w:styleId="CoverHeadings">
    <w:name w:val="Cover Headings"/>
    <w:basedOn w:val="Normal"/>
    <w:next w:val="Normal"/>
    <w:link w:val="CoverHeadingsChar"/>
    <w:qFormat/>
    <w:rsid w:val="0033445D"/>
    <w:pPr>
      <w:spacing w:before="340" w:after="120" w:line="240" w:lineRule="atLeast"/>
      <w:ind w:right="57"/>
    </w:pPr>
    <w:rPr>
      <w:rFonts w:eastAsia="Times New Roman" w:cs="Times New Roman"/>
      <w:b/>
      <w:color w:val="005CAF"/>
      <w:szCs w:val="20"/>
      <w:lang w:val="en"/>
    </w:rPr>
  </w:style>
  <w:style w:type="character" w:customStyle="1" w:styleId="CoverHeadingsChar">
    <w:name w:val="Cover Headings Char"/>
    <w:basedOn w:val="DefaultParagraphFont"/>
    <w:link w:val="CoverHeadings"/>
    <w:rsid w:val="0033445D"/>
    <w:rPr>
      <w:rFonts w:ascii="Arial" w:eastAsia="Times New Roman" w:hAnsi="Arial" w:cs="Times New Roman"/>
      <w:b/>
      <w:color w:val="005CAF"/>
      <w:sz w:val="20"/>
      <w:szCs w:val="20"/>
      <w:lang w:val="en"/>
    </w:rPr>
  </w:style>
  <w:style w:type="paragraph" w:styleId="Quote">
    <w:name w:val="Quote"/>
    <w:basedOn w:val="Normal"/>
    <w:next w:val="Normal"/>
    <w:link w:val="QuoteChar"/>
    <w:uiPriority w:val="29"/>
    <w:rsid w:val="0033445D"/>
    <w:pPr>
      <w:spacing w:after="120"/>
      <w:ind w:left="284" w:right="522"/>
    </w:pPr>
    <w:rPr>
      <w:rFonts w:asciiTheme="minorHAnsi" w:hAnsiTheme="minorHAnsi"/>
      <w:iCs/>
      <w:sz w:val="18"/>
    </w:rPr>
  </w:style>
  <w:style w:type="character" w:customStyle="1" w:styleId="QuoteChar">
    <w:name w:val="Quote Char"/>
    <w:basedOn w:val="DefaultParagraphFont"/>
    <w:link w:val="Quote"/>
    <w:uiPriority w:val="29"/>
    <w:rsid w:val="0033445D"/>
    <w:rPr>
      <w:iCs/>
      <w:color w:val="373737"/>
      <w:sz w:val="18"/>
    </w:rPr>
  </w:style>
  <w:style w:type="paragraph" w:customStyle="1" w:styleId="TableListBullet">
    <w:name w:val="Table List Bullet"/>
    <w:basedOn w:val="Tabletext"/>
    <w:rsid w:val="0033445D"/>
    <w:pPr>
      <w:numPr>
        <w:numId w:val="8"/>
      </w:numPr>
    </w:pPr>
    <w:rPr>
      <w:rFonts w:eastAsia="Times New Roman"/>
      <w:lang w:eastAsia="en-AU"/>
    </w:rPr>
  </w:style>
  <w:style w:type="numbering" w:customStyle="1" w:styleId="OCETableBullets">
    <w:name w:val="OCE Table Bullets"/>
    <w:uiPriority w:val="99"/>
    <w:rsid w:val="0033445D"/>
    <w:pPr>
      <w:numPr>
        <w:numId w:val="8"/>
      </w:numPr>
    </w:pPr>
  </w:style>
  <w:style w:type="paragraph" w:customStyle="1" w:styleId="Logo">
    <w:name w:val="Logo"/>
    <w:basedOn w:val="Normal"/>
    <w:next w:val="CoverHeadings"/>
    <w:rsid w:val="0033445D"/>
    <w:pPr>
      <w:spacing w:before="600"/>
    </w:pPr>
    <w:rPr>
      <w:noProof/>
      <w:lang w:eastAsia="en-AU"/>
    </w:rPr>
  </w:style>
  <w:style w:type="paragraph" w:customStyle="1" w:styleId="SideQuote">
    <w:name w:val="Side Quote"/>
    <w:basedOn w:val="Normal"/>
    <w:next w:val="SideQuoteSource"/>
    <w:link w:val="SideQuoteChar"/>
    <w:rsid w:val="0033445D"/>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33445D"/>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33445D"/>
    <w:pPr>
      <w:framePr w:wrap="around"/>
      <w:jc w:val="right"/>
    </w:pPr>
    <w:rPr>
      <w:i/>
      <w:color w:val="005CAF"/>
    </w:rPr>
  </w:style>
  <w:style w:type="paragraph" w:customStyle="1" w:styleId="LetterBody">
    <w:name w:val="Letter Body"/>
    <w:qFormat/>
    <w:rsid w:val="0033445D"/>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33445D"/>
    <w:pPr>
      <w:spacing w:after="80"/>
      <w:ind w:left="1701"/>
    </w:pPr>
    <w:rPr>
      <w:sz w:val="16"/>
      <w:szCs w:val="16"/>
    </w:rPr>
  </w:style>
  <w:style w:type="paragraph" w:customStyle="1" w:styleId="Addressee">
    <w:name w:val="Addressee"/>
    <w:qFormat/>
    <w:rsid w:val="0033445D"/>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33445D"/>
    <w:rPr>
      <w:color w:val="373737"/>
    </w:rPr>
  </w:style>
  <w:style w:type="paragraph" w:customStyle="1" w:styleId="LetterSalutation">
    <w:name w:val="Letter Salutation"/>
    <w:basedOn w:val="LetterBody"/>
    <w:qFormat/>
    <w:rsid w:val="0033445D"/>
  </w:style>
  <w:style w:type="paragraph" w:customStyle="1" w:styleId="LetterSignature">
    <w:name w:val="Letter Signature"/>
    <w:basedOn w:val="LetterNormal"/>
    <w:qFormat/>
    <w:rsid w:val="0033445D"/>
    <w:pPr>
      <w:tabs>
        <w:tab w:val="left" w:pos="6200"/>
      </w:tabs>
    </w:pPr>
    <w:rPr>
      <w:color w:val="373737"/>
    </w:rPr>
  </w:style>
  <w:style w:type="paragraph" w:customStyle="1" w:styleId="LetterNormal">
    <w:name w:val="Letter Normal"/>
    <w:basedOn w:val="Normal"/>
    <w:qFormat/>
    <w:rsid w:val="0033445D"/>
    <w:pPr>
      <w:suppressAutoHyphens/>
      <w:spacing w:after="0" w:line="240" w:lineRule="auto"/>
    </w:pPr>
    <w:rPr>
      <w:rFonts w:eastAsia="Times New Roman" w:cs="Times New Roman"/>
      <w:color w:val="auto"/>
      <w:szCs w:val="20"/>
      <w:lang w:eastAsia="en-AU"/>
    </w:rPr>
  </w:style>
  <w:style w:type="paragraph" w:customStyle="1" w:styleId="LetterAddressBlock">
    <w:name w:val="Letter Address Block"/>
    <w:basedOn w:val="LetterNormal"/>
    <w:qFormat/>
    <w:rsid w:val="0033445D"/>
    <w:pPr>
      <w:spacing w:after="80"/>
      <w:ind w:left="1701"/>
    </w:pPr>
    <w:rPr>
      <w:sz w:val="16"/>
      <w:szCs w:val="16"/>
    </w:rPr>
  </w:style>
  <w:style w:type="paragraph" w:customStyle="1" w:styleId="AgendaBodyText">
    <w:name w:val="Agenda Body Text"/>
    <w:qFormat/>
    <w:rsid w:val="0033445D"/>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3445D"/>
    <w:pPr>
      <w:spacing w:before="200" w:after="0" w:line="240" w:lineRule="auto"/>
    </w:pPr>
    <w:rPr>
      <w:rFonts w:ascii="Arial" w:hAnsi="Arial"/>
      <w:b/>
      <w:color w:val="22789A"/>
    </w:rPr>
  </w:style>
  <w:style w:type="paragraph" w:customStyle="1" w:styleId="AgendaTableSubHeading">
    <w:name w:val="Agenda Table Sub Heading"/>
    <w:qFormat/>
    <w:rsid w:val="0033445D"/>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33445D"/>
    <w:pPr>
      <w:spacing w:before="200" w:after="0" w:line="240" w:lineRule="auto"/>
    </w:pPr>
    <w:rPr>
      <w:rFonts w:ascii="Arial" w:eastAsia="Times New Roman" w:hAnsi="Arial"/>
      <w:b/>
      <w:color w:val="005CAF"/>
      <w:lang w:eastAsia="en-AU"/>
    </w:rPr>
  </w:style>
  <w:style w:type="paragraph" w:customStyle="1" w:styleId="address">
    <w:name w:val="address"/>
    <w:basedOn w:val="Normal"/>
    <w:rsid w:val="0033445D"/>
    <w:pPr>
      <w:suppressAutoHyphens/>
      <w:spacing w:after="240" w:line="240" w:lineRule="auto"/>
      <w:jc w:val="right"/>
    </w:pPr>
    <w:rPr>
      <w:rFonts w:eastAsia="Times New Roman" w:cs="Times New Roman"/>
      <w:color w:val="auto"/>
      <w:szCs w:val="20"/>
      <w:lang w:val="en-GB" w:eastAsia="en-AU"/>
    </w:rPr>
  </w:style>
  <w:style w:type="paragraph" w:styleId="ListNumber4">
    <w:name w:val="List Number 4"/>
    <w:basedOn w:val="Normal"/>
    <w:rsid w:val="0033445D"/>
    <w:pPr>
      <w:numPr>
        <w:ilvl w:val="3"/>
        <w:numId w:val="5"/>
      </w:numPr>
      <w:spacing w:after="60"/>
      <w:contextualSpacing/>
    </w:pPr>
  </w:style>
  <w:style w:type="numbering" w:customStyle="1" w:styleId="DataHubHeadings">
    <w:name w:val="DataHub Headings"/>
    <w:uiPriority w:val="99"/>
    <w:rsid w:val="0033445D"/>
    <w:pPr>
      <w:numPr>
        <w:numId w:val="9"/>
      </w:numPr>
    </w:pPr>
  </w:style>
  <w:style w:type="paragraph" w:customStyle="1" w:styleId="Heading1NoNumber">
    <w:name w:val="Heading 1 No Number"/>
    <w:next w:val="BodyText"/>
    <w:rsid w:val="0033445D"/>
    <w:pPr>
      <w:keepNext/>
      <w:spacing w:after="60" w:line="280" w:lineRule="atLeast"/>
    </w:pPr>
    <w:rPr>
      <w:rFonts w:asciiTheme="majorHAnsi" w:eastAsia="Times New Roman" w:hAnsiTheme="majorHAnsi" w:cs="Arial"/>
      <w:b/>
      <w:bCs/>
      <w:color w:val="005CAF"/>
      <w:kern w:val="32"/>
      <w:sz w:val="32"/>
      <w:szCs w:val="32"/>
    </w:rPr>
  </w:style>
  <w:style w:type="numbering" w:customStyle="1" w:styleId="DataHubUnnumberedHeadings">
    <w:name w:val="DataHub Unnumbered Headings"/>
    <w:uiPriority w:val="99"/>
    <w:rsid w:val="0033445D"/>
    <w:pPr>
      <w:numPr>
        <w:numId w:val="10"/>
      </w:numPr>
    </w:pPr>
  </w:style>
  <w:style w:type="paragraph" w:customStyle="1" w:styleId="FooterStyle">
    <w:name w:val="Footer Style"/>
    <w:basedOn w:val="Footer"/>
    <w:link w:val="FooterStyleChar"/>
    <w:qFormat/>
    <w:rsid w:val="0033445D"/>
    <w:pPr>
      <w:tabs>
        <w:tab w:val="clear" w:pos="9680"/>
        <w:tab w:val="center" w:pos="4513"/>
        <w:tab w:val="right" w:pos="9026"/>
      </w:tabs>
      <w:spacing w:before="80" w:after="80" w:line="240" w:lineRule="auto"/>
      <w:jc w:val="right"/>
    </w:pPr>
    <w:rPr>
      <w:rFonts w:cs="Arial"/>
      <w:color w:val="FFFFFF" w:themeColor="background1"/>
      <w:sz w:val="18"/>
      <w:szCs w:val="18"/>
    </w:rPr>
  </w:style>
  <w:style w:type="character" w:customStyle="1" w:styleId="FooterStyleChar">
    <w:name w:val="Footer Style Char"/>
    <w:basedOn w:val="FooterChar"/>
    <w:link w:val="FooterStyle"/>
    <w:rsid w:val="0033445D"/>
    <w:rPr>
      <w:rFonts w:ascii="Arial" w:eastAsia="Times New Roman" w:hAnsi="Arial" w:cs="Arial"/>
      <w:color w:val="FFFFFF" w:themeColor="background1"/>
      <w:sz w:val="18"/>
      <w:szCs w:val="18"/>
    </w:rPr>
  </w:style>
  <w:style w:type="paragraph" w:customStyle="1" w:styleId="CoverNoteTitle">
    <w:name w:val="Cover Note Title"/>
    <w:rsid w:val="0033445D"/>
    <w:pPr>
      <w:jc w:val="center"/>
    </w:pPr>
    <w:rPr>
      <w:rFonts w:ascii="Arial" w:eastAsia="Times New Roman" w:hAnsi="Arial" w:cs="Times New Roman"/>
      <w:b/>
      <w:color w:val="005CAF"/>
      <w:kern w:val="32"/>
      <w:sz w:val="32"/>
      <w:szCs w:val="20"/>
    </w:rPr>
  </w:style>
  <w:style w:type="paragraph" w:customStyle="1" w:styleId="CoverNoteHeading">
    <w:name w:val="Cover Note Heading"/>
    <w:next w:val="CoverNoteText"/>
    <w:rsid w:val="0033445D"/>
    <w:pPr>
      <w:spacing w:before="120" w:after="0" w:line="240" w:lineRule="auto"/>
    </w:pPr>
    <w:rPr>
      <w:rFonts w:ascii="Arial" w:hAnsi="Arial"/>
      <w:b/>
      <w:color w:val="373737"/>
      <w:sz w:val="20"/>
    </w:rPr>
  </w:style>
  <w:style w:type="paragraph" w:customStyle="1" w:styleId="CoverNoteText">
    <w:name w:val="Cover Note Text"/>
    <w:basedOn w:val="CoverNoteHeading"/>
    <w:rsid w:val="0033445D"/>
    <w:pPr>
      <w:tabs>
        <w:tab w:val="left" w:pos="1860"/>
      </w:tabs>
    </w:pPr>
    <w:rPr>
      <w:b w:val="0"/>
    </w:rPr>
  </w:style>
  <w:style w:type="paragraph" w:customStyle="1" w:styleId="CoverText">
    <w:name w:val="Cover Text"/>
    <w:basedOn w:val="Normal"/>
    <w:rsid w:val="0033445D"/>
    <w:pPr>
      <w:spacing w:after="140" w:line="254" w:lineRule="auto"/>
    </w:pPr>
  </w:style>
  <w:style w:type="paragraph" w:customStyle="1" w:styleId="FirstCoverHeading">
    <w:name w:val="First Cover Heading"/>
    <w:basedOn w:val="CoverHeadings"/>
    <w:next w:val="Normal"/>
    <w:rsid w:val="0033445D"/>
    <w:pPr>
      <w:spacing w:before="0"/>
    </w:pPr>
  </w:style>
  <w:style w:type="paragraph" w:customStyle="1" w:styleId="BoxCaption">
    <w:name w:val="Box Caption"/>
    <w:basedOn w:val="Caption"/>
    <w:next w:val="Boxtext"/>
    <w:rsid w:val="0033445D"/>
    <w:pPr>
      <w:keepNext w:val="0"/>
      <w:keepLines w:val="0"/>
      <w:spacing w:before="20"/>
    </w:pPr>
  </w:style>
  <w:style w:type="paragraph" w:customStyle="1" w:styleId="Heading2NoNumber">
    <w:name w:val="Heading 2 No Number"/>
    <w:next w:val="BodyText"/>
    <w:rsid w:val="009D33F5"/>
    <w:pPr>
      <w:keepNext/>
      <w:spacing w:before="300" w:after="120" w:line="280" w:lineRule="atLeast"/>
    </w:pPr>
    <w:rPr>
      <w:rFonts w:asciiTheme="majorHAnsi" w:eastAsia="Times New Roman" w:hAnsiTheme="majorHAnsi" w:cs="Arial"/>
      <w:b/>
      <w:iCs/>
      <w:color w:val="56B4DF"/>
      <w:kern w:val="32"/>
      <w:sz w:val="24"/>
      <w:szCs w:val="28"/>
    </w:rPr>
  </w:style>
  <w:style w:type="character" w:styleId="CommentReference">
    <w:name w:val="annotation reference"/>
    <w:basedOn w:val="DefaultParagraphFont"/>
    <w:uiPriority w:val="99"/>
    <w:semiHidden/>
    <w:unhideWhenUsed/>
    <w:rsid w:val="0035237F"/>
    <w:rPr>
      <w:sz w:val="16"/>
      <w:szCs w:val="16"/>
    </w:rPr>
  </w:style>
  <w:style w:type="paragraph" w:styleId="CommentText">
    <w:name w:val="annotation text"/>
    <w:basedOn w:val="Normal"/>
    <w:link w:val="CommentTextChar"/>
    <w:uiPriority w:val="99"/>
    <w:unhideWhenUsed/>
    <w:rsid w:val="0035237F"/>
    <w:pPr>
      <w:spacing w:line="240" w:lineRule="auto"/>
    </w:pPr>
    <w:rPr>
      <w:szCs w:val="20"/>
    </w:rPr>
  </w:style>
  <w:style w:type="character" w:customStyle="1" w:styleId="CommentTextChar">
    <w:name w:val="Comment Text Char"/>
    <w:basedOn w:val="DefaultParagraphFont"/>
    <w:link w:val="CommentText"/>
    <w:uiPriority w:val="99"/>
    <w:rsid w:val="0035237F"/>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35237F"/>
    <w:rPr>
      <w:b/>
      <w:bCs/>
    </w:rPr>
  </w:style>
  <w:style w:type="character" w:customStyle="1" w:styleId="CommentSubjectChar">
    <w:name w:val="Comment Subject Char"/>
    <w:basedOn w:val="CommentTextChar"/>
    <w:link w:val="CommentSubject"/>
    <w:semiHidden/>
    <w:rsid w:val="0035237F"/>
    <w:rPr>
      <w:rFonts w:ascii="Arial" w:hAnsi="Arial"/>
      <w:b/>
      <w:bCs/>
      <w:color w:val="373737"/>
      <w:sz w:val="20"/>
      <w:szCs w:val="20"/>
    </w:rPr>
  </w:style>
  <w:style w:type="paragraph" w:styleId="Revision">
    <w:name w:val="Revision"/>
    <w:hidden/>
    <w:uiPriority w:val="99"/>
    <w:semiHidden/>
    <w:rsid w:val="00442E2E"/>
    <w:pPr>
      <w:spacing w:after="0" w:line="240" w:lineRule="auto"/>
    </w:pPr>
    <w:rPr>
      <w:rFonts w:ascii="Arial" w:hAnsi="Arial"/>
      <w:color w:val="373737"/>
      <w:sz w:val="20"/>
    </w:rPr>
  </w:style>
  <w:style w:type="character" w:styleId="FollowedHyperlink">
    <w:name w:val="FollowedHyperlink"/>
    <w:basedOn w:val="DefaultParagraphFont"/>
    <w:uiPriority w:val="19"/>
    <w:semiHidden/>
    <w:unhideWhenUsed/>
    <w:rsid w:val="005C7D4D"/>
    <w:rPr>
      <w:color w:val="56B4E9" w:themeColor="followedHyperlink"/>
      <w:u w:val="single"/>
    </w:rPr>
  </w:style>
  <w:style w:type="paragraph" w:styleId="NormalWeb">
    <w:name w:val="Normal (Web)"/>
    <w:basedOn w:val="Normal"/>
    <w:uiPriority w:val="99"/>
    <w:unhideWhenUsed/>
    <w:rsid w:val="0046505C"/>
    <w:pPr>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Bullet1stlevel">
    <w:name w:val="Bullet 1st level"/>
    <w:basedOn w:val="Normal"/>
    <w:qFormat/>
    <w:rsid w:val="00E569F3"/>
    <w:pPr>
      <w:tabs>
        <w:tab w:val="num" w:pos="340"/>
      </w:tabs>
      <w:spacing w:before="120" w:after="120" w:line="252" w:lineRule="auto"/>
      <w:ind w:left="720" w:hanging="360"/>
    </w:pPr>
    <w:rPr>
      <w:rFonts w:ascii="Calibri" w:hAnsi="Calibri"/>
      <w:color w:val="auto"/>
      <w:sz w:val="22"/>
    </w:rPr>
  </w:style>
  <w:style w:type="paragraph" w:customStyle="1" w:styleId="OnePagerH1">
    <w:name w:val="One Pager H1"/>
    <w:next w:val="Normal"/>
    <w:rsid w:val="00020035"/>
    <w:pPr>
      <w:numPr>
        <w:numId w:val="47"/>
      </w:numPr>
      <w:ind w:left="709" w:hanging="709"/>
    </w:pPr>
    <w:rPr>
      <w:rFonts w:asciiTheme="majorHAnsi" w:eastAsia="Times New Roman" w:hAnsiTheme="majorHAnsi" w:cs="Arial"/>
      <w:b/>
      <w:bCs/>
      <w:color w:val="22789A"/>
      <w:kern w:val="32"/>
      <w:sz w:val="32"/>
      <w:szCs w:val="32"/>
    </w:rPr>
  </w:style>
  <w:style w:type="paragraph" w:customStyle="1" w:styleId="OnePagerH2">
    <w:name w:val="One Pager H2"/>
    <w:basedOn w:val="OnePagerH1"/>
    <w:rsid w:val="00020035"/>
    <w:pPr>
      <w:numPr>
        <w:ilvl w:val="1"/>
      </w:numPr>
    </w:pPr>
    <w:rPr>
      <w:color w:val="6CCCDE"/>
      <w:sz w:val="22"/>
      <w:szCs w:val="22"/>
    </w:rPr>
  </w:style>
  <w:style w:type="paragraph" w:customStyle="1" w:styleId="OnePagerH3">
    <w:name w:val="One Pager H3"/>
    <w:basedOn w:val="OnePagerH2"/>
    <w:next w:val="Normal"/>
    <w:rsid w:val="00020035"/>
    <w:pPr>
      <w:numPr>
        <w:ilvl w:val="2"/>
      </w:numPr>
      <w:ind w:left="0"/>
    </w:pPr>
  </w:style>
  <w:style w:type="numbering" w:customStyle="1" w:styleId="OCEOnePagerHeadingStyles">
    <w:name w:val="OCE One Pager Heading Styles"/>
    <w:uiPriority w:val="99"/>
    <w:rsid w:val="00020035"/>
    <w:pPr>
      <w:numPr>
        <w:numId w:val="46"/>
      </w:numPr>
    </w:pPr>
  </w:style>
  <w:style w:type="character" w:customStyle="1" w:styleId="ui-provider">
    <w:name w:val="ui-provider"/>
    <w:basedOn w:val="DefaultParagraphFont"/>
    <w:rsid w:val="00A23B27"/>
  </w:style>
  <w:style w:type="character" w:styleId="UnresolvedMention">
    <w:name w:val="Unresolved Mention"/>
    <w:basedOn w:val="DefaultParagraphFont"/>
    <w:uiPriority w:val="99"/>
    <w:semiHidden/>
    <w:unhideWhenUsed/>
    <w:rsid w:val="00CF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119">
      <w:bodyDiv w:val="1"/>
      <w:marLeft w:val="0"/>
      <w:marRight w:val="0"/>
      <w:marTop w:val="0"/>
      <w:marBottom w:val="0"/>
      <w:divBdr>
        <w:top w:val="none" w:sz="0" w:space="0" w:color="auto"/>
        <w:left w:val="none" w:sz="0" w:space="0" w:color="auto"/>
        <w:bottom w:val="none" w:sz="0" w:space="0" w:color="auto"/>
        <w:right w:val="none" w:sz="0" w:space="0" w:color="auto"/>
      </w:divBdr>
    </w:div>
    <w:div w:id="104472772">
      <w:bodyDiv w:val="1"/>
      <w:marLeft w:val="0"/>
      <w:marRight w:val="0"/>
      <w:marTop w:val="0"/>
      <w:marBottom w:val="0"/>
      <w:divBdr>
        <w:top w:val="none" w:sz="0" w:space="0" w:color="auto"/>
        <w:left w:val="none" w:sz="0" w:space="0" w:color="auto"/>
        <w:bottom w:val="none" w:sz="0" w:space="0" w:color="auto"/>
        <w:right w:val="none" w:sz="0" w:space="0" w:color="auto"/>
      </w:divBdr>
    </w:div>
    <w:div w:id="141429860">
      <w:bodyDiv w:val="1"/>
      <w:marLeft w:val="0"/>
      <w:marRight w:val="0"/>
      <w:marTop w:val="0"/>
      <w:marBottom w:val="0"/>
      <w:divBdr>
        <w:top w:val="none" w:sz="0" w:space="0" w:color="auto"/>
        <w:left w:val="none" w:sz="0" w:space="0" w:color="auto"/>
        <w:bottom w:val="none" w:sz="0" w:space="0" w:color="auto"/>
        <w:right w:val="none" w:sz="0" w:space="0" w:color="auto"/>
      </w:divBdr>
    </w:div>
    <w:div w:id="154762772">
      <w:bodyDiv w:val="1"/>
      <w:marLeft w:val="0"/>
      <w:marRight w:val="0"/>
      <w:marTop w:val="0"/>
      <w:marBottom w:val="0"/>
      <w:divBdr>
        <w:top w:val="none" w:sz="0" w:space="0" w:color="auto"/>
        <w:left w:val="none" w:sz="0" w:space="0" w:color="auto"/>
        <w:bottom w:val="none" w:sz="0" w:space="0" w:color="auto"/>
        <w:right w:val="none" w:sz="0" w:space="0" w:color="auto"/>
      </w:divBdr>
    </w:div>
    <w:div w:id="185488305">
      <w:bodyDiv w:val="1"/>
      <w:marLeft w:val="0"/>
      <w:marRight w:val="0"/>
      <w:marTop w:val="0"/>
      <w:marBottom w:val="0"/>
      <w:divBdr>
        <w:top w:val="none" w:sz="0" w:space="0" w:color="auto"/>
        <w:left w:val="none" w:sz="0" w:space="0" w:color="auto"/>
        <w:bottom w:val="none" w:sz="0" w:space="0" w:color="auto"/>
        <w:right w:val="none" w:sz="0" w:space="0" w:color="auto"/>
      </w:divBdr>
    </w:div>
    <w:div w:id="189757503">
      <w:bodyDiv w:val="1"/>
      <w:marLeft w:val="0"/>
      <w:marRight w:val="0"/>
      <w:marTop w:val="0"/>
      <w:marBottom w:val="0"/>
      <w:divBdr>
        <w:top w:val="none" w:sz="0" w:space="0" w:color="auto"/>
        <w:left w:val="none" w:sz="0" w:space="0" w:color="auto"/>
        <w:bottom w:val="none" w:sz="0" w:space="0" w:color="auto"/>
        <w:right w:val="none" w:sz="0" w:space="0" w:color="auto"/>
      </w:divBdr>
    </w:div>
    <w:div w:id="227034512">
      <w:bodyDiv w:val="1"/>
      <w:marLeft w:val="0"/>
      <w:marRight w:val="0"/>
      <w:marTop w:val="0"/>
      <w:marBottom w:val="0"/>
      <w:divBdr>
        <w:top w:val="none" w:sz="0" w:space="0" w:color="auto"/>
        <w:left w:val="none" w:sz="0" w:space="0" w:color="auto"/>
        <w:bottom w:val="none" w:sz="0" w:space="0" w:color="auto"/>
        <w:right w:val="none" w:sz="0" w:space="0" w:color="auto"/>
      </w:divBdr>
    </w:div>
    <w:div w:id="255137155">
      <w:bodyDiv w:val="1"/>
      <w:marLeft w:val="0"/>
      <w:marRight w:val="0"/>
      <w:marTop w:val="0"/>
      <w:marBottom w:val="0"/>
      <w:divBdr>
        <w:top w:val="none" w:sz="0" w:space="0" w:color="auto"/>
        <w:left w:val="none" w:sz="0" w:space="0" w:color="auto"/>
        <w:bottom w:val="none" w:sz="0" w:space="0" w:color="auto"/>
        <w:right w:val="none" w:sz="0" w:space="0" w:color="auto"/>
      </w:divBdr>
    </w:div>
    <w:div w:id="270551376">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525680063">
      <w:bodyDiv w:val="1"/>
      <w:marLeft w:val="0"/>
      <w:marRight w:val="0"/>
      <w:marTop w:val="0"/>
      <w:marBottom w:val="0"/>
      <w:divBdr>
        <w:top w:val="none" w:sz="0" w:space="0" w:color="auto"/>
        <w:left w:val="none" w:sz="0" w:space="0" w:color="auto"/>
        <w:bottom w:val="none" w:sz="0" w:space="0" w:color="auto"/>
        <w:right w:val="none" w:sz="0" w:space="0" w:color="auto"/>
      </w:divBdr>
    </w:div>
    <w:div w:id="613906274">
      <w:bodyDiv w:val="1"/>
      <w:marLeft w:val="0"/>
      <w:marRight w:val="0"/>
      <w:marTop w:val="0"/>
      <w:marBottom w:val="0"/>
      <w:divBdr>
        <w:top w:val="none" w:sz="0" w:space="0" w:color="auto"/>
        <w:left w:val="none" w:sz="0" w:space="0" w:color="auto"/>
        <w:bottom w:val="none" w:sz="0" w:space="0" w:color="auto"/>
        <w:right w:val="none" w:sz="0" w:space="0" w:color="auto"/>
      </w:divBdr>
    </w:div>
    <w:div w:id="656421180">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40101944">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0408386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89145494">
      <w:bodyDiv w:val="1"/>
      <w:marLeft w:val="0"/>
      <w:marRight w:val="0"/>
      <w:marTop w:val="0"/>
      <w:marBottom w:val="0"/>
      <w:divBdr>
        <w:top w:val="none" w:sz="0" w:space="0" w:color="auto"/>
        <w:left w:val="none" w:sz="0" w:space="0" w:color="auto"/>
        <w:bottom w:val="none" w:sz="0" w:space="0" w:color="auto"/>
        <w:right w:val="none" w:sz="0" w:space="0" w:color="auto"/>
      </w:divBdr>
    </w:div>
    <w:div w:id="910895279">
      <w:bodyDiv w:val="1"/>
      <w:marLeft w:val="0"/>
      <w:marRight w:val="0"/>
      <w:marTop w:val="0"/>
      <w:marBottom w:val="0"/>
      <w:divBdr>
        <w:top w:val="none" w:sz="0" w:space="0" w:color="auto"/>
        <w:left w:val="none" w:sz="0" w:space="0" w:color="auto"/>
        <w:bottom w:val="none" w:sz="0" w:space="0" w:color="auto"/>
        <w:right w:val="none" w:sz="0" w:space="0" w:color="auto"/>
      </w:divBdr>
    </w:div>
    <w:div w:id="912354608">
      <w:bodyDiv w:val="1"/>
      <w:marLeft w:val="0"/>
      <w:marRight w:val="0"/>
      <w:marTop w:val="0"/>
      <w:marBottom w:val="0"/>
      <w:divBdr>
        <w:top w:val="none" w:sz="0" w:space="0" w:color="auto"/>
        <w:left w:val="none" w:sz="0" w:space="0" w:color="auto"/>
        <w:bottom w:val="none" w:sz="0" w:space="0" w:color="auto"/>
        <w:right w:val="none" w:sz="0" w:space="0" w:color="auto"/>
      </w:divBdr>
    </w:div>
    <w:div w:id="955411926">
      <w:bodyDiv w:val="1"/>
      <w:marLeft w:val="0"/>
      <w:marRight w:val="0"/>
      <w:marTop w:val="0"/>
      <w:marBottom w:val="0"/>
      <w:divBdr>
        <w:top w:val="none" w:sz="0" w:space="0" w:color="auto"/>
        <w:left w:val="none" w:sz="0" w:space="0" w:color="auto"/>
        <w:bottom w:val="none" w:sz="0" w:space="0" w:color="auto"/>
        <w:right w:val="none" w:sz="0" w:space="0" w:color="auto"/>
      </w:divBdr>
    </w:div>
    <w:div w:id="955479808">
      <w:bodyDiv w:val="1"/>
      <w:marLeft w:val="0"/>
      <w:marRight w:val="0"/>
      <w:marTop w:val="0"/>
      <w:marBottom w:val="0"/>
      <w:divBdr>
        <w:top w:val="none" w:sz="0" w:space="0" w:color="auto"/>
        <w:left w:val="none" w:sz="0" w:space="0" w:color="auto"/>
        <w:bottom w:val="none" w:sz="0" w:space="0" w:color="auto"/>
        <w:right w:val="none" w:sz="0" w:space="0" w:color="auto"/>
      </w:divBdr>
    </w:div>
    <w:div w:id="973749794">
      <w:bodyDiv w:val="1"/>
      <w:marLeft w:val="0"/>
      <w:marRight w:val="0"/>
      <w:marTop w:val="0"/>
      <w:marBottom w:val="0"/>
      <w:divBdr>
        <w:top w:val="none" w:sz="0" w:space="0" w:color="auto"/>
        <w:left w:val="none" w:sz="0" w:space="0" w:color="auto"/>
        <w:bottom w:val="none" w:sz="0" w:space="0" w:color="auto"/>
        <w:right w:val="none" w:sz="0" w:space="0" w:color="auto"/>
      </w:divBdr>
    </w:div>
    <w:div w:id="1081022872">
      <w:bodyDiv w:val="1"/>
      <w:marLeft w:val="0"/>
      <w:marRight w:val="0"/>
      <w:marTop w:val="0"/>
      <w:marBottom w:val="0"/>
      <w:divBdr>
        <w:top w:val="none" w:sz="0" w:space="0" w:color="auto"/>
        <w:left w:val="none" w:sz="0" w:space="0" w:color="auto"/>
        <w:bottom w:val="none" w:sz="0" w:space="0" w:color="auto"/>
        <w:right w:val="none" w:sz="0" w:space="0" w:color="auto"/>
      </w:divBdr>
    </w:div>
    <w:div w:id="1119488259">
      <w:bodyDiv w:val="1"/>
      <w:marLeft w:val="0"/>
      <w:marRight w:val="0"/>
      <w:marTop w:val="0"/>
      <w:marBottom w:val="0"/>
      <w:divBdr>
        <w:top w:val="none" w:sz="0" w:space="0" w:color="auto"/>
        <w:left w:val="none" w:sz="0" w:space="0" w:color="auto"/>
        <w:bottom w:val="none" w:sz="0" w:space="0" w:color="auto"/>
        <w:right w:val="none" w:sz="0" w:space="0" w:color="auto"/>
      </w:divBdr>
    </w:div>
    <w:div w:id="1232621334">
      <w:bodyDiv w:val="1"/>
      <w:marLeft w:val="0"/>
      <w:marRight w:val="0"/>
      <w:marTop w:val="0"/>
      <w:marBottom w:val="0"/>
      <w:divBdr>
        <w:top w:val="none" w:sz="0" w:space="0" w:color="auto"/>
        <w:left w:val="none" w:sz="0" w:space="0" w:color="auto"/>
        <w:bottom w:val="none" w:sz="0" w:space="0" w:color="auto"/>
        <w:right w:val="none" w:sz="0" w:space="0" w:color="auto"/>
      </w:divBdr>
    </w:div>
    <w:div w:id="1268390561">
      <w:bodyDiv w:val="1"/>
      <w:marLeft w:val="0"/>
      <w:marRight w:val="0"/>
      <w:marTop w:val="0"/>
      <w:marBottom w:val="0"/>
      <w:divBdr>
        <w:top w:val="none" w:sz="0" w:space="0" w:color="auto"/>
        <w:left w:val="none" w:sz="0" w:space="0" w:color="auto"/>
        <w:bottom w:val="none" w:sz="0" w:space="0" w:color="auto"/>
        <w:right w:val="none" w:sz="0" w:space="0" w:color="auto"/>
      </w:divBdr>
    </w:div>
    <w:div w:id="1300307292">
      <w:bodyDiv w:val="1"/>
      <w:marLeft w:val="0"/>
      <w:marRight w:val="0"/>
      <w:marTop w:val="0"/>
      <w:marBottom w:val="0"/>
      <w:divBdr>
        <w:top w:val="none" w:sz="0" w:space="0" w:color="auto"/>
        <w:left w:val="none" w:sz="0" w:space="0" w:color="auto"/>
        <w:bottom w:val="none" w:sz="0" w:space="0" w:color="auto"/>
        <w:right w:val="none" w:sz="0" w:space="0" w:color="auto"/>
      </w:divBdr>
    </w:div>
    <w:div w:id="1307516211">
      <w:bodyDiv w:val="1"/>
      <w:marLeft w:val="0"/>
      <w:marRight w:val="0"/>
      <w:marTop w:val="0"/>
      <w:marBottom w:val="0"/>
      <w:divBdr>
        <w:top w:val="none" w:sz="0" w:space="0" w:color="auto"/>
        <w:left w:val="none" w:sz="0" w:space="0" w:color="auto"/>
        <w:bottom w:val="none" w:sz="0" w:space="0" w:color="auto"/>
        <w:right w:val="none" w:sz="0" w:space="0" w:color="auto"/>
      </w:divBdr>
    </w:div>
    <w:div w:id="1367175966">
      <w:bodyDiv w:val="1"/>
      <w:marLeft w:val="0"/>
      <w:marRight w:val="0"/>
      <w:marTop w:val="0"/>
      <w:marBottom w:val="0"/>
      <w:divBdr>
        <w:top w:val="none" w:sz="0" w:space="0" w:color="auto"/>
        <w:left w:val="none" w:sz="0" w:space="0" w:color="auto"/>
        <w:bottom w:val="none" w:sz="0" w:space="0" w:color="auto"/>
        <w:right w:val="none" w:sz="0" w:space="0" w:color="auto"/>
      </w:divBdr>
    </w:div>
    <w:div w:id="1408653847">
      <w:bodyDiv w:val="1"/>
      <w:marLeft w:val="0"/>
      <w:marRight w:val="0"/>
      <w:marTop w:val="0"/>
      <w:marBottom w:val="0"/>
      <w:divBdr>
        <w:top w:val="none" w:sz="0" w:space="0" w:color="auto"/>
        <w:left w:val="none" w:sz="0" w:space="0" w:color="auto"/>
        <w:bottom w:val="none" w:sz="0" w:space="0" w:color="auto"/>
        <w:right w:val="none" w:sz="0" w:space="0" w:color="auto"/>
      </w:divBdr>
    </w:div>
    <w:div w:id="1466002397">
      <w:bodyDiv w:val="1"/>
      <w:marLeft w:val="0"/>
      <w:marRight w:val="0"/>
      <w:marTop w:val="0"/>
      <w:marBottom w:val="0"/>
      <w:divBdr>
        <w:top w:val="none" w:sz="0" w:space="0" w:color="auto"/>
        <w:left w:val="none" w:sz="0" w:space="0" w:color="auto"/>
        <w:bottom w:val="none" w:sz="0" w:space="0" w:color="auto"/>
        <w:right w:val="none" w:sz="0" w:space="0" w:color="auto"/>
      </w:divBdr>
    </w:div>
    <w:div w:id="1543404453">
      <w:bodyDiv w:val="1"/>
      <w:marLeft w:val="0"/>
      <w:marRight w:val="0"/>
      <w:marTop w:val="0"/>
      <w:marBottom w:val="0"/>
      <w:divBdr>
        <w:top w:val="none" w:sz="0" w:space="0" w:color="auto"/>
        <w:left w:val="none" w:sz="0" w:space="0" w:color="auto"/>
        <w:bottom w:val="none" w:sz="0" w:space="0" w:color="auto"/>
        <w:right w:val="none" w:sz="0" w:space="0" w:color="auto"/>
      </w:divBdr>
    </w:div>
    <w:div w:id="1567377748">
      <w:bodyDiv w:val="1"/>
      <w:marLeft w:val="0"/>
      <w:marRight w:val="0"/>
      <w:marTop w:val="0"/>
      <w:marBottom w:val="0"/>
      <w:divBdr>
        <w:top w:val="none" w:sz="0" w:space="0" w:color="auto"/>
        <w:left w:val="none" w:sz="0" w:space="0" w:color="auto"/>
        <w:bottom w:val="none" w:sz="0" w:space="0" w:color="auto"/>
        <w:right w:val="none" w:sz="0" w:space="0" w:color="auto"/>
      </w:divBdr>
    </w:div>
    <w:div w:id="1675839757">
      <w:bodyDiv w:val="1"/>
      <w:marLeft w:val="0"/>
      <w:marRight w:val="0"/>
      <w:marTop w:val="0"/>
      <w:marBottom w:val="0"/>
      <w:divBdr>
        <w:top w:val="none" w:sz="0" w:space="0" w:color="auto"/>
        <w:left w:val="none" w:sz="0" w:space="0" w:color="auto"/>
        <w:bottom w:val="none" w:sz="0" w:space="0" w:color="auto"/>
        <w:right w:val="none" w:sz="0" w:space="0" w:color="auto"/>
      </w:divBdr>
    </w:div>
    <w:div w:id="1700201303">
      <w:bodyDiv w:val="1"/>
      <w:marLeft w:val="0"/>
      <w:marRight w:val="0"/>
      <w:marTop w:val="0"/>
      <w:marBottom w:val="0"/>
      <w:divBdr>
        <w:top w:val="none" w:sz="0" w:space="0" w:color="auto"/>
        <w:left w:val="none" w:sz="0" w:space="0" w:color="auto"/>
        <w:bottom w:val="none" w:sz="0" w:space="0" w:color="auto"/>
        <w:right w:val="none" w:sz="0" w:space="0" w:color="auto"/>
      </w:divBdr>
    </w:div>
    <w:div w:id="1742174494">
      <w:bodyDiv w:val="1"/>
      <w:marLeft w:val="0"/>
      <w:marRight w:val="0"/>
      <w:marTop w:val="0"/>
      <w:marBottom w:val="0"/>
      <w:divBdr>
        <w:top w:val="none" w:sz="0" w:space="0" w:color="auto"/>
        <w:left w:val="none" w:sz="0" w:space="0" w:color="auto"/>
        <w:bottom w:val="none" w:sz="0" w:space="0" w:color="auto"/>
        <w:right w:val="none" w:sz="0" w:space="0" w:color="auto"/>
      </w:divBdr>
    </w:div>
    <w:div w:id="1807508213">
      <w:bodyDiv w:val="1"/>
      <w:marLeft w:val="0"/>
      <w:marRight w:val="0"/>
      <w:marTop w:val="0"/>
      <w:marBottom w:val="0"/>
      <w:divBdr>
        <w:top w:val="none" w:sz="0" w:space="0" w:color="auto"/>
        <w:left w:val="none" w:sz="0" w:space="0" w:color="auto"/>
        <w:bottom w:val="none" w:sz="0" w:space="0" w:color="auto"/>
        <w:right w:val="none" w:sz="0" w:space="0" w:color="auto"/>
      </w:divBdr>
    </w:div>
    <w:div w:id="1814179223">
      <w:bodyDiv w:val="1"/>
      <w:marLeft w:val="0"/>
      <w:marRight w:val="0"/>
      <w:marTop w:val="0"/>
      <w:marBottom w:val="0"/>
      <w:divBdr>
        <w:top w:val="none" w:sz="0" w:space="0" w:color="auto"/>
        <w:left w:val="none" w:sz="0" w:space="0" w:color="auto"/>
        <w:bottom w:val="none" w:sz="0" w:space="0" w:color="auto"/>
        <w:right w:val="none" w:sz="0" w:space="0" w:color="auto"/>
      </w:divBdr>
    </w:div>
    <w:div w:id="1851218719">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23904103">
      <w:bodyDiv w:val="1"/>
      <w:marLeft w:val="0"/>
      <w:marRight w:val="0"/>
      <w:marTop w:val="0"/>
      <w:marBottom w:val="0"/>
      <w:divBdr>
        <w:top w:val="none" w:sz="0" w:space="0" w:color="auto"/>
        <w:left w:val="none" w:sz="0" w:space="0" w:color="auto"/>
        <w:bottom w:val="none" w:sz="0" w:space="0" w:color="auto"/>
        <w:right w:val="none" w:sz="0" w:space="0" w:color="auto"/>
      </w:divBdr>
    </w:div>
    <w:div w:id="1963228858">
      <w:bodyDiv w:val="1"/>
      <w:marLeft w:val="0"/>
      <w:marRight w:val="0"/>
      <w:marTop w:val="0"/>
      <w:marBottom w:val="0"/>
      <w:divBdr>
        <w:top w:val="none" w:sz="0" w:space="0" w:color="auto"/>
        <w:left w:val="none" w:sz="0" w:space="0" w:color="auto"/>
        <w:bottom w:val="none" w:sz="0" w:space="0" w:color="auto"/>
        <w:right w:val="none" w:sz="0" w:space="0" w:color="auto"/>
      </w:divBdr>
    </w:div>
    <w:div w:id="1998417865">
      <w:bodyDiv w:val="1"/>
      <w:marLeft w:val="0"/>
      <w:marRight w:val="0"/>
      <w:marTop w:val="0"/>
      <w:marBottom w:val="0"/>
      <w:divBdr>
        <w:top w:val="none" w:sz="0" w:space="0" w:color="auto"/>
        <w:left w:val="none" w:sz="0" w:space="0" w:color="auto"/>
        <w:bottom w:val="none" w:sz="0" w:space="0" w:color="auto"/>
        <w:right w:val="none" w:sz="0" w:space="0" w:color="auto"/>
      </w:divBdr>
    </w:div>
    <w:div w:id="2019845067">
      <w:bodyDiv w:val="1"/>
      <w:marLeft w:val="0"/>
      <w:marRight w:val="0"/>
      <w:marTop w:val="0"/>
      <w:marBottom w:val="0"/>
      <w:divBdr>
        <w:top w:val="none" w:sz="0" w:space="0" w:color="auto"/>
        <w:left w:val="none" w:sz="0" w:space="0" w:color="auto"/>
        <w:bottom w:val="none" w:sz="0" w:space="0" w:color="auto"/>
        <w:right w:val="none" w:sz="0" w:space="0" w:color="auto"/>
      </w:divBdr>
    </w:div>
    <w:div w:id="2032609441">
      <w:bodyDiv w:val="1"/>
      <w:marLeft w:val="0"/>
      <w:marRight w:val="0"/>
      <w:marTop w:val="0"/>
      <w:marBottom w:val="0"/>
      <w:divBdr>
        <w:top w:val="none" w:sz="0" w:space="0" w:color="auto"/>
        <w:left w:val="none" w:sz="0" w:space="0" w:color="auto"/>
        <w:bottom w:val="none" w:sz="0" w:space="0" w:color="auto"/>
        <w:right w:val="none" w:sz="0" w:space="0" w:color="auto"/>
      </w:divBdr>
    </w:div>
    <w:div w:id="2120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chart" Target="charts/chart1.xml"/><Relationship Id="rId42" Type="http://schemas.openxmlformats.org/officeDocument/2006/relationships/chart" Target="charts/chart7.xml"/><Relationship Id="rId47" Type="http://schemas.openxmlformats.org/officeDocument/2006/relationships/chart" Target="charts/chart11.xml"/><Relationship Id="rId63" Type="http://schemas.openxmlformats.org/officeDocument/2006/relationships/footer" Target="footer11.xml"/><Relationship Id="rId68" Type="http://schemas.openxmlformats.org/officeDocument/2006/relationships/chart" Target="charts/chart17.xml"/><Relationship Id="rId84" Type="http://schemas.openxmlformats.org/officeDocument/2006/relationships/hyperlink" Target="https://www.ga.gov.au/digital-publication/aecr2023" TargetMode="Externa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5.jpg"/><Relationship Id="rId37" Type="http://schemas.openxmlformats.org/officeDocument/2006/relationships/header" Target="header5.xml"/><Relationship Id="rId53" Type="http://schemas.openxmlformats.org/officeDocument/2006/relationships/footer" Target="footer9.xml"/><Relationship Id="rId58" Type="http://schemas.openxmlformats.org/officeDocument/2006/relationships/header" Target="header14.xml"/><Relationship Id="rId74" Type="http://schemas.openxmlformats.org/officeDocument/2006/relationships/footer" Target="footer15.xml"/><Relationship Id="rId79" Type="http://schemas.openxmlformats.org/officeDocument/2006/relationships/hyperlink" Target="https://portal.ga.gov.au/" TargetMode="External"/><Relationship Id="rId5" Type="http://schemas.openxmlformats.org/officeDocument/2006/relationships/customXml" Target="../customXml/item5.xm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header" Target="header4.xml"/><Relationship Id="rId35" Type="http://schemas.microsoft.com/office/2014/relationships/chartEx" Target="charts/chartEx1.xml"/><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header" Target="header12.xml"/><Relationship Id="rId64" Type="http://schemas.openxmlformats.org/officeDocument/2006/relationships/footer" Target="footer12.xml"/><Relationship Id="rId69" Type="http://schemas.openxmlformats.org/officeDocument/2006/relationships/image" Target="media/image7.png"/><Relationship Id="rId77" Type="http://schemas.openxmlformats.org/officeDocument/2006/relationships/hyperlink" Target="https://www.globalaustralia.gov.au/sites/default/files/2022-12/ATIC_Australian_Critical_Minerals_2022_9DEC22.pdf" TargetMode="External"/><Relationship Id="rId8" Type="http://schemas.openxmlformats.org/officeDocument/2006/relationships/settings" Target="settings.xml"/><Relationship Id="rId51" Type="http://schemas.openxmlformats.org/officeDocument/2006/relationships/header" Target="header10.xml"/><Relationship Id="rId72" Type="http://schemas.openxmlformats.org/officeDocument/2006/relationships/footer" Target="footer14.xml"/><Relationship Id="rId80" Type="http://schemas.openxmlformats.org/officeDocument/2006/relationships/hyperlink" Target="https://d28rz98at9flks.cloudfront.net/147694/147694_00_1.pdf" TargetMode="External"/><Relationship Id="rId85" Type="http://schemas.openxmlformats.org/officeDocument/2006/relationships/hyperlink" Target="https://www.industry.gov.au/publications/resources-and-energy-major-projects-2022"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creativecommons.org/licenses/by/4.0/" TargetMode="External"/><Relationship Id="rId25" Type="http://schemas.openxmlformats.org/officeDocument/2006/relationships/chart" Target="charts/chart4.xml"/><Relationship Id="rId33" Type="http://schemas.openxmlformats.org/officeDocument/2006/relationships/chart" Target="charts/chart5.xml"/><Relationship Id="rId38" Type="http://schemas.openxmlformats.org/officeDocument/2006/relationships/header" Target="header6.xml"/><Relationship Id="rId46" Type="http://schemas.openxmlformats.org/officeDocument/2006/relationships/chart" Target="charts/chart10.xml"/><Relationship Id="rId59" Type="http://schemas.openxmlformats.org/officeDocument/2006/relationships/chart" Target="charts/chart14.xml"/><Relationship Id="rId67" Type="http://schemas.openxmlformats.org/officeDocument/2006/relationships/chart" Target="charts/chart16.xml"/><Relationship Id="rId20" Type="http://schemas.openxmlformats.org/officeDocument/2006/relationships/image" Target="media/image3.png"/><Relationship Id="rId41" Type="http://schemas.openxmlformats.org/officeDocument/2006/relationships/footer" Target="footer7.xml"/><Relationship Id="rId54" Type="http://schemas.openxmlformats.org/officeDocument/2006/relationships/header" Target="header11.xml"/><Relationship Id="rId62" Type="http://schemas.openxmlformats.org/officeDocument/2006/relationships/header" Target="header16.xml"/><Relationship Id="rId70" Type="http://schemas.openxmlformats.org/officeDocument/2006/relationships/header" Target="header18.xml"/><Relationship Id="rId75" Type="http://schemas.openxmlformats.org/officeDocument/2006/relationships/hyperlink" Target="https://www.industry.gov.au/data-and-publications/resources-and-energy-quarterly-all" TargetMode="External"/><Relationship Id="rId83" Type="http://schemas.openxmlformats.org/officeDocument/2006/relationships/hyperlink" Target="http://d28rz98at9flks.cloudfront.net/133857/133857_00_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ndustry.gov.au/oce" TargetMode="External"/><Relationship Id="rId23" Type="http://schemas.openxmlformats.org/officeDocument/2006/relationships/chart" Target="charts/chart3.xml"/><Relationship Id="rId28" Type="http://schemas.openxmlformats.org/officeDocument/2006/relationships/footer" Target="footer3.xml"/><Relationship Id="rId36" Type="http://schemas.openxmlformats.org/officeDocument/2006/relationships/image" Target="media/image6.png"/><Relationship Id="rId49" Type="http://schemas.openxmlformats.org/officeDocument/2006/relationships/chart" Target="charts/chart13.xml"/><Relationship Id="rId57" Type="http://schemas.openxmlformats.org/officeDocument/2006/relationships/header" Target="header13.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chart" Target="charts/chart9.xml"/><Relationship Id="rId52" Type="http://schemas.openxmlformats.org/officeDocument/2006/relationships/footer" Target="footer8.xml"/><Relationship Id="rId60" Type="http://schemas.openxmlformats.org/officeDocument/2006/relationships/chart" Target="charts/chart15.xml"/><Relationship Id="rId65" Type="http://schemas.openxmlformats.org/officeDocument/2006/relationships/header" Target="header17.xml"/><Relationship Id="rId73" Type="http://schemas.openxmlformats.org/officeDocument/2006/relationships/header" Target="header20.xml"/><Relationship Id="rId78" Type="http://schemas.openxmlformats.org/officeDocument/2006/relationships/hyperlink" Target="https://www.ga.gov.au/scientific-topics/minerals/mineral-resources-and-advice/aimr" TargetMode="External"/><Relationship Id="rId81" Type="http://schemas.openxmlformats.org/officeDocument/2006/relationships/hyperlink" Target="https://d28rz98at9flks.cloudfront.net/147741/147741_00_1.pdf"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Q@industry.gov.au" TargetMode="External"/><Relationship Id="rId39" Type="http://schemas.openxmlformats.org/officeDocument/2006/relationships/footer" Target="footer6.xml"/><Relationship Id="rId34" Type="http://schemas.openxmlformats.org/officeDocument/2006/relationships/chart" Target="charts/chart6.xml"/><Relationship Id="rId50" Type="http://schemas.openxmlformats.org/officeDocument/2006/relationships/header" Target="header9.xml"/><Relationship Id="rId55" Type="http://schemas.openxmlformats.org/officeDocument/2006/relationships/footer" Target="footer10.xml"/><Relationship Id="rId76" Type="http://schemas.openxmlformats.org/officeDocument/2006/relationships/hyperlink" Target="https://www.industry.gov.au/sites/default/files/2023-06/critical-minerals-strategy-2023-2030.pdf" TargetMode="External"/><Relationship Id="rId7" Type="http://schemas.openxmlformats.org/officeDocument/2006/relationships/styles" Target="styles.xml"/><Relationship Id="rId71"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4.png"/><Relationship Id="rId40" Type="http://schemas.openxmlformats.org/officeDocument/2006/relationships/header" Target="header7.xml"/><Relationship Id="rId45" Type="http://schemas.openxmlformats.org/officeDocument/2006/relationships/header" Target="header8.xml"/><Relationship Id="rId66" Type="http://schemas.openxmlformats.org/officeDocument/2006/relationships/footer" Target="footer13.xml"/><Relationship Id="rId87" Type="http://schemas.openxmlformats.org/officeDocument/2006/relationships/theme" Target="theme/theme1.xml"/><Relationship Id="rId61" Type="http://schemas.openxmlformats.org/officeDocument/2006/relationships/header" Target="header15.xml"/><Relationship Id="rId82" Type="http://schemas.openxmlformats.org/officeDocument/2006/relationships/hyperlink" Target="https://d28rz98at9flks.cloudfront.net/147970/147970_00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AID\Business%20Functions\Visual%20Analytics\OCE%20Landscape%20Template%20(macro%20signed).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Resource%20exploration%202023%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Resource%20exploration%202023%20graph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2023%20master%20workbo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documentation%202023%20(Hydrogen).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documentation%202023%20(Hydrogen).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documentation%202023%20(Hydrogen).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dochub/div/economicanalyticalservices/businessfunctions/publicationsmgmt/resourcesenergymajorprojects/docs/Major%20Projects%202023%20master%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5485564304465"/>
          <c:y val="6.1624649859943981E-2"/>
          <c:w val="0.84307278663337826"/>
          <c:h val="0.74829396325459319"/>
        </c:manualLayout>
      </c:layout>
      <c:barChart>
        <c:barDir val="col"/>
        <c:grouping val="clustered"/>
        <c:varyColors val="0"/>
        <c:ser>
          <c:idx val="2"/>
          <c:order val="1"/>
          <c:tx>
            <c:strRef>
              <c:f>'New Historical Graphs'!$D$7</c:f>
              <c:strCache>
                <c:ptCount val="1"/>
                <c:pt idx="0">
                  <c:v>committed</c:v>
                </c:pt>
              </c:strCache>
            </c:strRef>
          </c:tx>
          <c:spPr>
            <a:solidFill>
              <a:srgbClr val="0052AF"/>
            </a:solidFill>
            <a:ln>
              <a:noFill/>
            </a:ln>
            <a:effectLst/>
          </c:spPr>
          <c:invertIfNegative val="0"/>
          <c:cat>
            <c:numRef>
              <c:f>'New Historical Graphs'!$B$8:$B$16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'New Historical Graphs'!$D$8:$D$16</c:f>
              <c:numCache>
                <c:formatCode>0</c:formatCode>
                <c:ptCount val="9"/>
                <c:pt idx="0">
                  <c:v>219.6</c:v>
                </c:pt>
                <c:pt idx="1">
                  <c:v>194.79268463339949</c:v>
                </c:pt>
                <c:pt idx="2">
                  <c:v>122</c:v>
                </c:pt>
                <c:pt idx="3">
                  <c:v>30.263000000000002</c:v>
                </c:pt>
                <c:pt idx="4">
                  <c:v>30</c:v>
                </c:pt>
                <c:pt idx="5">
                  <c:v>44</c:v>
                </c:pt>
                <c:pt idx="6">
                  <c:v>54.347000000000001</c:v>
                </c:pt>
                <c:pt idx="7">
                  <c:v>83.078999999999994</c:v>
                </c:pt>
                <c:pt idx="8">
                  <c:v>77.379000000000005</c:v>
                </c:pt>
              </c:numCache>
            </c:numRef>
          </c:val>
          <c:extLst>
            <c:ext xmlns:c16="http://schemas.microsoft.com/office/drawing/2014/chart" uri="{C3380CC4-5D6E-409C-BE32-E72D297353CC}">
              <c16:uniqueId val="{00000000-7146-40E5-A7B3-72E34275D6AE}"/>
            </c:ext>
          </c:extLst>
        </c:ser>
        <c:dLbls>
          <c:showLegendKey val="0"/>
          <c:showVal val="0"/>
          <c:showCatName val="0"/>
          <c:showSerName val="0"/>
          <c:showPercent val="0"/>
          <c:showBubbleSize val="0"/>
        </c:dLbls>
        <c:gapWidth val="150"/>
        <c:axId val="821388688"/>
        <c:axId val="785374176"/>
      </c:barChart>
      <c:lineChart>
        <c:grouping val="standard"/>
        <c:varyColors val="0"/>
        <c:ser>
          <c:idx val="1"/>
          <c:order val="0"/>
          <c:tx>
            <c:strRef>
              <c:f>'New Historical Graphs'!$C$7</c:f>
              <c:strCache>
                <c:ptCount val="1"/>
                <c:pt idx="0">
                  <c:v>completed</c:v>
                </c:pt>
              </c:strCache>
            </c:strRef>
          </c:tx>
          <c:spPr>
            <a:ln w="28575" cap="rnd">
              <a:noFill/>
              <a:round/>
            </a:ln>
            <a:effectLst/>
          </c:spPr>
          <c:marker>
            <c:symbol val="circle"/>
            <c:size val="5"/>
            <c:spPr>
              <a:solidFill>
                <a:srgbClr val="FF9900"/>
              </a:solidFill>
              <a:ln w="9525">
                <a:solidFill>
                  <a:srgbClr val="FF9900"/>
                </a:solidFill>
              </a:ln>
              <a:effectLst/>
            </c:spPr>
          </c:marker>
          <c:cat>
            <c:numRef>
              <c:f>'New Historical Graphs'!$B$8:$B$16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'New Historical Graphs'!$C$8:$C$16</c:f>
              <c:numCache>
                <c:formatCode>0</c:formatCode>
                <c:ptCount val="9"/>
                <c:pt idx="0">
                  <c:v>26.143999999999998</c:v>
                </c:pt>
                <c:pt idx="1">
                  <c:v>55.686</c:v>
                </c:pt>
                <c:pt idx="2">
                  <c:v>83.721000000000004</c:v>
                </c:pt>
                <c:pt idx="3">
                  <c:v>105.96899999999999</c:v>
                </c:pt>
                <c:pt idx="4">
                  <c:v>8.7759999999999998</c:v>
                </c:pt>
                <c:pt idx="5">
                  <c:v>2.214</c:v>
                </c:pt>
                <c:pt idx="6">
                  <c:v>10.129</c:v>
                </c:pt>
                <c:pt idx="7">
                  <c:v>13.606999999999999</c:v>
                </c:pt>
                <c:pt idx="8">
                  <c:v>21.306000000000001</c:v>
                </c:pt>
              </c:numCache>
            </c:numRef>
          </c:val>
          <c:smooth val="0"/>
          <c:extLst>
            <c:ext xmlns:c16="http://schemas.microsoft.com/office/drawing/2014/chart" uri="{C3380CC4-5D6E-409C-BE32-E72D297353CC}">
              <c16:uniqueId val="{00000001-7146-40E5-A7B3-72E34275D6AE}"/>
            </c:ext>
          </c:extLst>
        </c:ser>
        <c:dLbls>
          <c:showLegendKey val="0"/>
          <c:showVal val="0"/>
          <c:showCatName val="0"/>
          <c:showSerName val="0"/>
          <c:showPercent val="0"/>
          <c:showBubbleSize val="0"/>
        </c:dLbls>
        <c:marker val="1"/>
        <c:smooth val="0"/>
        <c:axId val="821388688"/>
        <c:axId val="785374176"/>
      </c:lineChart>
      <c:catAx>
        <c:axId val="8213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785374176"/>
        <c:crosses val="autoZero"/>
        <c:auto val="1"/>
        <c:lblAlgn val="ctr"/>
        <c:lblOffset val="100"/>
        <c:noMultiLvlLbl val="0"/>
      </c:catAx>
      <c:valAx>
        <c:axId val="7853741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821388688"/>
        <c:crosses val="autoZero"/>
        <c:crossBetween val="between"/>
      </c:valAx>
      <c:spPr>
        <a:noFill/>
        <a:ln>
          <a:noFill/>
        </a:ln>
        <a:effectLst/>
      </c:spPr>
    </c:plotArea>
    <c:legend>
      <c:legendPos val="b"/>
      <c:layout>
        <c:manualLayout>
          <c:xMode val="edge"/>
          <c:yMode val="edge"/>
          <c:x val="0.30270149158184495"/>
          <c:y val="0.89384018174198798"/>
          <c:w val="0.3945970168363101"/>
          <c:h val="8.935309556893623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u="none">
          <a:solidFill>
            <a:srgbClr val="373737"/>
          </a:solidFill>
          <a:latin typeface="Arial"/>
          <a:ea typeface="Arial"/>
          <a:cs typeface="Aria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0413014410935"/>
          <c:y val="6.0389788635739773E-2"/>
          <c:w val="0.81658832268607928"/>
          <c:h val="0.74784777623357068"/>
        </c:manualLayout>
      </c:layout>
      <c:barChart>
        <c:barDir val="col"/>
        <c:grouping val="stacked"/>
        <c:varyColors val="0"/>
        <c:ser>
          <c:idx val="0"/>
          <c:order val="0"/>
          <c:tx>
            <c:strRef>
              <c:f>'New Historical Graphs'!$C$72</c:f>
              <c:strCache>
                <c:ptCount val="1"/>
                <c:pt idx="0">
                  <c:v>Completed</c:v>
                </c:pt>
              </c:strCache>
            </c:strRef>
          </c:tx>
          <c:spPr>
            <a:solidFill>
              <a:srgbClr val="005CAF"/>
            </a:solidFill>
            <a:ln>
              <a:noFill/>
            </a:ln>
            <a:effectLst/>
          </c:spPr>
          <c:invertIfNegative val="0"/>
          <c:cat>
            <c:numRef>
              <c:f>'New Historical Graphs'!$B$73:$B$87</c:f>
              <c:numCache>
                <c:formatCode>General</c:formatCode>
                <c:ptCount val="15"/>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numCache>
            </c:numRef>
          </c:cat>
          <c:val>
            <c:numRef>
              <c:f>'New Historical Graphs'!$C$73:$C$87</c:f>
              <c:numCache>
                <c:formatCode>0</c:formatCode>
                <c:ptCount val="15"/>
                <c:pt idx="0">
                  <c:v>26.143999999999998</c:v>
                </c:pt>
                <c:pt idx="1">
                  <c:v>55.686</c:v>
                </c:pt>
                <c:pt idx="2">
                  <c:v>83.721000000000004</c:v>
                </c:pt>
                <c:pt idx="3">
                  <c:v>105.96899999999999</c:v>
                </c:pt>
                <c:pt idx="4">
                  <c:v>8.7759999999999998</c:v>
                </c:pt>
                <c:pt idx="5">
                  <c:v>2.214</c:v>
                </c:pt>
                <c:pt idx="6">
                  <c:v>10.129</c:v>
                </c:pt>
                <c:pt idx="7">
                  <c:v>13.606999999999999</c:v>
                </c:pt>
                <c:pt idx="8">
                  <c:v>21.306000000000001</c:v>
                </c:pt>
              </c:numCache>
            </c:numRef>
          </c:val>
          <c:extLst>
            <c:ext xmlns:c16="http://schemas.microsoft.com/office/drawing/2014/chart" uri="{C3380CC4-5D6E-409C-BE32-E72D297353CC}">
              <c16:uniqueId val="{00000000-F9B7-4B47-A5C7-DB091D5E55B7}"/>
            </c:ext>
          </c:extLst>
        </c:ser>
        <c:ser>
          <c:idx val="1"/>
          <c:order val="1"/>
          <c:tx>
            <c:strRef>
              <c:f>'New Historical Graphs'!$D$72</c:f>
              <c:strCache>
                <c:ptCount val="1"/>
                <c:pt idx="0">
                  <c:v>Committed</c:v>
                </c:pt>
              </c:strCache>
            </c:strRef>
          </c:tx>
          <c:spPr>
            <a:solidFill>
              <a:srgbClr val="56B4DF"/>
            </a:solidFill>
            <a:ln>
              <a:noFill/>
            </a:ln>
            <a:effectLst/>
          </c:spPr>
          <c:invertIfNegative val="0"/>
          <c:cat>
            <c:numRef>
              <c:f>'New Historical Graphs'!$B$73:$B$87</c:f>
              <c:numCache>
                <c:formatCode>General</c:formatCode>
                <c:ptCount val="15"/>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numCache>
            </c:numRef>
          </c:cat>
          <c:val>
            <c:numRef>
              <c:f>'New Historical Graphs'!$D$73:$D$87</c:f>
              <c:numCache>
                <c:formatCode>General</c:formatCode>
                <c:ptCount val="15"/>
                <c:pt idx="9" formatCode="0">
                  <c:v>17.414000000000001</c:v>
                </c:pt>
                <c:pt idx="10" formatCode="0">
                  <c:v>18.196000000000002</c:v>
                </c:pt>
                <c:pt idx="11" formatCode="0">
                  <c:v>31.26</c:v>
                </c:pt>
                <c:pt idx="12" formatCode="0">
                  <c:v>3.839</c:v>
                </c:pt>
                <c:pt idx="13" formatCode="0">
                  <c:v>0</c:v>
                </c:pt>
                <c:pt idx="14" formatCode="0">
                  <c:v>1.157</c:v>
                </c:pt>
              </c:numCache>
            </c:numRef>
          </c:val>
          <c:extLst>
            <c:ext xmlns:c16="http://schemas.microsoft.com/office/drawing/2014/chart" uri="{C3380CC4-5D6E-409C-BE32-E72D297353CC}">
              <c16:uniqueId val="{00000001-F9B7-4B47-A5C7-DB091D5E55B7}"/>
            </c:ext>
          </c:extLst>
        </c:ser>
        <c:ser>
          <c:idx val="2"/>
          <c:order val="2"/>
          <c:tx>
            <c:strRef>
              <c:f>'New Historical Graphs'!$E$72</c:f>
              <c:strCache>
                <c:ptCount val="1"/>
                <c:pt idx="0">
                  <c:v>Advanced Feasibility</c:v>
                </c:pt>
              </c:strCache>
            </c:strRef>
          </c:tx>
          <c:spPr>
            <a:solidFill>
              <a:srgbClr val="9ED9DF"/>
            </a:solidFill>
            <a:ln>
              <a:noFill/>
            </a:ln>
            <a:effectLst/>
          </c:spPr>
          <c:invertIfNegative val="0"/>
          <c:cat>
            <c:numRef>
              <c:f>'New Historical Graphs'!$B$73:$B$87</c:f>
              <c:numCache>
                <c:formatCode>General</c:formatCode>
                <c:ptCount val="15"/>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numCache>
            </c:numRef>
          </c:cat>
          <c:val>
            <c:numRef>
              <c:f>'New Historical Graphs'!$E$73:$E$87</c:f>
              <c:numCache>
                <c:formatCode>General</c:formatCode>
                <c:ptCount val="15"/>
                <c:pt idx="9" formatCode="0">
                  <c:v>1.734</c:v>
                </c:pt>
                <c:pt idx="10" formatCode="0">
                  <c:v>11.385</c:v>
                </c:pt>
                <c:pt idx="11" formatCode="0">
                  <c:v>4.1050000000000004</c:v>
                </c:pt>
                <c:pt idx="12" formatCode="0">
                  <c:v>3.3660000000000001</c:v>
                </c:pt>
                <c:pt idx="13" formatCode="0">
                  <c:v>2.7570000000000001</c:v>
                </c:pt>
                <c:pt idx="14" formatCode="0">
                  <c:v>6.1040000000000001</c:v>
                </c:pt>
              </c:numCache>
            </c:numRef>
          </c:val>
          <c:extLst>
            <c:ext xmlns:c16="http://schemas.microsoft.com/office/drawing/2014/chart" uri="{C3380CC4-5D6E-409C-BE32-E72D297353CC}">
              <c16:uniqueId val="{00000002-F9B7-4B47-A5C7-DB091D5E55B7}"/>
            </c:ext>
          </c:extLst>
        </c:ser>
        <c:dLbls>
          <c:showLegendKey val="0"/>
          <c:showVal val="0"/>
          <c:showCatName val="0"/>
          <c:showSerName val="0"/>
          <c:showPercent val="0"/>
          <c:showBubbleSize val="0"/>
        </c:dLbls>
        <c:gapWidth val="150"/>
        <c:overlap val="100"/>
        <c:axId val="618320480"/>
        <c:axId val="2029230288"/>
      </c:barChart>
      <c:catAx>
        <c:axId val="61832048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9230288"/>
        <c:crosses val="autoZero"/>
        <c:auto val="1"/>
        <c:lblAlgn val="ctr"/>
        <c:lblOffset val="100"/>
        <c:tickLblSkip val="2"/>
        <c:noMultiLvlLbl val="0"/>
      </c:catAx>
      <c:valAx>
        <c:axId val="202923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AU"/>
                  <a:t>A$ billion</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8320480"/>
        <c:crosses val="autoZero"/>
        <c:crossBetween val="between"/>
      </c:valAx>
      <c:spPr>
        <a:noFill/>
        <a:ln w="25400">
          <a:noFill/>
        </a:ln>
        <a:effectLst/>
      </c:spPr>
    </c:plotArea>
    <c:legend>
      <c:legendPos val="b"/>
      <c:layout>
        <c:manualLayout>
          <c:xMode val="edge"/>
          <c:yMode val="edge"/>
          <c:x val="0.14672125984251969"/>
          <c:y val="0.91243740016988684"/>
          <c:w val="0.71259497845788144"/>
          <c:h val="8.756259983011319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lang="en-US"/>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0413014410935"/>
          <c:y val="5.9994545950368149E-2"/>
          <c:w val="0.69959173971178135"/>
          <c:h val="0.77676832528467332"/>
        </c:manualLayout>
      </c:layout>
      <c:barChart>
        <c:barDir val="col"/>
        <c:grouping val="clustered"/>
        <c:varyColors val="0"/>
        <c:ser>
          <c:idx val="0"/>
          <c:order val="0"/>
          <c:tx>
            <c:strRef>
              <c:f>'New Historical Graphs'!$D$22</c:f>
              <c:strCache>
                <c:ptCount val="1"/>
                <c:pt idx="0">
                  <c:v>Number</c:v>
                </c:pt>
              </c:strCache>
            </c:strRef>
          </c:tx>
          <c:spPr>
            <a:solidFill>
              <a:srgbClr val="0052AF"/>
            </a:solidFill>
            <a:ln>
              <a:noFill/>
            </a:ln>
            <a:effectLst/>
          </c:spPr>
          <c:invertIfNegative val="0"/>
          <c:cat>
            <c:numRef>
              <c:f>'New Historical Graphs'!$C$23:$C$43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'New Historical Graphs'!$D$23:$D$43</c:f>
              <c:numCache>
                <c:formatCode>General</c:formatCode>
                <c:ptCount val="21"/>
                <c:pt idx="0">
                  <c:v>53</c:v>
                </c:pt>
                <c:pt idx="1">
                  <c:v>73</c:v>
                </c:pt>
                <c:pt idx="2">
                  <c:v>84</c:v>
                </c:pt>
                <c:pt idx="3">
                  <c:v>94</c:v>
                </c:pt>
                <c:pt idx="4">
                  <c:v>91</c:v>
                </c:pt>
                <c:pt idx="5">
                  <c:v>85</c:v>
                </c:pt>
                <c:pt idx="6">
                  <c:v>74</c:v>
                </c:pt>
                <c:pt idx="7">
                  <c:v>72</c:v>
                </c:pt>
                <c:pt idx="8">
                  <c:v>102</c:v>
                </c:pt>
                <c:pt idx="9">
                  <c:v>87</c:v>
                </c:pt>
                <c:pt idx="10">
                  <c:v>63</c:v>
                </c:pt>
                <c:pt idx="11">
                  <c:v>44</c:v>
                </c:pt>
                <c:pt idx="12">
                  <c:v>33</c:v>
                </c:pt>
                <c:pt idx="13">
                  <c:v>39</c:v>
                </c:pt>
                <c:pt idx="14">
                  <c:v>41</c:v>
                </c:pt>
                <c:pt idx="15">
                  <c:v>40</c:v>
                </c:pt>
                <c:pt idx="16">
                  <c:v>33</c:v>
                </c:pt>
                <c:pt idx="17">
                  <c:v>53</c:v>
                </c:pt>
                <c:pt idx="18">
                  <c:v>79</c:v>
                </c:pt>
                <c:pt idx="19">
                  <c:v>83</c:v>
                </c:pt>
                <c:pt idx="20" formatCode="0">
                  <c:v>86</c:v>
                </c:pt>
              </c:numCache>
            </c:numRef>
          </c:val>
          <c:extLst>
            <c:ext xmlns:c16="http://schemas.microsoft.com/office/drawing/2014/chart" uri="{C3380CC4-5D6E-409C-BE32-E72D297353CC}">
              <c16:uniqueId val="{00000000-32EF-4E76-BAA7-0D1095DBA5B2}"/>
            </c:ext>
          </c:extLst>
        </c:ser>
        <c:dLbls>
          <c:showLegendKey val="0"/>
          <c:showVal val="0"/>
          <c:showCatName val="0"/>
          <c:showSerName val="0"/>
          <c:showPercent val="0"/>
          <c:showBubbleSize val="0"/>
        </c:dLbls>
        <c:gapWidth val="219"/>
        <c:overlap val="-27"/>
        <c:axId val="485887560"/>
        <c:axId val="485887952"/>
      </c:barChart>
      <c:lineChart>
        <c:grouping val="standard"/>
        <c:varyColors val="0"/>
        <c:ser>
          <c:idx val="1"/>
          <c:order val="1"/>
          <c:tx>
            <c:strRef>
              <c:f>'New Historical Graphs'!$E$22</c:f>
              <c:strCache>
                <c:ptCount val="1"/>
                <c:pt idx="0">
                  <c:v>Value (rhs)</c:v>
                </c:pt>
              </c:strCache>
            </c:strRef>
          </c:tx>
          <c:spPr>
            <a:ln w="28575" cap="rnd">
              <a:solidFill>
                <a:srgbClr val="56B4DF"/>
              </a:solidFill>
              <a:round/>
            </a:ln>
            <a:effectLst/>
          </c:spPr>
          <c:marker>
            <c:symbol val="none"/>
          </c:marker>
          <c:cat>
            <c:numRef>
              <c:f>'Old Historical Graphs'!$B$209:$B$228</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'New Historical Graphs'!$E$23:$E$43</c:f>
              <c:numCache>
                <c:formatCode>General</c:formatCode>
                <c:ptCount val="21"/>
                <c:pt idx="0">
                  <c:v>19.88</c:v>
                </c:pt>
                <c:pt idx="1">
                  <c:v>24.329000000000001</c:v>
                </c:pt>
                <c:pt idx="2">
                  <c:v>29.4</c:v>
                </c:pt>
                <c:pt idx="3">
                  <c:v>34.9</c:v>
                </c:pt>
                <c:pt idx="4">
                  <c:v>57.9</c:v>
                </c:pt>
                <c:pt idx="5">
                  <c:v>67.3</c:v>
                </c:pt>
                <c:pt idx="6">
                  <c:v>112.5</c:v>
                </c:pt>
                <c:pt idx="7">
                  <c:v>132.9</c:v>
                </c:pt>
                <c:pt idx="8">
                  <c:v>230.5</c:v>
                </c:pt>
                <c:pt idx="9">
                  <c:v>268.39999999999998</c:v>
                </c:pt>
                <c:pt idx="10">
                  <c:v>240.1</c:v>
                </c:pt>
                <c:pt idx="11">
                  <c:v>227.7</c:v>
                </c:pt>
                <c:pt idx="12">
                  <c:v>219.6</c:v>
                </c:pt>
                <c:pt idx="13">
                  <c:v>194.79268463339949</c:v>
                </c:pt>
                <c:pt idx="14">
                  <c:v>122</c:v>
                </c:pt>
                <c:pt idx="15">
                  <c:v>30.263000000000002</c:v>
                </c:pt>
                <c:pt idx="16">
                  <c:v>30</c:v>
                </c:pt>
                <c:pt idx="17">
                  <c:v>44</c:v>
                </c:pt>
                <c:pt idx="18">
                  <c:v>54.347000000000001</c:v>
                </c:pt>
                <c:pt idx="19">
                  <c:v>80.078999999999994</c:v>
                </c:pt>
                <c:pt idx="20" formatCode="0">
                  <c:v>77.379000000000005</c:v>
                </c:pt>
              </c:numCache>
            </c:numRef>
          </c:val>
          <c:smooth val="0"/>
          <c:extLst>
            <c:ext xmlns:c16="http://schemas.microsoft.com/office/drawing/2014/chart" uri="{C3380CC4-5D6E-409C-BE32-E72D297353CC}">
              <c16:uniqueId val="{00000001-32EF-4E76-BAA7-0D1095DBA5B2}"/>
            </c:ext>
          </c:extLst>
        </c:ser>
        <c:dLbls>
          <c:showLegendKey val="0"/>
          <c:showVal val="0"/>
          <c:showCatName val="0"/>
          <c:showSerName val="0"/>
          <c:showPercent val="0"/>
          <c:showBubbleSize val="0"/>
        </c:dLbls>
        <c:marker val="1"/>
        <c:smooth val="0"/>
        <c:axId val="485888344"/>
        <c:axId val="485889520"/>
      </c:lineChart>
      <c:catAx>
        <c:axId val="485887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7952"/>
        <c:crosses val="autoZero"/>
        <c:auto val="1"/>
        <c:lblAlgn val="ctr"/>
        <c:lblOffset val="100"/>
        <c:tickLblSkip val="4"/>
        <c:noMultiLvlLbl val="1"/>
      </c:catAx>
      <c:valAx>
        <c:axId val="48588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7560"/>
        <c:crosses val="autoZero"/>
        <c:crossBetween val="between"/>
      </c:valAx>
      <c:valAx>
        <c:axId val="48588952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A$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8344"/>
        <c:crosses val="max"/>
        <c:crossBetween val="between"/>
      </c:valAx>
      <c:catAx>
        <c:axId val="485888344"/>
        <c:scaling>
          <c:orientation val="minMax"/>
        </c:scaling>
        <c:delete val="1"/>
        <c:axPos val="b"/>
        <c:numFmt formatCode="General" sourceLinked="1"/>
        <c:majorTickMark val="out"/>
        <c:minorTickMark val="none"/>
        <c:tickLblPos val="nextTo"/>
        <c:crossAx val="485889520"/>
        <c:crosses val="autoZero"/>
        <c:auto val="1"/>
        <c:lblAlgn val="ctr"/>
        <c:lblOffset val="100"/>
        <c:noMultiLvlLbl val="1"/>
      </c:catAx>
      <c:spPr>
        <a:noFill/>
        <a:ln w="25400">
          <a:noFill/>
        </a:ln>
        <a:effectLst/>
      </c:spPr>
    </c:plotArea>
    <c:legend>
      <c:legendPos val="b"/>
      <c:layout>
        <c:manualLayout>
          <c:xMode val="edge"/>
          <c:yMode val="edge"/>
          <c:x val="0.28442466201158817"/>
          <c:y val="0.94028073324758599"/>
          <c:w val="0.44926364581785766"/>
          <c:h val="5.42652171205624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33114610673667"/>
          <c:y val="1.4816387082049527E-2"/>
          <c:w val="0.57322440944881892"/>
          <c:h val="0.8473513636882346"/>
        </c:manualLayout>
      </c:layout>
      <c:barChart>
        <c:barDir val="bar"/>
        <c:grouping val="clustered"/>
        <c:varyColors val="0"/>
        <c:ser>
          <c:idx val="0"/>
          <c:order val="0"/>
          <c:tx>
            <c:strRef>
              <c:f>'Commitment and Completes'!$K$8</c:f>
              <c:strCache>
                <c:ptCount val="1"/>
                <c:pt idx="0">
                  <c:v>Cost</c:v>
                </c:pt>
              </c:strCache>
            </c:strRef>
          </c:tx>
          <c:spPr>
            <a:solidFill>
              <a:srgbClr val="0052AF"/>
            </a:solidFill>
            <a:ln>
              <a:noFill/>
            </a:ln>
            <a:effectLst/>
          </c:spPr>
          <c:invertIfNegative val="0"/>
          <c:cat>
            <c:strRef>
              <c:f>'Commitment and Completes'!$J$9:$J$20</c:f>
              <c:strCache>
                <c:ptCount val="12"/>
                <c:pt idx="0">
                  <c:v>Uranium</c:v>
                </c:pt>
                <c:pt idx="1">
                  <c:v>Hydrogen</c:v>
                </c:pt>
                <c:pt idx="2">
                  <c:v>Aluminium, Alumina, Bauxite</c:v>
                </c:pt>
                <c:pt idx="3">
                  <c:v>Copper</c:v>
                </c:pt>
                <c:pt idx="4">
                  <c:v>Nickel, cobalt</c:v>
                </c:pt>
                <c:pt idx="5">
                  <c:v>Infrastructure</c:v>
                </c:pt>
                <c:pt idx="6">
                  <c:v>Coal</c:v>
                </c:pt>
                <c:pt idx="7">
                  <c:v>Other Commodities</c:v>
                </c:pt>
                <c:pt idx="8">
                  <c:v>Gold</c:v>
                </c:pt>
                <c:pt idx="9">
                  <c:v>Iron Ore</c:v>
                </c:pt>
                <c:pt idx="10">
                  <c:v>Lithium</c:v>
                </c:pt>
                <c:pt idx="11">
                  <c:v>Oil &amp; gas</c:v>
                </c:pt>
              </c:strCache>
            </c:strRef>
          </c:cat>
          <c:val>
            <c:numRef>
              <c:f>'Commitment and Completes'!$K$9:$K$20</c:f>
              <c:numCache>
                <c:formatCode>General</c:formatCode>
                <c:ptCount val="12"/>
                <c:pt idx="0">
                  <c:v>0.113</c:v>
                </c:pt>
                <c:pt idx="1">
                  <c:v>0.23400000000000001</c:v>
                </c:pt>
                <c:pt idx="2">
                  <c:v>0.76200000000000001</c:v>
                </c:pt>
                <c:pt idx="3">
                  <c:v>2.2999999999999998</c:v>
                </c:pt>
                <c:pt idx="4">
                  <c:v>2.4249999999999998</c:v>
                </c:pt>
                <c:pt idx="5">
                  <c:v>4.4139999999999997</c:v>
                </c:pt>
                <c:pt idx="6">
                  <c:v>4.5599999999999996</c:v>
                </c:pt>
                <c:pt idx="7">
                  <c:v>5.5839999999999996</c:v>
                </c:pt>
                <c:pt idx="8">
                  <c:v>6.609</c:v>
                </c:pt>
                <c:pt idx="9">
                  <c:v>7.1550000000000002</c:v>
                </c:pt>
                <c:pt idx="10">
                  <c:v>7.22</c:v>
                </c:pt>
                <c:pt idx="11">
                  <c:v>36.003</c:v>
                </c:pt>
              </c:numCache>
            </c:numRef>
          </c:val>
          <c:extLst>
            <c:ext xmlns:c16="http://schemas.microsoft.com/office/drawing/2014/chart" uri="{C3380CC4-5D6E-409C-BE32-E72D297353CC}">
              <c16:uniqueId val="{00000000-FA84-4C23-826E-0D1641E980E2}"/>
            </c:ext>
          </c:extLst>
        </c:ser>
        <c:dLbls>
          <c:showLegendKey val="0"/>
          <c:showVal val="0"/>
          <c:showCatName val="0"/>
          <c:showSerName val="0"/>
          <c:showPercent val="0"/>
          <c:showBubbleSize val="0"/>
        </c:dLbls>
        <c:gapWidth val="182"/>
        <c:axId val="486034688"/>
        <c:axId val="486027632"/>
      </c:barChart>
      <c:catAx>
        <c:axId val="48603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6027632"/>
        <c:crosses val="autoZero"/>
        <c:auto val="1"/>
        <c:lblAlgn val="ctr"/>
        <c:lblOffset val="100"/>
        <c:noMultiLvlLbl val="0"/>
      </c:catAx>
      <c:valAx>
        <c:axId val="48602763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sz="800">
                    <a:solidFill>
                      <a:sysClr val="windowText" lastClr="000000"/>
                    </a:solidFill>
                  </a:rPr>
                  <a:t>A$ billion</a:t>
                </a:r>
              </a:p>
            </c:rich>
          </c:tx>
          <c:layout>
            <c:manualLayout>
              <c:xMode val="edge"/>
              <c:yMode val="edge"/>
              <c:x val="0.59189041747140114"/>
              <c:y val="0.9240693826315188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8603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87866884563958"/>
          <c:y val="5.2009456264775412E-2"/>
          <c:w val="0.57045098796612692"/>
          <c:h val="0.72078384269762885"/>
        </c:manualLayout>
      </c:layout>
      <c:barChart>
        <c:barDir val="bar"/>
        <c:grouping val="clustered"/>
        <c:varyColors val="0"/>
        <c:ser>
          <c:idx val="0"/>
          <c:order val="0"/>
          <c:tx>
            <c:strRef>
              <c:f>'Commitment and Completes'!$L$27</c:f>
              <c:strCache>
                <c:ptCount val="1"/>
                <c:pt idx="0">
                  <c:v>Completes</c:v>
                </c:pt>
              </c:strCache>
            </c:strRef>
          </c:tx>
          <c:spPr>
            <a:solidFill>
              <a:srgbClr val="005CAF"/>
            </a:solidFill>
            <a:ln>
              <a:noFill/>
            </a:ln>
            <a:effectLst/>
          </c:spPr>
          <c:invertIfNegative val="0"/>
          <c:cat>
            <c:strRef>
              <c:f>'Commitment and Completes'!$K$28:$K$39</c:f>
              <c:strCache>
                <c:ptCount val="12"/>
                <c:pt idx="0">
                  <c:v>Aluminium, Alumina, Bauxite</c:v>
                </c:pt>
                <c:pt idx="1">
                  <c:v>Coal</c:v>
                </c:pt>
                <c:pt idx="2">
                  <c:v>Copper</c:v>
                </c:pt>
                <c:pt idx="3">
                  <c:v>Gold</c:v>
                </c:pt>
                <c:pt idx="4">
                  <c:v>Hydrogen</c:v>
                </c:pt>
                <c:pt idx="5">
                  <c:v>Infrastructure</c:v>
                </c:pt>
                <c:pt idx="6">
                  <c:v>Iron Ore</c:v>
                </c:pt>
                <c:pt idx="7">
                  <c:v>Lead, Zinc, Silver</c:v>
                </c:pt>
                <c:pt idx="8">
                  <c:v>Lithium</c:v>
                </c:pt>
                <c:pt idx="9">
                  <c:v>Oil &amp; gas</c:v>
                </c:pt>
                <c:pt idx="10">
                  <c:v>Nickel, Cobalt</c:v>
                </c:pt>
                <c:pt idx="11">
                  <c:v>Other Commodities</c:v>
                </c:pt>
              </c:strCache>
            </c:strRef>
          </c:cat>
          <c:val>
            <c:numRef>
              <c:f>'Commitment and Completes'!$L$28:$L$39</c:f>
              <c:numCache>
                <c:formatCode>General</c:formatCode>
                <c:ptCount val="12"/>
                <c:pt idx="0">
                  <c:v>6.8000000000000005E-2</c:v>
                </c:pt>
                <c:pt idx="1">
                  <c:v>0.92400000000000004</c:v>
                </c:pt>
                <c:pt idx="2">
                  <c:v>0</c:v>
                </c:pt>
                <c:pt idx="3">
                  <c:v>1.198</c:v>
                </c:pt>
                <c:pt idx="4">
                  <c:v>0</c:v>
                </c:pt>
                <c:pt idx="5">
                  <c:v>0.55800000000000005</c:v>
                </c:pt>
                <c:pt idx="6">
                  <c:v>7.3</c:v>
                </c:pt>
                <c:pt idx="7">
                  <c:v>0.68600000000000005</c:v>
                </c:pt>
                <c:pt idx="8">
                  <c:v>3.2240000000000002</c:v>
                </c:pt>
                <c:pt idx="9">
                  <c:v>6.3639999999999999</c:v>
                </c:pt>
                <c:pt idx="10">
                  <c:v>0.1</c:v>
                </c:pt>
                <c:pt idx="11">
                  <c:v>0.88400000000000001</c:v>
                </c:pt>
              </c:numCache>
            </c:numRef>
          </c:val>
          <c:extLst>
            <c:ext xmlns:c16="http://schemas.microsoft.com/office/drawing/2014/chart" uri="{C3380CC4-5D6E-409C-BE32-E72D297353CC}">
              <c16:uniqueId val="{00000000-1A00-4C03-87CE-63F3C21ACF59}"/>
            </c:ext>
          </c:extLst>
        </c:ser>
        <c:ser>
          <c:idx val="1"/>
          <c:order val="1"/>
          <c:tx>
            <c:strRef>
              <c:f>'Commitment and Completes'!$M$27</c:f>
              <c:strCache>
                <c:ptCount val="1"/>
                <c:pt idx="0">
                  <c:v>New Commitments</c:v>
                </c:pt>
              </c:strCache>
            </c:strRef>
          </c:tx>
          <c:spPr>
            <a:solidFill>
              <a:srgbClr val="56B4DF"/>
            </a:solidFill>
            <a:ln>
              <a:noFill/>
            </a:ln>
            <a:effectLst/>
          </c:spPr>
          <c:invertIfNegative val="0"/>
          <c:cat>
            <c:strRef>
              <c:f>'Commitment and Completes'!$K$28:$K$39</c:f>
              <c:strCache>
                <c:ptCount val="12"/>
                <c:pt idx="0">
                  <c:v>Aluminium, Alumina, Bauxite</c:v>
                </c:pt>
                <c:pt idx="1">
                  <c:v>Coal</c:v>
                </c:pt>
                <c:pt idx="2">
                  <c:v>Copper</c:v>
                </c:pt>
                <c:pt idx="3">
                  <c:v>Gold</c:v>
                </c:pt>
                <c:pt idx="4">
                  <c:v>Hydrogen</c:v>
                </c:pt>
                <c:pt idx="5">
                  <c:v>Infrastructure</c:v>
                </c:pt>
                <c:pt idx="6">
                  <c:v>Iron Ore</c:v>
                </c:pt>
                <c:pt idx="7">
                  <c:v>Lead, Zinc, Silver</c:v>
                </c:pt>
                <c:pt idx="8">
                  <c:v>Lithium</c:v>
                </c:pt>
                <c:pt idx="9">
                  <c:v>Oil &amp; gas</c:v>
                </c:pt>
                <c:pt idx="10">
                  <c:v>Nickel, Cobalt</c:v>
                </c:pt>
                <c:pt idx="11">
                  <c:v>Other Commodities</c:v>
                </c:pt>
              </c:strCache>
            </c:strRef>
          </c:cat>
          <c:val>
            <c:numRef>
              <c:f>'Commitment and Completes'!$M$28:$M$39</c:f>
              <c:numCache>
                <c:formatCode>General</c:formatCode>
                <c:ptCount val="12"/>
                <c:pt idx="0">
                  <c:v>0.76200000000000001</c:v>
                </c:pt>
                <c:pt idx="1">
                  <c:v>1.34</c:v>
                </c:pt>
                <c:pt idx="2">
                  <c:v>0</c:v>
                </c:pt>
                <c:pt idx="3">
                  <c:v>1.81</c:v>
                </c:pt>
                <c:pt idx="4">
                  <c:v>0.14699999999999999</c:v>
                </c:pt>
                <c:pt idx="5">
                  <c:v>0.18</c:v>
                </c:pt>
                <c:pt idx="6">
                  <c:v>4.05</c:v>
                </c:pt>
                <c:pt idx="7">
                  <c:v>0</c:v>
                </c:pt>
                <c:pt idx="8">
                  <c:v>2.54</c:v>
                </c:pt>
                <c:pt idx="9">
                  <c:v>0.5</c:v>
                </c:pt>
                <c:pt idx="10">
                  <c:v>0</c:v>
                </c:pt>
                <c:pt idx="11">
                  <c:v>1.9</c:v>
                </c:pt>
              </c:numCache>
            </c:numRef>
          </c:val>
          <c:extLst>
            <c:ext xmlns:c16="http://schemas.microsoft.com/office/drawing/2014/chart" uri="{C3380CC4-5D6E-409C-BE32-E72D297353CC}">
              <c16:uniqueId val="{00000001-1A00-4C03-87CE-63F3C21ACF59}"/>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layout>
            <c:manualLayout>
              <c:xMode val="edge"/>
              <c:yMode val="edge"/>
              <c:x val="0.6098234437676423"/>
              <c:y val="0.8501921793674095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21553599"/>
        <c:crosses val="autoZero"/>
        <c:crossBetween val="between"/>
      </c:valAx>
      <c:spPr>
        <a:noFill/>
        <a:ln w="25400">
          <a:noFill/>
        </a:ln>
        <a:effectLst/>
      </c:spPr>
    </c:plotArea>
    <c:legend>
      <c:legendPos val="b"/>
      <c:layout>
        <c:manualLayout>
          <c:xMode val="edge"/>
          <c:yMode val="edge"/>
          <c:x val="0.25164878918437084"/>
          <c:y val="0.90851906705166607"/>
          <c:w val="0.49670218392512255"/>
          <c:h val="8.609731475873208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614321794681329"/>
          <c:y val="1.7151290051007774E-2"/>
          <c:w val="0.57063425939682066"/>
          <c:h val="0.7678415292428068"/>
        </c:manualLayout>
      </c:layout>
      <c:barChart>
        <c:barDir val="bar"/>
        <c:grouping val="stacked"/>
        <c:varyColors val="0"/>
        <c:ser>
          <c:idx val="0"/>
          <c:order val="0"/>
          <c:tx>
            <c:strRef>
              <c:f>'Early stage'!$I$45</c:f>
              <c:strCache>
                <c:ptCount val="1"/>
                <c:pt idx="0">
                  <c:v>Publicly announced</c:v>
                </c:pt>
              </c:strCache>
            </c:strRef>
          </c:tx>
          <c:spPr>
            <a:solidFill>
              <a:srgbClr val="005CAF"/>
            </a:solidFill>
            <a:ln>
              <a:noFill/>
            </a:ln>
            <a:effectLst/>
          </c:spPr>
          <c:invertIfNegative val="0"/>
          <c:cat>
            <c:strRef>
              <c:f>'Early stage'!$H$46:$H$58</c:f>
              <c:strCache>
                <c:ptCount val="13"/>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pt idx="12">
                  <c:v>Hydrogen</c:v>
                </c:pt>
              </c:strCache>
            </c:strRef>
          </c:cat>
          <c:val>
            <c:numRef>
              <c:f>'Early stage'!$I$46:$I$58</c:f>
              <c:numCache>
                <c:formatCode>General</c:formatCode>
                <c:ptCount val="13"/>
                <c:pt idx="0">
                  <c:v>2</c:v>
                </c:pt>
                <c:pt idx="1">
                  <c:v>4</c:v>
                </c:pt>
                <c:pt idx="2">
                  <c:v>5</c:v>
                </c:pt>
                <c:pt idx="3">
                  <c:v>5</c:v>
                </c:pt>
                <c:pt idx="4">
                  <c:v>10</c:v>
                </c:pt>
                <c:pt idx="5">
                  <c:v>11</c:v>
                </c:pt>
                <c:pt idx="6">
                  <c:v>12</c:v>
                </c:pt>
                <c:pt idx="7">
                  <c:v>27</c:v>
                </c:pt>
                <c:pt idx="8">
                  <c:v>26</c:v>
                </c:pt>
                <c:pt idx="9">
                  <c:v>30</c:v>
                </c:pt>
                <c:pt idx="10">
                  <c:v>42</c:v>
                </c:pt>
                <c:pt idx="11">
                  <c:v>43</c:v>
                </c:pt>
                <c:pt idx="12">
                  <c:v>72</c:v>
                </c:pt>
              </c:numCache>
            </c:numRef>
          </c:val>
          <c:extLst>
            <c:ext xmlns:c16="http://schemas.microsoft.com/office/drawing/2014/chart" uri="{C3380CC4-5D6E-409C-BE32-E72D297353CC}">
              <c16:uniqueId val="{00000000-84A6-4378-BFC0-73F1487178E8}"/>
            </c:ext>
          </c:extLst>
        </c:ser>
        <c:ser>
          <c:idx val="1"/>
          <c:order val="1"/>
          <c:tx>
            <c:strRef>
              <c:f>'Early stage'!$J$45</c:f>
              <c:strCache>
                <c:ptCount val="1"/>
                <c:pt idx="0">
                  <c:v>Advanced feasibility</c:v>
                </c:pt>
              </c:strCache>
            </c:strRef>
          </c:tx>
          <c:spPr>
            <a:solidFill>
              <a:srgbClr val="56B4DF"/>
            </a:solidFill>
            <a:ln>
              <a:noFill/>
            </a:ln>
            <a:effectLst/>
          </c:spPr>
          <c:invertIfNegative val="0"/>
          <c:cat>
            <c:strRef>
              <c:f>'Early stage'!$H$46:$H$58</c:f>
              <c:strCache>
                <c:ptCount val="13"/>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pt idx="12">
                  <c:v>Hydrogen</c:v>
                </c:pt>
              </c:strCache>
            </c:strRef>
          </c:cat>
          <c:val>
            <c:numRef>
              <c:f>'Early stage'!$J$46:$J$58</c:f>
              <c:numCache>
                <c:formatCode>General</c:formatCode>
                <c:ptCount val="13"/>
                <c:pt idx="0">
                  <c:v>1</c:v>
                </c:pt>
                <c:pt idx="1">
                  <c:v>0</c:v>
                </c:pt>
                <c:pt idx="2">
                  <c:v>1</c:v>
                </c:pt>
                <c:pt idx="3">
                  <c:v>2</c:v>
                </c:pt>
                <c:pt idx="4">
                  <c:v>3</c:v>
                </c:pt>
                <c:pt idx="5">
                  <c:v>4</c:v>
                </c:pt>
                <c:pt idx="6">
                  <c:v>6</c:v>
                </c:pt>
                <c:pt idx="7">
                  <c:v>0</c:v>
                </c:pt>
                <c:pt idx="8">
                  <c:v>3</c:v>
                </c:pt>
                <c:pt idx="9">
                  <c:v>1</c:v>
                </c:pt>
                <c:pt idx="10">
                  <c:v>1</c:v>
                </c:pt>
                <c:pt idx="11">
                  <c:v>23</c:v>
                </c:pt>
                <c:pt idx="12">
                  <c:v>1</c:v>
                </c:pt>
              </c:numCache>
            </c:numRef>
          </c:val>
          <c:extLst>
            <c:ext xmlns:c16="http://schemas.microsoft.com/office/drawing/2014/chart" uri="{C3380CC4-5D6E-409C-BE32-E72D297353CC}">
              <c16:uniqueId val="{00000001-84A6-4378-BFC0-73F1487178E8}"/>
            </c:ext>
          </c:extLst>
        </c:ser>
        <c:dLbls>
          <c:showLegendKey val="0"/>
          <c:showVal val="0"/>
          <c:showCatName val="0"/>
          <c:showSerName val="0"/>
          <c:showPercent val="0"/>
          <c:showBubbleSize val="0"/>
        </c:dLbls>
        <c:gapWidth val="150"/>
        <c:overlap val="100"/>
        <c:axId val="946177903"/>
        <c:axId val="922809663"/>
      </c:barChart>
      <c:catAx>
        <c:axId val="946177903"/>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809663"/>
        <c:crosses val="autoZero"/>
        <c:auto val="1"/>
        <c:lblAlgn val="ctr"/>
        <c:lblOffset val="100"/>
        <c:noMultiLvlLbl val="0"/>
      </c:catAx>
      <c:valAx>
        <c:axId val="9228096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layout>
            <c:manualLayout>
              <c:xMode val="edge"/>
              <c:yMode val="edge"/>
              <c:x val="0.48980965681176653"/>
              <c:y val="0.8689811320754716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46177903"/>
        <c:crosses val="autoZero"/>
        <c:crossBetween val="between"/>
      </c:valAx>
      <c:spPr>
        <a:noFill/>
        <a:ln w="25400">
          <a:noFill/>
        </a:ln>
        <a:effectLst/>
      </c:spPr>
    </c:plotArea>
    <c:legend>
      <c:legendPos val="b"/>
      <c:layout>
        <c:manualLayout>
          <c:xMode val="edge"/>
          <c:yMode val="edge"/>
          <c:x val="0.21195614321794681"/>
          <c:y val="0.91975080473431392"/>
          <c:w val="0.63646483434853662"/>
          <c:h val="8.024919526568613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8514336651315"/>
          <c:y val="6.3492063492063489E-2"/>
          <c:w val="0.84529799435447928"/>
          <c:h val="0.77301564577155124"/>
        </c:manualLayout>
      </c:layout>
      <c:barChart>
        <c:barDir val="bar"/>
        <c:grouping val="clustered"/>
        <c:varyColors val="0"/>
        <c:ser>
          <c:idx val="0"/>
          <c:order val="0"/>
          <c:spPr>
            <a:solidFill>
              <a:srgbClr val="005CAF"/>
            </a:solidFill>
            <a:ln>
              <a:noFill/>
            </a:ln>
            <a:effectLst/>
          </c:spPr>
          <c:invertIfNegative val="0"/>
          <c:cat>
            <c:strRef>
              <c:f>'Early stage'!$H$68:$H$74</c:f>
              <c:strCache>
                <c:ptCount val="7"/>
                <c:pt idx="0">
                  <c:v>TAS</c:v>
                </c:pt>
                <c:pt idx="1">
                  <c:v>VIC</c:v>
                </c:pt>
                <c:pt idx="2">
                  <c:v>QLD</c:v>
                </c:pt>
                <c:pt idx="3">
                  <c:v>SA</c:v>
                </c:pt>
                <c:pt idx="4">
                  <c:v>NT</c:v>
                </c:pt>
                <c:pt idx="5">
                  <c:v>NSW</c:v>
                </c:pt>
                <c:pt idx="6">
                  <c:v>WA</c:v>
                </c:pt>
              </c:strCache>
            </c:strRef>
          </c:cat>
          <c:val>
            <c:numRef>
              <c:f>'Early stage'!$I$68:$I$74</c:f>
              <c:numCache>
                <c:formatCode>General</c:formatCode>
                <c:ptCount val="7"/>
                <c:pt idx="0">
                  <c:v>0.20499999999999999</c:v>
                </c:pt>
                <c:pt idx="1">
                  <c:v>0.96399999999999997</c:v>
                </c:pt>
                <c:pt idx="2">
                  <c:v>2.2610000000000001</c:v>
                </c:pt>
                <c:pt idx="3">
                  <c:v>3.4660000000000002</c:v>
                </c:pt>
                <c:pt idx="4">
                  <c:v>4.3159999999999998</c:v>
                </c:pt>
                <c:pt idx="5">
                  <c:v>5.5549999999999997</c:v>
                </c:pt>
                <c:pt idx="6">
                  <c:v>12.683999999999999</c:v>
                </c:pt>
              </c:numCache>
            </c:numRef>
          </c:val>
          <c:extLst>
            <c:ext xmlns:c16="http://schemas.microsoft.com/office/drawing/2014/chart" uri="{C3380CC4-5D6E-409C-BE32-E72D297353CC}">
              <c16:uniqueId val="{00000000-9818-49AA-8CEE-0C594E7DAA47}"/>
            </c:ext>
          </c:extLst>
        </c:ser>
        <c:dLbls>
          <c:showLegendKey val="0"/>
          <c:showVal val="0"/>
          <c:showCatName val="0"/>
          <c:showSerName val="0"/>
          <c:showPercent val="0"/>
          <c:showBubbleSize val="0"/>
        </c:dLbls>
        <c:gapWidth val="182"/>
        <c:axId val="1091265519"/>
        <c:axId val="265545471"/>
      </c:barChart>
      <c:catAx>
        <c:axId val="109126551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265545471"/>
        <c:crosses val="autoZero"/>
        <c:auto val="1"/>
        <c:lblAlgn val="ctr"/>
        <c:lblOffset val="100"/>
        <c:noMultiLvlLbl val="0"/>
      </c:catAx>
      <c:valAx>
        <c:axId val="2655454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a:t>
                </a:r>
                <a:r>
                  <a:rPr lang="en-AU" baseline="0"/>
                  <a:t> billion</a:t>
                </a:r>
                <a:endParaRPr lang="en-AU"/>
              </a:p>
            </c:rich>
          </c:tx>
          <c:layout>
            <c:manualLayout>
              <c:xMode val="edge"/>
              <c:yMode val="edge"/>
              <c:x val="0.46484552072500368"/>
              <c:y val="0.922972355728261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09126551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'MINPETEX graphs'!$C$2</c:f>
              <c:strCache>
                <c:ptCount val="1"/>
                <c:pt idx="0">
                  <c:v>Petroleum</c:v>
                </c:pt>
              </c:strCache>
            </c:strRef>
          </c:tx>
          <c:spPr>
            <a:solidFill>
              <a:srgbClr val="005CAF"/>
            </a:solidFill>
            <a:ln>
              <a:noFill/>
            </a:ln>
            <a:effectLst/>
          </c:spPr>
          <c:invertIfNegative val="0"/>
          <c:cat>
            <c:strRef>
              <c:f>'MINPETEX graphs'!$B$4:$B$14</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'MINPETEX graphs'!$C$4:$C$14</c:f>
              <c:numCache>
                <c:formatCode>#0.0,,,</c:formatCode>
                <c:ptCount val="11"/>
                <c:pt idx="0">
                  <c:v>4793400000</c:v>
                </c:pt>
                <c:pt idx="1">
                  <c:v>4824500000</c:v>
                </c:pt>
                <c:pt idx="2">
                  <c:v>3791400000</c:v>
                </c:pt>
                <c:pt idx="3">
                  <c:v>1776200000</c:v>
                </c:pt>
                <c:pt idx="4">
                  <c:v>1376000000</c:v>
                </c:pt>
                <c:pt idx="5">
                  <c:v>1028000000</c:v>
                </c:pt>
                <c:pt idx="6">
                  <c:v>1260500000</c:v>
                </c:pt>
                <c:pt idx="7">
                  <c:v>1262800000</c:v>
                </c:pt>
                <c:pt idx="8">
                  <c:v>999600000</c:v>
                </c:pt>
                <c:pt idx="9">
                  <c:v>1148000000</c:v>
                </c:pt>
                <c:pt idx="10">
                  <c:v>907300000</c:v>
                </c:pt>
              </c:numCache>
            </c:numRef>
          </c:val>
          <c:extLst>
            <c:ext xmlns:c16="http://schemas.microsoft.com/office/drawing/2014/chart" uri="{C3380CC4-5D6E-409C-BE32-E72D297353CC}">
              <c16:uniqueId val="{00000000-2BC1-46FC-A345-873E3302707F}"/>
            </c:ext>
          </c:extLst>
        </c:ser>
        <c:ser>
          <c:idx val="1"/>
          <c:order val="1"/>
          <c:tx>
            <c:strRef>
              <c:f>'MINPETEX graphs'!$D$2</c:f>
              <c:strCache>
                <c:ptCount val="1"/>
                <c:pt idx="0">
                  <c:v>Non-energy minerals</c:v>
                </c:pt>
              </c:strCache>
            </c:strRef>
          </c:tx>
          <c:spPr>
            <a:solidFill>
              <a:srgbClr val="56B4DF"/>
            </a:solidFill>
            <a:ln>
              <a:noFill/>
            </a:ln>
            <a:effectLst/>
          </c:spPr>
          <c:invertIfNegative val="0"/>
          <c:cat>
            <c:strRef>
              <c:f>'MINPETEX graphs'!$B$4:$B$14</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'MINPETEX graphs'!$D$4:$D$14</c:f>
              <c:numCache>
                <c:formatCode>#0.0,,,</c:formatCode>
                <c:ptCount val="11"/>
                <c:pt idx="0">
                  <c:v>2442100000</c:v>
                </c:pt>
                <c:pt idx="1">
                  <c:v>1663000000</c:v>
                </c:pt>
                <c:pt idx="2">
                  <c:v>1284000000</c:v>
                </c:pt>
                <c:pt idx="3">
                  <c:v>1207200000</c:v>
                </c:pt>
                <c:pt idx="4">
                  <c:v>1418400000</c:v>
                </c:pt>
                <c:pt idx="5">
                  <c:v>1809700000</c:v>
                </c:pt>
                <c:pt idx="6">
                  <c:v>2150900000</c:v>
                </c:pt>
                <c:pt idx="7">
                  <c:v>2461300000</c:v>
                </c:pt>
                <c:pt idx="8">
                  <c:v>2917100000</c:v>
                </c:pt>
                <c:pt idx="9">
                  <c:v>3619600000</c:v>
                </c:pt>
                <c:pt idx="10">
                  <c:v>3788900000</c:v>
                </c:pt>
              </c:numCache>
            </c:numRef>
          </c:val>
          <c:extLst>
            <c:ext xmlns:c16="http://schemas.microsoft.com/office/drawing/2014/chart" uri="{C3380CC4-5D6E-409C-BE32-E72D297353CC}">
              <c16:uniqueId val="{00000001-2BC1-46FC-A345-873E3302707F}"/>
            </c:ext>
          </c:extLst>
        </c:ser>
        <c:ser>
          <c:idx val="2"/>
          <c:order val="2"/>
          <c:tx>
            <c:strRef>
              <c:f>'MINPETEX graphs'!$E$2</c:f>
              <c:strCache>
                <c:ptCount val="1"/>
                <c:pt idx="0">
                  <c:v>Energy minerals</c:v>
                </c:pt>
              </c:strCache>
            </c:strRef>
          </c:tx>
          <c:spPr>
            <a:solidFill>
              <a:srgbClr val="9ED9DF"/>
            </a:solidFill>
            <a:ln>
              <a:noFill/>
            </a:ln>
            <a:effectLst/>
          </c:spPr>
          <c:invertIfNegative val="0"/>
          <c:cat>
            <c:strRef>
              <c:f>'MINPETEX graphs'!$B$4:$B$14</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'MINPETEX graphs'!$E$4:$E$14</c:f>
              <c:numCache>
                <c:formatCode>#0.0,,,</c:formatCode>
                <c:ptCount val="11"/>
                <c:pt idx="0">
                  <c:v>613500000</c:v>
                </c:pt>
                <c:pt idx="1">
                  <c:v>442600000</c:v>
                </c:pt>
                <c:pt idx="2">
                  <c:v>292400000</c:v>
                </c:pt>
                <c:pt idx="3">
                  <c:v>211700000</c:v>
                </c:pt>
                <c:pt idx="4">
                  <c:v>141900000</c:v>
                </c:pt>
                <c:pt idx="5">
                  <c:v>167100000</c:v>
                </c:pt>
                <c:pt idx="6">
                  <c:v>196300000</c:v>
                </c:pt>
                <c:pt idx="7">
                  <c:v>310600000</c:v>
                </c:pt>
                <c:pt idx="8">
                  <c:v>244700000</c:v>
                </c:pt>
                <c:pt idx="9">
                  <c:v>242200000</c:v>
                </c:pt>
                <c:pt idx="10">
                  <c:v>319400000</c:v>
                </c:pt>
              </c:numCache>
            </c:numRef>
          </c:val>
          <c:extLst>
            <c:ext xmlns:c16="http://schemas.microsoft.com/office/drawing/2014/chart" uri="{C3380CC4-5D6E-409C-BE32-E72D297353CC}">
              <c16:uniqueId val="{00000002-2BC1-46FC-A345-873E3302707F}"/>
            </c:ext>
          </c:extLst>
        </c:ser>
        <c:dLbls>
          <c:showLegendKey val="0"/>
          <c:showVal val="0"/>
          <c:showCatName val="0"/>
          <c:showSerName val="0"/>
          <c:showPercent val="0"/>
          <c:showBubbleSize val="0"/>
        </c:dLbls>
        <c:gapWidth val="150"/>
        <c:overlap val="100"/>
        <c:axId val="-1760811864"/>
        <c:axId val="-1760813824"/>
      </c:barChart>
      <c:catAx>
        <c:axId val="-1760811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813824"/>
        <c:crosses val="autoZero"/>
        <c:auto val="1"/>
        <c:lblAlgn val="ctr"/>
        <c:lblOffset val="100"/>
        <c:tickLblSkip val="2"/>
        <c:noMultiLvlLbl val="0"/>
      </c:catAx>
      <c:valAx>
        <c:axId val="-1760813824"/>
        <c:scaling>
          <c:orientation val="minMax"/>
          <c:max val="800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081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6085277076216"/>
          <c:y val="5.4320987654320987E-2"/>
          <c:w val="0.79393160005942653"/>
          <c:h val="0.69570487022455541"/>
        </c:manualLayout>
      </c:layout>
      <c:barChart>
        <c:barDir val="col"/>
        <c:grouping val="clustered"/>
        <c:varyColors val="0"/>
        <c:ser>
          <c:idx val="0"/>
          <c:order val="0"/>
          <c:tx>
            <c:strRef>
              <c:f>'MINPETEX graphs'!$B$21</c:f>
              <c:strCache>
                <c:ptCount val="1"/>
                <c:pt idx="0">
                  <c:v>2013-14 to 2021-22</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graphs'!$C$21:$G$21</c:f>
              <c:numCache>
                <c:formatCode>##,##0,,</c:formatCode>
                <c:ptCount val="5"/>
                <c:pt idx="0">
                  <c:v>398700000</c:v>
                </c:pt>
                <c:pt idx="1">
                  <c:v>434300000</c:v>
                </c:pt>
                <c:pt idx="2">
                  <c:v>710600000</c:v>
                </c:pt>
                <c:pt idx="3">
                  <c:v>321900000</c:v>
                </c:pt>
                <c:pt idx="4">
                  <c:v>240100000</c:v>
                </c:pt>
              </c:numCache>
            </c:numRef>
          </c:val>
          <c:extLst>
            <c:ext xmlns:c16="http://schemas.microsoft.com/office/drawing/2014/chart" uri="{C3380CC4-5D6E-409C-BE32-E72D297353CC}">
              <c16:uniqueId val="{00000000-AFD0-4959-AE19-21F74C055B83}"/>
            </c:ext>
          </c:extLst>
        </c:ser>
        <c:ser>
          <c:idx val="1"/>
          <c:order val="1"/>
          <c:tx>
            <c:strRef>
              <c:f>'MINPETEX graphs'!$B$22</c:f>
              <c:strCache>
                <c:ptCount val="1"/>
                <c:pt idx="0">
                  <c:v>2014-15</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graphs'!$C$22:$G$22</c:f>
              <c:numCache>
                <c:formatCode>##,##0,,</c:formatCode>
                <c:ptCount val="5"/>
                <c:pt idx="0">
                  <c:v>251800000</c:v>
                </c:pt>
                <c:pt idx="1">
                  <c:v>395700000</c:v>
                </c:pt>
                <c:pt idx="2">
                  <c:v>447700000</c:v>
                </c:pt>
                <c:pt idx="3">
                  <c:v>279000000</c:v>
                </c:pt>
                <c:pt idx="4">
                  <c:v>202200000</c:v>
                </c:pt>
              </c:numCache>
            </c:numRef>
          </c:val>
          <c:extLst>
            <c:ext xmlns:c16="http://schemas.microsoft.com/office/drawing/2014/chart" uri="{C3380CC4-5D6E-409C-BE32-E72D297353CC}">
              <c16:uniqueId val="{00000001-AFD0-4959-AE19-21F74C055B83}"/>
            </c:ext>
          </c:extLst>
        </c:ser>
        <c:ser>
          <c:idx val="2"/>
          <c:order val="2"/>
          <c:tx>
            <c:strRef>
              <c:f>'MINPETEX graphs'!$B$23</c:f>
              <c:strCache>
                <c:ptCount val="1"/>
                <c:pt idx="0">
                  <c:v>2015-16</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graphs'!$C$23:$G$23</c:f>
              <c:numCache>
                <c:formatCode>##,##0,,</c:formatCode>
                <c:ptCount val="5"/>
                <c:pt idx="0">
                  <c:v>173400000</c:v>
                </c:pt>
                <c:pt idx="1">
                  <c:v>548100000</c:v>
                </c:pt>
                <c:pt idx="2">
                  <c:v>291200000</c:v>
                </c:pt>
                <c:pt idx="3">
                  <c:v>231000000</c:v>
                </c:pt>
                <c:pt idx="4">
                  <c:v>175200000</c:v>
                </c:pt>
              </c:numCache>
            </c:numRef>
          </c:val>
          <c:extLst>
            <c:ext xmlns:c16="http://schemas.microsoft.com/office/drawing/2014/chart" uri="{C3380CC4-5D6E-409C-BE32-E72D297353CC}">
              <c16:uniqueId val="{00000002-AFD0-4959-AE19-21F74C055B83}"/>
            </c:ext>
          </c:extLst>
        </c:ser>
        <c:ser>
          <c:idx val="3"/>
          <c:order val="3"/>
          <c:tx>
            <c:strRef>
              <c:f>'MINPETEX graphs'!$B$24</c:f>
              <c:strCache>
                <c:ptCount val="1"/>
                <c:pt idx="0">
                  <c:v>2016-17</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graphs'!$C$24:$G$24</c:f>
              <c:numCache>
                <c:formatCode>##,##0,,</c:formatCode>
                <c:ptCount val="5"/>
                <c:pt idx="0">
                  <c:v>120400000</c:v>
                </c:pt>
                <c:pt idx="1">
                  <c:v>689200000</c:v>
                </c:pt>
                <c:pt idx="2">
                  <c:v>291300000</c:v>
                </c:pt>
                <c:pt idx="3">
                  <c:v>270900000</c:v>
                </c:pt>
                <c:pt idx="4">
                  <c:v>188500000</c:v>
                </c:pt>
              </c:numCache>
            </c:numRef>
          </c:val>
          <c:extLst>
            <c:ext xmlns:c16="http://schemas.microsoft.com/office/drawing/2014/chart" uri="{C3380CC4-5D6E-409C-BE32-E72D297353CC}">
              <c16:uniqueId val="{00000003-AFD0-4959-AE19-21F74C055B83}"/>
            </c:ext>
          </c:extLst>
        </c:ser>
        <c:ser>
          <c:idx val="4"/>
          <c:order val="4"/>
          <c:tx>
            <c:strRef>
              <c:f>'MINPETEX graphs'!$B$25</c:f>
              <c:strCache>
                <c:ptCount val="1"/>
                <c:pt idx="0">
                  <c:v>2017-18</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graphs'!$C$25:$G$25</c:f>
              <c:numCache>
                <c:formatCode>##,##0,,</c:formatCode>
                <c:ptCount val="5"/>
                <c:pt idx="0">
                  <c:v>154100000</c:v>
                </c:pt>
                <c:pt idx="1">
                  <c:v>810100000</c:v>
                </c:pt>
                <c:pt idx="2">
                  <c:v>291800000</c:v>
                </c:pt>
                <c:pt idx="3">
                  <c:v>496200000</c:v>
                </c:pt>
                <c:pt idx="4">
                  <c:v>224600000</c:v>
                </c:pt>
              </c:numCache>
            </c:numRef>
          </c:val>
          <c:extLst>
            <c:ext xmlns:c16="http://schemas.microsoft.com/office/drawing/2014/chart" uri="{C3380CC4-5D6E-409C-BE32-E72D297353CC}">
              <c16:uniqueId val="{00000004-AFD0-4959-AE19-21F74C055B83}"/>
            </c:ext>
          </c:extLst>
        </c:ser>
        <c:ser>
          <c:idx val="5"/>
          <c:order val="5"/>
          <c:tx>
            <c:strRef>
              <c:f>'MINPETEX graphs'!$B$26</c:f>
              <c:strCache>
                <c:ptCount val="1"/>
                <c:pt idx="0">
                  <c:v>2018-19</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graphs'!$C$26:$G$26</c:f>
              <c:numCache>
                <c:formatCode>##,##0,,</c:formatCode>
                <c:ptCount val="5"/>
                <c:pt idx="0">
                  <c:v>182100000</c:v>
                </c:pt>
                <c:pt idx="1">
                  <c:v>966600000</c:v>
                </c:pt>
                <c:pt idx="2">
                  <c:v>324000000</c:v>
                </c:pt>
                <c:pt idx="3">
                  <c:v>620800000</c:v>
                </c:pt>
                <c:pt idx="4">
                  <c:v>253700000</c:v>
                </c:pt>
              </c:numCache>
            </c:numRef>
          </c:val>
          <c:extLst>
            <c:ext xmlns:c16="http://schemas.microsoft.com/office/drawing/2014/chart" uri="{C3380CC4-5D6E-409C-BE32-E72D297353CC}">
              <c16:uniqueId val="{00000005-AFD0-4959-AE19-21F74C055B83}"/>
            </c:ext>
          </c:extLst>
        </c:ser>
        <c:ser>
          <c:idx val="6"/>
          <c:order val="6"/>
          <c:tx>
            <c:strRef>
              <c:f>'MINPETEX graphs'!$B$27</c:f>
              <c:strCache>
                <c:ptCount val="1"/>
                <c:pt idx="0">
                  <c:v>2019-20</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graphs'!$C$27:$G$27</c:f>
              <c:numCache>
                <c:formatCode>##,##0,,</c:formatCode>
                <c:ptCount val="5"/>
                <c:pt idx="0">
                  <c:v>303100000</c:v>
                </c:pt>
                <c:pt idx="1">
                  <c:v>1161900000</c:v>
                </c:pt>
                <c:pt idx="2">
                  <c:v>361300000</c:v>
                </c:pt>
                <c:pt idx="3">
                  <c:v>681200000</c:v>
                </c:pt>
                <c:pt idx="4">
                  <c:v>264400000</c:v>
                </c:pt>
              </c:numCache>
            </c:numRef>
          </c:val>
          <c:extLst>
            <c:ext xmlns:c16="http://schemas.microsoft.com/office/drawing/2014/chart" uri="{C3380CC4-5D6E-409C-BE32-E72D297353CC}">
              <c16:uniqueId val="{00000006-AFD0-4959-AE19-21F74C055B83}"/>
            </c:ext>
          </c:extLst>
        </c:ser>
        <c:ser>
          <c:idx val="7"/>
          <c:order val="7"/>
          <c:tx>
            <c:strRef>
              <c:f>'MINPETEX graphs'!$B$28</c:f>
              <c:strCache>
                <c:ptCount val="1"/>
                <c:pt idx="0">
                  <c:v>2020-21</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graphs'!$C$28:$G$28</c:f>
              <c:numCache>
                <c:formatCode>##,##0,,</c:formatCode>
                <c:ptCount val="5"/>
                <c:pt idx="0">
                  <c:v>235000000</c:v>
                </c:pt>
                <c:pt idx="1">
                  <c:v>1529600000</c:v>
                </c:pt>
                <c:pt idx="2">
                  <c:v>473200000</c:v>
                </c:pt>
                <c:pt idx="3">
                  <c:v>651100000</c:v>
                </c:pt>
                <c:pt idx="4">
                  <c:v>272900000</c:v>
                </c:pt>
              </c:numCache>
            </c:numRef>
          </c:val>
          <c:extLst>
            <c:ext xmlns:c16="http://schemas.microsoft.com/office/drawing/2014/chart" uri="{C3380CC4-5D6E-409C-BE32-E72D297353CC}">
              <c16:uniqueId val="{00000007-AFD0-4959-AE19-21F74C055B83}"/>
            </c:ext>
          </c:extLst>
        </c:ser>
        <c:ser>
          <c:idx val="8"/>
          <c:order val="8"/>
          <c:tx>
            <c:strRef>
              <c:f>'MINPETEX graphs'!$B$29</c:f>
              <c:strCache>
                <c:ptCount val="1"/>
                <c:pt idx="0">
                  <c:v>2021-22</c:v>
                </c:pt>
              </c:strCache>
            </c:strRef>
          </c:tx>
          <c:spPr>
            <a:solidFill>
              <a:srgbClr val="005CA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graphs'!$C$29:$G$29</c:f>
              <c:numCache>
                <c:formatCode>##,##0,,</c:formatCode>
                <c:ptCount val="5"/>
                <c:pt idx="0">
                  <c:v>225500000</c:v>
                </c:pt>
                <c:pt idx="1">
                  <c:v>1594000000</c:v>
                </c:pt>
                <c:pt idx="2">
                  <c:v>645900000</c:v>
                </c:pt>
                <c:pt idx="3">
                  <c:v>950900000</c:v>
                </c:pt>
                <c:pt idx="4">
                  <c:v>445500000</c:v>
                </c:pt>
              </c:numCache>
            </c:numRef>
          </c:val>
          <c:extLst>
            <c:ext xmlns:c16="http://schemas.microsoft.com/office/drawing/2014/chart" uri="{C3380CC4-5D6E-409C-BE32-E72D297353CC}">
              <c16:uniqueId val="{00000008-AFD0-4959-AE19-21F74C055B83}"/>
            </c:ext>
          </c:extLst>
        </c:ser>
        <c:ser>
          <c:idx val="9"/>
          <c:order val="9"/>
          <c:tx>
            <c:strRef>
              <c:f>'MINPETEX graphs'!$B$30</c:f>
              <c:strCache>
                <c:ptCount val="1"/>
                <c:pt idx="0">
                  <c:v>2022-23</c:v>
                </c:pt>
              </c:strCache>
            </c:strRef>
          </c:tx>
          <c:spPr>
            <a:solidFill>
              <a:srgbClr val="56B4DF"/>
            </a:solidFill>
            <a:ln>
              <a:noFill/>
            </a:ln>
            <a:effectLst/>
          </c:spPr>
          <c:invertIfNegative val="0"/>
          <c:cat>
            <c:strRef>
              <c:f>'MINPETEX graphs'!$C$19:$G$19</c:f>
              <c:strCache>
                <c:ptCount val="5"/>
                <c:pt idx="0">
                  <c:v>Coal</c:v>
                </c:pt>
                <c:pt idx="1">
                  <c:v>Gold</c:v>
                </c:pt>
                <c:pt idx="2">
                  <c:v>Iron ore</c:v>
                </c:pt>
                <c:pt idx="3">
                  <c:v>Selected base metals total</c:v>
                </c:pt>
                <c:pt idx="4">
                  <c:v>Other</c:v>
                </c:pt>
              </c:strCache>
            </c:strRef>
          </c:cat>
          <c:val>
            <c:numRef>
              <c:f>'MINPETEX graphs'!$C$30:$G$30</c:f>
              <c:numCache>
                <c:formatCode>##,##0,,</c:formatCode>
                <c:ptCount val="5"/>
                <c:pt idx="0">
                  <c:v>278700000</c:v>
                </c:pt>
                <c:pt idx="1">
                  <c:v>1330500000</c:v>
                </c:pt>
                <c:pt idx="2">
                  <c:v>701800000</c:v>
                </c:pt>
                <c:pt idx="3">
                  <c:v>1057900000</c:v>
                </c:pt>
                <c:pt idx="4">
                  <c:v>739400000</c:v>
                </c:pt>
              </c:numCache>
            </c:numRef>
          </c:val>
          <c:extLst>
            <c:ext xmlns:c16="http://schemas.microsoft.com/office/drawing/2014/chart" uri="{C3380CC4-5D6E-409C-BE32-E72D297353CC}">
              <c16:uniqueId val="{00000009-AFD0-4959-AE19-21F74C055B83}"/>
            </c:ext>
          </c:extLst>
        </c:ser>
        <c:dLbls>
          <c:showLegendKey val="0"/>
          <c:showVal val="0"/>
          <c:showCatName val="0"/>
          <c:showSerName val="0"/>
          <c:showPercent val="0"/>
          <c:showBubbleSize val="0"/>
        </c:dLbls>
        <c:gapWidth val="219"/>
        <c:overlap val="-27"/>
        <c:axId val="1182116232"/>
        <c:axId val="1182117016"/>
      </c:barChart>
      <c:catAx>
        <c:axId val="118211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7016"/>
        <c:crosses val="autoZero"/>
        <c:auto val="1"/>
        <c:lblAlgn val="ctr"/>
        <c:lblOffset val="100"/>
        <c:noMultiLvlLbl val="0"/>
      </c:catAx>
      <c:valAx>
        <c:axId val="1182117016"/>
        <c:scaling>
          <c:orientation val="minMax"/>
          <c:max val="200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A$ million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6232"/>
        <c:crosses val="autoZero"/>
        <c:crossBetween val="between"/>
        <c:majorUnit val="400000000"/>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2087264299509731"/>
          <c:y val="0.91629862933799944"/>
          <c:w val="0.64896223443767642"/>
          <c:h val="7.87630990570623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5045318119039"/>
          <c:y val="5.4726368159203981E-2"/>
          <c:w val="0.81991189762708883"/>
          <c:h val="0.67353351353468882"/>
        </c:manualLayout>
      </c:layout>
      <c:barChart>
        <c:barDir val="col"/>
        <c:grouping val="clustered"/>
        <c:varyColors val="0"/>
        <c:ser>
          <c:idx val="0"/>
          <c:order val="0"/>
          <c:tx>
            <c:strRef>
              <c:f>'New Historical Graphs'!$B$101</c:f>
              <c:strCache>
                <c:ptCount val="1"/>
                <c:pt idx="0">
                  <c:v>Oct-16</c:v>
                </c:pt>
              </c:strCache>
            </c:strRef>
          </c:tx>
          <c:spPr>
            <a:solidFill>
              <a:srgbClr val="005CAF"/>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Graphs'!$D$101:$G$101</c:f>
              <c:numCache>
                <c:formatCode>General</c:formatCode>
                <c:ptCount val="4"/>
                <c:pt idx="0">
                  <c:v>37</c:v>
                </c:pt>
                <c:pt idx="1">
                  <c:v>127</c:v>
                </c:pt>
                <c:pt idx="2">
                  <c:v>39</c:v>
                </c:pt>
                <c:pt idx="3">
                  <c:v>12</c:v>
                </c:pt>
              </c:numCache>
            </c:numRef>
          </c:val>
          <c:extLst>
            <c:ext xmlns:c16="http://schemas.microsoft.com/office/drawing/2014/chart" uri="{C3380CC4-5D6E-409C-BE32-E72D297353CC}">
              <c16:uniqueId val="{00000000-518C-4954-B463-36EC2E1334D3}"/>
            </c:ext>
          </c:extLst>
        </c:ser>
        <c:ser>
          <c:idx val="1"/>
          <c:order val="1"/>
          <c:tx>
            <c:strRef>
              <c:f>'New Historical Graphs'!$B$102</c:f>
              <c:strCache>
                <c:ptCount val="1"/>
                <c:pt idx="0">
                  <c:v>Oct-17</c:v>
                </c:pt>
              </c:strCache>
            </c:strRef>
          </c:tx>
          <c:spPr>
            <a:solidFill>
              <a:srgbClr val="56B4DF"/>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Graphs'!$D$102:$G$102</c:f>
              <c:numCache>
                <c:formatCode>General</c:formatCode>
                <c:ptCount val="4"/>
                <c:pt idx="0">
                  <c:v>60</c:v>
                </c:pt>
                <c:pt idx="1">
                  <c:v>140</c:v>
                </c:pt>
                <c:pt idx="2">
                  <c:v>47</c:v>
                </c:pt>
                <c:pt idx="3">
                  <c:v>26</c:v>
                </c:pt>
              </c:numCache>
            </c:numRef>
          </c:val>
          <c:extLst>
            <c:ext xmlns:c16="http://schemas.microsoft.com/office/drawing/2014/chart" uri="{C3380CC4-5D6E-409C-BE32-E72D297353CC}">
              <c16:uniqueId val="{00000001-518C-4954-B463-36EC2E1334D3}"/>
            </c:ext>
          </c:extLst>
        </c:ser>
        <c:ser>
          <c:idx val="2"/>
          <c:order val="2"/>
          <c:tx>
            <c:strRef>
              <c:f>'New Historical Graphs'!$B$103</c:f>
              <c:strCache>
                <c:ptCount val="1"/>
                <c:pt idx="0">
                  <c:v>Oct-18</c:v>
                </c:pt>
              </c:strCache>
            </c:strRef>
          </c:tx>
          <c:spPr>
            <a:solidFill>
              <a:srgbClr val="9ED9DF"/>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Graphs'!$D$103:$G$103</c:f>
              <c:numCache>
                <c:formatCode>General</c:formatCode>
                <c:ptCount val="4"/>
                <c:pt idx="0">
                  <c:v>59</c:v>
                </c:pt>
                <c:pt idx="1">
                  <c:v>167</c:v>
                </c:pt>
                <c:pt idx="2">
                  <c:v>40</c:v>
                </c:pt>
                <c:pt idx="3">
                  <c:v>18</c:v>
                </c:pt>
              </c:numCache>
            </c:numRef>
          </c:val>
          <c:extLst>
            <c:ext xmlns:c16="http://schemas.microsoft.com/office/drawing/2014/chart" uri="{C3380CC4-5D6E-409C-BE32-E72D297353CC}">
              <c16:uniqueId val="{00000002-518C-4954-B463-36EC2E1334D3}"/>
            </c:ext>
          </c:extLst>
        </c:ser>
        <c:ser>
          <c:idx val="3"/>
          <c:order val="3"/>
          <c:tx>
            <c:strRef>
              <c:f>'New Historical Graphs'!$B$104</c:f>
              <c:strCache>
                <c:ptCount val="1"/>
                <c:pt idx="0">
                  <c:v>Oct-19</c:v>
                </c:pt>
              </c:strCache>
            </c:strRef>
          </c:tx>
          <c:spPr>
            <a:solidFill>
              <a:srgbClr val="BCBFC1"/>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Graphs'!$D$104:$G$104</c:f>
              <c:numCache>
                <c:formatCode>General</c:formatCode>
                <c:ptCount val="4"/>
                <c:pt idx="0">
                  <c:v>66</c:v>
                </c:pt>
                <c:pt idx="1">
                  <c:v>166</c:v>
                </c:pt>
                <c:pt idx="2">
                  <c:v>33</c:v>
                </c:pt>
                <c:pt idx="3">
                  <c:v>16</c:v>
                </c:pt>
              </c:numCache>
            </c:numRef>
          </c:val>
          <c:extLst>
            <c:ext xmlns:c16="http://schemas.microsoft.com/office/drawing/2014/chart" uri="{C3380CC4-5D6E-409C-BE32-E72D297353CC}">
              <c16:uniqueId val="{00000003-518C-4954-B463-36EC2E1334D3}"/>
            </c:ext>
          </c:extLst>
        </c:ser>
        <c:ser>
          <c:idx val="4"/>
          <c:order val="4"/>
          <c:tx>
            <c:strRef>
              <c:f>'New Historical Graphs'!$B$105</c:f>
              <c:strCache>
                <c:ptCount val="1"/>
                <c:pt idx="0">
                  <c:v>Oct-20</c:v>
                </c:pt>
              </c:strCache>
            </c:strRef>
          </c:tx>
          <c:spPr>
            <a:solidFill>
              <a:srgbClr val="51B7A4"/>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Graphs'!$D$105:$G$105</c:f>
              <c:numCache>
                <c:formatCode>General</c:formatCode>
                <c:ptCount val="4"/>
                <c:pt idx="0">
                  <c:v>107</c:v>
                </c:pt>
                <c:pt idx="1">
                  <c:v>165</c:v>
                </c:pt>
                <c:pt idx="2">
                  <c:v>53</c:v>
                </c:pt>
                <c:pt idx="3">
                  <c:v>10</c:v>
                </c:pt>
              </c:numCache>
            </c:numRef>
          </c:val>
          <c:extLst>
            <c:ext xmlns:c16="http://schemas.microsoft.com/office/drawing/2014/chart" uri="{C3380CC4-5D6E-409C-BE32-E72D297353CC}">
              <c16:uniqueId val="{00000004-518C-4954-B463-36EC2E1334D3}"/>
            </c:ext>
          </c:extLst>
        </c:ser>
        <c:ser>
          <c:idx val="5"/>
          <c:order val="5"/>
          <c:tx>
            <c:strRef>
              <c:f>'New Historical Graphs'!$B$106</c:f>
              <c:strCache>
                <c:ptCount val="1"/>
                <c:pt idx="0">
                  <c:v>Oct-21</c:v>
                </c:pt>
              </c:strCache>
            </c:strRef>
          </c:tx>
          <c:spPr>
            <a:solidFill>
              <a:srgbClr val="0A7568"/>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Graphs'!$D$106:$G$106</c:f>
              <c:numCache>
                <c:formatCode>General</c:formatCode>
                <c:ptCount val="4"/>
                <c:pt idx="0">
                  <c:v>113</c:v>
                </c:pt>
                <c:pt idx="1">
                  <c:v>160</c:v>
                </c:pt>
                <c:pt idx="2">
                  <c:v>79</c:v>
                </c:pt>
                <c:pt idx="3">
                  <c:v>15</c:v>
                </c:pt>
              </c:numCache>
            </c:numRef>
          </c:val>
          <c:extLst>
            <c:ext xmlns:c16="http://schemas.microsoft.com/office/drawing/2014/chart" uri="{C3380CC4-5D6E-409C-BE32-E72D297353CC}">
              <c16:uniqueId val="{00000005-518C-4954-B463-36EC2E1334D3}"/>
            </c:ext>
          </c:extLst>
        </c:ser>
        <c:ser>
          <c:idx val="6"/>
          <c:order val="6"/>
          <c:tx>
            <c:strRef>
              <c:f>'New Historical Graphs'!$B$107</c:f>
              <c:strCache>
                <c:ptCount val="1"/>
                <c:pt idx="0">
                  <c:v>Oct-22</c:v>
                </c:pt>
              </c:strCache>
            </c:strRef>
          </c:tx>
          <c:spPr>
            <a:solidFill>
              <a:srgbClr val="D1AAF7"/>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Graphs'!$D$107:$G$107</c:f>
              <c:numCache>
                <c:formatCode>General</c:formatCode>
                <c:ptCount val="4"/>
                <c:pt idx="0">
                  <c:v>118</c:v>
                </c:pt>
                <c:pt idx="1">
                  <c:v>192</c:v>
                </c:pt>
                <c:pt idx="2">
                  <c:v>83</c:v>
                </c:pt>
                <c:pt idx="3">
                  <c:v>30</c:v>
                </c:pt>
              </c:numCache>
            </c:numRef>
          </c:val>
          <c:extLst>
            <c:ext xmlns:c16="http://schemas.microsoft.com/office/drawing/2014/chart" uri="{C3380CC4-5D6E-409C-BE32-E72D297353CC}">
              <c16:uniqueId val="{00000006-518C-4954-B463-36EC2E1334D3}"/>
            </c:ext>
          </c:extLst>
        </c:ser>
        <c:ser>
          <c:idx val="7"/>
          <c:order val="7"/>
          <c:tx>
            <c:strRef>
              <c:f>'New Historical Graphs'!$B$108</c:f>
              <c:strCache>
                <c:ptCount val="1"/>
                <c:pt idx="0">
                  <c:v>Oct-23</c:v>
                </c:pt>
              </c:strCache>
            </c:strRef>
          </c:tx>
          <c:spPr>
            <a:solidFill>
              <a:srgbClr val="60307F"/>
            </a:solidFill>
            <a:ln>
              <a:noFill/>
            </a:ln>
            <a:effectLst/>
          </c:spPr>
          <c:invertIfNegative val="0"/>
          <c:cat>
            <c:strRef>
              <c:f>'New Historical Graphs'!$D$96:$G$96</c:f>
              <c:strCache>
                <c:ptCount val="4"/>
                <c:pt idx="0">
                  <c:v>Publicly announced</c:v>
                </c:pt>
                <c:pt idx="1">
                  <c:v>Feasibility / Advanced Feasibility</c:v>
                </c:pt>
                <c:pt idx="2">
                  <c:v>Committed</c:v>
                </c:pt>
                <c:pt idx="3">
                  <c:v>Completed</c:v>
                </c:pt>
              </c:strCache>
            </c:strRef>
          </c:cat>
          <c:val>
            <c:numRef>
              <c:f>'New Historical Graphs'!$D$108:$G$108</c:f>
              <c:numCache>
                <c:formatCode>General</c:formatCode>
                <c:ptCount val="4"/>
                <c:pt idx="0">
                  <c:v>289</c:v>
                </c:pt>
                <c:pt idx="1">
                  <c:v>46</c:v>
                </c:pt>
                <c:pt idx="2">
                  <c:v>86</c:v>
                </c:pt>
                <c:pt idx="3">
                  <c:v>29</c:v>
                </c:pt>
              </c:numCache>
            </c:numRef>
          </c:val>
          <c:extLst>
            <c:ext xmlns:c16="http://schemas.microsoft.com/office/drawing/2014/chart" uri="{C3380CC4-5D6E-409C-BE32-E72D297353CC}">
              <c16:uniqueId val="{00000007-518C-4954-B463-36EC2E1334D3}"/>
            </c:ext>
          </c:extLst>
        </c:ser>
        <c:dLbls>
          <c:showLegendKey val="0"/>
          <c:showVal val="0"/>
          <c:showCatName val="0"/>
          <c:showSerName val="0"/>
          <c:showPercent val="0"/>
          <c:showBubbleSize val="0"/>
        </c:dLbls>
        <c:gapWidth val="150"/>
        <c:axId val="192591055"/>
        <c:axId val="1570793647"/>
      </c:barChart>
      <c:catAx>
        <c:axId val="192591055"/>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570793647"/>
        <c:crosses val="autoZero"/>
        <c:auto val="1"/>
        <c:lblAlgn val="ctr"/>
        <c:lblOffset val="100"/>
        <c:noMultiLvlLbl val="0"/>
      </c:catAx>
      <c:valAx>
        <c:axId val="157079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92591055"/>
        <c:crosses val="autoZero"/>
        <c:crossBetween val="between"/>
      </c:valAx>
      <c:spPr>
        <a:noFill/>
        <a:ln w="25400">
          <a:noFill/>
        </a:ln>
        <a:effectLst/>
      </c:spPr>
    </c:plotArea>
    <c:legend>
      <c:legendPos val="b"/>
      <c:layout>
        <c:manualLayout>
          <c:xMode val="edge"/>
          <c:yMode val="edge"/>
          <c:x val="4.9999940519597011E-2"/>
          <c:y val="0.91567399224350687"/>
          <c:w val="0.89999988103919404"/>
          <c:h val="7.935088337838366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13755081113426"/>
          <c:y val="5.7986294148655769E-2"/>
          <c:w val="0.64183280534562281"/>
          <c:h val="0.75579842187623214"/>
        </c:manualLayout>
      </c:layout>
      <c:barChart>
        <c:barDir val="bar"/>
        <c:grouping val="clustered"/>
        <c:varyColors val="0"/>
        <c:ser>
          <c:idx val="1"/>
          <c:order val="0"/>
          <c:tx>
            <c:strRef>
              <c:f>Overview!$P$16</c:f>
              <c:strCache>
                <c:ptCount val="1"/>
                <c:pt idx="0">
                  <c:v>new commitments</c:v>
                </c:pt>
              </c:strCache>
            </c:strRef>
          </c:tx>
          <c:spPr>
            <a:solidFill>
              <a:srgbClr val="005CAF"/>
            </a:solidFill>
            <a:ln>
              <a:noFill/>
            </a:ln>
            <a:effectLst/>
          </c:spPr>
          <c:invertIfNegative val="0"/>
          <c:cat>
            <c:strRef>
              <c:f>Overview!$N$17:$N$19</c:f>
              <c:strCache>
                <c:ptCount val="3"/>
                <c:pt idx="0">
                  <c:v>Other</c:v>
                </c:pt>
                <c:pt idx="1">
                  <c:v>Critical minerals</c:v>
                </c:pt>
                <c:pt idx="2">
                  <c:v>Iron ore, coal, oil &amp; gas</c:v>
                </c:pt>
              </c:strCache>
            </c:strRef>
          </c:cat>
          <c:val>
            <c:numRef>
              <c:f>Overview!$P$17:$P$19</c:f>
              <c:numCache>
                <c:formatCode>0.0</c:formatCode>
                <c:ptCount val="3"/>
                <c:pt idx="0">
                  <c:v>2.3679999999999999</c:v>
                </c:pt>
                <c:pt idx="1">
                  <c:v>4.9710000000000001</c:v>
                </c:pt>
                <c:pt idx="2">
                  <c:v>5.89</c:v>
                </c:pt>
              </c:numCache>
            </c:numRef>
          </c:val>
          <c:extLst>
            <c:ext xmlns:c16="http://schemas.microsoft.com/office/drawing/2014/chart" uri="{C3380CC4-5D6E-409C-BE32-E72D297353CC}">
              <c16:uniqueId val="{00000001-A0A7-452E-9E95-E3CBAD8190A3}"/>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715583"/>
        <c:crosses val="autoZero"/>
        <c:auto val="1"/>
        <c:lblAlgn val="ctr"/>
        <c:lblOffset val="100"/>
        <c:noMultiLvlLbl val="0"/>
      </c:catAx>
      <c:valAx>
        <c:axId val="922715583"/>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layout>
            <c:manualLayout>
              <c:xMode val="edge"/>
              <c:yMode val="edge"/>
              <c:x val="0.56118832328312795"/>
              <c:y val="0.9138374308377504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21553599"/>
        <c:crosses val="autoZero"/>
        <c:crossBetween val="between"/>
        <c:majorUnit val="1"/>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8157951399752"/>
          <c:y val="5.1008578715511246E-2"/>
          <c:w val="0.83759613520133525"/>
          <c:h val="0.80373271796856616"/>
        </c:manualLayout>
      </c:layout>
      <c:barChart>
        <c:barDir val="bar"/>
        <c:grouping val="clustered"/>
        <c:varyColors val="0"/>
        <c:ser>
          <c:idx val="1"/>
          <c:order val="0"/>
          <c:tx>
            <c:strRef>
              <c:f>Overview!$I$59</c:f>
              <c:strCache>
                <c:ptCount val="1"/>
                <c:pt idx="0">
                  <c:v>Number of projects</c:v>
                </c:pt>
              </c:strCache>
            </c:strRef>
          </c:tx>
          <c:spPr>
            <a:solidFill>
              <a:srgbClr val="005CAF"/>
            </a:solidFill>
            <a:ln>
              <a:noFill/>
            </a:ln>
            <a:effectLst/>
          </c:spPr>
          <c:invertIfNegative val="0"/>
          <c:cat>
            <c:strRef>
              <c:f>Overview!$H$60:$H$66</c:f>
              <c:strCache>
                <c:ptCount val="7"/>
                <c:pt idx="0">
                  <c:v>TAS</c:v>
                </c:pt>
                <c:pt idx="1">
                  <c:v>VIC</c:v>
                </c:pt>
                <c:pt idx="2">
                  <c:v>NT</c:v>
                </c:pt>
                <c:pt idx="3">
                  <c:v>SA</c:v>
                </c:pt>
                <c:pt idx="4">
                  <c:v>NSW</c:v>
                </c:pt>
                <c:pt idx="5">
                  <c:v>QLD</c:v>
                </c:pt>
                <c:pt idx="6">
                  <c:v>WA</c:v>
                </c:pt>
              </c:strCache>
            </c:strRef>
          </c:cat>
          <c:val>
            <c:numRef>
              <c:f>Overview!$I$60:$I$66</c:f>
              <c:numCache>
                <c:formatCode>General</c:formatCode>
                <c:ptCount val="7"/>
                <c:pt idx="0">
                  <c:v>18</c:v>
                </c:pt>
                <c:pt idx="1">
                  <c:v>27</c:v>
                </c:pt>
                <c:pt idx="2">
                  <c:v>33</c:v>
                </c:pt>
                <c:pt idx="3">
                  <c:v>40</c:v>
                </c:pt>
                <c:pt idx="4">
                  <c:v>44</c:v>
                </c:pt>
                <c:pt idx="5">
                  <c:v>93</c:v>
                </c:pt>
                <c:pt idx="6">
                  <c:v>166</c:v>
                </c:pt>
              </c:numCache>
            </c:numRef>
          </c:val>
          <c:extLst>
            <c:ext xmlns:c16="http://schemas.microsoft.com/office/drawing/2014/chart" uri="{C3380CC4-5D6E-409C-BE32-E72D297353CC}">
              <c16:uniqueId val="{00000000-B369-45E0-BD28-A7D664391DB7}"/>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21553599"/>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2AF"/>
            </a:solidFill>
            <a:ln>
              <a:solidFill>
                <a:srgbClr val="0052AF"/>
              </a:solidFill>
            </a:ln>
            <a:effectLst/>
          </c:spPr>
          <c:invertIfNegative val="0"/>
          <c:cat>
            <c:strRef>
              <c:f>'Critical Mineral Stat'!$X$81:$X$84</c:f>
              <c:strCache>
                <c:ptCount val="4"/>
                <c:pt idx="0">
                  <c:v>Completed</c:v>
                </c:pt>
                <c:pt idx="1">
                  <c:v>Committed</c:v>
                </c:pt>
                <c:pt idx="2">
                  <c:v>Advanced feasibility</c:v>
                </c:pt>
                <c:pt idx="3">
                  <c:v>Publicly announced</c:v>
                </c:pt>
              </c:strCache>
            </c:strRef>
          </c:cat>
          <c:val>
            <c:numRef>
              <c:f>'Critical Mineral Stat'!$Y$81:$Y$84</c:f>
              <c:numCache>
                <c:formatCode>General</c:formatCode>
                <c:ptCount val="4"/>
                <c:pt idx="0">
                  <c:v>8</c:v>
                </c:pt>
                <c:pt idx="1">
                  <c:v>19</c:v>
                </c:pt>
                <c:pt idx="2">
                  <c:v>21</c:v>
                </c:pt>
                <c:pt idx="3">
                  <c:v>52</c:v>
                </c:pt>
              </c:numCache>
            </c:numRef>
          </c:val>
          <c:extLst>
            <c:ext xmlns:c16="http://schemas.microsoft.com/office/drawing/2014/chart" uri="{C3380CC4-5D6E-409C-BE32-E72D297353CC}">
              <c16:uniqueId val="{00000000-42DD-4134-BCBE-6E7FC9E7BE9A}"/>
            </c:ext>
          </c:extLst>
        </c:ser>
        <c:dLbls>
          <c:showLegendKey val="0"/>
          <c:showVal val="0"/>
          <c:showCatName val="0"/>
          <c:showSerName val="0"/>
          <c:showPercent val="0"/>
          <c:showBubbleSize val="0"/>
        </c:dLbls>
        <c:gapWidth val="150"/>
        <c:axId val="192591055"/>
        <c:axId val="1570793647"/>
      </c:barChart>
      <c:catAx>
        <c:axId val="192591055"/>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570793647"/>
        <c:crosses val="autoZero"/>
        <c:auto val="1"/>
        <c:lblAlgn val="ctr"/>
        <c:lblOffset val="100"/>
        <c:noMultiLvlLbl val="0"/>
      </c:catAx>
      <c:valAx>
        <c:axId val="15707936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r>
                  <a:rPr lang="en-AU">
                    <a:solidFill>
                      <a:srgbClr val="373737"/>
                    </a:solidFill>
                  </a:rPr>
                  <a:t>Number of projects</a:t>
                </a:r>
              </a:p>
            </c:rich>
          </c:tx>
          <c:layout>
            <c:manualLayout>
              <c:xMode val="edge"/>
              <c:yMode val="edge"/>
              <c:x val="0.38819115754574995"/>
              <c:y val="0.8815165876777251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9259105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'Critical Mineral Stat'!$U$109</c:f>
              <c:strCache>
                <c:ptCount val="1"/>
                <c:pt idx="0">
                  <c:v>Project count</c:v>
                </c:pt>
              </c:strCache>
            </c:strRef>
          </c:tx>
          <c:spPr>
            <a:solidFill>
              <a:srgbClr val="0052AF"/>
            </a:solidFill>
            <a:ln>
              <a:solidFill>
                <a:srgbClr val="0052AF"/>
              </a:solidFill>
            </a:ln>
            <a:effectLst/>
          </c:spPr>
          <c:invertIfNegative val="0"/>
          <c:cat>
            <c:strRef>
              <c:f>'Critical Mineral Stat'!$T$110:$T$116</c:f>
              <c:strCache>
                <c:ptCount val="7"/>
                <c:pt idx="0">
                  <c:v>TAS</c:v>
                </c:pt>
                <c:pt idx="1">
                  <c:v>VIC</c:v>
                </c:pt>
                <c:pt idx="2">
                  <c:v>NSW</c:v>
                </c:pt>
                <c:pt idx="3">
                  <c:v>SA</c:v>
                </c:pt>
                <c:pt idx="4">
                  <c:v>NT</c:v>
                </c:pt>
                <c:pt idx="5">
                  <c:v>QLD</c:v>
                </c:pt>
                <c:pt idx="6">
                  <c:v>WA</c:v>
                </c:pt>
              </c:strCache>
            </c:strRef>
          </c:cat>
          <c:val>
            <c:numRef>
              <c:f>'Critical Mineral Stat'!$U$110:$U$116</c:f>
              <c:numCache>
                <c:formatCode>General</c:formatCode>
                <c:ptCount val="7"/>
                <c:pt idx="0">
                  <c:v>2</c:v>
                </c:pt>
                <c:pt idx="1">
                  <c:v>6</c:v>
                </c:pt>
                <c:pt idx="2">
                  <c:v>9</c:v>
                </c:pt>
                <c:pt idx="3">
                  <c:v>9</c:v>
                </c:pt>
                <c:pt idx="4">
                  <c:v>10</c:v>
                </c:pt>
                <c:pt idx="5">
                  <c:v>12</c:v>
                </c:pt>
                <c:pt idx="6">
                  <c:v>52</c:v>
                </c:pt>
              </c:numCache>
            </c:numRef>
          </c:val>
          <c:extLst>
            <c:ext xmlns:c16="http://schemas.microsoft.com/office/drawing/2014/chart" uri="{C3380CC4-5D6E-409C-BE32-E72D297353CC}">
              <c16:uniqueId val="{00000000-BF38-4821-985A-B506A6739FFB}"/>
            </c:ext>
          </c:extLst>
        </c:ser>
        <c:dLbls>
          <c:showLegendKey val="0"/>
          <c:showVal val="0"/>
          <c:showCatName val="0"/>
          <c:showSerName val="0"/>
          <c:showPercent val="0"/>
          <c:showBubbleSize val="0"/>
        </c:dLbls>
        <c:gapWidth val="150"/>
        <c:axId val="192591055"/>
        <c:axId val="1570793647"/>
      </c:barChart>
      <c:catAx>
        <c:axId val="192591055"/>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570793647"/>
        <c:crosses val="autoZero"/>
        <c:auto val="1"/>
        <c:lblAlgn val="ctr"/>
        <c:lblOffset val="100"/>
        <c:noMultiLvlLbl val="0"/>
      </c:catAx>
      <c:valAx>
        <c:axId val="15707936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r>
                  <a:rPr lang="en-AU">
                    <a:solidFill>
                      <a:srgbClr val="373737"/>
                    </a:solidFill>
                  </a:rPr>
                  <a:t>Number of projects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9259105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Number of Projects</c:v>
          </c:tx>
          <c:spPr>
            <a:solidFill>
              <a:srgbClr val="005CAF"/>
            </a:solidFill>
            <a:ln>
              <a:noFill/>
            </a:ln>
            <a:effectLst/>
          </c:spPr>
          <c:invertIfNegative val="0"/>
          <c:cat>
            <c:strRef>
              <c:f>'Projects by stage '!$B$3:$B$6</c:f>
              <c:strCache>
                <c:ptCount val="4"/>
                <c:pt idx="0">
                  <c:v>Completed</c:v>
                </c:pt>
                <c:pt idx="1">
                  <c:v>Committed</c:v>
                </c:pt>
                <c:pt idx="2">
                  <c:v>Advanced Feasibility</c:v>
                </c:pt>
                <c:pt idx="3">
                  <c:v>Publicly Announced</c:v>
                </c:pt>
              </c:strCache>
            </c:strRef>
          </c:cat>
          <c:val>
            <c:numRef>
              <c:f>'Projects by stage '!$C$3:$C$6</c:f>
              <c:numCache>
                <c:formatCode>General</c:formatCode>
                <c:ptCount val="4"/>
                <c:pt idx="0">
                  <c:v>0</c:v>
                </c:pt>
                <c:pt idx="1">
                  <c:v>3</c:v>
                </c:pt>
                <c:pt idx="2">
                  <c:v>1</c:v>
                </c:pt>
                <c:pt idx="3">
                  <c:v>72</c:v>
                </c:pt>
              </c:numCache>
            </c:numRef>
          </c:val>
          <c:extLst>
            <c:ext xmlns:c16="http://schemas.microsoft.com/office/drawing/2014/chart" uri="{C3380CC4-5D6E-409C-BE32-E72D297353CC}">
              <c16:uniqueId val="{00000000-9704-49A2-909B-34E1A8AA2198}"/>
            </c:ext>
          </c:extLst>
        </c:ser>
        <c:dLbls>
          <c:showLegendKey val="0"/>
          <c:showVal val="0"/>
          <c:showCatName val="0"/>
          <c:showSerName val="0"/>
          <c:showPercent val="0"/>
          <c:showBubbleSize val="0"/>
        </c:dLbls>
        <c:gapWidth val="182"/>
        <c:axId val="891066959"/>
        <c:axId val="982770799"/>
      </c:barChart>
      <c:catAx>
        <c:axId val="89106695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82770799"/>
        <c:crosses val="autoZero"/>
        <c:auto val="1"/>
        <c:lblAlgn val="ctr"/>
        <c:lblOffset val="100"/>
        <c:noMultiLvlLbl val="0"/>
      </c:catAx>
      <c:valAx>
        <c:axId val="9827707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89106695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27577062515213"/>
          <c:y val="6.6565809379727683E-2"/>
          <c:w val="0.46560826314434478"/>
          <c:h val="0.78850512823567254"/>
        </c:manualLayout>
      </c:layout>
      <c:pieChart>
        <c:varyColors val="1"/>
        <c:ser>
          <c:idx val="0"/>
          <c:order val="0"/>
          <c:tx>
            <c:v>Hydrogen Source</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D3-4F21-BA05-041F5DAEFF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D3-4F21-BA05-041F5DAEFF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D3-4F21-BA05-041F5DAEFF32}"/>
              </c:ext>
            </c:extLst>
          </c:dPt>
          <c:cat>
            <c:strRef>
              <c:f>'List of non green projects'!$I$8:$K$8</c:f>
              <c:strCache>
                <c:ptCount val="3"/>
                <c:pt idx="0">
                  <c:v>Grid/Renewables</c:v>
                </c:pt>
                <c:pt idx="1">
                  <c:v>Gas reforming</c:v>
                </c:pt>
                <c:pt idx="2">
                  <c:v>Coal</c:v>
                </c:pt>
              </c:strCache>
            </c:strRef>
          </c:cat>
          <c:val>
            <c:numRef>
              <c:f>'List of non green projects'!$I$9:$K$9</c:f>
              <c:numCache>
                <c:formatCode>General</c:formatCode>
                <c:ptCount val="3"/>
                <c:pt idx="0">
                  <c:v>59</c:v>
                </c:pt>
                <c:pt idx="1">
                  <c:v>2</c:v>
                </c:pt>
                <c:pt idx="2">
                  <c:v>3</c:v>
                </c:pt>
              </c:numCache>
            </c:numRef>
          </c:val>
          <c:extLst>
            <c:ext xmlns:c16="http://schemas.microsoft.com/office/drawing/2014/chart" uri="{C3380CC4-5D6E-409C-BE32-E72D297353CC}">
              <c16:uniqueId val="{00000006-DDD3-4F21-BA05-041F5DAEFF32}"/>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2.1548721504151602E-2"/>
          <c:y val="0.86982351709570471"/>
          <c:w val="0.94905977826791965"/>
          <c:h val="9.6517564653888763E-2"/>
        </c:manualLayout>
      </c:layout>
      <c:overlay val="0"/>
      <c:spPr>
        <a:noFill/>
        <a:ln>
          <a:noFill/>
        </a:ln>
        <a:effectLst/>
      </c:spPr>
      <c:txPr>
        <a:bodyPr rot="0" spcFirstLastPara="1" vertOverflow="ellipsis" vert="horz" wrap="square" anchor="ctr" anchorCtr="1"/>
        <a:lstStyle/>
        <a:p>
          <a:pPr algn="ctr" rtl="0">
            <a:defRPr sz="900" b="0" i="0" u="none" strike="noStrike" kern="1200" baseline="0">
              <a:solidFill>
                <a:srgbClr val="373737"/>
              </a:solidFill>
              <a:latin typeface="Arial" panose="020B0604020202020204" pitchFamily="34" charset="0"/>
              <a:ea typeface="Arial"/>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5696033278859"/>
          <c:y val="6.5586194943954429E-2"/>
          <c:w val="0.83518454910117368"/>
          <c:h val="0.83340250226009072"/>
        </c:manualLayout>
      </c:layout>
      <c:barChart>
        <c:barDir val="col"/>
        <c:grouping val="clustered"/>
        <c:varyColors val="0"/>
        <c:ser>
          <c:idx val="0"/>
          <c:order val="0"/>
          <c:tx>
            <c:v>Number of Hydrogen Major Projects by State</c:v>
          </c:tx>
          <c:spPr>
            <a:solidFill>
              <a:srgbClr val="005CAF"/>
            </a:solidFill>
            <a:ln>
              <a:noFill/>
            </a:ln>
            <a:effectLst/>
          </c:spPr>
          <c:invertIfNegative val="0"/>
          <c:cat>
            <c:strRef>
              <c:f>'Hydrogen projects by state'!$C$4:$I$4</c:f>
              <c:strCache>
                <c:ptCount val="7"/>
                <c:pt idx="0">
                  <c:v>WA</c:v>
                </c:pt>
                <c:pt idx="1">
                  <c:v>QLD</c:v>
                </c:pt>
                <c:pt idx="2">
                  <c:v>SA</c:v>
                </c:pt>
                <c:pt idx="3">
                  <c:v>TAS</c:v>
                </c:pt>
                <c:pt idx="4">
                  <c:v>NSW</c:v>
                </c:pt>
                <c:pt idx="5">
                  <c:v>VIC</c:v>
                </c:pt>
                <c:pt idx="6">
                  <c:v>NT</c:v>
                </c:pt>
              </c:strCache>
            </c:strRef>
          </c:cat>
          <c:val>
            <c:numRef>
              <c:f>'Hydrogen projects by state'!$C$5:$I$5</c:f>
              <c:numCache>
                <c:formatCode>General</c:formatCode>
                <c:ptCount val="7"/>
                <c:pt idx="0">
                  <c:v>17</c:v>
                </c:pt>
                <c:pt idx="1">
                  <c:v>13</c:v>
                </c:pt>
                <c:pt idx="2">
                  <c:v>9</c:v>
                </c:pt>
                <c:pt idx="3">
                  <c:v>8</c:v>
                </c:pt>
                <c:pt idx="4">
                  <c:v>6</c:v>
                </c:pt>
                <c:pt idx="5">
                  <c:v>6</c:v>
                </c:pt>
                <c:pt idx="6">
                  <c:v>5</c:v>
                </c:pt>
              </c:numCache>
            </c:numRef>
          </c:val>
          <c:extLst>
            <c:ext xmlns:c16="http://schemas.microsoft.com/office/drawing/2014/chart" uri="{C3380CC4-5D6E-409C-BE32-E72D297353CC}">
              <c16:uniqueId val="{00000000-2FC5-424D-890E-5181A88117D0}"/>
            </c:ext>
          </c:extLst>
        </c:ser>
        <c:dLbls>
          <c:showLegendKey val="0"/>
          <c:showVal val="0"/>
          <c:showCatName val="0"/>
          <c:showSerName val="0"/>
          <c:showPercent val="0"/>
          <c:showBubbleSize val="0"/>
        </c:dLbls>
        <c:gapWidth val="219"/>
        <c:overlap val="-27"/>
        <c:axId val="1871484031"/>
        <c:axId val="1139990655"/>
      </c:barChart>
      <c:catAx>
        <c:axId val="187148403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39990655"/>
        <c:crosses val="autoZero"/>
        <c:auto val="1"/>
        <c:lblAlgn val="ctr"/>
        <c:lblOffset val="100"/>
        <c:noMultiLvlLbl val="0"/>
      </c:catAx>
      <c:valAx>
        <c:axId val="1139990655"/>
        <c:scaling>
          <c:orientation val="minMax"/>
        </c:scaling>
        <c:delete val="0"/>
        <c:axPos val="l"/>
        <c:majorGridlines>
          <c:spPr>
            <a:ln w="6350" cap="flat" cmpd="sng" algn="ctr">
              <a:solidFill>
                <a:srgbClr val="BCBFC1"/>
              </a:solidFill>
              <a:prstDash val="solid"/>
              <a:round/>
            </a:ln>
            <a:effectLst/>
          </c:spPr>
        </c:majorGridlines>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87148403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'Critical Mineral Stat'!$H$80:$H$87</cx:f>
        <cx:lvl ptCount="8">
          <cx:pt idx="0">Rare earths</cx:pt>
          <cx:pt idx="1">Lithium</cx:pt>
          <cx:pt idx="2">Nickel-cobalt</cx:pt>
          <cx:pt idx="3">Vanadium</cx:pt>
          <cx:pt idx="4">Titanium and mineral sands</cx:pt>
          <cx:pt idx="5">HPA</cx:pt>
          <cx:pt idx="6">Graphite</cx:pt>
          <cx:pt idx="7">Other</cx:pt>
        </cx:lvl>
      </cx:strDim>
      <cx:numDim type="size">
        <cx:f>'Critical Mineral Stat'!$I$80:$I$87</cx:f>
        <cx:lvl ptCount="8" formatCode="General">
          <cx:pt idx="0">7.2999999999999998</cx:pt>
          <cx:pt idx="1">7.2000000000000002</cx:pt>
          <cx:pt idx="2">3.6000000000000001</cx:pt>
          <cx:pt idx="3">1.6000000000000001</cx:pt>
          <cx:pt idx="4">1.3999999999999999</cx:pt>
          <cx:pt idx="5">0.90000000000000002</cx:pt>
          <cx:pt idx="6">0.90000000000000002</cx:pt>
          <cx:pt idx="7">0.80000000000000071</cx:pt>
        </cx:lvl>
      </cx:numDim>
    </cx:data>
  </cx:chartData>
  <cx:chart>
    <cx:plotArea>
      <cx:plotAreaRegion>
        <cx:series layoutId="treemap" uniqueId="{E994181E-F3AE-4D44-BE85-D48ACE60A382}">
          <cx:tx>
            <cx:txData>
              <cx:f>'Critical Mineral Stat'!$I$79</cx:f>
              <cx:v>Value ($b)</cx:v>
            </cx:txData>
          </cx:tx>
          <cx:dataLabels>
            <cx:txPr>
              <a:bodyPr spcFirstLastPara="1" vertOverflow="ellipsis" horzOverflow="overflow" wrap="square" lIns="0" tIns="0" rIns="0" bIns="0" anchor="ctr" anchorCtr="1"/>
              <a:lstStyle/>
              <a:p>
                <a:pPr algn="ctr" rtl="0">
                  <a:defRPr b="0"/>
                </a:pPr>
                <a:endParaRPr lang="en-US" sz="900" b="0" i="0" u="none" strike="noStrike" baseline="0">
                  <a:solidFill>
                    <a:srgbClr val="FFFFFF"/>
                  </a:solidFill>
                  <a:latin typeface="Arial"/>
                </a:endParaRPr>
              </a:p>
            </cx:txPr>
            <cx:visibility seriesName="0" categoryName="1" value="1"/>
            <cx:separator>
</cx:separator>
          </cx:dataLabels>
          <cx:dataId val="0"/>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0.63849</cdr:x>
      <cdr:y>0.06076</cdr:y>
    </cdr:from>
    <cdr:to>
      <cdr:x>0.64075</cdr:x>
      <cdr:y>0.81624</cdr:y>
    </cdr:to>
    <cdr:cxnSp macro="">
      <cdr:nvCxnSpPr>
        <cdr:cNvPr id="2" name="Straight Arrow Connector 1">
          <a:extLst xmlns:a="http://schemas.openxmlformats.org/drawingml/2006/main">
            <a:ext uri="{FF2B5EF4-FFF2-40B4-BE49-F238E27FC236}">
              <a16:creationId xmlns:a16="http://schemas.microsoft.com/office/drawing/2014/main" id="{AFCF3576-BBF4-59C0-0DEB-58DCDC687B40}"/>
            </a:ext>
          </a:extLst>
        </cdr:cNvPr>
        <cdr:cNvCxnSpPr/>
      </cdr:nvCxnSpPr>
      <cdr:spPr>
        <a:xfrm xmlns:a="http://schemas.openxmlformats.org/drawingml/2006/main">
          <a:off x="2686048" y="135425"/>
          <a:ext cx="9527" cy="1683850"/>
        </a:xfrm>
        <a:prstGeom xmlns:a="http://schemas.openxmlformats.org/drawingml/2006/main" prst="straightConnector1">
          <a:avLst/>
        </a:prstGeom>
        <a:ln xmlns:a="http://schemas.openxmlformats.org/drawingml/2006/main" w="19050" cmpd="sng">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A84C4B8A6E0843BD10FBFEB89FB9F7" ma:contentTypeVersion="19" ma:contentTypeDescription="Create a new document." ma:contentTypeScope="" ma:versionID="77158139673cd7aba09d9907ad0aa148">
  <xsd:schema xmlns:xsd="http://www.w3.org/2001/XMLSchema" xmlns:xs="http://www.w3.org/2001/XMLSchema" xmlns:p="http://schemas.microsoft.com/office/2006/metadata/properties" xmlns:ns1="http://schemas.microsoft.com/sharepoint/v3" xmlns:ns2="e47d1c65-9f6c-49e5-a774-2c92ccb46d02" xmlns:ns3="http://schemas.microsoft.com/sharepoint/v4" targetNamespace="http://schemas.microsoft.com/office/2006/metadata/properties" ma:root="true" ma:fieldsID="962cb26907657df6c7378ab0ceb1affa" ns1:_="" ns2:_="" ns3:_="">
    <xsd:import namespace="http://schemas.microsoft.com/sharepoint/v3"/>
    <xsd:import namespace="e47d1c65-9f6c-49e5-a774-2c92ccb46d0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kaaee9def0d5443e8f4458f32b64868e" minOccurs="0"/>
                <xsd:element ref="ns2:dd4169bfec02452785090413feb21a7f"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kaaee9def0d5443e8f4458f32b64868e" ma:index="24" nillable="true" ma:taxonomy="true" ma:internalName="kaaee9def0d5443e8f4458f32b64868e" ma:taxonomyFieldName="DocHub_Period" ma:displayName="Period" ma:fieldId="{4aaee9de-f0d5-443e-8f44-58f32b64868e}" ma:sspId="fb0313f7-9433-48c0-866e-9e0bbee59a50" ma:termSetId="bf3c6560-fcaa-4c7c-ac72-36d1fb46c56a" ma:anchorId="00000000-0000-0000-0000-000000000000" ma:open="false" ma:isKeyword="false">
      <xsd:complexType>
        <xsd:sequence>
          <xsd:element ref="pc:Terms" minOccurs="0" maxOccurs="1"/>
        </xsd:sequence>
      </xsd:complexType>
    </xsd:element>
    <xsd:element name="dd4169bfec02452785090413feb21a7f" ma:index="26" nillable="true" ma:taxonomy="true" ma:internalName="dd4169bfec02452785090413feb21a7f" ma:taxonomyFieldName="DocHub_CommodityType" ma:displayName="Commodity Type" ma:default="" ma:fieldId="{dd4169bf-ec02-4527-8509-0413feb21a7f}" ma:taxonomyMulti="true" ma:sspId="fb0313f7-9433-48c0-866e-9e0bbee59a50" ma:termSetId="f83529cc-ffc6-4168-8907-0012e9af402f" ma:anchorId="00000000-0000-0000-0000-000000000000" ma:open="false" ma:isKeyword="false">
      <xsd:complexType>
        <xsd:sequence>
          <xsd:element ref="pc:Terms" minOccurs="0" maxOccurs="1"/>
        </xsd:sequence>
      </xsd:complex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e47d1c65-9f6c-49e5-a774-2c92ccb46d02">
      <Terms xmlns="http://schemas.microsoft.com/office/infopath/2007/PartnerControls">
        <TermInfo xmlns="http://schemas.microsoft.com/office/infopath/2007/PartnerControls">
          <TermName>2021</TermName>
          <TermId>712d5b50-1b62-44de-9d3e-74234783b265</TermId>
        </TermInfo>
      </Terms>
    </n99e4c9942c6404eb103464a00e6097b>
    <adb9bed2e36e4a93af574aeb444da63e xmlns="e47d1c65-9f6c-49e5-a774-2c92ccb46d02">
      <Terms xmlns="http://schemas.microsoft.com/office/infopath/2007/PartnerControls">
        <TermInfo xmlns="http://schemas.microsoft.com/office/infopath/2007/PartnerControls">
          <TermName xmlns="http://schemas.microsoft.com/office/infopath/2007/PartnerControls">Resources and Energy Major Projects</TermName>
          <TermId xmlns="http://schemas.microsoft.com/office/infopath/2007/PartnerControls">00f71090-b10c-4bdd-85f0-c094e7b2b7cd</TermId>
        </TermInfo>
      </Terms>
    </adb9bed2e36e4a93af574aeb444da63e>
    <pe2555c81638466f9eb614edb9ecde52 xmlns="e47d1c65-9f6c-49e5-a774-2c92ccb46d0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e47d1c65-9f6c-49e5-a774-2c92ccb46d02">
      <Value>439</Value>
      <Value>39</Value>
      <Value>3</Value>
      <Value>67</Value>
      <Value>45</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_dlc_DocId xmlns="e47d1c65-9f6c-49e5-a774-2c92ccb46d02">EUCW2WRC2PUD-596166828-1699</_dlc_DocId>
    <_dlc_DocIdUrl xmlns="e47d1c65-9f6c-49e5-a774-2c92ccb46d02">
      <Url>https://dochub/div/economicanalyticalservices/businessfunctions/publicationsmgmt/resourcesenergymajorprojects/_layouts/15/DocIdRedir.aspx?ID=EUCW2WRC2PUD-596166828-1699</Url>
      <Description>EUCW2WRC2PUD-596166828-1699</Description>
    </_dlc_DocIdUrl>
    <kaaee9def0d5443e8f4458f32b64868e xmlns="e47d1c65-9f6c-49e5-a774-2c92ccb46d02">
      <Terms xmlns="http://schemas.microsoft.com/office/infopath/2007/PartnerControls"/>
    </kaaee9def0d5443e8f4458f32b64868e>
    <dd4169bfec02452785090413feb21a7f xmlns="e47d1c65-9f6c-49e5-a774-2c92ccb46d02">
      <Terms xmlns="http://schemas.microsoft.com/office/infopath/2007/PartnerControls"/>
    </dd4169bfec02452785090413feb21a7f>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8EAC4F-E961-4944-B612-274B638A3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4EC604-6EF1-44B2-8256-233AFA25524E}">
  <ds:schemaRefs>
    <ds:schemaRef ds:uri="http://schemas.openxmlformats.org/officeDocument/2006/bibliography"/>
  </ds:schemaRefs>
</ds:datastoreItem>
</file>

<file path=customXml/itemProps3.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4.xml><?xml version="1.0" encoding="utf-8"?>
<ds:datastoreItem xmlns:ds="http://schemas.openxmlformats.org/officeDocument/2006/customXml" ds:itemID="{7C82E28D-6947-480F-BBF1-3DFDF858D2EF}">
  <ds:schemaRef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www.w3.org/XML/1998/namespace"/>
    <ds:schemaRef ds:uri="http://purl.org/dc/elements/1.1/"/>
    <ds:schemaRef ds:uri="http://purl.org/dc/terms/"/>
    <ds:schemaRef ds:uri="http://purl.org/dc/dcmitype/"/>
    <ds:schemaRef ds:uri="http://schemas.openxmlformats.org/package/2006/metadata/core-properties"/>
    <ds:schemaRef ds:uri="http://schemas.microsoft.com/sharepoint/v4"/>
    <ds:schemaRef ds:uri="e47d1c65-9f6c-49e5-a774-2c92ccb46d02"/>
  </ds:schemaRefs>
</ds:datastoreItem>
</file>

<file path=customXml/itemProps5.xml><?xml version="1.0" encoding="utf-8"?>
<ds:datastoreItem xmlns:ds="http://schemas.openxmlformats.org/officeDocument/2006/customXml" ds:itemID="{DB65E33E-107E-4040-B946-D8A89A459DF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OCE Landscape Template (macro signed)</Template>
  <TotalTime>7</TotalTime>
  <Pages>30</Pages>
  <Words>9210</Words>
  <Characters>52499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61586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subject/>
  <dc:creator>Clark, Colin</dc:creator>
  <cp:keywords/>
  <dc:description/>
  <cp:lastModifiedBy>Gong, Silvia</cp:lastModifiedBy>
  <cp:revision>3</cp:revision>
  <cp:lastPrinted>2023-12-12T05:18:00Z</cp:lastPrinted>
  <dcterms:created xsi:type="dcterms:W3CDTF">2023-12-19T00:09:00Z</dcterms:created>
  <dcterms:modified xsi:type="dcterms:W3CDTF">2023-12-19T00:19:00Z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0x0101008DA84C4B8A6E0843BD10FBFEB89FB9F7</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dc9cb93c-ca65-4415-a32d-5adac4e92446</vt:lpwstr>
  </property>
  <property fmtid="{D5CDD505-2E9C-101B-9397-08002B2CF9AE}" pid="8" name="DocHub_Year">
    <vt:lpwstr>67;#2021|712d5b50-1b62-44de-9d3e-74234783b265</vt:lpwstr>
  </property>
  <property fmtid="{D5CDD505-2E9C-101B-9397-08002B2CF9AE}" pid="9" name="DocHub_DocumentType">
    <vt:lpwstr>45;#Report|116a9244-cef6-47ce-a9a5-088c9cf21292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439;#Resources and Energy Major Projects|00f71090-b10c-4bdd-85f0-c094e7b2b7cd</vt:lpwstr>
  </property>
  <property fmtid="{D5CDD505-2E9C-101B-9397-08002B2CF9AE}" pid="12" name="DocHub_WorkActivity">
    <vt:lpwstr>39;#Drafting|5fe11d9d-5f5a-4301-b7b3-0d2ee8e5c31c</vt:lpwstr>
  </property>
  <property fmtid="{D5CDD505-2E9C-101B-9397-08002B2CF9AE}" pid="13" name="DocHub_CommodityType">
    <vt:lpwstr/>
  </property>
  <property fmtid="{D5CDD505-2E9C-101B-9397-08002B2CF9AE}" pid="14" name="DocHub_Period">
    <vt:lpwstr/>
  </property>
</Properties>
</file>